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F1D6C">
            <w:pPr>
              <w:spacing w:before="0" w:line="240" w:lineRule="atLeast"/>
              <w:rPr>
                <w:b/>
                <w:smallCaps/>
                <w:szCs w:val="24"/>
              </w:rPr>
            </w:pPr>
          </w:p>
        </w:tc>
        <w:tc>
          <w:tcPr>
            <w:tcW w:w="3120" w:type="dxa"/>
            <w:tcBorders>
              <w:top w:val="single" w:sz="12" w:space="0" w:color="auto"/>
            </w:tcBorders>
          </w:tcPr>
          <w:p w:rsidR="002A2188" w:rsidRPr="00813E5E" w:rsidRDefault="002A2188" w:rsidP="004F1D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1E44D9">
            <w:pPr>
              <w:tabs>
                <w:tab w:val="left" w:pos="851"/>
              </w:tabs>
              <w:spacing w:before="0" w:line="240" w:lineRule="atLeast"/>
              <w:rPr>
                <w:b/>
              </w:rPr>
            </w:pPr>
            <w:bookmarkStart w:id="2" w:name="dmeeting" w:colFirst="0" w:colLast="0"/>
            <w:bookmarkStart w:id="3" w:name="dnum" w:colFirst="1" w:colLast="1"/>
            <w:r>
              <w:rPr>
                <w:b/>
              </w:rPr>
              <w:t xml:space="preserve">Agenda item: PL </w:t>
            </w:r>
            <w:r w:rsidR="001E44D9">
              <w:rPr>
                <w:b/>
              </w:rPr>
              <w:t>2.6</w:t>
            </w:r>
          </w:p>
        </w:tc>
        <w:tc>
          <w:tcPr>
            <w:tcW w:w="3120" w:type="dxa"/>
          </w:tcPr>
          <w:p w:rsidR="002A2188" w:rsidRPr="00E85629" w:rsidRDefault="002A2188" w:rsidP="001E44D9">
            <w:pPr>
              <w:tabs>
                <w:tab w:val="left" w:pos="851"/>
              </w:tabs>
              <w:spacing w:before="0" w:line="240" w:lineRule="atLeast"/>
              <w:rPr>
                <w:b/>
              </w:rPr>
            </w:pPr>
            <w:r>
              <w:rPr>
                <w:b/>
              </w:rPr>
              <w:t>Document C1</w:t>
            </w:r>
            <w:r w:rsidR="00FA4575">
              <w:rPr>
                <w:b/>
              </w:rPr>
              <w:t>9</w:t>
            </w:r>
            <w:r>
              <w:rPr>
                <w:b/>
              </w:rPr>
              <w:t>/</w:t>
            </w:r>
            <w:r w:rsidR="001E44D9">
              <w:rPr>
                <w:b/>
              </w:rPr>
              <w:t>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404CA7" w:rsidP="00404CA7">
            <w:pPr>
              <w:tabs>
                <w:tab w:val="left" w:pos="993"/>
              </w:tabs>
              <w:spacing w:before="0"/>
              <w:rPr>
                <w:b/>
              </w:rPr>
            </w:pPr>
            <w:r>
              <w:rPr>
                <w:b/>
              </w:rPr>
              <w:t>1</w:t>
            </w:r>
            <w:r w:rsidR="001E44D9">
              <w:rPr>
                <w:b/>
              </w:rPr>
              <w:t xml:space="preserve"> </w:t>
            </w:r>
            <w:r>
              <w:rPr>
                <w:b/>
              </w:rPr>
              <w:t>April</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BD054C" w:rsidP="00F07C9D">
            <w:pPr>
              <w:pStyle w:val="Title1"/>
            </w:pPr>
            <w:bookmarkStart w:id="7" w:name="dtitle1" w:colFirst="0" w:colLast="0"/>
            <w:bookmarkEnd w:id="6"/>
            <w:r>
              <w:t xml:space="preserve">PREPARATIONS FOR </w:t>
            </w:r>
            <w:r w:rsidR="00F07C9D">
              <w:t xml:space="preserve">WTPF-21 </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860A1A">
            <w:pPr>
              <w:pStyle w:val="Headingb"/>
              <w:spacing w:before="120" w:after="120"/>
            </w:pPr>
            <w:r w:rsidRPr="00813E5E">
              <w:t>Summary</w:t>
            </w:r>
          </w:p>
          <w:p w:rsidR="002A2188" w:rsidRPr="001E44D9" w:rsidRDefault="000D67F1" w:rsidP="00860A1A">
            <w:pPr>
              <w:spacing w:after="120"/>
              <w:rPr>
                <w:sz w:val="28"/>
                <w:szCs w:val="22"/>
              </w:rPr>
            </w:pPr>
            <w:r w:rsidRPr="001E44D9">
              <w:rPr>
                <w:rFonts w:cs="Calibri"/>
                <w:szCs w:val="24"/>
                <w:lang w:eastAsia="zh-CN"/>
              </w:rPr>
              <w:t xml:space="preserve">Resolution 2 (Rev. Dubai, 2018) </w:t>
            </w:r>
            <w:r w:rsidRPr="001E44D9">
              <w:rPr>
                <w:rFonts w:ascii="Calibri-Italic" w:hAnsi="Calibri-Italic" w:cs="Calibri-Italic"/>
                <w:i/>
                <w:iCs/>
                <w:sz w:val="22"/>
                <w:szCs w:val="22"/>
                <w:lang w:eastAsia="zh-CN"/>
              </w:rPr>
              <w:t>resolves</w:t>
            </w:r>
            <w:r w:rsidRPr="001E44D9">
              <w:rPr>
                <w:rFonts w:ascii="Calibri-Italic" w:hAnsi="Calibri-Italic" w:cs="Calibri-Italic"/>
                <w:i/>
                <w:iCs/>
                <w:szCs w:val="24"/>
                <w:lang w:eastAsia="zh-CN"/>
              </w:rPr>
              <w:t xml:space="preserve"> </w:t>
            </w:r>
            <w:r w:rsidR="000166A2">
              <w:rPr>
                <w:rFonts w:cs="Calibri"/>
                <w:szCs w:val="24"/>
                <w:lang w:eastAsia="zh-CN"/>
              </w:rPr>
              <w:t>to hold WTPF preferably back-</w:t>
            </w:r>
            <w:r w:rsidRPr="001E44D9">
              <w:rPr>
                <w:rFonts w:cs="Calibri"/>
                <w:szCs w:val="24"/>
                <w:lang w:eastAsia="zh-CN"/>
              </w:rPr>
              <w:t>to</w:t>
            </w:r>
            <w:r w:rsidR="000166A2">
              <w:rPr>
                <w:rFonts w:cs="Calibri"/>
                <w:szCs w:val="24"/>
                <w:lang w:eastAsia="zh-CN"/>
              </w:rPr>
              <w:t>-</w:t>
            </w:r>
            <w:r w:rsidRPr="001E44D9">
              <w:rPr>
                <w:rFonts w:cs="Calibri"/>
                <w:szCs w:val="24"/>
                <w:lang w:eastAsia="zh-CN"/>
              </w:rPr>
              <w:t xml:space="preserve">back with the WSIS Forum 2021, taking account of the need to ensure adequate preparation by Member States. </w:t>
            </w:r>
            <w:r w:rsidR="00290277" w:rsidRPr="001E44D9">
              <w:rPr>
                <w:rFonts w:cs="Calibri"/>
                <w:szCs w:val="24"/>
                <w:lang w:eastAsia="zh-CN"/>
              </w:rPr>
              <w:t>This document provides general information on WTPF and suggest</w:t>
            </w:r>
            <w:r w:rsidR="00D52BAD" w:rsidRPr="001E44D9">
              <w:rPr>
                <w:rFonts w:cs="Calibri"/>
                <w:szCs w:val="24"/>
                <w:lang w:eastAsia="zh-CN"/>
              </w:rPr>
              <w:t>s</w:t>
            </w:r>
            <w:r w:rsidR="00290277" w:rsidRPr="001E44D9">
              <w:rPr>
                <w:rFonts w:cs="Calibri"/>
                <w:szCs w:val="24"/>
                <w:lang w:eastAsia="zh-CN"/>
              </w:rPr>
              <w:t xml:space="preserve"> a </w:t>
            </w:r>
            <w:r w:rsidR="00D52BAD" w:rsidRPr="001E44D9">
              <w:rPr>
                <w:rFonts w:cs="Calibri"/>
                <w:szCs w:val="24"/>
                <w:lang w:eastAsia="zh-CN"/>
              </w:rPr>
              <w:t>timeline</w:t>
            </w:r>
            <w:r w:rsidR="00290277" w:rsidRPr="001E44D9">
              <w:rPr>
                <w:rFonts w:cs="Calibri"/>
                <w:szCs w:val="24"/>
                <w:lang w:eastAsia="zh-CN"/>
              </w:rPr>
              <w:t xml:space="preserve"> for the preparatory process for WTPF-21</w:t>
            </w:r>
            <w:r w:rsidR="008B17D3" w:rsidRPr="001E44D9">
              <w:rPr>
                <w:rFonts w:cs="Calibri"/>
                <w:szCs w:val="24"/>
                <w:lang w:eastAsia="zh-CN"/>
              </w:rPr>
              <w:t>.</w:t>
            </w:r>
            <w:r w:rsidR="00290277" w:rsidRPr="001E44D9">
              <w:rPr>
                <w:rFonts w:cs="Calibri"/>
                <w:szCs w:val="24"/>
                <w:lang w:eastAsia="zh-CN"/>
              </w:rPr>
              <w:t xml:space="preserve"> </w:t>
            </w:r>
          </w:p>
          <w:p w:rsidR="002A2188" w:rsidRPr="00813E5E" w:rsidRDefault="002A2188" w:rsidP="00860A1A">
            <w:pPr>
              <w:pStyle w:val="Headingb"/>
              <w:spacing w:before="120" w:after="120"/>
            </w:pPr>
            <w:r w:rsidRPr="00813E5E">
              <w:t>Action required</w:t>
            </w:r>
          </w:p>
          <w:p w:rsidR="000D67F1" w:rsidRPr="001E44D9" w:rsidRDefault="000166A2" w:rsidP="00860A1A">
            <w:pPr>
              <w:tabs>
                <w:tab w:val="clear" w:pos="567"/>
                <w:tab w:val="clear" w:pos="1134"/>
                <w:tab w:val="clear" w:pos="1701"/>
                <w:tab w:val="clear" w:pos="2268"/>
                <w:tab w:val="clear" w:pos="2835"/>
              </w:tabs>
              <w:overflowPunct/>
              <w:spacing w:after="120"/>
              <w:textAlignment w:val="auto"/>
              <w:rPr>
                <w:rFonts w:cs="Calibri"/>
                <w:szCs w:val="24"/>
                <w:lang w:eastAsia="zh-CN"/>
              </w:rPr>
            </w:pPr>
            <w:r>
              <w:rPr>
                <w:rFonts w:cs="Calibri"/>
                <w:szCs w:val="24"/>
                <w:lang w:eastAsia="zh-CN"/>
              </w:rPr>
              <w:t xml:space="preserve">The </w:t>
            </w:r>
            <w:r w:rsidR="000D67F1" w:rsidRPr="001E44D9">
              <w:rPr>
                <w:rFonts w:cs="Calibri"/>
                <w:szCs w:val="24"/>
                <w:lang w:eastAsia="zh-CN"/>
              </w:rPr>
              <w:t xml:space="preserve">Council is instructed to: </w:t>
            </w:r>
          </w:p>
          <w:p w:rsidR="000D67F1" w:rsidRPr="001E44D9" w:rsidRDefault="000D67F1" w:rsidP="001E44D9">
            <w:pPr>
              <w:pStyle w:val="ListParagraph"/>
              <w:numPr>
                <w:ilvl w:val="0"/>
                <w:numId w:val="3"/>
              </w:numPr>
              <w:tabs>
                <w:tab w:val="clear" w:pos="567"/>
                <w:tab w:val="clear" w:pos="1134"/>
                <w:tab w:val="clear" w:pos="1701"/>
                <w:tab w:val="clear" w:pos="2268"/>
                <w:tab w:val="clear" w:pos="2835"/>
              </w:tabs>
              <w:overflowPunct/>
              <w:ind w:left="714" w:hanging="357"/>
              <w:contextualSpacing w:val="0"/>
              <w:textAlignment w:val="auto"/>
              <w:rPr>
                <w:rFonts w:cs="Calibri"/>
                <w:szCs w:val="24"/>
                <w:lang w:eastAsia="zh-CN"/>
              </w:rPr>
            </w:pPr>
            <w:r w:rsidRPr="001E44D9">
              <w:rPr>
                <w:rFonts w:cs="Calibri"/>
                <w:b/>
                <w:bCs/>
                <w:szCs w:val="24"/>
                <w:lang w:eastAsia="zh-CN"/>
              </w:rPr>
              <w:t>decide</w:t>
            </w:r>
            <w:r w:rsidRPr="001E44D9">
              <w:rPr>
                <w:rFonts w:cs="Calibri"/>
                <w:szCs w:val="24"/>
                <w:lang w:eastAsia="zh-CN"/>
              </w:rPr>
              <w:t xml:space="preserve"> on the duration, date, venue, agenda and themes of WTPF-21;</w:t>
            </w:r>
          </w:p>
          <w:p w:rsidR="000D67F1" w:rsidRPr="001E44D9" w:rsidRDefault="000D67F1">
            <w:pPr>
              <w:pStyle w:val="ListParagraph"/>
              <w:numPr>
                <w:ilvl w:val="0"/>
                <w:numId w:val="3"/>
              </w:numPr>
              <w:tabs>
                <w:tab w:val="clear" w:pos="567"/>
                <w:tab w:val="clear" w:pos="1134"/>
                <w:tab w:val="clear" w:pos="1701"/>
                <w:tab w:val="clear" w:pos="2268"/>
                <w:tab w:val="clear" w:pos="2835"/>
              </w:tabs>
              <w:overflowPunct/>
              <w:spacing w:before="0"/>
              <w:textAlignment w:val="auto"/>
              <w:rPr>
                <w:rFonts w:cs="Calibri"/>
                <w:szCs w:val="24"/>
                <w:lang w:eastAsia="zh-CN"/>
              </w:rPr>
            </w:pPr>
            <w:proofErr w:type="gramStart"/>
            <w:r w:rsidRPr="001E44D9">
              <w:rPr>
                <w:rFonts w:cs="Calibri"/>
                <w:b/>
                <w:bCs/>
                <w:szCs w:val="24"/>
                <w:lang w:eastAsia="zh-CN"/>
              </w:rPr>
              <w:t>adopt</w:t>
            </w:r>
            <w:proofErr w:type="gramEnd"/>
            <w:r w:rsidRPr="001E44D9">
              <w:rPr>
                <w:rFonts w:cs="Calibri"/>
                <w:szCs w:val="24"/>
                <w:lang w:eastAsia="zh-CN"/>
              </w:rPr>
              <w:t xml:space="preserve"> a procedure for preparation of the report by the Secretary-</w:t>
            </w:r>
            <w:r w:rsidR="0049424C" w:rsidRPr="001E44D9">
              <w:rPr>
                <w:rFonts w:cs="Calibri"/>
                <w:szCs w:val="24"/>
                <w:lang w:eastAsia="zh-CN"/>
              </w:rPr>
              <w:t>General</w:t>
            </w:r>
            <w:r w:rsidR="008B17D3" w:rsidRPr="001E44D9">
              <w:rPr>
                <w:rFonts w:cs="Calibri"/>
                <w:szCs w:val="24"/>
                <w:lang w:eastAsia="zh-CN"/>
              </w:rPr>
              <w:t xml:space="preserve"> to WTPF-21</w:t>
            </w:r>
            <w:r w:rsidR="0049424C" w:rsidRPr="001E44D9">
              <w:rPr>
                <w:rFonts w:cs="Calibri"/>
                <w:szCs w:val="24"/>
                <w:lang w:eastAsia="zh-CN"/>
              </w:rPr>
              <w:t>.</w:t>
            </w:r>
          </w:p>
          <w:p w:rsidR="002A2188" w:rsidRPr="00813E5E" w:rsidRDefault="002A2188" w:rsidP="00860A1A">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860A1A">
            <w:pPr>
              <w:pStyle w:val="Headingb"/>
              <w:spacing w:before="120" w:after="120"/>
            </w:pPr>
            <w:r w:rsidRPr="00813E5E">
              <w:t>References</w:t>
            </w:r>
          </w:p>
          <w:p w:rsidR="002A2188" w:rsidRPr="00813E5E" w:rsidRDefault="00CF454E" w:rsidP="0080405A">
            <w:pPr>
              <w:spacing w:after="120"/>
              <w:rPr>
                <w:i/>
                <w:iCs/>
              </w:rPr>
            </w:pPr>
            <w:r w:rsidRPr="001E44D9">
              <w:t>Doc</w:t>
            </w:r>
            <w:r w:rsidR="001E44D9">
              <w:t>ument</w:t>
            </w:r>
            <w:r w:rsidRPr="001E44D9">
              <w:t xml:space="preserve"> </w:t>
            </w:r>
            <w:hyperlink r:id="rId12" w:history="1">
              <w:r w:rsidRPr="001E44D9">
                <w:rPr>
                  <w:rStyle w:val="Hyperlink"/>
                </w:rPr>
                <w:t>C13/64(Rev1)</w:t>
              </w:r>
            </w:hyperlink>
            <w:r w:rsidRPr="001E44D9">
              <w:t>;</w:t>
            </w:r>
            <w:r>
              <w:rPr>
                <w:i/>
                <w:iCs/>
              </w:rPr>
              <w:t xml:space="preserve"> </w:t>
            </w:r>
            <w:hyperlink r:id="rId13" w:history="1">
              <w:r w:rsidRPr="001E44D9">
                <w:rPr>
                  <w:rStyle w:val="Hyperlink"/>
                  <w:rFonts w:asciiTheme="minorHAnsi" w:hAnsiTheme="minorHAnsi" w:cstheme="minorHAnsi"/>
                  <w:szCs w:val="24"/>
                </w:rPr>
                <w:t>Resolution 2 (Rev. Dubai, 2018)</w:t>
              </w:r>
            </w:hyperlink>
          </w:p>
        </w:tc>
      </w:tr>
    </w:tbl>
    <w:p w:rsidR="000D67F1" w:rsidRPr="00F07C9D" w:rsidRDefault="00127B16" w:rsidP="00860A1A">
      <w:pPr>
        <w:tabs>
          <w:tab w:val="clear" w:pos="567"/>
          <w:tab w:val="clear" w:pos="1134"/>
          <w:tab w:val="clear" w:pos="1701"/>
          <w:tab w:val="clear" w:pos="2268"/>
          <w:tab w:val="clear" w:pos="2835"/>
        </w:tabs>
        <w:snapToGrid w:val="0"/>
        <w:spacing w:before="720" w:after="120"/>
        <w:jc w:val="both"/>
      </w:pPr>
      <w:bookmarkStart w:id="8" w:name="dstart"/>
      <w:bookmarkStart w:id="9" w:name="dbreak"/>
      <w:bookmarkEnd w:id="8"/>
      <w:bookmarkEnd w:id="9"/>
      <w:r w:rsidRPr="00F07C9D">
        <w:t>1.</w:t>
      </w:r>
      <w:r w:rsidR="001E44D9">
        <w:tab/>
      </w:r>
      <w:r w:rsidR="0004566C" w:rsidRPr="00F07C9D">
        <w:t>The ITU World Telecommunication/ICT Policy Forum (WTPF) was established by the 1994 Kyoto Plenipotentiary Conference and is covered by the provisions of Resolution 2 (Rev. Dubai, 2018).</w:t>
      </w:r>
      <w:r w:rsidRPr="004F1D6C">
        <w:rPr>
          <w:spacing w:val="-2"/>
        </w:rPr>
        <w:t xml:space="preserve"> </w:t>
      </w:r>
      <w:r w:rsidR="0004566C" w:rsidRPr="004F1D6C">
        <w:rPr>
          <w:spacing w:val="-2"/>
        </w:rPr>
        <w:t>WTPF was successfully convened in 1996, 1998, 2001, 2009</w:t>
      </w:r>
      <w:r w:rsidR="000166A2" w:rsidRPr="004F1D6C">
        <w:rPr>
          <w:spacing w:val="-2"/>
        </w:rPr>
        <w:t>,</w:t>
      </w:r>
      <w:r w:rsidR="0004566C" w:rsidRPr="004F1D6C">
        <w:rPr>
          <w:spacing w:val="-2"/>
        </w:rPr>
        <w:t xml:space="preserve"> and 2013. </w:t>
      </w:r>
      <w:r w:rsidR="002720CA" w:rsidRPr="004F1D6C">
        <w:rPr>
          <w:spacing w:val="-2"/>
          <w:lang w:val="en-US"/>
        </w:rPr>
        <w:t xml:space="preserve">The report on </w:t>
      </w:r>
      <w:r w:rsidR="002720CA" w:rsidRPr="00F07C9D">
        <w:rPr>
          <w:lang w:val="en-US"/>
        </w:rPr>
        <w:t xml:space="preserve">WTPF-13 is available in document </w:t>
      </w:r>
      <w:hyperlink r:id="rId14" w:history="1">
        <w:r w:rsidR="0080405A">
          <w:rPr>
            <w:rStyle w:val="Hyperlink"/>
          </w:rPr>
          <w:t>C13/64</w:t>
        </w:r>
        <w:r w:rsidR="001E44D9" w:rsidRPr="001E44D9">
          <w:rPr>
            <w:rStyle w:val="Hyperlink"/>
          </w:rPr>
          <w:t>(Rev</w:t>
        </w:r>
        <w:r w:rsidR="000166A2">
          <w:rPr>
            <w:rStyle w:val="Hyperlink"/>
          </w:rPr>
          <w:t>.</w:t>
        </w:r>
        <w:r w:rsidR="001E44D9" w:rsidRPr="001E44D9">
          <w:rPr>
            <w:rStyle w:val="Hyperlink"/>
          </w:rPr>
          <w:t>1)</w:t>
        </w:r>
      </w:hyperlink>
      <w:r w:rsidR="0049424C">
        <w:rPr>
          <w:lang w:val="en-US"/>
        </w:rPr>
        <w:t>.</w:t>
      </w:r>
    </w:p>
    <w:p w:rsidR="00F07C9D" w:rsidRPr="00F07C9D" w:rsidRDefault="000D67F1" w:rsidP="00860A1A">
      <w:pPr>
        <w:tabs>
          <w:tab w:val="clear" w:pos="567"/>
          <w:tab w:val="clear" w:pos="1134"/>
          <w:tab w:val="clear" w:pos="1701"/>
          <w:tab w:val="clear" w:pos="2268"/>
          <w:tab w:val="clear" w:pos="2835"/>
        </w:tabs>
        <w:snapToGrid w:val="0"/>
        <w:spacing w:after="120"/>
        <w:jc w:val="both"/>
        <w:rPr>
          <w:rFonts w:cs="Calibri"/>
          <w:lang w:eastAsia="zh-CN"/>
        </w:rPr>
      </w:pPr>
      <w:r w:rsidRPr="00F07C9D">
        <w:t>2.</w:t>
      </w:r>
      <w:r w:rsidR="001E44D9">
        <w:tab/>
      </w:r>
      <w:r w:rsidR="00127B16" w:rsidRPr="00F07C9D">
        <w:t>T</w:t>
      </w:r>
      <w:r w:rsidR="00127B16" w:rsidRPr="00F07C9D">
        <w:rPr>
          <w:rFonts w:cs="Calibri"/>
          <w:lang w:eastAsia="zh-CN"/>
        </w:rPr>
        <w: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49424C">
        <w:rPr>
          <w:rFonts w:cs="Calibri"/>
          <w:lang w:eastAsia="zh-CN"/>
        </w:rPr>
        <w:t>.</w:t>
      </w:r>
      <w:r w:rsidR="00127B16" w:rsidRPr="00F07C9D">
        <w:rPr>
          <w:rFonts w:cs="Calibri"/>
          <w:lang w:eastAsia="zh-CN"/>
        </w:rPr>
        <w:t xml:space="preserve"> </w:t>
      </w:r>
    </w:p>
    <w:p w:rsidR="00F07C9D" w:rsidRPr="00F07C9D" w:rsidRDefault="00F07C9D" w:rsidP="00860A1A">
      <w:pPr>
        <w:tabs>
          <w:tab w:val="clear" w:pos="567"/>
          <w:tab w:val="clear" w:pos="1134"/>
          <w:tab w:val="clear" w:pos="1701"/>
          <w:tab w:val="clear" w:pos="2268"/>
          <w:tab w:val="clear" w:pos="2835"/>
        </w:tabs>
        <w:snapToGrid w:val="0"/>
        <w:spacing w:after="120"/>
        <w:jc w:val="both"/>
        <w:rPr>
          <w:rFonts w:cs="Calibri"/>
          <w:lang w:eastAsia="zh-CN"/>
        </w:rPr>
      </w:pPr>
      <w:r w:rsidRPr="00F07C9D">
        <w:rPr>
          <w:rFonts w:cs="Calibri"/>
          <w:lang w:eastAsia="zh-CN"/>
        </w:rPr>
        <w:t>3.</w:t>
      </w:r>
      <w:r w:rsidR="001E44D9">
        <w:rPr>
          <w:rFonts w:cs="Calibri"/>
          <w:lang w:eastAsia="zh-CN"/>
        </w:rPr>
        <w:tab/>
      </w:r>
      <w:r w:rsidR="00127B16" w:rsidRPr="00F07C9D">
        <w:rPr>
          <w:rFonts w:cs="Calibri"/>
          <w:lang w:eastAsia="zh-CN"/>
        </w:rPr>
        <w:t xml:space="preserve">WTPF should continue to give special attention to the interests and needs of the developing countries, where modern technologies and services can contribute significantly to telecommunication infrastructure development. </w:t>
      </w:r>
    </w:p>
    <w:p w:rsidR="00885E2C" w:rsidRPr="00F07C9D" w:rsidRDefault="00F07C9D" w:rsidP="00860A1A">
      <w:pPr>
        <w:tabs>
          <w:tab w:val="clear" w:pos="567"/>
          <w:tab w:val="clear" w:pos="1134"/>
          <w:tab w:val="clear" w:pos="1701"/>
          <w:tab w:val="clear" w:pos="2268"/>
          <w:tab w:val="clear" w:pos="2835"/>
        </w:tabs>
        <w:snapToGrid w:val="0"/>
        <w:spacing w:after="120"/>
        <w:jc w:val="both"/>
        <w:rPr>
          <w:rFonts w:cs="Calibri"/>
          <w:lang w:eastAsia="zh-CN"/>
        </w:rPr>
      </w:pPr>
      <w:r w:rsidRPr="00F07C9D">
        <w:rPr>
          <w:rFonts w:cs="Calibri"/>
          <w:lang w:eastAsia="zh-CN"/>
        </w:rPr>
        <w:lastRenderedPageBreak/>
        <w:t>4.</w:t>
      </w:r>
      <w:r w:rsidR="001E44D9">
        <w:rPr>
          <w:rFonts w:cs="Calibri"/>
          <w:lang w:eastAsia="zh-CN"/>
        </w:rPr>
        <w:tab/>
        <w:t>I</w:t>
      </w:r>
      <w:r w:rsidR="00231C42">
        <w:rPr>
          <w:rFonts w:cs="Calibri"/>
          <w:lang w:eastAsia="zh-CN"/>
        </w:rPr>
        <w:t>n order to ensure that they are well focused, d</w:t>
      </w:r>
      <w:r w:rsidR="0049424C">
        <w:rPr>
          <w:rFonts w:cs="Calibri"/>
          <w:lang w:eastAsia="zh-CN"/>
        </w:rPr>
        <w:t>i</w:t>
      </w:r>
      <w:r w:rsidR="00885E2C" w:rsidRPr="00F07C9D">
        <w:rPr>
          <w:rFonts w:cs="Calibri"/>
          <w:lang w:eastAsia="zh-CN"/>
        </w:rPr>
        <w:t xml:space="preserve">scussions at WTPF shall be based solely on a single report by the Secretary-General, and contributions from participants based on that report, prepared in accordance with a procedure adopted by the Council and based on the proposals of Member States and Sector Members, and on the </w:t>
      </w:r>
      <w:r w:rsidR="00885E2C" w:rsidRPr="0049424C">
        <w:rPr>
          <w:rFonts w:cs="Calibri"/>
          <w:lang w:eastAsia="zh-CN"/>
        </w:rPr>
        <w:t>views of Associates, Academia</w:t>
      </w:r>
      <w:r w:rsidR="000166A2">
        <w:rPr>
          <w:rFonts w:cs="Calibri"/>
          <w:lang w:eastAsia="zh-CN"/>
        </w:rPr>
        <w:t>,</w:t>
      </w:r>
      <w:r w:rsidR="00885E2C" w:rsidRPr="0049424C">
        <w:rPr>
          <w:rFonts w:cs="Calibri"/>
          <w:lang w:eastAsia="zh-CN"/>
        </w:rPr>
        <w:t xml:space="preserve"> and stakeholder</w:t>
      </w:r>
      <w:r w:rsidR="000166A2">
        <w:rPr>
          <w:rFonts w:cs="Calibri"/>
          <w:lang w:eastAsia="zh-CN"/>
        </w:rPr>
        <w:t>s</w:t>
      </w:r>
      <w:r w:rsidR="0049424C" w:rsidRPr="0049424C">
        <w:rPr>
          <w:rFonts w:cs="Calibri"/>
          <w:lang w:eastAsia="zh-CN"/>
        </w:rPr>
        <w:t>.</w:t>
      </w:r>
      <w:r w:rsidR="00885E2C" w:rsidRPr="00F07C9D">
        <w:rPr>
          <w:rFonts w:cs="Calibri"/>
          <w:lang w:eastAsia="zh-CN"/>
        </w:rPr>
        <w:t xml:space="preserve"> </w:t>
      </w:r>
    </w:p>
    <w:p w:rsidR="00127B16" w:rsidRPr="00142438" w:rsidRDefault="00885E2C" w:rsidP="00860A1A">
      <w:pPr>
        <w:tabs>
          <w:tab w:val="clear" w:pos="567"/>
          <w:tab w:val="clear" w:pos="1134"/>
          <w:tab w:val="clear" w:pos="1701"/>
          <w:tab w:val="clear" w:pos="2268"/>
          <w:tab w:val="clear" w:pos="2835"/>
        </w:tabs>
        <w:snapToGrid w:val="0"/>
        <w:spacing w:after="120"/>
        <w:jc w:val="both"/>
      </w:pPr>
      <w:r w:rsidRPr="00142438">
        <w:t>5.</w:t>
      </w:r>
      <w:r w:rsidR="001E44D9" w:rsidRPr="00142438">
        <w:tab/>
      </w:r>
      <w:r w:rsidR="00127B16" w:rsidRPr="00142438">
        <w:t>WTPF shall not produce prescriptive regulatory outcomes; however, it shall prepare reports and adopt opinions by consensus for consideration by Member States, Sector Members</w:t>
      </w:r>
      <w:r w:rsidR="000166A2">
        <w:t>,</w:t>
      </w:r>
      <w:r w:rsidR="00127B16" w:rsidRPr="00142438">
        <w:t xml:space="preserve"> and relevant ITU meetings</w:t>
      </w:r>
      <w:r w:rsidR="0049424C" w:rsidRPr="00142438">
        <w:t>.</w:t>
      </w:r>
    </w:p>
    <w:p w:rsidR="00127B16" w:rsidRPr="00142438" w:rsidRDefault="00885E2C" w:rsidP="00860A1A">
      <w:pPr>
        <w:tabs>
          <w:tab w:val="clear" w:pos="567"/>
          <w:tab w:val="clear" w:pos="1134"/>
          <w:tab w:val="clear" w:pos="1701"/>
          <w:tab w:val="clear" w:pos="2268"/>
          <w:tab w:val="clear" w:pos="2835"/>
        </w:tabs>
        <w:snapToGrid w:val="0"/>
        <w:spacing w:after="120"/>
        <w:jc w:val="both"/>
      </w:pPr>
      <w:r w:rsidRPr="00142438">
        <w:t>6</w:t>
      </w:r>
      <w:r w:rsidR="00F07C9D" w:rsidRPr="00142438">
        <w:t>.</w:t>
      </w:r>
      <w:r w:rsidR="001E44D9" w:rsidRPr="00142438">
        <w:tab/>
      </w:r>
      <w:r w:rsidR="00127B16" w:rsidRPr="00142438">
        <w:t>WTPF shall be open to all Member States and Sector Members; however, if appropriate, by decision of a majority of the representatives of Member States, a special session may be held for Member States only</w:t>
      </w:r>
      <w:r w:rsidR="0049424C" w:rsidRPr="00142438">
        <w:t>.</w:t>
      </w:r>
      <w:r w:rsidR="00127B16" w:rsidRPr="00142438">
        <w:t xml:space="preserve"> </w:t>
      </w:r>
    </w:p>
    <w:p w:rsidR="0004566C" w:rsidRPr="00F07C9D" w:rsidRDefault="00885E2C" w:rsidP="00860A1A">
      <w:pPr>
        <w:tabs>
          <w:tab w:val="clear" w:pos="567"/>
          <w:tab w:val="clear" w:pos="1134"/>
          <w:tab w:val="clear" w:pos="1701"/>
          <w:tab w:val="clear" w:pos="2268"/>
          <w:tab w:val="clear" w:pos="2835"/>
        </w:tabs>
        <w:snapToGrid w:val="0"/>
        <w:spacing w:after="120"/>
        <w:jc w:val="both"/>
        <w:rPr>
          <w:rFonts w:cs="Calibri"/>
          <w:szCs w:val="24"/>
          <w:lang w:eastAsia="zh-CN"/>
        </w:rPr>
      </w:pPr>
      <w:r>
        <w:rPr>
          <w:rFonts w:cs="Calibri"/>
          <w:szCs w:val="24"/>
          <w:lang w:eastAsia="zh-CN"/>
        </w:rPr>
        <w:t>7</w:t>
      </w:r>
      <w:r w:rsidR="00F07C9D" w:rsidRPr="00F07C9D">
        <w:rPr>
          <w:rFonts w:cs="Calibri"/>
          <w:szCs w:val="24"/>
          <w:lang w:eastAsia="zh-CN"/>
        </w:rPr>
        <w:t>.</w:t>
      </w:r>
      <w:r w:rsidR="001E44D9">
        <w:rPr>
          <w:rFonts w:cs="Calibri"/>
          <w:szCs w:val="24"/>
          <w:lang w:eastAsia="zh-CN"/>
        </w:rPr>
        <w:tab/>
      </w:r>
      <w:r w:rsidR="00127B16" w:rsidRPr="00F07C9D">
        <w:rPr>
          <w:rFonts w:cs="Calibri"/>
          <w:szCs w:val="24"/>
          <w:lang w:eastAsia="zh-CN"/>
        </w:rPr>
        <w:t xml:space="preserve">Resolution 2 (Rev. Dubai, 2018) </w:t>
      </w:r>
      <w:r w:rsidR="0004566C" w:rsidRPr="00BD054C">
        <w:rPr>
          <w:rFonts w:cs="Calibri"/>
          <w:i/>
          <w:iCs/>
          <w:szCs w:val="24"/>
          <w:lang w:eastAsia="zh-CN"/>
        </w:rPr>
        <w:t>resolves</w:t>
      </w:r>
      <w:r w:rsidR="00127B16" w:rsidRPr="00BD054C">
        <w:rPr>
          <w:rFonts w:ascii="Calibri-Italic" w:hAnsi="Calibri-Italic" w:cs="Calibri-Italic"/>
          <w:i/>
          <w:iCs/>
          <w:szCs w:val="24"/>
          <w:lang w:eastAsia="zh-CN"/>
        </w:rPr>
        <w:t xml:space="preserve"> </w:t>
      </w:r>
      <w:r w:rsidR="0004566C" w:rsidRPr="00F07C9D">
        <w:rPr>
          <w:rFonts w:cs="Calibri"/>
          <w:szCs w:val="24"/>
          <w:lang w:eastAsia="zh-CN"/>
        </w:rPr>
        <w:t>to hold WTPF preferably back to back with the WSIS Forum 2021, taking</w:t>
      </w:r>
      <w:r w:rsidR="00127B16" w:rsidRPr="00F07C9D">
        <w:rPr>
          <w:rFonts w:cs="Calibri"/>
          <w:szCs w:val="24"/>
          <w:lang w:eastAsia="zh-CN"/>
        </w:rPr>
        <w:t xml:space="preserve"> </w:t>
      </w:r>
      <w:r w:rsidR="0004566C" w:rsidRPr="00F07C9D">
        <w:rPr>
          <w:rFonts w:cs="Calibri"/>
          <w:szCs w:val="24"/>
          <w:lang w:eastAsia="zh-CN"/>
        </w:rPr>
        <w:t>account of the need to ensure adequa</w:t>
      </w:r>
      <w:r w:rsidR="001E44D9">
        <w:rPr>
          <w:rFonts w:cs="Calibri"/>
          <w:szCs w:val="24"/>
          <w:lang w:eastAsia="zh-CN"/>
        </w:rPr>
        <w:t>te preparation by Member States.</w:t>
      </w:r>
    </w:p>
    <w:p w:rsidR="00885E2C" w:rsidRPr="00142438" w:rsidRDefault="00F07C9D" w:rsidP="00860A1A">
      <w:pPr>
        <w:tabs>
          <w:tab w:val="clear" w:pos="567"/>
          <w:tab w:val="clear" w:pos="1134"/>
          <w:tab w:val="clear" w:pos="1701"/>
          <w:tab w:val="clear" w:pos="2268"/>
          <w:tab w:val="clear" w:pos="2835"/>
        </w:tabs>
        <w:snapToGrid w:val="0"/>
        <w:spacing w:after="120"/>
        <w:jc w:val="both"/>
      </w:pPr>
      <w:r w:rsidRPr="00142438">
        <w:t>8</w:t>
      </w:r>
      <w:r w:rsidR="0049424C" w:rsidRPr="00142438">
        <w:t>.</w:t>
      </w:r>
      <w:r w:rsidR="001E44D9" w:rsidRPr="00142438">
        <w:tab/>
      </w:r>
      <w:r w:rsidR="00127B16" w:rsidRPr="00142438">
        <w:t>Resolution 2 (</w:t>
      </w:r>
      <w:r w:rsidR="0080405A">
        <w:t xml:space="preserve">Rev. </w:t>
      </w:r>
      <w:r w:rsidR="00127B16" w:rsidRPr="00142438">
        <w:t xml:space="preserve">Dubai, 2018) </w:t>
      </w:r>
      <w:r w:rsidR="00885E2C" w:rsidRPr="00142438">
        <w:t>instructs the ITU Council</w:t>
      </w:r>
    </w:p>
    <w:p w:rsidR="00885E2C" w:rsidRPr="00885E2C" w:rsidRDefault="00885E2C" w:rsidP="000166A2">
      <w:pPr>
        <w:pStyle w:val="ListParagraph"/>
        <w:numPr>
          <w:ilvl w:val="0"/>
          <w:numId w:val="5"/>
        </w:numPr>
        <w:tabs>
          <w:tab w:val="clear" w:pos="567"/>
          <w:tab w:val="clear" w:pos="1134"/>
          <w:tab w:val="clear" w:pos="1701"/>
          <w:tab w:val="clear" w:pos="2268"/>
          <w:tab w:val="clear" w:pos="2835"/>
        </w:tabs>
        <w:overflowPunct/>
        <w:ind w:left="714" w:hanging="357"/>
        <w:contextualSpacing w:val="0"/>
        <w:jc w:val="both"/>
        <w:textAlignment w:val="auto"/>
        <w:rPr>
          <w:rFonts w:cs="Calibri"/>
          <w:szCs w:val="24"/>
          <w:lang w:eastAsia="zh-CN"/>
        </w:rPr>
      </w:pPr>
      <w:r w:rsidRPr="00885E2C">
        <w:rPr>
          <w:rFonts w:cs="Calibri"/>
          <w:szCs w:val="24"/>
          <w:lang w:eastAsia="zh-CN"/>
        </w:rPr>
        <w:t>to continue to decide on the duration, date, venue, agenda and themes of any future WTPF</w:t>
      </w:r>
      <w:r w:rsidR="001E44D9">
        <w:rPr>
          <w:rFonts w:cs="Calibri"/>
          <w:szCs w:val="24"/>
          <w:lang w:eastAsia="zh-CN"/>
        </w:rPr>
        <w:t>;</w:t>
      </w:r>
    </w:p>
    <w:p w:rsidR="00885E2C" w:rsidRDefault="00885E2C" w:rsidP="000166A2">
      <w:pPr>
        <w:pStyle w:val="ListParagraph"/>
        <w:numPr>
          <w:ilvl w:val="0"/>
          <w:numId w:val="5"/>
        </w:numPr>
        <w:tabs>
          <w:tab w:val="clear" w:pos="567"/>
          <w:tab w:val="clear" w:pos="1134"/>
          <w:tab w:val="clear" w:pos="1701"/>
          <w:tab w:val="clear" w:pos="2268"/>
          <w:tab w:val="clear" w:pos="2835"/>
        </w:tabs>
        <w:overflowPunct/>
        <w:spacing w:before="0"/>
        <w:jc w:val="both"/>
        <w:textAlignment w:val="auto"/>
        <w:rPr>
          <w:rFonts w:cs="Calibri"/>
          <w:szCs w:val="24"/>
          <w:lang w:eastAsia="zh-CN"/>
        </w:rPr>
      </w:pPr>
      <w:r w:rsidRPr="00885E2C">
        <w:rPr>
          <w:rFonts w:cs="Calibri"/>
          <w:szCs w:val="24"/>
          <w:lang w:eastAsia="zh-CN"/>
        </w:rPr>
        <w:t>to adopt a procedure for preparation of the report by the Secretary-General</w:t>
      </w:r>
      <w:r w:rsidR="001E44D9">
        <w:rPr>
          <w:rFonts w:cs="Calibri"/>
          <w:szCs w:val="24"/>
          <w:lang w:eastAsia="zh-CN"/>
        </w:rPr>
        <w:t>;</w:t>
      </w:r>
    </w:p>
    <w:p w:rsidR="00290277" w:rsidRDefault="00885E2C" w:rsidP="00860A1A">
      <w:pPr>
        <w:pStyle w:val="ListParagraph"/>
        <w:numPr>
          <w:ilvl w:val="0"/>
          <w:numId w:val="5"/>
        </w:numPr>
        <w:tabs>
          <w:tab w:val="clear" w:pos="567"/>
          <w:tab w:val="clear" w:pos="1134"/>
          <w:tab w:val="clear" w:pos="1701"/>
          <w:tab w:val="clear" w:pos="2268"/>
          <w:tab w:val="clear" w:pos="2835"/>
        </w:tabs>
        <w:overflowPunct/>
        <w:spacing w:before="0"/>
        <w:ind w:left="714" w:hanging="357"/>
        <w:jc w:val="both"/>
        <w:textAlignment w:val="auto"/>
        <w:rPr>
          <w:rFonts w:cs="Calibri"/>
          <w:szCs w:val="24"/>
          <w:lang w:eastAsia="zh-CN"/>
        </w:rPr>
      </w:pPr>
      <w:r w:rsidRPr="00885E2C">
        <w:rPr>
          <w:rFonts w:cs="Calibri"/>
          <w:szCs w:val="24"/>
          <w:lang w:eastAsia="zh-CN"/>
        </w:rPr>
        <w:t xml:space="preserve">that the procedure referred to in </w:t>
      </w:r>
      <w:r w:rsidRPr="00BD054C">
        <w:rPr>
          <w:rFonts w:cs="Calibri"/>
          <w:i/>
          <w:iCs/>
          <w:szCs w:val="24"/>
          <w:lang w:eastAsia="zh-CN"/>
        </w:rPr>
        <w:t>instructs the ITU Council 2</w:t>
      </w:r>
      <w:r w:rsidRPr="00885E2C">
        <w:rPr>
          <w:rFonts w:cs="Calibri"/>
          <w:szCs w:val="24"/>
          <w:lang w:eastAsia="zh-CN"/>
        </w:rPr>
        <w:t xml:space="preserve"> should include, as appropriate, participation open to all Member States and Sector Members, and online public consultations open to all interested stakeholders, taking into account the past practices followed and experience acquired by ITU, including in respect of the preparatory process, in the holding of previous WTPFs</w:t>
      </w:r>
      <w:r w:rsidR="008B17D3">
        <w:rPr>
          <w:rFonts w:cs="Calibri"/>
          <w:szCs w:val="24"/>
          <w:lang w:eastAsia="zh-CN"/>
        </w:rPr>
        <w:t>.</w:t>
      </w:r>
    </w:p>
    <w:p w:rsidR="00290277" w:rsidRPr="00142438" w:rsidRDefault="00290277" w:rsidP="00860A1A">
      <w:pPr>
        <w:tabs>
          <w:tab w:val="clear" w:pos="567"/>
          <w:tab w:val="clear" w:pos="1134"/>
          <w:tab w:val="clear" w:pos="1701"/>
          <w:tab w:val="clear" w:pos="2268"/>
          <w:tab w:val="clear" w:pos="2835"/>
        </w:tabs>
        <w:snapToGrid w:val="0"/>
        <w:spacing w:after="120"/>
        <w:jc w:val="both"/>
      </w:pPr>
      <w:r w:rsidRPr="00142438">
        <w:t>9.</w:t>
      </w:r>
      <w:r w:rsidR="00142438" w:rsidRPr="00142438">
        <w:tab/>
      </w:r>
      <w:r w:rsidRPr="00142438">
        <w:t xml:space="preserve">The proposed timeline for the preparation for WTPF-2021 is as follows: </w:t>
      </w:r>
    </w:p>
    <w:p w:rsidR="00A05B99" w:rsidRDefault="00A05B99" w:rsidP="0073368D">
      <w:pPr>
        <w:tabs>
          <w:tab w:val="clear" w:pos="567"/>
          <w:tab w:val="clear" w:pos="1134"/>
          <w:tab w:val="clear" w:pos="1701"/>
          <w:tab w:val="clear" w:pos="2268"/>
          <w:tab w:val="clear" w:pos="2835"/>
        </w:tabs>
        <w:overflowPunct/>
        <w:spacing w:before="0"/>
        <w:textAlignment w:val="auto"/>
        <w:rPr>
          <w:rFonts w:cs="Calibri"/>
          <w:szCs w:val="24"/>
          <w:lang w:eastAsia="zh-CN"/>
        </w:rPr>
      </w:pPr>
    </w:p>
    <w:tbl>
      <w:tblPr>
        <w:tblW w:w="9202" w:type="dxa"/>
        <w:jc w:val="center"/>
        <w:tblCellMar>
          <w:left w:w="0" w:type="dxa"/>
          <w:right w:w="0" w:type="dxa"/>
        </w:tblCellMar>
        <w:tblLook w:val="04A0" w:firstRow="1" w:lastRow="0" w:firstColumn="1" w:lastColumn="0" w:noHBand="0" w:noVBand="1"/>
      </w:tblPr>
      <w:tblGrid>
        <w:gridCol w:w="3342"/>
        <w:gridCol w:w="5860"/>
      </w:tblGrid>
      <w:tr w:rsidR="00A05B99" w:rsidRPr="00A05B99" w:rsidTr="00142438">
        <w:trPr>
          <w:jc w:val="center"/>
        </w:trPr>
        <w:tc>
          <w:tcPr>
            <w:tcW w:w="3342"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A05B99" w:rsidRPr="00A05B99" w:rsidRDefault="00A05B99" w:rsidP="001E44D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Theme="minorEastAsia" w:hAnsiTheme="minorHAnsi" w:cstheme="minorHAnsi"/>
                <w:b/>
                <w:bCs/>
                <w:szCs w:val="24"/>
                <w:lang w:val="en-US" w:eastAsia="zh-CN"/>
              </w:rPr>
            </w:pPr>
            <w:r w:rsidRPr="00A05B99">
              <w:rPr>
                <w:rFonts w:asciiTheme="minorHAnsi" w:eastAsiaTheme="minorEastAsia" w:hAnsiTheme="minorHAnsi" w:cstheme="minorHAnsi"/>
                <w:b/>
                <w:bCs/>
                <w:szCs w:val="24"/>
                <w:lang w:val="en-US" w:eastAsia="zh-CN"/>
              </w:rPr>
              <w:t>Timeline</w:t>
            </w:r>
          </w:p>
        </w:tc>
        <w:tc>
          <w:tcPr>
            <w:tcW w:w="586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A05B99" w:rsidRPr="00A05B99" w:rsidRDefault="00A05B99" w:rsidP="001E44D9">
            <w:pPr>
              <w:tabs>
                <w:tab w:val="clear" w:pos="567"/>
                <w:tab w:val="clear" w:pos="1134"/>
                <w:tab w:val="clear" w:pos="1701"/>
                <w:tab w:val="clear" w:pos="2268"/>
                <w:tab w:val="clear" w:pos="2835"/>
              </w:tabs>
              <w:overflowPunct/>
              <w:adjustRightInd/>
              <w:spacing w:before="0"/>
              <w:jc w:val="center"/>
              <w:textAlignment w:val="auto"/>
              <w:rPr>
                <w:rFonts w:asciiTheme="minorHAnsi" w:eastAsiaTheme="minorEastAsia" w:hAnsiTheme="minorHAnsi" w:cstheme="minorHAnsi"/>
                <w:b/>
                <w:bCs/>
                <w:szCs w:val="24"/>
                <w:lang w:val="en-US" w:eastAsia="zh-CN"/>
              </w:rPr>
            </w:pPr>
          </w:p>
        </w:tc>
      </w:tr>
      <w:tr w:rsidR="00A05B99" w:rsidRPr="00A05B99" w:rsidTr="00142438">
        <w:trPr>
          <w:trHeight w:val="710"/>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5B99" w:rsidRPr="00A05B99" w:rsidRDefault="00A05B99" w:rsidP="00142438">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Theme="minorEastAsia" w:hAnsiTheme="minorHAnsi" w:cstheme="minorHAnsi"/>
                <w:b/>
                <w:bCs/>
                <w:szCs w:val="24"/>
                <w:lang w:val="en-US" w:eastAsia="zh-CN"/>
              </w:rPr>
            </w:pPr>
            <w:r>
              <w:rPr>
                <w:rFonts w:asciiTheme="minorHAnsi" w:eastAsiaTheme="minorEastAsia" w:hAnsiTheme="minorHAnsi" w:cstheme="minorHAnsi"/>
                <w:b/>
                <w:bCs/>
                <w:szCs w:val="24"/>
                <w:lang w:val="en-US" w:eastAsia="zh-CN"/>
              </w:rPr>
              <w:t xml:space="preserve">September </w:t>
            </w:r>
            <w:r w:rsidRPr="00A05B99">
              <w:rPr>
                <w:rFonts w:asciiTheme="minorHAnsi" w:eastAsiaTheme="minorEastAsia" w:hAnsiTheme="minorHAnsi" w:cstheme="minorHAnsi"/>
                <w:b/>
                <w:bCs/>
                <w:szCs w:val="24"/>
                <w:lang w:val="en-US" w:eastAsia="zh-CN"/>
              </w:rPr>
              <w:t>201</w:t>
            </w:r>
            <w:r>
              <w:rPr>
                <w:rFonts w:asciiTheme="minorHAnsi" w:eastAsiaTheme="minorEastAsia" w:hAnsiTheme="minorHAnsi" w:cstheme="minorHAnsi"/>
                <w:b/>
                <w:bCs/>
                <w:szCs w:val="24"/>
                <w:lang w:val="en-US" w:eastAsia="zh-CN"/>
              </w:rPr>
              <w:t>9</w:t>
            </w:r>
            <w:r w:rsidR="00142438">
              <w:rPr>
                <w:rFonts w:asciiTheme="minorHAnsi" w:eastAsiaTheme="minorEastAsia" w:hAnsiTheme="minorHAnsi" w:cstheme="minorHAnsi"/>
                <w:b/>
                <w:bCs/>
                <w:szCs w:val="24"/>
                <w:lang w:val="en-US" w:eastAsia="zh-CN"/>
              </w:rPr>
              <w:br/>
            </w:r>
            <w:r w:rsidRPr="00A05B99">
              <w:rPr>
                <w:rFonts w:asciiTheme="minorHAnsi" w:eastAsiaTheme="minorEastAsia" w:hAnsiTheme="minorHAnsi" w:cstheme="minorHAnsi"/>
                <w:b/>
                <w:bCs/>
                <w:szCs w:val="24"/>
                <w:lang w:val="en-US" w:eastAsia="zh-CN"/>
              </w:rPr>
              <w:t>(</w:t>
            </w:r>
            <w:r>
              <w:rPr>
                <w:rFonts w:asciiTheme="minorHAnsi" w:eastAsiaTheme="minorEastAsia" w:hAnsiTheme="minorHAnsi" w:cstheme="minorHAnsi"/>
                <w:b/>
                <w:bCs/>
                <w:szCs w:val="24"/>
                <w:lang w:val="en-US" w:eastAsia="zh-CN"/>
              </w:rPr>
              <w:t xml:space="preserve">as part of </w:t>
            </w:r>
            <w:r w:rsidRPr="00A05B99">
              <w:rPr>
                <w:rFonts w:asciiTheme="minorHAnsi" w:eastAsiaTheme="minorEastAsia" w:hAnsiTheme="minorHAnsi" w:cstheme="minorHAnsi"/>
                <w:b/>
                <w:bCs/>
                <w:szCs w:val="24"/>
                <w:lang w:val="en-US" w:eastAsia="zh-CN"/>
              </w:rPr>
              <w:t>CWG-Cluster)</w:t>
            </w:r>
          </w:p>
        </w:tc>
        <w:tc>
          <w:tcPr>
            <w:tcW w:w="5860" w:type="dxa"/>
            <w:tcBorders>
              <w:top w:val="nil"/>
              <w:left w:val="nil"/>
              <w:bottom w:val="single" w:sz="8" w:space="0" w:color="auto"/>
              <w:right w:val="single" w:sz="8" w:space="0" w:color="auto"/>
            </w:tcBorders>
            <w:tcMar>
              <w:top w:w="0" w:type="dxa"/>
              <w:left w:w="108" w:type="dxa"/>
              <w:bottom w:w="0" w:type="dxa"/>
              <w:right w:w="108" w:type="dxa"/>
            </w:tcMar>
          </w:tcPr>
          <w:p w:rsidR="00A05B99" w:rsidRPr="00A05B99" w:rsidRDefault="00A05B99"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sidRPr="00A05B99">
              <w:rPr>
                <w:rFonts w:asciiTheme="minorHAnsi" w:eastAsiaTheme="minorEastAsia" w:hAnsiTheme="minorHAnsi" w:cstheme="minorHAnsi"/>
                <w:szCs w:val="24"/>
                <w:lang w:val="en-US" w:eastAsia="zh-CN"/>
              </w:rPr>
              <w:t xml:space="preserve">First meeting of the </w:t>
            </w:r>
            <w:r>
              <w:rPr>
                <w:rFonts w:asciiTheme="minorHAnsi" w:eastAsiaTheme="minorEastAsia" w:hAnsiTheme="minorHAnsi" w:cstheme="minorHAnsi"/>
                <w:szCs w:val="24"/>
                <w:lang w:val="en-US" w:eastAsia="zh-CN"/>
              </w:rPr>
              <w:t xml:space="preserve">informal </w:t>
            </w:r>
            <w:r w:rsidRPr="00A05B99">
              <w:rPr>
                <w:rFonts w:asciiTheme="minorHAnsi" w:eastAsiaTheme="minorEastAsia" w:hAnsiTheme="minorHAnsi" w:cstheme="minorHAnsi"/>
                <w:szCs w:val="24"/>
                <w:lang w:val="en-US" w:eastAsia="zh-CN"/>
              </w:rPr>
              <w:t>group of experts</w:t>
            </w:r>
            <w:r>
              <w:rPr>
                <w:rFonts w:asciiTheme="minorHAnsi" w:eastAsiaTheme="minorEastAsia" w:hAnsiTheme="minorHAnsi" w:cstheme="minorHAnsi"/>
                <w:szCs w:val="24"/>
                <w:lang w:val="en-US" w:eastAsia="zh-CN"/>
              </w:rPr>
              <w:t xml:space="preserve"> (IEG)</w:t>
            </w:r>
          </w:p>
          <w:p w:rsidR="00A05B99" w:rsidRPr="00A05B99" w:rsidRDefault="00A05B99" w:rsidP="00142438">
            <w:pPr>
              <w:tabs>
                <w:tab w:val="clear" w:pos="567"/>
                <w:tab w:val="clear" w:pos="1134"/>
                <w:tab w:val="clear" w:pos="1701"/>
                <w:tab w:val="clear" w:pos="2268"/>
                <w:tab w:val="clear" w:pos="2835"/>
              </w:tabs>
              <w:overflowPunct/>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(2 days)</w:t>
            </w:r>
          </w:p>
        </w:tc>
      </w:tr>
      <w:tr w:rsidR="0049424C" w:rsidRPr="00A05B99" w:rsidTr="00142438">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b/>
                <w:bCs/>
                <w:szCs w:val="24"/>
                <w:lang w:val="en-US" w:eastAsia="zh-CN"/>
              </w:rPr>
              <w:t xml:space="preserve">February </w:t>
            </w:r>
            <w:r w:rsidRPr="00A05B99">
              <w:rPr>
                <w:rFonts w:asciiTheme="minorHAnsi" w:eastAsiaTheme="minorEastAsia" w:hAnsiTheme="minorHAnsi" w:cstheme="minorHAnsi"/>
                <w:b/>
                <w:bCs/>
                <w:szCs w:val="24"/>
                <w:lang w:val="en-US" w:eastAsia="zh-CN"/>
              </w:rPr>
              <w:t>20</w:t>
            </w:r>
            <w:r>
              <w:rPr>
                <w:rFonts w:asciiTheme="minorHAnsi" w:eastAsiaTheme="minorEastAsia" w:hAnsiTheme="minorHAnsi" w:cstheme="minorHAnsi"/>
                <w:b/>
                <w:bCs/>
                <w:szCs w:val="24"/>
                <w:lang w:val="en-US" w:eastAsia="zh-CN"/>
              </w:rPr>
              <w:t>20</w:t>
            </w:r>
            <w:r w:rsidRPr="00A05B99">
              <w:rPr>
                <w:rFonts w:asciiTheme="minorHAnsi" w:eastAsiaTheme="minorEastAsia" w:hAnsiTheme="minorHAnsi" w:cstheme="minorHAnsi"/>
                <w:b/>
                <w:bCs/>
                <w:szCs w:val="24"/>
                <w:lang w:val="en-US" w:eastAsia="zh-CN"/>
              </w:rPr>
              <w:t xml:space="preserve"> </w:t>
            </w:r>
          </w:p>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Theme="minorEastAsia" w:hAnsiTheme="minorHAnsi" w:cstheme="minorHAnsi"/>
                <w:szCs w:val="24"/>
                <w:lang w:val="en-US" w:eastAsia="zh-CN"/>
              </w:rPr>
            </w:pPr>
            <w:r w:rsidRPr="00A05B99">
              <w:rPr>
                <w:rFonts w:asciiTheme="minorHAnsi" w:eastAsiaTheme="minorEastAsia" w:hAnsiTheme="minorHAnsi" w:cstheme="minorHAnsi"/>
                <w:b/>
                <w:bCs/>
                <w:szCs w:val="24"/>
                <w:lang w:val="en-US" w:eastAsia="zh-CN"/>
              </w:rPr>
              <w:t>(</w:t>
            </w:r>
            <w:r>
              <w:rPr>
                <w:rFonts w:asciiTheme="minorHAnsi" w:eastAsiaTheme="minorEastAsia" w:hAnsiTheme="minorHAnsi" w:cstheme="minorHAnsi"/>
                <w:b/>
                <w:bCs/>
                <w:szCs w:val="24"/>
                <w:lang w:val="en-US" w:eastAsia="zh-CN"/>
              </w:rPr>
              <w:t xml:space="preserve">as part of </w:t>
            </w:r>
            <w:r w:rsidRPr="00A05B99">
              <w:rPr>
                <w:rFonts w:asciiTheme="minorHAnsi" w:eastAsiaTheme="minorEastAsia" w:hAnsiTheme="minorHAnsi" w:cstheme="minorHAnsi"/>
                <w:b/>
                <w:bCs/>
                <w:szCs w:val="24"/>
                <w:lang w:val="en-US" w:eastAsia="zh-CN"/>
              </w:rPr>
              <w:t>CWG-Cluster)</w:t>
            </w:r>
          </w:p>
        </w:tc>
        <w:tc>
          <w:tcPr>
            <w:tcW w:w="5860" w:type="dxa"/>
            <w:tcBorders>
              <w:top w:val="nil"/>
              <w:left w:val="nil"/>
              <w:bottom w:val="single" w:sz="8" w:space="0" w:color="auto"/>
              <w:right w:val="single" w:sz="8" w:space="0" w:color="auto"/>
            </w:tcBorders>
            <w:tcMar>
              <w:top w:w="0" w:type="dxa"/>
              <w:left w:w="108" w:type="dxa"/>
              <w:bottom w:w="0" w:type="dxa"/>
              <w:right w:w="108" w:type="dxa"/>
            </w:tcMar>
            <w:hideMark/>
          </w:tcPr>
          <w:p w:rsidR="0049424C" w:rsidRPr="0049424C" w:rsidRDefault="0049424C"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Second</w:t>
            </w:r>
            <w:r w:rsidRPr="0049424C">
              <w:rPr>
                <w:rFonts w:asciiTheme="minorHAnsi" w:eastAsiaTheme="minorEastAsia" w:hAnsiTheme="minorHAnsi" w:cstheme="minorHAnsi"/>
                <w:szCs w:val="24"/>
                <w:lang w:val="en-US" w:eastAsia="zh-CN"/>
              </w:rPr>
              <w:t xml:space="preserve"> meeting of the informal group of experts (IEG)</w:t>
            </w:r>
          </w:p>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sidRPr="0049424C">
              <w:rPr>
                <w:rFonts w:asciiTheme="minorHAnsi" w:eastAsiaTheme="minorEastAsia" w:hAnsiTheme="minorHAnsi" w:cstheme="minorHAnsi"/>
                <w:szCs w:val="24"/>
                <w:lang w:val="en-US" w:eastAsia="zh-CN"/>
              </w:rPr>
              <w:t>(2 days)</w:t>
            </w:r>
          </w:p>
        </w:tc>
      </w:tr>
      <w:tr w:rsidR="0049424C" w:rsidRPr="00A05B99" w:rsidTr="00142438">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b/>
                <w:bCs/>
                <w:szCs w:val="24"/>
                <w:lang w:val="en-US" w:eastAsia="zh-CN"/>
              </w:rPr>
              <w:t xml:space="preserve">September </w:t>
            </w:r>
            <w:r w:rsidRPr="00A05B99">
              <w:rPr>
                <w:rFonts w:asciiTheme="minorHAnsi" w:eastAsiaTheme="minorEastAsia" w:hAnsiTheme="minorHAnsi" w:cstheme="minorHAnsi"/>
                <w:b/>
                <w:bCs/>
                <w:szCs w:val="24"/>
                <w:lang w:val="en-US" w:eastAsia="zh-CN"/>
              </w:rPr>
              <w:t>20</w:t>
            </w:r>
            <w:r>
              <w:rPr>
                <w:rFonts w:asciiTheme="minorHAnsi" w:eastAsiaTheme="minorEastAsia" w:hAnsiTheme="minorHAnsi" w:cstheme="minorHAnsi"/>
                <w:b/>
                <w:bCs/>
                <w:szCs w:val="24"/>
                <w:lang w:val="en-US" w:eastAsia="zh-CN"/>
              </w:rPr>
              <w:t>20</w:t>
            </w:r>
            <w:r w:rsidRPr="00A05B99">
              <w:rPr>
                <w:rFonts w:asciiTheme="minorHAnsi" w:eastAsiaTheme="minorEastAsia" w:hAnsiTheme="minorHAnsi" w:cstheme="minorHAnsi"/>
                <w:b/>
                <w:bCs/>
                <w:szCs w:val="24"/>
                <w:lang w:val="en-US" w:eastAsia="zh-CN"/>
              </w:rPr>
              <w:t xml:space="preserve"> </w:t>
            </w:r>
            <w:r w:rsidR="00142438">
              <w:rPr>
                <w:rFonts w:asciiTheme="minorHAnsi" w:eastAsiaTheme="minorEastAsia" w:hAnsiTheme="minorHAnsi" w:cstheme="minorHAnsi"/>
                <w:b/>
                <w:bCs/>
                <w:szCs w:val="24"/>
                <w:lang w:val="en-US" w:eastAsia="zh-CN"/>
              </w:rPr>
              <w:br/>
            </w:r>
            <w:r w:rsidRPr="00A05B99">
              <w:rPr>
                <w:rFonts w:asciiTheme="minorHAnsi" w:eastAsiaTheme="minorEastAsia" w:hAnsiTheme="minorHAnsi" w:cstheme="minorHAnsi"/>
                <w:b/>
                <w:bCs/>
                <w:szCs w:val="24"/>
                <w:lang w:val="en-US" w:eastAsia="zh-CN"/>
              </w:rPr>
              <w:t>(</w:t>
            </w:r>
            <w:r>
              <w:rPr>
                <w:rFonts w:asciiTheme="minorHAnsi" w:eastAsiaTheme="minorEastAsia" w:hAnsiTheme="minorHAnsi" w:cstheme="minorHAnsi"/>
                <w:b/>
                <w:bCs/>
                <w:szCs w:val="24"/>
                <w:lang w:val="en-US" w:eastAsia="zh-CN"/>
              </w:rPr>
              <w:t xml:space="preserve">as part of </w:t>
            </w:r>
            <w:r w:rsidRPr="00A05B99">
              <w:rPr>
                <w:rFonts w:asciiTheme="minorHAnsi" w:eastAsiaTheme="minorEastAsia" w:hAnsiTheme="minorHAnsi" w:cstheme="minorHAnsi"/>
                <w:b/>
                <w:bCs/>
                <w:szCs w:val="24"/>
                <w:lang w:val="en-US" w:eastAsia="zh-CN"/>
              </w:rPr>
              <w:t>CWG-Cluster)</w:t>
            </w:r>
          </w:p>
        </w:tc>
        <w:tc>
          <w:tcPr>
            <w:tcW w:w="5860" w:type="dxa"/>
            <w:tcBorders>
              <w:top w:val="nil"/>
              <w:left w:val="nil"/>
              <w:bottom w:val="single" w:sz="8" w:space="0" w:color="auto"/>
              <w:right w:val="single" w:sz="8" w:space="0" w:color="auto"/>
            </w:tcBorders>
            <w:tcMar>
              <w:top w:w="0" w:type="dxa"/>
              <w:left w:w="108" w:type="dxa"/>
              <w:bottom w:w="0" w:type="dxa"/>
              <w:right w:w="108" w:type="dxa"/>
            </w:tcMar>
          </w:tcPr>
          <w:p w:rsidR="0049424C" w:rsidRPr="0049424C" w:rsidRDefault="0049424C" w:rsidP="001E44D9">
            <w:pPr>
              <w:tabs>
                <w:tab w:val="clear" w:pos="567"/>
                <w:tab w:val="clear" w:pos="1134"/>
                <w:tab w:val="clear" w:pos="1701"/>
                <w:tab w:val="clear" w:pos="2268"/>
                <w:tab w:val="clear" w:pos="2835"/>
              </w:tabs>
              <w:overflowPunct/>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Third</w:t>
            </w:r>
            <w:r w:rsidRPr="0049424C">
              <w:rPr>
                <w:rFonts w:asciiTheme="minorHAnsi" w:eastAsiaTheme="minorEastAsia" w:hAnsiTheme="minorHAnsi" w:cstheme="minorHAnsi"/>
                <w:szCs w:val="24"/>
                <w:lang w:val="en-US" w:eastAsia="zh-CN"/>
              </w:rPr>
              <w:t xml:space="preserve"> meeting of the informal group of experts (IEG)</w:t>
            </w:r>
          </w:p>
          <w:p w:rsidR="0049424C" w:rsidRPr="00A05B99" w:rsidRDefault="0049424C" w:rsidP="001E44D9">
            <w:pPr>
              <w:tabs>
                <w:tab w:val="clear" w:pos="567"/>
                <w:tab w:val="clear" w:pos="1134"/>
                <w:tab w:val="clear" w:pos="1701"/>
                <w:tab w:val="clear" w:pos="2268"/>
                <w:tab w:val="clear" w:pos="2835"/>
              </w:tabs>
              <w:overflowPunct/>
              <w:adjustRightInd/>
              <w:spacing w:before="0"/>
              <w:textAlignment w:val="auto"/>
              <w:rPr>
                <w:rFonts w:asciiTheme="minorHAnsi" w:eastAsiaTheme="minorEastAsia" w:hAnsiTheme="minorHAnsi" w:cstheme="minorHAnsi"/>
                <w:szCs w:val="24"/>
                <w:lang w:val="en-US" w:eastAsia="zh-CN"/>
              </w:rPr>
            </w:pPr>
            <w:r w:rsidRPr="0049424C">
              <w:rPr>
                <w:rFonts w:asciiTheme="minorHAnsi" w:eastAsiaTheme="minorEastAsia" w:hAnsiTheme="minorHAnsi" w:cstheme="minorHAnsi"/>
                <w:szCs w:val="24"/>
                <w:lang w:val="en-US" w:eastAsia="zh-CN"/>
              </w:rPr>
              <w:t>(</w:t>
            </w:r>
            <w:r>
              <w:rPr>
                <w:rFonts w:asciiTheme="minorHAnsi" w:eastAsiaTheme="minorEastAsia" w:hAnsiTheme="minorHAnsi" w:cstheme="minorHAnsi"/>
                <w:szCs w:val="24"/>
                <w:lang w:val="en-US" w:eastAsia="zh-CN"/>
              </w:rPr>
              <w:t>3</w:t>
            </w:r>
            <w:r w:rsidRPr="0049424C">
              <w:rPr>
                <w:rFonts w:asciiTheme="minorHAnsi" w:eastAsiaTheme="minorEastAsia" w:hAnsiTheme="minorHAnsi" w:cstheme="minorHAnsi"/>
                <w:szCs w:val="24"/>
                <w:lang w:val="en-US" w:eastAsia="zh-CN"/>
              </w:rPr>
              <w:t xml:space="preserve"> days)</w:t>
            </w:r>
          </w:p>
        </w:tc>
      </w:tr>
      <w:tr w:rsidR="0049424C" w:rsidRPr="00A05B99" w:rsidTr="00142438">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b/>
                <w:bCs/>
                <w:szCs w:val="24"/>
                <w:lang w:val="en-US" w:eastAsia="zh-CN"/>
              </w:rPr>
              <w:t xml:space="preserve">February </w:t>
            </w:r>
            <w:r w:rsidRPr="00A05B99">
              <w:rPr>
                <w:rFonts w:asciiTheme="minorHAnsi" w:eastAsiaTheme="minorEastAsia" w:hAnsiTheme="minorHAnsi" w:cstheme="minorHAnsi"/>
                <w:b/>
                <w:bCs/>
                <w:szCs w:val="24"/>
                <w:lang w:val="en-US" w:eastAsia="zh-CN"/>
              </w:rPr>
              <w:t>20</w:t>
            </w:r>
            <w:r>
              <w:rPr>
                <w:rFonts w:asciiTheme="minorHAnsi" w:eastAsiaTheme="minorEastAsia" w:hAnsiTheme="minorHAnsi" w:cstheme="minorHAnsi"/>
                <w:b/>
                <w:bCs/>
                <w:szCs w:val="24"/>
                <w:lang w:val="en-US" w:eastAsia="zh-CN"/>
              </w:rPr>
              <w:t>21</w:t>
            </w:r>
            <w:r w:rsidRPr="00A05B99">
              <w:rPr>
                <w:rFonts w:asciiTheme="minorHAnsi" w:eastAsiaTheme="minorEastAsia" w:hAnsiTheme="minorHAnsi" w:cstheme="minorHAnsi"/>
                <w:b/>
                <w:bCs/>
                <w:szCs w:val="24"/>
                <w:lang w:val="en-US" w:eastAsia="zh-CN"/>
              </w:rPr>
              <w:t xml:space="preserve"> </w:t>
            </w:r>
          </w:p>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sidRPr="00A05B99">
              <w:rPr>
                <w:rFonts w:asciiTheme="minorHAnsi" w:eastAsiaTheme="minorEastAsia" w:hAnsiTheme="minorHAnsi" w:cstheme="minorHAnsi"/>
                <w:b/>
                <w:bCs/>
                <w:szCs w:val="24"/>
                <w:lang w:val="en-US" w:eastAsia="zh-CN"/>
              </w:rPr>
              <w:t>(</w:t>
            </w:r>
            <w:r>
              <w:rPr>
                <w:rFonts w:asciiTheme="minorHAnsi" w:eastAsiaTheme="minorEastAsia" w:hAnsiTheme="minorHAnsi" w:cstheme="minorHAnsi"/>
                <w:b/>
                <w:bCs/>
                <w:szCs w:val="24"/>
                <w:lang w:val="en-US" w:eastAsia="zh-CN"/>
              </w:rPr>
              <w:t xml:space="preserve">as part of </w:t>
            </w:r>
            <w:r w:rsidRPr="00A05B99">
              <w:rPr>
                <w:rFonts w:asciiTheme="minorHAnsi" w:eastAsiaTheme="minorEastAsia" w:hAnsiTheme="minorHAnsi" w:cstheme="minorHAnsi"/>
                <w:b/>
                <w:bCs/>
                <w:szCs w:val="24"/>
                <w:lang w:val="en-US" w:eastAsia="zh-CN"/>
              </w:rPr>
              <w:t>CWG-Cluster)</w:t>
            </w:r>
          </w:p>
        </w:tc>
        <w:tc>
          <w:tcPr>
            <w:tcW w:w="5860" w:type="dxa"/>
            <w:tcBorders>
              <w:top w:val="nil"/>
              <w:left w:val="nil"/>
              <w:bottom w:val="single" w:sz="8" w:space="0" w:color="auto"/>
              <w:right w:val="single" w:sz="8" w:space="0" w:color="auto"/>
            </w:tcBorders>
            <w:tcMar>
              <w:top w:w="0" w:type="dxa"/>
              <w:left w:w="108" w:type="dxa"/>
              <w:bottom w:w="0" w:type="dxa"/>
              <w:right w:w="108" w:type="dxa"/>
            </w:tcMar>
          </w:tcPr>
          <w:p w:rsidR="0049424C" w:rsidRPr="0049424C" w:rsidRDefault="0049424C" w:rsidP="001E44D9">
            <w:pPr>
              <w:tabs>
                <w:tab w:val="clear" w:pos="567"/>
                <w:tab w:val="clear" w:pos="1134"/>
                <w:tab w:val="clear" w:pos="1701"/>
                <w:tab w:val="clear" w:pos="2268"/>
                <w:tab w:val="clear" w:pos="2835"/>
              </w:tabs>
              <w:overflowPunct/>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Fourth</w:t>
            </w:r>
            <w:r w:rsidRPr="0049424C">
              <w:rPr>
                <w:rFonts w:asciiTheme="minorHAnsi" w:eastAsiaTheme="minorEastAsia" w:hAnsiTheme="minorHAnsi" w:cstheme="minorHAnsi"/>
                <w:szCs w:val="24"/>
                <w:lang w:val="en-US" w:eastAsia="zh-CN"/>
              </w:rPr>
              <w:t xml:space="preserve"> meeting of the informal group of experts (IEG)</w:t>
            </w:r>
          </w:p>
          <w:p w:rsidR="0049424C" w:rsidRPr="00A05B99" w:rsidRDefault="0049424C" w:rsidP="001E44D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Cs w:val="24"/>
                <w:lang w:val="en-US" w:eastAsia="zh-CN"/>
              </w:rPr>
            </w:pPr>
            <w:r w:rsidRPr="0049424C">
              <w:rPr>
                <w:rFonts w:asciiTheme="minorHAnsi" w:eastAsiaTheme="minorEastAsia" w:hAnsiTheme="minorHAnsi" w:cstheme="minorHAnsi"/>
                <w:szCs w:val="24"/>
                <w:lang w:val="en-US" w:eastAsia="zh-CN"/>
              </w:rPr>
              <w:t>(</w:t>
            </w:r>
            <w:r>
              <w:rPr>
                <w:rFonts w:asciiTheme="minorHAnsi" w:eastAsiaTheme="minorEastAsia" w:hAnsiTheme="minorHAnsi" w:cstheme="minorHAnsi"/>
                <w:szCs w:val="24"/>
                <w:lang w:val="en-US" w:eastAsia="zh-CN"/>
              </w:rPr>
              <w:t>3</w:t>
            </w:r>
            <w:r w:rsidRPr="0049424C">
              <w:rPr>
                <w:rFonts w:asciiTheme="minorHAnsi" w:eastAsiaTheme="minorEastAsia" w:hAnsiTheme="minorHAnsi" w:cstheme="minorHAnsi"/>
                <w:szCs w:val="24"/>
                <w:lang w:val="en-US" w:eastAsia="zh-CN"/>
              </w:rPr>
              <w:t xml:space="preserve"> days)</w:t>
            </w:r>
          </w:p>
        </w:tc>
      </w:tr>
      <w:tr w:rsidR="0049424C" w:rsidRPr="00A05B99" w:rsidTr="00142438">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24C" w:rsidRPr="00A05B99" w:rsidRDefault="0049424C" w:rsidP="000166A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bCs/>
                <w:szCs w:val="24"/>
                <w:lang w:val="en-US" w:eastAsia="zh-CN"/>
              </w:rPr>
            </w:pPr>
            <w:r w:rsidRPr="00A05B99">
              <w:rPr>
                <w:rFonts w:asciiTheme="minorHAnsi" w:eastAsiaTheme="minorEastAsia" w:hAnsiTheme="minorHAnsi" w:cstheme="minorHAnsi"/>
                <w:b/>
                <w:bCs/>
                <w:szCs w:val="24"/>
                <w:lang w:val="en-US" w:eastAsia="zh-CN"/>
              </w:rPr>
              <w:t>WSIS Forum 20</w:t>
            </w:r>
            <w:r>
              <w:rPr>
                <w:rFonts w:asciiTheme="minorHAnsi" w:eastAsiaTheme="minorEastAsia" w:hAnsiTheme="minorHAnsi" w:cstheme="minorHAnsi"/>
                <w:b/>
                <w:bCs/>
                <w:szCs w:val="24"/>
                <w:lang w:val="en-US" w:eastAsia="zh-CN"/>
              </w:rPr>
              <w:t>21</w:t>
            </w:r>
            <w:r w:rsidRPr="00A05B99">
              <w:rPr>
                <w:rFonts w:asciiTheme="minorHAnsi" w:eastAsiaTheme="minorEastAsia" w:hAnsiTheme="minorHAnsi" w:cstheme="minorHAnsi"/>
                <w:b/>
                <w:bCs/>
                <w:szCs w:val="24"/>
                <w:lang w:val="en-US" w:eastAsia="zh-CN"/>
              </w:rPr>
              <w:t xml:space="preserve"> </w:t>
            </w:r>
            <w:r w:rsidR="00142438">
              <w:rPr>
                <w:rFonts w:asciiTheme="minorHAnsi" w:eastAsiaTheme="minorEastAsia" w:hAnsiTheme="minorHAnsi" w:cstheme="minorHAnsi"/>
                <w:b/>
                <w:bCs/>
                <w:szCs w:val="24"/>
                <w:lang w:val="en-US" w:eastAsia="zh-CN"/>
              </w:rPr>
              <w:br/>
            </w:r>
            <w:r w:rsidRPr="00A05B99">
              <w:rPr>
                <w:rFonts w:asciiTheme="minorHAnsi" w:eastAsiaTheme="minorEastAsia" w:hAnsiTheme="minorHAnsi" w:cstheme="minorHAnsi"/>
                <w:b/>
                <w:bCs/>
                <w:szCs w:val="24"/>
                <w:lang w:val="en-US" w:eastAsia="zh-CN"/>
              </w:rPr>
              <w:t>(</w:t>
            </w:r>
            <w:r w:rsidR="000166A2">
              <w:rPr>
                <w:rFonts w:asciiTheme="minorHAnsi" w:eastAsiaTheme="minorEastAsia" w:hAnsiTheme="minorHAnsi" w:cstheme="minorHAnsi"/>
                <w:b/>
                <w:bCs/>
                <w:szCs w:val="24"/>
                <w:lang w:val="en-US" w:eastAsia="zh-CN"/>
              </w:rPr>
              <w:t xml:space="preserve">17-21 </w:t>
            </w:r>
            <w:r w:rsidRPr="00A05B99">
              <w:rPr>
                <w:rFonts w:asciiTheme="minorHAnsi" w:eastAsiaTheme="minorEastAsia" w:hAnsiTheme="minorHAnsi" w:cstheme="minorHAnsi"/>
                <w:b/>
                <w:bCs/>
                <w:szCs w:val="24"/>
                <w:lang w:val="en-US" w:eastAsia="zh-CN"/>
              </w:rPr>
              <w:t>May 20</w:t>
            </w:r>
            <w:r w:rsidR="00142438">
              <w:rPr>
                <w:rFonts w:asciiTheme="minorHAnsi" w:eastAsiaTheme="minorEastAsia" w:hAnsiTheme="minorHAnsi" w:cstheme="minorHAnsi"/>
                <w:b/>
                <w:bCs/>
                <w:szCs w:val="24"/>
                <w:lang w:val="en-US" w:eastAsia="zh-CN"/>
              </w:rPr>
              <w:t>21</w:t>
            </w:r>
            <w:r w:rsidRPr="00A05B99">
              <w:rPr>
                <w:rFonts w:asciiTheme="minorHAnsi" w:eastAsiaTheme="minorEastAsia" w:hAnsiTheme="minorHAnsi" w:cstheme="minorHAnsi"/>
                <w:b/>
                <w:bCs/>
                <w:szCs w:val="24"/>
                <w:lang w:val="en-US" w:eastAsia="zh-CN"/>
              </w:rPr>
              <w:t>)</w:t>
            </w:r>
          </w:p>
        </w:tc>
        <w:tc>
          <w:tcPr>
            <w:tcW w:w="5860" w:type="dxa"/>
            <w:tcBorders>
              <w:top w:val="nil"/>
              <w:left w:val="nil"/>
              <w:bottom w:val="single" w:sz="8" w:space="0" w:color="auto"/>
              <w:right w:val="single" w:sz="8" w:space="0" w:color="auto"/>
            </w:tcBorders>
            <w:tcMar>
              <w:top w:w="0" w:type="dxa"/>
              <w:left w:w="108" w:type="dxa"/>
              <w:bottom w:w="0" w:type="dxa"/>
              <w:right w:w="108" w:type="dxa"/>
            </w:tcMar>
            <w:hideMark/>
          </w:tcPr>
          <w:p w:rsidR="0049424C" w:rsidRPr="00A05B99" w:rsidRDefault="0049424C" w:rsidP="001E44D9">
            <w:pPr>
              <w:tabs>
                <w:tab w:val="clear" w:pos="567"/>
                <w:tab w:val="clear" w:pos="1134"/>
                <w:tab w:val="clear" w:pos="1701"/>
                <w:tab w:val="clear" w:pos="2268"/>
                <w:tab w:val="clear" w:pos="2835"/>
              </w:tabs>
              <w:overflowPunct/>
              <w:adjustRightInd/>
              <w:spacing w:before="0"/>
              <w:textAlignment w:val="auto"/>
              <w:rPr>
                <w:rFonts w:asciiTheme="minorHAnsi" w:eastAsiaTheme="minorEastAsia" w:hAnsiTheme="minorHAnsi" w:cstheme="minorHAnsi"/>
                <w:szCs w:val="24"/>
                <w:lang w:val="en-US" w:eastAsia="zh-CN"/>
              </w:rPr>
            </w:pPr>
            <w:r w:rsidRPr="00A05B99">
              <w:rPr>
                <w:rFonts w:asciiTheme="minorHAnsi" w:eastAsiaTheme="minorEastAsia" w:hAnsiTheme="minorHAnsi" w:cstheme="minorHAnsi"/>
                <w:szCs w:val="24"/>
                <w:lang w:val="en-US" w:eastAsia="zh-CN"/>
              </w:rPr>
              <w:t>Proposed dates for WTPF</w:t>
            </w:r>
            <w:r>
              <w:rPr>
                <w:rFonts w:asciiTheme="minorHAnsi" w:eastAsiaTheme="minorEastAsia" w:hAnsiTheme="minorHAnsi" w:cstheme="minorHAnsi"/>
                <w:szCs w:val="24"/>
                <w:lang w:val="en-US" w:eastAsia="zh-CN"/>
              </w:rPr>
              <w:t>-21</w:t>
            </w:r>
          </w:p>
        </w:tc>
      </w:tr>
    </w:tbl>
    <w:p w:rsidR="00D44929" w:rsidRPr="00860A1A" w:rsidRDefault="00860A1A" w:rsidP="00860A1A">
      <w:pPr>
        <w:pStyle w:val="ListParagraph"/>
        <w:tabs>
          <w:tab w:val="clear" w:pos="567"/>
          <w:tab w:val="clear" w:pos="1134"/>
          <w:tab w:val="clear" w:pos="1701"/>
          <w:tab w:val="clear" w:pos="2268"/>
          <w:tab w:val="clear" w:pos="2835"/>
        </w:tabs>
        <w:snapToGrid w:val="0"/>
        <w:spacing w:before="480" w:after="120"/>
        <w:ind w:left="0"/>
        <w:contextualSpacing w:val="0"/>
        <w:jc w:val="both"/>
        <w:rPr>
          <w:rFonts w:cs="Calibri"/>
          <w:szCs w:val="24"/>
          <w:lang w:val="en-US" w:eastAsia="zh-CN"/>
        </w:rPr>
      </w:pPr>
      <w:r>
        <w:rPr>
          <w:rFonts w:cs="Calibri"/>
          <w:szCs w:val="24"/>
          <w:lang w:val="en-US" w:eastAsia="zh-CN"/>
        </w:rPr>
        <w:t>10.</w:t>
      </w:r>
      <w:r>
        <w:rPr>
          <w:rFonts w:cs="Calibri"/>
          <w:szCs w:val="24"/>
          <w:lang w:val="en-US" w:eastAsia="zh-CN"/>
        </w:rPr>
        <w:tab/>
      </w:r>
      <w:r w:rsidR="00D44929" w:rsidRPr="00860A1A">
        <w:rPr>
          <w:rFonts w:cs="Calibri"/>
          <w:szCs w:val="24"/>
          <w:lang w:val="en-US" w:eastAsia="zh-CN"/>
        </w:rPr>
        <w:t>Previous discussions on the Theme for a potential WTPF were carried out in Council 2016 and Council 2017</w:t>
      </w:r>
      <w:r w:rsidR="003E45F5" w:rsidRPr="00860A1A">
        <w:rPr>
          <w:rFonts w:cs="Calibri"/>
          <w:szCs w:val="24"/>
          <w:lang w:val="en-US" w:eastAsia="zh-CN"/>
        </w:rPr>
        <w:t>, a background of which is provided below:</w:t>
      </w:r>
      <w:r w:rsidR="00D44929" w:rsidRPr="00860A1A">
        <w:rPr>
          <w:rFonts w:cs="Calibri"/>
          <w:szCs w:val="24"/>
          <w:lang w:val="en-US" w:eastAsia="zh-CN"/>
        </w:rPr>
        <w:t xml:space="preserve"> </w:t>
      </w:r>
    </w:p>
    <w:p w:rsidR="00D44929" w:rsidRPr="00860A1A" w:rsidRDefault="00D44929" w:rsidP="004F1D6C">
      <w:pPr>
        <w:pStyle w:val="ListParagraph"/>
        <w:numPr>
          <w:ilvl w:val="0"/>
          <w:numId w:val="16"/>
        </w:numPr>
        <w:tabs>
          <w:tab w:val="clear" w:pos="567"/>
          <w:tab w:val="clear" w:pos="1134"/>
          <w:tab w:val="clear" w:pos="1701"/>
          <w:tab w:val="clear" w:pos="2268"/>
          <w:tab w:val="clear" w:pos="2835"/>
        </w:tabs>
        <w:snapToGrid w:val="0"/>
        <w:spacing w:after="40"/>
        <w:ind w:left="714" w:hanging="357"/>
        <w:contextualSpacing w:val="0"/>
        <w:jc w:val="both"/>
        <w:rPr>
          <w:rFonts w:asciiTheme="minorHAnsi" w:hAnsiTheme="minorHAnsi"/>
          <w:sz w:val="22"/>
          <w:szCs w:val="24"/>
          <w:lang w:val="en-US" w:eastAsia="zh-CN"/>
        </w:rPr>
      </w:pPr>
      <w:r w:rsidRPr="00860A1A">
        <w:rPr>
          <w:szCs w:val="24"/>
          <w:lang w:val="en-US"/>
        </w:rPr>
        <w:t xml:space="preserve">In 2015 Member States and Sector Members were invited through </w:t>
      </w:r>
      <w:hyperlink r:id="rId15" w:history="1">
        <w:r w:rsidRPr="00860A1A">
          <w:rPr>
            <w:rStyle w:val="Hyperlink"/>
            <w:szCs w:val="24"/>
            <w:lang w:val="en-US"/>
          </w:rPr>
          <w:t>Circular Letter CL-15/40</w:t>
        </w:r>
      </w:hyperlink>
      <w:r w:rsidRPr="00860A1A">
        <w:rPr>
          <w:szCs w:val="24"/>
          <w:lang w:val="en-US"/>
        </w:rPr>
        <w:t xml:space="preserve"> to submit their suggestions on a possible theme and policy issues related to telecommunications/ICTs, which could benefit from an exchange of views at a WTPF, together with a time-frame during which it could be held. A total of 19 inputs were received in response to the circular letter. All inputs received are available in information </w:t>
      </w:r>
      <w:hyperlink r:id="rId16" w:history="1">
        <w:r w:rsidRPr="00860A1A">
          <w:rPr>
            <w:rStyle w:val="Hyperlink"/>
            <w:szCs w:val="24"/>
            <w:lang w:val="en-US"/>
          </w:rPr>
          <w:t>Document C16/INF/3(Rev.2)</w:t>
        </w:r>
      </w:hyperlink>
      <w:r w:rsidRPr="00860A1A">
        <w:rPr>
          <w:szCs w:val="24"/>
          <w:lang w:val="en-US"/>
        </w:rPr>
        <w:t>.</w:t>
      </w:r>
    </w:p>
    <w:p w:rsidR="00D44929" w:rsidRPr="00860A1A" w:rsidRDefault="00D44929" w:rsidP="0080405A">
      <w:pPr>
        <w:pStyle w:val="ListParagraph"/>
        <w:numPr>
          <w:ilvl w:val="0"/>
          <w:numId w:val="16"/>
        </w:numPr>
        <w:tabs>
          <w:tab w:val="clear" w:pos="567"/>
          <w:tab w:val="clear" w:pos="1134"/>
          <w:tab w:val="clear" w:pos="1701"/>
          <w:tab w:val="clear" w:pos="2268"/>
          <w:tab w:val="clear" w:pos="2835"/>
        </w:tabs>
        <w:snapToGrid w:val="0"/>
        <w:spacing w:before="40" w:after="40"/>
        <w:ind w:left="714" w:hanging="357"/>
        <w:contextualSpacing w:val="0"/>
        <w:jc w:val="both"/>
        <w:rPr>
          <w:szCs w:val="24"/>
          <w:lang w:val="en-US"/>
        </w:rPr>
      </w:pPr>
      <w:r w:rsidRPr="00860A1A">
        <w:rPr>
          <w:szCs w:val="24"/>
          <w:lang w:val="en-US"/>
        </w:rPr>
        <w:lastRenderedPageBreak/>
        <w:t xml:space="preserve">The 2016 session of the ITU Council considered </w:t>
      </w:r>
      <w:hyperlink r:id="rId17" w:history="1">
        <w:r w:rsidRPr="00860A1A">
          <w:rPr>
            <w:rStyle w:val="Hyperlink"/>
            <w:szCs w:val="24"/>
            <w:lang w:val="en-US"/>
          </w:rPr>
          <w:t xml:space="preserve">Document </w:t>
        </w:r>
        <w:r w:rsidR="0080405A">
          <w:rPr>
            <w:rStyle w:val="Hyperlink"/>
            <w:szCs w:val="24"/>
            <w:lang w:val="en-US"/>
          </w:rPr>
          <w:t>C</w:t>
        </w:r>
        <w:bookmarkStart w:id="10" w:name="_GoBack"/>
        <w:bookmarkEnd w:id="10"/>
        <w:r w:rsidRPr="00860A1A">
          <w:rPr>
            <w:rStyle w:val="Hyperlink"/>
            <w:szCs w:val="24"/>
            <w:lang w:val="en-US"/>
          </w:rPr>
          <w:t>16/59(Rev.1)</w:t>
        </w:r>
      </w:hyperlink>
      <w:r w:rsidRPr="00860A1A">
        <w:rPr>
          <w:szCs w:val="24"/>
          <w:lang w:val="en-US"/>
        </w:rPr>
        <w:t xml:space="preserve"> which included the inputs received in response to CL-15/40. The Council agreed that, given the importance of the Forum, the ITU Secretary-General should continue consultations on the possible theme, dates and place for the next WTPF, and submit a report to the 2017 session of the Council. </w:t>
      </w:r>
    </w:p>
    <w:p w:rsidR="00D44929" w:rsidRPr="00860A1A" w:rsidRDefault="00D44929" w:rsidP="00860A1A">
      <w:pPr>
        <w:pStyle w:val="ListParagraph"/>
        <w:numPr>
          <w:ilvl w:val="0"/>
          <w:numId w:val="16"/>
        </w:numPr>
        <w:tabs>
          <w:tab w:val="clear" w:pos="567"/>
          <w:tab w:val="clear" w:pos="1134"/>
          <w:tab w:val="clear" w:pos="1701"/>
          <w:tab w:val="clear" w:pos="2268"/>
          <w:tab w:val="clear" w:pos="2835"/>
        </w:tabs>
        <w:snapToGrid w:val="0"/>
        <w:spacing w:before="40" w:after="120"/>
        <w:ind w:left="714" w:hanging="357"/>
        <w:contextualSpacing w:val="0"/>
        <w:jc w:val="both"/>
        <w:rPr>
          <w:szCs w:val="24"/>
          <w:lang w:val="en-US"/>
        </w:rPr>
      </w:pPr>
      <w:r w:rsidRPr="00860A1A">
        <w:rPr>
          <w:szCs w:val="24"/>
          <w:lang w:val="en-US"/>
        </w:rPr>
        <w:t xml:space="preserve">Member States and Sectors were invited, through </w:t>
      </w:r>
      <w:hyperlink r:id="rId18" w:history="1">
        <w:r w:rsidRPr="00860A1A">
          <w:rPr>
            <w:rStyle w:val="Hyperlink"/>
            <w:szCs w:val="24"/>
            <w:lang w:val="en-US"/>
          </w:rPr>
          <w:t>Circular Letter CL-16/32</w:t>
        </w:r>
      </w:hyperlink>
      <w:r w:rsidRPr="00860A1A">
        <w:rPr>
          <w:szCs w:val="24"/>
          <w:lang w:val="en-US"/>
        </w:rPr>
        <w:t xml:space="preserve">, to submit their views on the possible theme, dates and place for the next WTPF. A total of 5 inputs were received in response to the circular letter. All inputs received are available in information Document </w:t>
      </w:r>
      <w:hyperlink r:id="rId19" w:history="1">
        <w:r w:rsidRPr="00860A1A">
          <w:rPr>
            <w:rStyle w:val="Hyperlink"/>
            <w:szCs w:val="24"/>
            <w:lang w:val="en-US"/>
          </w:rPr>
          <w:t>C17/INF/3</w:t>
        </w:r>
      </w:hyperlink>
      <w:r w:rsidRPr="00860A1A">
        <w:rPr>
          <w:szCs w:val="24"/>
          <w:lang w:val="en-US"/>
        </w:rPr>
        <w:t>.</w:t>
      </w:r>
    </w:p>
    <w:p w:rsidR="003E45F5" w:rsidRPr="00860A1A" w:rsidRDefault="00D44929" w:rsidP="00860A1A">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0A1A">
        <w:rPr>
          <w:szCs w:val="24"/>
          <w:lang w:val="en-US"/>
        </w:rPr>
        <w:t xml:space="preserve">The Council is invited to take into account the discussions in previous </w:t>
      </w:r>
      <w:r w:rsidR="00B12908" w:rsidRPr="00860A1A">
        <w:rPr>
          <w:szCs w:val="24"/>
          <w:lang w:val="en-US"/>
        </w:rPr>
        <w:t>C</w:t>
      </w:r>
      <w:r w:rsidRPr="00860A1A">
        <w:rPr>
          <w:szCs w:val="24"/>
          <w:lang w:val="en-US"/>
        </w:rPr>
        <w:t>ouncil</w:t>
      </w:r>
      <w:r w:rsidR="00B12908" w:rsidRPr="00860A1A">
        <w:rPr>
          <w:szCs w:val="24"/>
          <w:lang w:val="en-US"/>
        </w:rPr>
        <w:t xml:space="preserve"> meetings</w:t>
      </w:r>
      <w:r w:rsidRPr="00860A1A">
        <w:rPr>
          <w:szCs w:val="24"/>
          <w:lang w:val="en-US"/>
        </w:rPr>
        <w:t xml:space="preserve"> in its deliberation.</w:t>
      </w:r>
    </w:p>
    <w:p w:rsidR="00142438" w:rsidRPr="00142438" w:rsidRDefault="00860A1A" w:rsidP="00860A1A">
      <w:pPr>
        <w:snapToGrid w:val="0"/>
        <w:spacing w:before="840"/>
        <w:jc w:val="center"/>
        <w:rPr>
          <w:rFonts w:cs="Calibri"/>
          <w:szCs w:val="24"/>
          <w:u w:val="single"/>
          <w:lang w:val="en-US" w:eastAsia="zh-CN"/>
        </w:rPr>
      </w:pPr>
      <w:r>
        <w:rPr>
          <w:rFonts w:cs="Calibri"/>
          <w:szCs w:val="24"/>
          <w:u w:val="single"/>
          <w:lang w:val="en-US" w:eastAsia="zh-CN"/>
        </w:rPr>
        <w:t>________________</w:t>
      </w:r>
    </w:p>
    <w:sectPr w:rsidR="00142438" w:rsidRPr="00142438" w:rsidSect="004D1851">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31" w:rsidRDefault="00975A31">
      <w:r>
        <w:separator/>
      </w:r>
    </w:p>
  </w:endnote>
  <w:endnote w:type="continuationSeparator" w:id="0">
    <w:p w:rsidR="00975A31" w:rsidRDefault="0097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31" w:rsidRDefault="00975A31">
      <w:r>
        <w:t>____________________</w:t>
      </w:r>
    </w:p>
  </w:footnote>
  <w:footnote w:type="continuationSeparator" w:id="0">
    <w:p w:rsidR="00975A31" w:rsidRDefault="00975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0405A">
      <w:rPr>
        <w:noProof/>
      </w:rPr>
      <w:t>2</w:t>
    </w:r>
    <w:r>
      <w:rPr>
        <w:noProof/>
      </w:rPr>
      <w:fldChar w:fldCharType="end"/>
    </w:r>
  </w:p>
  <w:p w:rsidR="00322D0D" w:rsidRPr="00623AE3" w:rsidRDefault="00FA4575" w:rsidP="001E44D9">
    <w:pPr>
      <w:pStyle w:val="Header"/>
      <w:rPr>
        <w:bCs/>
      </w:rPr>
    </w:pPr>
    <w:r>
      <w:rPr>
        <w:bCs/>
      </w:rPr>
      <w:t>C19</w:t>
    </w:r>
    <w:r w:rsidR="00623AE3" w:rsidRPr="00623AE3">
      <w:rPr>
        <w:bCs/>
      </w:rPr>
      <w:t>/</w:t>
    </w:r>
    <w:r w:rsidR="001E44D9">
      <w:rPr>
        <w:bCs/>
      </w:rPr>
      <w:t>5</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5"/>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66A2"/>
    <w:rsid w:val="000210D4"/>
    <w:rsid w:val="0004566C"/>
    <w:rsid w:val="00063016"/>
    <w:rsid w:val="00066795"/>
    <w:rsid w:val="00076AF6"/>
    <w:rsid w:val="00085CF2"/>
    <w:rsid w:val="000B1705"/>
    <w:rsid w:val="000D67F1"/>
    <w:rsid w:val="000D75B2"/>
    <w:rsid w:val="001121F5"/>
    <w:rsid w:val="00127B16"/>
    <w:rsid w:val="001400DC"/>
    <w:rsid w:val="00140CE1"/>
    <w:rsid w:val="00142438"/>
    <w:rsid w:val="0017539C"/>
    <w:rsid w:val="00175AC2"/>
    <w:rsid w:val="0017609F"/>
    <w:rsid w:val="001859E0"/>
    <w:rsid w:val="001C628E"/>
    <w:rsid w:val="001E0F7B"/>
    <w:rsid w:val="001E44D9"/>
    <w:rsid w:val="002119FD"/>
    <w:rsid w:val="002130E0"/>
    <w:rsid w:val="00231C42"/>
    <w:rsid w:val="00264425"/>
    <w:rsid w:val="00265875"/>
    <w:rsid w:val="002720CA"/>
    <w:rsid w:val="0027303B"/>
    <w:rsid w:val="0028109B"/>
    <w:rsid w:val="00290277"/>
    <w:rsid w:val="002A2188"/>
    <w:rsid w:val="002B1F58"/>
    <w:rsid w:val="002C1C7A"/>
    <w:rsid w:val="0030160F"/>
    <w:rsid w:val="00322D0D"/>
    <w:rsid w:val="0035396E"/>
    <w:rsid w:val="003942D4"/>
    <w:rsid w:val="003958A8"/>
    <w:rsid w:val="003C2533"/>
    <w:rsid w:val="003E45F5"/>
    <w:rsid w:val="0040435A"/>
    <w:rsid w:val="00404CA7"/>
    <w:rsid w:val="00416A24"/>
    <w:rsid w:val="00431D9E"/>
    <w:rsid w:val="00433CE8"/>
    <w:rsid w:val="00434A5C"/>
    <w:rsid w:val="004544D9"/>
    <w:rsid w:val="00490E72"/>
    <w:rsid w:val="00491157"/>
    <w:rsid w:val="004921C8"/>
    <w:rsid w:val="0049424C"/>
    <w:rsid w:val="004D1851"/>
    <w:rsid w:val="004D599D"/>
    <w:rsid w:val="004E2EA5"/>
    <w:rsid w:val="004E3AEB"/>
    <w:rsid w:val="004F1D6C"/>
    <w:rsid w:val="004F6DB4"/>
    <w:rsid w:val="0050223C"/>
    <w:rsid w:val="005243FF"/>
    <w:rsid w:val="00564FBC"/>
    <w:rsid w:val="00582442"/>
    <w:rsid w:val="005F3269"/>
    <w:rsid w:val="00623AE3"/>
    <w:rsid w:val="006266B8"/>
    <w:rsid w:val="0064737F"/>
    <w:rsid w:val="006535F1"/>
    <w:rsid w:val="0065557D"/>
    <w:rsid w:val="00662984"/>
    <w:rsid w:val="006716BB"/>
    <w:rsid w:val="006B6680"/>
    <w:rsid w:val="006B6DCC"/>
    <w:rsid w:val="00702DEF"/>
    <w:rsid w:val="00706861"/>
    <w:rsid w:val="0073368D"/>
    <w:rsid w:val="0075051B"/>
    <w:rsid w:val="00793188"/>
    <w:rsid w:val="00794D34"/>
    <w:rsid w:val="0080405A"/>
    <w:rsid w:val="00813E5E"/>
    <w:rsid w:val="00830E55"/>
    <w:rsid w:val="0083581B"/>
    <w:rsid w:val="00860A1A"/>
    <w:rsid w:val="00864AFF"/>
    <w:rsid w:val="00885E2C"/>
    <w:rsid w:val="008B17D3"/>
    <w:rsid w:val="008B4A6A"/>
    <w:rsid w:val="008C7E27"/>
    <w:rsid w:val="009173EF"/>
    <w:rsid w:val="00932906"/>
    <w:rsid w:val="00947424"/>
    <w:rsid w:val="00961B0B"/>
    <w:rsid w:val="00975A31"/>
    <w:rsid w:val="009B38C3"/>
    <w:rsid w:val="009E17BD"/>
    <w:rsid w:val="009E485A"/>
    <w:rsid w:val="00A04CEC"/>
    <w:rsid w:val="00A05B99"/>
    <w:rsid w:val="00A27F92"/>
    <w:rsid w:val="00A32257"/>
    <w:rsid w:val="00A36D20"/>
    <w:rsid w:val="00A55622"/>
    <w:rsid w:val="00A80FE4"/>
    <w:rsid w:val="00A83502"/>
    <w:rsid w:val="00AD15B3"/>
    <w:rsid w:val="00AE1412"/>
    <w:rsid w:val="00AF6E49"/>
    <w:rsid w:val="00B04A67"/>
    <w:rsid w:val="00B0583C"/>
    <w:rsid w:val="00B12908"/>
    <w:rsid w:val="00B40A81"/>
    <w:rsid w:val="00B44910"/>
    <w:rsid w:val="00B72267"/>
    <w:rsid w:val="00B76EB6"/>
    <w:rsid w:val="00B7737B"/>
    <w:rsid w:val="00B824C8"/>
    <w:rsid w:val="00BC251A"/>
    <w:rsid w:val="00BD032B"/>
    <w:rsid w:val="00BD054C"/>
    <w:rsid w:val="00BE2640"/>
    <w:rsid w:val="00C01189"/>
    <w:rsid w:val="00C374DE"/>
    <w:rsid w:val="00C47AD4"/>
    <w:rsid w:val="00C52D81"/>
    <w:rsid w:val="00C54922"/>
    <w:rsid w:val="00C55198"/>
    <w:rsid w:val="00CA6393"/>
    <w:rsid w:val="00CB18FF"/>
    <w:rsid w:val="00CD0C08"/>
    <w:rsid w:val="00CE03FB"/>
    <w:rsid w:val="00CE433C"/>
    <w:rsid w:val="00CF33F3"/>
    <w:rsid w:val="00CF454E"/>
    <w:rsid w:val="00D04E39"/>
    <w:rsid w:val="00D06183"/>
    <w:rsid w:val="00D22C42"/>
    <w:rsid w:val="00D44929"/>
    <w:rsid w:val="00D52BAD"/>
    <w:rsid w:val="00D65041"/>
    <w:rsid w:val="00DB384B"/>
    <w:rsid w:val="00DD5488"/>
    <w:rsid w:val="00E10E80"/>
    <w:rsid w:val="00E124F0"/>
    <w:rsid w:val="00E60F04"/>
    <w:rsid w:val="00E854E4"/>
    <w:rsid w:val="00EB0D6F"/>
    <w:rsid w:val="00EB2232"/>
    <w:rsid w:val="00EC5337"/>
    <w:rsid w:val="00F07C9D"/>
    <w:rsid w:val="00F2150A"/>
    <w:rsid w:val="00F231D8"/>
    <w:rsid w:val="00F46C5F"/>
    <w:rsid w:val="00F94A63"/>
    <w:rsid w:val="00FA1C28"/>
    <w:rsid w:val="00FA4575"/>
    <w:rsid w:val="00FA72F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6-SG-CIR-003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3-CL-C-0064/en" TargetMode="External"/><Relationship Id="rId17" Type="http://schemas.openxmlformats.org/officeDocument/2006/relationships/hyperlink" Target="https://www.itu.int/md/S16-CL-C-0059/en" TargetMode="External"/><Relationship Id="rId2" Type="http://schemas.openxmlformats.org/officeDocument/2006/relationships/customXml" Target="../customXml/item2.xml"/><Relationship Id="rId16" Type="http://schemas.openxmlformats.org/officeDocument/2006/relationships/hyperlink" Target="http://www.itu.int/md/S16-CL-INF-000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5-SG-CIR-0040/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17-CL-INF-00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3-CL-C-0064/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60D9C-4AA0-4AC4-B62A-7096940A516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f413e73c-0d45-446a-a106-728708596ba9"/>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4.xml><?xml version="1.0" encoding="utf-8"?>
<ds:datastoreItem xmlns:ds="http://schemas.openxmlformats.org/officeDocument/2006/customXml" ds:itemID="{27E5C4CA-BDD7-4DDA-90C0-BCE68D20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C19/05 - Preparations for WTPF-21</vt:lpstr>
    </vt:vector>
  </TitlesOfParts>
  <Manager>General Secretariat - Pool</Manager>
  <Company>International Telecommunication Union (ITU)</Company>
  <LinksUpToDate>false</LinksUpToDate>
  <CharactersWithSpaces>5756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C19/05 - Preparations for WTPF-21</dc:title>
  <dc:subject>Council 2019</dc:subject>
  <dc:creator>Brouard, Ricarda</dc:creator>
  <cp:keywords>C2019, C19</cp:keywords>
  <dc:description/>
  <cp:lastModifiedBy>Janin, Patricia</cp:lastModifiedBy>
  <cp:revision>5</cp:revision>
  <cp:lastPrinted>2019-03-06T08:31:00Z</cp:lastPrinted>
  <dcterms:created xsi:type="dcterms:W3CDTF">2019-03-28T16:21:00Z</dcterms:created>
  <dcterms:modified xsi:type="dcterms:W3CDTF">2019-04-04T08:22:00Z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