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D94671" w14:paraId="44527BE8" w14:textId="77777777">
        <w:trPr>
          <w:cantSplit/>
        </w:trPr>
        <w:tc>
          <w:tcPr>
            <w:tcW w:w="6912" w:type="dxa"/>
          </w:tcPr>
          <w:p w14:paraId="46BEBC7D" w14:textId="77777777" w:rsidR="00520F36" w:rsidRPr="00D94671" w:rsidRDefault="00520F36" w:rsidP="00747BB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D94671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D94671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D94671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D94671">
              <w:rPr>
                <w:b/>
                <w:bCs/>
                <w:szCs w:val="24"/>
                <w:lang w:val="fr-CH"/>
              </w:rPr>
              <w:t>Gen</w:t>
            </w:r>
            <w:r w:rsidRPr="003848C7">
              <w:rPr>
                <w:b/>
                <w:bCs/>
                <w:szCs w:val="24"/>
                <w:lang w:val="fr-CH"/>
              </w:rPr>
              <w:t>ève</w:t>
            </w:r>
            <w:r w:rsidRPr="00D94671">
              <w:rPr>
                <w:b/>
                <w:bCs/>
                <w:szCs w:val="24"/>
                <w:lang w:val="fr-CH"/>
              </w:rPr>
              <w:t xml:space="preserve">, </w:t>
            </w:r>
            <w:r w:rsidR="00106B19" w:rsidRPr="00D94671">
              <w:rPr>
                <w:b/>
                <w:bCs/>
                <w:szCs w:val="24"/>
                <w:lang w:val="fr-CH"/>
              </w:rPr>
              <w:t>10</w:t>
            </w:r>
            <w:r w:rsidRPr="00D94671">
              <w:rPr>
                <w:b/>
                <w:bCs/>
                <w:szCs w:val="24"/>
                <w:lang w:val="fr-CH"/>
              </w:rPr>
              <w:t>-</w:t>
            </w:r>
            <w:r w:rsidR="00106B19" w:rsidRPr="00D94671">
              <w:rPr>
                <w:b/>
                <w:bCs/>
                <w:szCs w:val="24"/>
                <w:lang w:val="fr-CH"/>
              </w:rPr>
              <w:t>20 juin</w:t>
            </w:r>
            <w:r w:rsidRPr="00D94671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D94671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14:paraId="1E51D484" w14:textId="77777777" w:rsidR="00520F36" w:rsidRPr="00D94671" w:rsidRDefault="00520F36" w:rsidP="00747BB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D94671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DAEAB3D" wp14:editId="60EC311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D94671" w14:paraId="33FEEF38" w14:textId="77777777" w:rsidTr="006571B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B6856B6" w14:textId="77777777" w:rsidR="00520F36" w:rsidRPr="00D94671" w:rsidRDefault="00520F36" w:rsidP="00747BB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CD35F61" w14:textId="77777777" w:rsidR="00520F36" w:rsidRPr="003848C7" w:rsidRDefault="00520F36" w:rsidP="00747BB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94671" w14:paraId="22C192B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62C0F29" w14:textId="77777777" w:rsidR="00520F36" w:rsidRPr="00D94671" w:rsidRDefault="00520F36" w:rsidP="00747BB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34E6D3C" w14:textId="77777777" w:rsidR="00520F36" w:rsidRPr="003848C7" w:rsidRDefault="00520F36" w:rsidP="00747BBA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D94671" w14:paraId="577C26F9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7726D431" w14:textId="19313099" w:rsidR="00520F36" w:rsidRPr="00D94671" w:rsidRDefault="006571B9" w:rsidP="00747BB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D94671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747BBA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D94671">
              <w:rPr>
                <w:rFonts w:cs="Times"/>
                <w:b/>
                <w:bCs/>
                <w:szCs w:val="24"/>
                <w:lang w:val="fr-CH"/>
              </w:rPr>
              <w:t>ordre du jour: PL 2.6</w:t>
            </w:r>
          </w:p>
        </w:tc>
        <w:tc>
          <w:tcPr>
            <w:tcW w:w="3261" w:type="dxa"/>
          </w:tcPr>
          <w:p w14:paraId="27A747D9" w14:textId="2E000711" w:rsidR="00520F36" w:rsidRPr="003848C7" w:rsidRDefault="00520F36" w:rsidP="00747BBA">
            <w:pPr>
              <w:spacing w:before="0"/>
              <w:rPr>
                <w:b/>
                <w:bCs/>
                <w:lang w:val="fr-CH"/>
              </w:rPr>
            </w:pPr>
            <w:r w:rsidRPr="003848C7">
              <w:rPr>
                <w:b/>
                <w:bCs/>
                <w:lang w:val="fr-CH"/>
              </w:rPr>
              <w:t>Document C1</w:t>
            </w:r>
            <w:r w:rsidR="00106B19" w:rsidRPr="003848C7">
              <w:rPr>
                <w:b/>
                <w:bCs/>
                <w:lang w:val="fr-CH"/>
              </w:rPr>
              <w:t>9</w:t>
            </w:r>
            <w:r w:rsidRPr="003848C7">
              <w:rPr>
                <w:b/>
                <w:bCs/>
                <w:lang w:val="fr-CH"/>
              </w:rPr>
              <w:t>/</w:t>
            </w:r>
            <w:r w:rsidR="006571B9" w:rsidRPr="003848C7">
              <w:rPr>
                <w:b/>
                <w:bCs/>
                <w:lang w:val="fr-CH"/>
              </w:rPr>
              <w:t>5</w:t>
            </w:r>
            <w:r w:rsidRPr="003848C7">
              <w:rPr>
                <w:b/>
                <w:bCs/>
                <w:lang w:val="fr-CH"/>
              </w:rPr>
              <w:t>-F</w:t>
            </w:r>
          </w:p>
        </w:tc>
      </w:tr>
      <w:tr w:rsidR="00520F36" w:rsidRPr="00D94671" w14:paraId="7E3124A8" w14:textId="77777777">
        <w:trPr>
          <w:cantSplit/>
          <w:trHeight w:val="20"/>
        </w:trPr>
        <w:tc>
          <w:tcPr>
            <w:tcW w:w="6912" w:type="dxa"/>
            <w:vMerge/>
          </w:tcPr>
          <w:p w14:paraId="50F001D0" w14:textId="77777777" w:rsidR="00520F36" w:rsidRPr="00D94671" w:rsidRDefault="00520F36" w:rsidP="00747BB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2825CDC" w14:textId="77777777" w:rsidR="00520F36" w:rsidRPr="003848C7" w:rsidRDefault="006571B9" w:rsidP="00747BBA">
            <w:pPr>
              <w:spacing w:before="0"/>
              <w:rPr>
                <w:b/>
                <w:bCs/>
                <w:lang w:val="fr-CH"/>
              </w:rPr>
            </w:pPr>
            <w:r w:rsidRPr="003848C7">
              <w:rPr>
                <w:b/>
                <w:bCs/>
                <w:lang w:val="fr-CH"/>
              </w:rPr>
              <w:t xml:space="preserve">1er avril </w:t>
            </w:r>
            <w:r w:rsidR="00520F36" w:rsidRPr="003848C7">
              <w:rPr>
                <w:b/>
                <w:bCs/>
                <w:lang w:val="fr-CH"/>
              </w:rPr>
              <w:t>201</w:t>
            </w:r>
            <w:r w:rsidR="00106B19" w:rsidRPr="003848C7">
              <w:rPr>
                <w:b/>
                <w:bCs/>
                <w:lang w:val="fr-CH"/>
              </w:rPr>
              <w:t>9</w:t>
            </w:r>
          </w:p>
        </w:tc>
      </w:tr>
      <w:tr w:rsidR="00520F36" w:rsidRPr="00D94671" w14:paraId="0042B45B" w14:textId="77777777">
        <w:trPr>
          <w:cantSplit/>
          <w:trHeight w:val="20"/>
        </w:trPr>
        <w:tc>
          <w:tcPr>
            <w:tcW w:w="6912" w:type="dxa"/>
            <w:vMerge/>
          </w:tcPr>
          <w:p w14:paraId="3E583ED6" w14:textId="77777777" w:rsidR="00520F36" w:rsidRPr="00D94671" w:rsidRDefault="00520F36" w:rsidP="00747BB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A6F70AE" w14:textId="77777777" w:rsidR="00520F36" w:rsidRPr="003848C7" w:rsidRDefault="00520F36" w:rsidP="00747BBA">
            <w:pPr>
              <w:spacing w:before="0"/>
              <w:rPr>
                <w:b/>
                <w:bCs/>
                <w:lang w:val="fr-CH"/>
              </w:rPr>
            </w:pPr>
            <w:r w:rsidRPr="003848C7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D94671" w14:paraId="1D521915" w14:textId="77777777">
        <w:trPr>
          <w:cantSplit/>
        </w:trPr>
        <w:tc>
          <w:tcPr>
            <w:tcW w:w="10173" w:type="dxa"/>
            <w:gridSpan w:val="2"/>
          </w:tcPr>
          <w:p w14:paraId="1A0DC52D" w14:textId="77777777" w:rsidR="00520F36" w:rsidRPr="003848C7" w:rsidRDefault="006571B9" w:rsidP="00747BBA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3848C7">
              <w:rPr>
                <w:lang w:val="fr-CH"/>
              </w:rPr>
              <w:t>Rapport du Secrétaire général</w:t>
            </w:r>
          </w:p>
        </w:tc>
      </w:tr>
      <w:tr w:rsidR="00520F36" w:rsidRPr="00D94671" w14:paraId="1393944B" w14:textId="77777777">
        <w:trPr>
          <w:cantSplit/>
        </w:trPr>
        <w:tc>
          <w:tcPr>
            <w:tcW w:w="10173" w:type="dxa"/>
            <w:gridSpan w:val="2"/>
          </w:tcPr>
          <w:p w14:paraId="7198F247" w14:textId="521BF536" w:rsidR="00520F36" w:rsidRPr="003848C7" w:rsidRDefault="001F486C" w:rsidP="00747BBA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3848C7">
              <w:rPr>
                <w:lang w:val="fr-CH"/>
              </w:rPr>
              <w:t>PRÉPARATION DU FMPT-21</w:t>
            </w:r>
          </w:p>
        </w:tc>
      </w:tr>
      <w:bookmarkEnd w:id="7"/>
    </w:tbl>
    <w:p w14:paraId="1FACB686" w14:textId="77777777" w:rsidR="00520F36" w:rsidRPr="00D94671" w:rsidRDefault="00520F36" w:rsidP="00747BBA">
      <w:pPr>
        <w:rPr>
          <w:lang w:val="fr-CH"/>
        </w:rPr>
      </w:pPr>
    </w:p>
    <w:tbl>
      <w:tblPr>
        <w:tblW w:w="83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2"/>
      </w:tblGrid>
      <w:tr w:rsidR="00520F36" w:rsidRPr="00D94671" w14:paraId="1CCC6774" w14:textId="77777777" w:rsidTr="003848C7">
        <w:trPr>
          <w:trHeight w:val="3372"/>
        </w:trPr>
        <w:tc>
          <w:tcPr>
            <w:tcW w:w="8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2EBC6" w14:textId="77777777" w:rsidR="00520F36" w:rsidRPr="00D94671" w:rsidRDefault="00520F36" w:rsidP="00747BBA">
            <w:pPr>
              <w:pStyle w:val="Headingb"/>
              <w:rPr>
                <w:lang w:val="fr-CH"/>
              </w:rPr>
            </w:pPr>
            <w:r w:rsidRPr="00D94671">
              <w:rPr>
                <w:lang w:val="fr-CH"/>
              </w:rPr>
              <w:t>Résumé</w:t>
            </w:r>
          </w:p>
          <w:p w14:paraId="515FD014" w14:textId="164A3638" w:rsidR="00520F36" w:rsidRPr="00D94671" w:rsidRDefault="003848C7" w:rsidP="00747BBA">
            <w:pPr>
              <w:rPr>
                <w:lang w:val="fr-CH"/>
              </w:rPr>
            </w:pPr>
            <w:r>
              <w:rPr>
                <w:lang w:val="fr-CH"/>
              </w:rPr>
              <w:t>Par sa</w:t>
            </w:r>
            <w:r w:rsidR="00C8157A" w:rsidRPr="00D94671">
              <w:rPr>
                <w:lang w:val="fr-CH"/>
              </w:rPr>
              <w:t xml:space="preserve"> Résolution 2 (Rév. Dubaï, 2018)</w:t>
            </w:r>
            <w:r>
              <w:rPr>
                <w:lang w:val="fr-CH"/>
              </w:rPr>
              <w:t>,</w:t>
            </w:r>
            <w:r w:rsidR="004640E3">
              <w:rPr>
                <w:rFonts w:cs="Calibri"/>
                <w:szCs w:val="24"/>
                <w:lang w:val="fr-CH" w:eastAsia="zh-CN"/>
              </w:rPr>
              <w:t xml:space="preserve"> la Conférence de plénipotentiaires</w:t>
            </w:r>
            <w:r w:rsidR="001F486C" w:rsidRPr="00D94671">
              <w:rPr>
                <w:lang w:val="fr-CH"/>
              </w:rPr>
              <w:t xml:space="preserve"> </w:t>
            </w:r>
            <w:r w:rsidRPr="003848C7">
              <w:rPr>
                <w:lang w:val="fr-CH"/>
              </w:rPr>
              <w:t xml:space="preserve">a décidé </w:t>
            </w:r>
            <w:r w:rsidR="00C966D8" w:rsidRPr="003848C7">
              <w:rPr>
                <w:lang w:val="fr-CH"/>
              </w:rPr>
              <w:t xml:space="preserve">que le </w:t>
            </w:r>
            <w:r w:rsidR="00C966D8" w:rsidRPr="003848C7">
              <w:rPr>
                <w:color w:val="000000"/>
                <w:lang w:val="fr-CH"/>
              </w:rPr>
              <w:t>FMPT se tiendra de préférence juste avant ou juste après le F</w:t>
            </w:r>
            <w:r w:rsidR="00C966D8" w:rsidRPr="00D94671">
              <w:rPr>
                <w:color w:val="000000"/>
                <w:lang w:val="fr-CH"/>
              </w:rPr>
              <w:t xml:space="preserve">orum du SMSI de 2021, compte tenu de la nécessité de veiller à ce que les </w:t>
            </w:r>
            <w:r w:rsidR="00747BBA">
              <w:rPr>
                <w:color w:val="000000"/>
                <w:lang w:val="fr-CH"/>
              </w:rPr>
              <w:t>É</w:t>
            </w:r>
            <w:r w:rsidR="00C966D8" w:rsidRPr="00D94671">
              <w:rPr>
                <w:color w:val="000000"/>
                <w:lang w:val="fr-CH"/>
              </w:rPr>
              <w:t>tats Membres puissent bien se préparer</w:t>
            </w:r>
            <w:r w:rsidR="00C966D8" w:rsidRPr="00D94671">
              <w:rPr>
                <w:lang w:val="fr-CH"/>
              </w:rPr>
              <w:t xml:space="preserve">. </w:t>
            </w:r>
            <w:r w:rsidR="00E84BDC" w:rsidRPr="00D94671">
              <w:rPr>
                <w:lang w:val="fr-CH"/>
              </w:rPr>
              <w:t xml:space="preserve">Le présent </w:t>
            </w:r>
            <w:r>
              <w:rPr>
                <w:lang w:val="fr-CH"/>
              </w:rPr>
              <w:t>d</w:t>
            </w:r>
            <w:r w:rsidR="00E84BDC" w:rsidRPr="00D94671">
              <w:rPr>
                <w:lang w:val="fr-CH"/>
              </w:rPr>
              <w:t xml:space="preserve">ocument </w:t>
            </w:r>
            <w:r w:rsidR="007712BD" w:rsidRPr="00D94671">
              <w:rPr>
                <w:lang w:val="fr-CH"/>
              </w:rPr>
              <w:t xml:space="preserve">fournit des informations générales sur le FMPT et </w:t>
            </w:r>
            <w:r w:rsidR="00322743" w:rsidRPr="00D94671">
              <w:rPr>
                <w:lang w:val="fr-CH"/>
              </w:rPr>
              <w:t>propose un calendrier pour le processus préparatoire du FMPT-21.</w:t>
            </w:r>
          </w:p>
          <w:p w14:paraId="63BE7996" w14:textId="77777777" w:rsidR="00520F36" w:rsidRPr="00D94671" w:rsidRDefault="00520F36" w:rsidP="00747BBA">
            <w:pPr>
              <w:pStyle w:val="Headingb"/>
              <w:rPr>
                <w:lang w:val="fr-CH"/>
              </w:rPr>
            </w:pPr>
            <w:r w:rsidRPr="00D94671">
              <w:rPr>
                <w:lang w:val="fr-CH"/>
              </w:rPr>
              <w:t>Suite à donner</w:t>
            </w:r>
          </w:p>
          <w:p w14:paraId="1D4B6608" w14:textId="77777777" w:rsidR="00C8157A" w:rsidRPr="00D94671" w:rsidRDefault="00C8157A" w:rsidP="00747BBA">
            <w:pPr>
              <w:rPr>
                <w:lang w:val="fr-CH"/>
              </w:rPr>
            </w:pPr>
            <w:r w:rsidRPr="00D94671">
              <w:rPr>
                <w:lang w:val="fr-CH"/>
              </w:rPr>
              <w:t xml:space="preserve">Le Conseil est chargé: </w:t>
            </w:r>
          </w:p>
          <w:p w14:paraId="70960204" w14:textId="2EECAE5A" w:rsidR="00C8157A" w:rsidRPr="00D94671" w:rsidRDefault="00C8157A" w:rsidP="00747BBA">
            <w:pPr>
              <w:pStyle w:val="enumlev1"/>
              <w:rPr>
                <w:lang w:val="fr-CH"/>
              </w:rPr>
            </w:pPr>
            <w:r w:rsidRPr="00D94671">
              <w:rPr>
                <w:lang w:val="fr-CH"/>
              </w:rPr>
              <w:t>1</w:t>
            </w:r>
            <w:r w:rsidR="00747BBA">
              <w:rPr>
                <w:lang w:val="fr-CH"/>
              </w:rPr>
              <w:t>)</w:t>
            </w:r>
            <w:r w:rsidRPr="00D94671">
              <w:rPr>
                <w:lang w:val="fr-CH"/>
              </w:rPr>
              <w:tab/>
              <w:t>d</w:t>
            </w:r>
            <w:r w:rsidR="00747BBA">
              <w:rPr>
                <w:lang w:val="fr-CH"/>
              </w:rPr>
              <w:t>'</w:t>
            </w:r>
            <w:r w:rsidRPr="00D94671">
              <w:rPr>
                <w:b/>
                <w:bCs/>
                <w:lang w:val="fr-CH"/>
              </w:rPr>
              <w:t>arrêter</w:t>
            </w:r>
            <w:r w:rsidRPr="00D94671">
              <w:rPr>
                <w:lang w:val="fr-CH"/>
              </w:rPr>
              <w:t xml:space="preserve"> la durée, les dates, le lieu, l</w:t>
            </w:r>
            <w:r w:rsidR="00747BBA">
              <w:rPr>
                <w:lang w:val="fr-CH"/>
              </w:rPr>
              <w:t>'</w:t>
            </w:r>
            <w:r w:rsidRPr="00D94671">
              <w:rPr>
                <w:lang w:val="fr-CH"/>
              </w:rPr>
              <w:t xml:space="preserve">ordre du jour et les thèmes </w:t>
            </w:r>
            <w:r w:rsidR="003848C7">
              <w:rPr>
                <w:lang w:val="fr-CH"/>
              </w:rPr>
              <w:t>du FMPT</w:t>
            </w:r>
            <w:r w:rsidR="003848C7">
              <w:rPr>
                <w:lang w:val="fr-CH"/>
              </w:rPr>
              <w:noBreakHyphen/>
              <w:t>21</w:t>
            </w:r>
            <w:r w:rsidRPr="00D94671">
              <w:rPr>
                <w:lang w:val="fr-CH"/>
              </w:rPr>
              <w:t>;</w:t>
            </w:r>
          </w:p>
          <w:p w14:paraId="45D84DBC" w14:textId="48E9777B" w:rsidR="00C8157A" w:rsidRPr="00D94671" w:rsidRDefault="00C8157A" w:rsidP="00747BBA">
            <w:pPr>
              <w:pStyle w:val="enumlev1"/>
              <w:rPr>
                <w:lang w:val="fr-CH"/>
              </w:rPr>
            </w:pPr>
            <w:r w:rsidRPr="00D94671">
              <w:rPr>
                <w:lang w:val="fr-CH"/>
              </w:rPr>
              <w:t>2</w:t>
            </w:r>
            <w:r w:rsidR="00747BBA">
              <w:rPr>
                <w:lang w:val="fr-CH"/>
              </w:rPr>
              <w:t>)</w:t>
            </w:r>
            <w:r w:rsidRPr="00D94671">
              <w:rPr>
                <w:lang w:val="fr-CH"/>
              </w:rPr>
              <w:tab/>
              <w:t>d</w:t>
            </w:r>
            <w:r w:rsidR="00747BBA">
              <w:rPr>
                <w:lang w:val="fr-CH"/>
              </w:rPr>
              <w:t>'</w:t>
            </w:r>
            <w:r w:rsidRPr="00D94671">
              <w:rPr>
                <w:b/>
                <w:bCs/>
                <w:lang w:val="fr-CH"/>
              </w:rPr>
              <w:t>adopter</w:t>
            </w:r>
            <w:r w:rsidRPr="00D94671">
              <w:rPr>
                <w:lang w:val="fr-CH"/>
              </w:rPr>
              <w:t xml:space="preserve"> une procédure pour l</w:t>
            </w:r>
            <w:r w:rsidR="00747BBA">
              <w:rPr>
                <w:lang w:val="fr-CH"/>
              </w:rPr>
              <w:t>'</w:t>
            </w:r>
            <w:r w:rsidRPr="00D94671">
              <w:rPr>
                <w:lang w:val="fr-CH"/>
              </w:rPr>
              <w:t xml:space="preserve">élaboration du </w:t>
            </w:r>
            <w:r w:rsidR="00747BBA">
              <w:rPr>
                <w:lang w:val="fr-CH"/>
              </w:rPr>
              <w:t xml:space="preserve">rapport du </w:t>
            </w:r>
            <w:r w:rsidR="00C946ED" w:rsidRPr="00D94671">
              <w:rPr>
                <w:lang w:val="fr-CH"/>
              </w:rPr>
              <w:t>S</w:t>
            </w:r>
            <w:r w:rsidRPr="00D94671">
              <w:rPr>
                <w:lang w:val="fr-CH"/>
              </w:rPr>
              <w:t>ecrétaire général</w:t>
            </w:r>
            <w:r w:rsidR="003848C7" w:rsidRPr="00D94671">
              <w:rPr>
                <w:lang w:val="fr-CH"/>
              </w:rPr>
              <w:t xml:space="preserve"> </w:t>
            </w:r>
            <w:r w:rsidR="003848C7">
              <w:rPr>
                <w:lang w:val="fr-CH"/>
              </w:rPr>
              <w:t>a</w:t>
            </w:r>
            <w:r w:rsidR="00747BBA">
              <w:rPr>
                <w:lang w:val="fr-CH"/>
              </w:rPr>
              <w:t>u </w:t>
            </w:r>
            <w:r w:rsidR="003848C7">
              <w:rPr>
                <w:lang w:val="fr-CH"/>
              </w:rPr>
              <w:t>FMPT</w:t>
            </w:r>
            <w:r w:rsidR="003848C7">
              <w:rPr>
                <w:lang w:val="fr-CH"/>
              </w:rPr>
              <w:noBreakHyphen/>
              <w:t>21</w:t>
            </w:r>
            <w:r w:rsidRPr="00D94671">
              <w:rPr>
                <w:lang w:val="fr-CH"/>
              </w:rPr>
              <w:t>;</w:t>
            </w:r>
          </w:p>
          <w:p w14:paraId="0D0E966C" w14:textId="77777777" w:rsidR="00520F36" w:rsidRPr="00D94671" w:rsidRDefault="00520F36" w:rsidP="00747BB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D94671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03AD5DDE" w14:textId="77777777" w:rsidR="00520F36" w:rsidRPr="00D94671" w:rsidRDefault="00520F36" w:rsidP="00747BBA">
            <w:pPr>
              <w:pStyle w:val="Headingb"/>
              <w:rPr>
                <w:lang w:val="fr-CH"/>
              </w:rPr>
            </w:pPr>
            <w:r w:rsidRPr="00D94671">
              <w:rPr>
                <w:lang w:val="fr-CH"/>
              </w:rPr>
              <w:t>Références</w:t>
            </w:r>
          </w:p>
          <w:p w14:paraId="10B221EE" w14:textId="15478D3D" w:rsidR="00520F36" w:rsidRPr="00D94671" w:rsidRDefault="00C8157A" w:rsidP="00747BBA">
            <w:pPr>
              <w:spacing w:after="120"/>
              <w:rPr>
                <w:i/>
                <w:iCs/>
                <w:lang w:val="fr-CH"/>
              </w:rPr>
            </w:pPr>
            <w:bookmarkStart w:id="8" w:name="lt_pId021"/>
            <w:r w:rsidRPr="003848C7">
              <w:rPr>
                <w:lang w:val="fr-CH"/>
              </w:rPr>
              <w:t xml:space="preserve">Document </w:t>
            </w:r>
            <w:hyperlink r:id="rId8" w:history="1">
              <w:r w:rsidRPr="003848C7">
                <w:rPr>
                  <w:rStyle w:val="Hyperlink"/>
                  <w:lang w:val="fr-CH"/>
                </w:rPr>
                <w:t>C13/64(R</w:t>
              </w:r>
              <w:r w:rsidR="00C946ED" w:rsidRPr="003848C7">
                <w:rPr>
                  <w:rStyle w:val="Hyperlink"/>
                  <w:lang w:val="fr-CH"/>
                </w:rPr>
                <w:t>é</w:t>
              </w:r>
              <w:r w:rsidRPr="003848C7">
                <w:rPr>
                  <w:rStyle w:val="Hyperlink"/>
                  <w:lang w:val="fr-CH"/>
                </w:rPr>
                <w:t>v1)</w:t>
              </w:r>
            </w:hyperlink>
            <w:r w:rsidRPr="003848C7">
              <w:rPr>
                <w:lang w:val="fr-CH"/>
              </w:rPr>
              <w:t>;</w:t>
            </w:r>
            <w:r w:rsidRPr="003848C7">
              <w:rPr>
                <w:i/>
                <w:iCs/>
                <w:lang w:val="fr-CH"/>
              </w:rPr>
              <w:t xml:space="preserve"> </w:t>
            </w:r>
            <w:hyperlink r:id="rId9" w:history="1">
              <w:r w:rsidR="00C946ED"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Résolution</w:t>
              </w:r>
              <w:r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 xml:space="preserve"> 2 (R</w:t>
              </w:r>
              <w:r w:rsidR="00C946ED"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é</w:t>
              </w:r>
              <w:r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 xml:space="preserve">v. </w:t>
              </w:r>
              <w:r w:rsidR="00C946ED"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Dubaï</w:t>
              </w:r>
              <w:r w:rsidRPr="003848C7">
                <w:rPr>
                  <w:rStyle w:val="Hyperlink"/>
                  <w:rFonts w:asciiTheme="minorHAnsi" w:hAnsiTheme="minorHAnsi" w:cstheme="minorHAnsi"/>
                  <w:szCs w:val="24"/>
                  <w:lang w:val="fr-CH"/>
                </w:rPr>
                <w:t>, 2018)</w:t>
              </w:r>
            </w:hyperlink>
            <w:bookmarkStart w:id="9" w:name="_GoBack"/>
            <w:bookmarkEnd w:id="8"/>
            <w:bookmarkEnd w:id="9"/>
            <w:r w:rsidR="003848C7" w:rsidRPr="003848C7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fr-CH"/>
              </w:rPr>
              <w:t xml:space="preserve"> de</w:t>
            </w:r>
            <w:r w:rsidR="003848C7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fr-CH"/>
              </w:rPr>
              <w:t xml:space="preserve"> la Conférence de plénipotentiaires</w:t>
            </w:r>
          </w:p>
        </w:tc>
      </w:tr>
    </w:tbl>
    <w:p w14:paraId="57E40129" w14:textId="3C51E86F" w:rsidR="00D74150" w:rsidRPr="003848C7" w:rsidRDefault="003848C7" w:rsidP="00747BBA">
      <w:pPr>
        <w:spacing w:before="360"/>
        <w:rPr>
          <w:lang w:val="fr-CH"/>
        </w:rPr>
      </w:pPr>
      <w:bookmarkStart w:id="10" w:name="lt_pId023"/>
      <w:r>
        <w:rPr>
          <w:lang w:val="fr-CH"/>
        </w:rPr>
        <w:t>1</w:t>
      </w:r>
      <w:r>
        <w:rPr>
          <w:lang w:val="fr-CH"/>
        </w:rPr>
        <w:tab/>
      </w:r>
      <w:r w:rsidR="002778CD" w:rsidRPr="003848C7">
        <w:rPr>
          <w:lang w:val="fr-CH"/>
        </w:rPr>
        <w:t>Le Forum mondial des politiques de télécommunication/TIC (FMPT) de l</w:t>
      </w:r>
      <w:r w:rsidR="00747BBA">
        <w:rPr>
          <w:lang w:val="fr-CH"/>
        </w:rPr>
        <w:t>'</w:t>
      </w:r>
      <w:r w:rsidR="002778CD" w:rsidRPr="003848C7">
        <w:rPr>
          <w:lang w:val="fr-CH"/>
        </w:rPr>
        <w:t>UIT a été établi par</w:t>
      </w:r>
      <w:r w:rsidR="00070458" w:rsidRPr="00D94671">
        <w:rPr>
          <w:lang w:val="fr-CH"/>
        </w:rPr>
        <w:t xml:space="preserve"> </w:t>
      </w:r>
      <w:r w:rsidR="002778CD" w:rsidRPr="003848C7">
        <w:rPr>
          <w:lang w:val="fr-CH"/>
        </w:rPr>
        <w:t>la Conférence de plénipotentiaires tenue en 1994 à Kyoto et fait aujourd</w:t>
      </w:r>
      <w:r w:rsidR="00747BBA">
        <w:rPr>
          <w:lang w:val="fr-CH"/>
        </w:rPr>
        <w:t>'</w:t>
      </w:r>
      <w:r w:rsidR="002778CD" w:rsidRPr="003848C7">
        <w:rPr>
          <w:lang w:val="fr-CH"/>
        </w:rPr>
        <w:t>hui l</w:t>
      </w:r>
      <w:r w:rsidR="00747BBA">
        <w:rPr>
          <w:lang w:val="fr-CH"/>
        </w:rPr>
        <w:t>'</w:t>
      </w:r>
      <w:r w:rsidR="002778CD" w:rsidRPr="003848C7">
        <w:rPr>
          <w:lang w:val="fr-CH"/>
        </w:rPr>
        <w:t>objet de la Résolution 2 (Rév. Dubaï, 2018) de la Conférence de plénipotentiaires.</w:t>
      </w:r>
      <w:bookmarkStart w:id="11" w:name="lt_pId025"/>
      <w:bookmarkEnd w:id="10"/>
      <w:r w:rsidR="00070458" w:rsidRPr="003848C7">
        <w:rPr>
          <w:spacing w:val="-2"/>
          <w:lang w:val="fr-CH"/>
        </w:rPr>
        <w:t xml:space="preserve"> Le</w:t>
      </w:r>
      <w:r w:rsidR="00D74150" w:rsidRPr="003848C7">
        <w:rPr>
          <w:lang w:val="fr-CH"/>
        </w:rPr>
        <w:t>s éditions de 1996, 1998, 2001, 2009 et 2013 du FMPT ont été couronnées de succès.</w:t>
      </w:r>
      <w:r w:rsidR="00070458" w:rsidRPr="003848C7">
        <w:rPr>
          <w:lang w:val="fr-CH"/>
        </w:rPr>
        <w:t xml:space="preserve"> Le rapport sur le FMPT-13 figure dans le Document </w:t>
      </w:r>
      <w:hyperlink r:id="rId10" w:history="1">
        <w:r w:rsidR="00E434CD">
          <w:rPr>
            <w:rStyle w:val="Hyperlink"/>
            <w:lang w:val="fr-CH"/>
          </w:rPr>
          <w:t>C13/64(Ré</w:t>
        </w:r>
        <w:r w:rsidR="00070458" w:rsidRPr="00D94671">
          <w:rPr>
            <w:rStyle w:val="Hyperlink"/>
            <w:lang w:val="fr-CH"/>
          </w:rPr>
          <w:t>v.1)</w:t>
        </w:r>
      </w:hyperlink>
      <w:r w:rsidR="00070458" w:rsidRPr="003848C7">
        <w:rPr>
          <w:lang w:val="fr-CH"/>
        </w:rPr>
        <w:t>.</w:t>
      </w:r>
      <w:bookmarkEnd w:id="11"/>
    </w:p>
    <w:p w14:paraId="04AD9B43" w14:textId="0FF632BB" w:rsidR="00C8157A" w:rsidRPr="00D94671" w:rsidRDefault="003848C7" w:rsidP="00747BBA">
      <w:pPr>
        <w:rPr>
          <w:rFonts w:cs="Calibri"/>
          <w:lang w:val="fr-CH" w:eastAsia="zh-CN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3B4D48" w:rsidRPr="00D94671">
        <w:rPr>
          <w:lang w:val="fr-CH"/>
        </w:rPr>
        <w:t>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objet du FMPT est de servir de cadre à 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échange de vues et d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informations et, partant, à 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élaboration, par des décideurs du monde entier, d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une vision commune des questions découlant de 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apparition de nouveaux services et de nouvelles technologies de télécommunication/TIC et d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 xml:space="preserve">étudier toute autre question de politique générale des télécommunications/TIC pour laquelle un échange de </w:t>
      </w:r>
      <w:r w:rsidR="003B4D48" w:rsidRPr="00D94671">
        <w:rPr>
          <w:lang w:val="fr-CH"/>
        </w:rPr>
        <w:lastRenderedPageBreak/>
        <w:t>vues au niveau mondial serait utile, en plus de 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adoption d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avis reflétant des points de vue communs.</w:t>
      </w:r>
      <w:r w:rsidR="00C8157A" w:rsidRPr="00D94671">
        <w:rPr>
          <w:rFonts w:cs="Calibri"/>
          <w:lang w:val="fr-CH" w:eastAsia="zh-CN"/>
        </w:rPr>
        <w:t xml:space="preserve"> </w:t>
      </w:r>
    </w:p>
    <w:p w14:paraId="132A0A92" w14:textId="3FCE9C5B" w:rsidR="00C8157A" w:rsidRPr="00D94671" w:rsidRDefault="003848C7" w:rsidP="00747BBA">
      <w:pPr>
        <w:rPr>
          <w:rFonts w:cs="Calibri"/>
          <w:lang w:val="fr-CH" w:eastAsia="zh-CN"/>
        </w:rPr>
      </w:pPr>
      <w:r>
        <w:rPr>
          <w:rFonts w:cs="Calibri"/>
          <w:lang w:val="fr-CH" w:eastAsia="zh-CN"/>
        </w:rPr>
        <w:t>3</w:t>
      </w:r>
      <w:r>
        <w:rPr>
          <w:rFonts w:cs="Calibri"/>
          <w:lang w:val="fr-CH" w:eastAsia="zh-CN"/>
        </w:rPr>
        <w:tab/>
      </w:r>
      <w:r w:rsidR="0072116D" w:rsidRPr="00D94671">
        <w:rPr>
          <w:lang w:val="fr-CH"/>
        </w:rPr>
        <w:t xml:space="preserve">Le </w:t>
      </w:r>
      <w:r w:rsidR="003B4D48" w:rsidRPr="00D94671">
        <w:rPr>
          <w:lang w:val="fr-CH"/>
        </w:rPr>
        <w:t>FMPT devrait continuer d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accorder une attention particulière aux intérêts et aux besoins des pays en développement, dans lesquels les techniques et les services modernes peuvent contribuer de façon significative au développement de l</w:t>
      </w:r>
      <w:r w:rsidR="00747BBA">
        <w:rPr>
          <w:lang w:val="fr-CH"/>
        </w:rPr>
        <w:t>'</w:t>
      </w:r>
      <w:r w:rsidR="003B4D48" w:rsidRPr="00D94671">
        <w:rPr>
          <w:lang w:val="fr-CH"/>
        </w:rPr>
        <w:t>infrastructure des télécommunications.</w:t>
      </w:r>
      <w:r w:rsidR="00C8157A" w:rsidRPr="00D94671">
        <w:rPr>
          <w:rFonts w:cs="Calibri"/>
          <w:lang w:val="fr-CH" w:eastAsia="zh-CN"/>
        </w:rPr>
        <w:t xml:space="preserve"> </w:t>
      </w:r>
    </w:p>
    <w:p w14:paraId="4EE4437A" w14:textId="7557E718" w:rsidR="0072116D" w:rsidRPr="003848C7" w:rsidRDefault="003848C7" w:rsidP="00747BBA">
      <w:pPr>
        <w:rPr>
          <w:rFonts w:cs="Calibri"/>
          <w:b/>
          <w:sz w:val="22"/>
          <w:lang w:val="fr-CH" w:eastAsia="zh-CN"/>
        </w:rPr>
      </w:pPr>
      <w:bookmarkStart w:id="12" w:name="lt_pId031"/>
      <w:r>
        <w:rPr>
          <w:rFonts w:cs="Calibri"/>
          <w:lang w:val="fr-CH" w:eastAsia="zh-CN"/>
        </w:rPr>
        <w:t>4</w:t>
      </w:r>
      <w:r>
        <w:rPr>
          <w:rFonts w:cs="Calibri"/>
          <w:lang w:val="fr-CH" w:eastAsia="zh-CN"/>
        </w:rPr>
        <w:tab/>
      </w:r>
      <w:r w:rsidR="0072116D" w:rsidRPr="00D94671">
        <w:rPr>
          <w:lang w:val="fr-CH"/>
        </w:rPr>
        <w:t>Pour veiller à ce qu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>ils soient bien ciblés, les débats du FMPT seront fondés exclusivement sur un rapport unique du Secrétaire général ainsi que sur les contributions soumises par les participants d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 xml:space="preserve">après ce rapport, établi selon une procédure adoptée par le Conseil, sur la base des propositions des </w:t>
      </w:r>
      <w:r w:rsidR="00747BBA">
        <w:rPr>
          <w:lang w:val="fr-CH"/>
        </w:rPr>
        <w:t>É</w:t>
      </w:r>
      <w:r>
        <w:rPr>
          <w:lang w:val="fr-CH"/>
        </w:rPr>
        <w:t>tats Membres et des Membres de</w:t>
      </w:r>
      <w:r w:rsidR="0072116D" w:rsidRPr="00D94671">
        <w:rPr>
          <w:lang w:val="fr-CH"/>
        </w:rPr>
        <w:t xml:space="preserve"> Secteur, et des vues des Associés, des </w:t>
      </w:r>
      <w:r w:rsidR="0072116D" w:rsidRPr="003848C7">
        <w:rPr>
          <w:lang w:val="fr-CH"/>
        </w:rPr>
        <w:t>établissements universitaires et des parties prenantes.</w:t>
      </w:r>
      <w:bookmarkEnd w:id="12"/>
    </w:p>
    <w:p w14:paraId="25FD8141" w14:textId="43633537" w:rsidR="0072116D" w:rsidRPr="00D94671" w:rsidRDefault="003848C7" w:rsidP="00747BBA">
      <w:pPr>
        <w:rPr>
          <w:lang w:val="fr-CH"/>
        </w:rPr>
      </w:pPr>
      <w:bookmarkStart w:id="13" w:name="lt_pId033"/>
      <w:r>
        <w:rPr>
          <w:lang w:val="fr-CH"/>
        </w:rPr>
        <w:t>5</w:t>
      </w:r>
      <w:r>
        <w:rPr>
          <w:lang w:val="fr-CH"/>
        </w:rPr>
        <w:tab/>
      </w:r>
      <w:r w:rsidR="0072116D" w:rsidRPr="00D94671">
        <w:rPr>
          <w:lang w:val="fr-CH"/>
        </w:rPr>
        <w:t>Le FMPT ne doit pas produire de règlements contraignants; toutefois, il établira des rapports et adoptera des avis, par consensus, qu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 xml:space="preserve">il soumettra aux </w:t>
      </w:r>
      <w:r w:rsidR="00747BBA">
        <w:rPr>
          <w:lang w:val="fr-CH"/>
        </w:rPr>
        <w:t>É</w:t>
      </w:r>
      <w:r w:rsidR="0072116D" w:rsidRPr="00D94671">
        <w:rPr>
          <w:lang w:val="fr-CH"/>
        </w:rPr>
        <w:t>tats Membres et aux Membres de Secteur ainsi qu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>aux réunions compétentes de l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>UIT.</w:t>
      </w:r>
    </w:p>
    <w:bookmarkEnd w:id="13"/>
    <w:p w14:paraId="09545D9A" w14:textId="4328DA46" w:rsidR="0072116D" w:rsidRPr="00D94671" w:rsidRDefault="003848C7" w:rsidP="00747BBA">
      <w:pPr>
        <w:rPr>
          <w:lang w:val="fr-CH"/>
        </w:rPr>
      </w:pPr>
      <w:r>
        <w:rPr>
          <w:lang w:val="fr-CH"/>
        </w:rPr>
        <w:t>6</w:t>
      </w:r>
      <w:r w:rsidR="00C8157A" w:rsidRPr="00D94671">
        <w:rPr>
          <w:lang w:val="fr-CH"/>
        </w:rPr>
        <w:tab/>
      </w:r>
      <w:bookmarkStart w:id="14" w:name="lt_pId035"/>
      <w:r w:rsidR="0072116D" w:rsidRPr="00D94671">
        <w:rPr>
          <w:lang w:val="fr-CH"/>
        </w:rPr>
        <w:t xml:space="preserve">Le FMPT sera ouvert à tous les </w:t>
      </w:r>
      <w:r w:rsidR="00747BBA">
        <w:rPr>
          <w:lang w:val="fr-CH"/>
        </w:rPr>
        <w:t>É</w:t>
      </w:r>
      <w:r w:rsidR="0072116D" w:rsidRPr="00D94671">
        <w:rPr>
          <w:lang w:val="fr-CH"/>
        </w:rPr>
        <w:t xml:space="preserve">tats Membres et à tous les Membres de Secteur; toutefois, le cas échéant, par décision de la majorité des représentants des </w:t>
      </w:r>
      <w:r w:rsidR="00747BBA">
        <w:rPr>
          <w:lang w:val="fr-CH"/>
        </w:rPr>
        <w:t>É</w:t>
      </w:r>
      <w:r w:rsidR="0072116D" w:rsidRPr="00D94671">
        <w:rPr>
          <w:lang w:val="fr-CH"/>
        </w:rPr>
        <w:t>tats Membres, une session spéciale pourra être organisée à l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 xml:space="preserve">intention des seuls </w:t>
      </w:r>
      <w:r w:rsidR="00747BBA">
        <w:rPr>
          <w:lang w:val="fr-CH"/>
        </w:rPr>
        <w:t>É</w:t>
      </w:r>
      <w:r w:rsidR="0072116D" w:rsidRPr="00D94671">
        <w:rPr>
          <w:lang w:val="fr-CH"/>
        </w:rPr>
        <w:t>tats Membres.</w:t>
      </w:r>
    </w:p>
    <w:bookmarkEnd w:id="14"/>
    <w:p w14:paraId="04979F43" w14:textId="280A0062" w:rsidR="0072116D" w:rsidRPr="00D94671" w:rsidRDefault="003848C7" w:rsidP="00747BBA">
      <w:pPr>
        <w:rPr>
          <w:highlight w:val="cyan"/>
          <w:lang w:val="fr-CH"/>
        </w:rPr>
      </w:pPr>
      <w:r>
        <w:rPr>
          <w:rFonts w:cs="Calibri"/>
          <w:szCs w:val="24"/>
          <w:lang w:val="fr-CH" w:eastAsia="zh-CN"/>
        </w:rPr>
        <w:t>7</w:t>
      </w:r>
      <w:r w:rsidR="00C8157A" w:rsidRPr="00D94671">
        <w:rPr>
          <w:rFonts w:cs="Calibri"/>
          <w:szCs w:val="24"/>
          <w:lang w:val="fr-CH" w:eastAsia="zh-CN"/>
        </w:rPr>
        <w:tab/>
      </w:r>
      <w:bookmarkStart w:id="15" w:name="lt_pId037"/>
      <w:r>
        <w:rPr>
          <w:rFonts w:cs="Calibri"/>
          <w:szCs w:val="24"/>
          <w:lang w:val="fr-CH" w:eastAsia="zh-CN"/>
        </w:rPr>
        <w:t>Par s</w:t>
      </w:r>
      <w:r w:rsidR="0072116D" w:rsidRPr="00D94671">
        <w:rPr>
          <w:rFonts w:cs="Calibri"/>
          <w:szCs w:val="24"/>
          <w:lang w:val="fr-CH" w:eastAsia="zh-CN"/>
        </w:rPr>
        <w:t>a Ré</w:t>
      </w:r>
      <w:r w:rsidR="00C8157A" w:rsidRPr="00D94671">
        <w:rPr>
          <w:rFonts w:cs="Calibri"/>
          <w:szCs w:val="24"/>
          <w:lang w:val="fr-CH" w:eastAsia="zh-CN"/>
        </w:rPr>
        <w:t>solution 2 (R</w:t>
      </w:r>
      <w:r w:rsidR="0072116D" w:rsidRPr="00D94671">
        <w:rPr>
          <w:rFonts w:cs="Calibri"/>
          <w:szCs w:val="24"/>
          <w:lang w:val="fr-CH" w:eastAsia="zh-CN"/>
        </w:rPr>
        <w:t>é</w:t>
      </w:r>
      <w:r w:rsidR="00C8157A" w:rsidRPr="00D94671">
        <w:rPr>
          <w:rFonts w:cs="Calibri"/>
          <w:szCs w:val="24"/>
          <w:lang w:val="fr-CH" w:eastAsia="zh-CN"/>
        </w:rPr>
        <w:t>v. Duba</w:t>
      </w:r>
      <w:r w:rsidR="0072116D" w:rsidRPr="00D94671">
        <w:rPr>
          <w:rFonts w:cs="Calibri"/>
          <w:szCs w:val="24"/>
          <w:lang w:val="fr-CH" w:eastAsia="zh-CN"/>
        </w:rPr>
        <w:t>ï</w:t>
      </w:r>
      <w:r w:rsidR="00C8157A" w:rsidRPr="00D94671">
        <w:rPr>
          <w:rFonts w:cs="Calibri"/>
          <w:szCs w:val="24"/>
          <w:lang w:val="fr-CH" w:eastAsia="zh-CN"/>
        </w:rPr>
        <w:t>, 2018)</w:t>
      </w:r>
      <w:r>
        <w:rPr>
          <w:rFonts w:cs="Calibri"/>
          <w:szCs w:val="24"/>
          <w:lang w:val="fr-CH" w:eastAsia="zh-CN"/>
        </w:rPr>
        <w:t>,</w:t>
      </w:r>
      <w:r w:rsidR="00C8157A" w:rsidRPr="00D94671">
        <w:rPr>
          <w:rFonts w:cs="Calibri"/>
          <w:szCs w:val="24"/>
          <w:lang w:val="fr-CH" w:eastAsia="zh-CN"/>
        </w:rPr>
        <w:t xml:space="preserve"> </w:t>
      </w:r>
      <w:r w:rsidR="004640E3">
        <w:rPr>
          <w:rFonts w:cs="Calibri"/>
          <w:szCs w:val="24"/>
          <w:lang w:val="fr-CH" w:eastAsia="zh-CN"/>
        </w:rPr>
        <w:t xml:space="preserve">la Conférence de plénipotentiaires </w:t>
      </w:r>
      <w:r>
        <w:rPr>
          <w:rFonts w:cs="Calibri"/>
          <w:szCs w:val="24"/>
          <w:lang w:val="fr-CH" w:eastAsia="zh-CN"/>
        </w:rPr>
        <w:t xml:space="preserve">a décidé </w:t>
      </w:r>
      <w:r>
        <w:rPr>
          <w:lang w:val="fr-CH"/>
        </w:rPr>
        <w:t>que le </w:t>
      </w:r>
      <w:r w:rsidR="0072116D" w:rsidRPr="00D94671">
        <w:rPr>
          <w:color w:val="000000"/>
          <w:lang w:val="fr-CH"/>
        </w:rPr>
        <w:t xml:space="preserve">FMPT se tiendra de préférence juste avant ou juste après le Forum du SMSI de 2021, compte tenu de la nécessité de veiller à ce que les </w:t>
      </w:r>
      <w:r w:rsidR="00747BBA">
        <w:rPr>
          <w:color w:val="000000"/>
          <w:lang w:val="fr-CH"/>
        </w:rPr>
        <w:t>É</w:t>
      </w:r>
      <w:r w:rsidR="0072116D" w:rsidRPr="00D94671">
        <w:rPr>
          <w:color w:val="000000"/>
          <w:lang w:val="fr-CH"/>
        </w:rPr>
        <w:t>tats Membres puissent bien se préparer.</w:t>
      </w:r>
    </w:p>
    <w:bookmarkEnd w:id="15"/>
    <w:p w14:paraId="47C5774D" w14:textId="748F2194" w:rsidR="00C8157A" w:rsidRPr="003848C7" w:rsidRDefault="003848C7" w:rsidP="00747BBA">
      <w:pPr>
        <w:rPr>
          <w:lang w:val="fr-CH"/>
        </w:rPr>
      </w:pPr>
      <w:r>
        <w:rPr>
          <w:lang w:val="fr-CH"/>
        </w:rPr>
        <w:t>8</w:t>
      </w:r>
      <w:r w:rsidR="00C8157A" w:rsidRPr="00D94671">
        <w:rPr>
          <w:lang w:val="fr-CH"/>
        </w:rPr>
        <w:tab/>
      </w:r>
      <w:bookmarkStart w:id="16" w:name="lt_pId039"/>
      <w:r>
        <w:rPr>
          <w:lang w:val="fr-CH"/>
        </w:rPr>
        <w:t>Aux termes de l</w:t>
      </w:r>
      <w:r w:rsidR="0072116D" w:rsidRPr="00D94671">
        <w:rPr>
          <w:lang w:val="fr-CH"/>
        </w:rPr>
        <w:t>a Ré</w:t>
      </w:r>
      <w:r w:rsidR="00C8157A" w:rsidRPr="00D94671">
        <w:rPr>
          <w:lang w:val="fr-CH"/>
        </w:rPr>
        <w:t>solution 2 (R</w:t>
      </w:r>
      <w:r w:rsidR="0072116D" w:rsidRPr="00D94671">
        <w:rPr>
          <w:lang w:val="fr-CH"/>
        </w:rPr>
        <w:t>é</w:t>
      </w:r>
      <w:r w:rsidR="00C8157A" w:rsidRPr="00D94671">
        <w:rPr>
          <w:lang w:val="fr-CH"/>
        </w:rPr>
        <w:t>v. Duba</w:t>
      </w:r>
      <w:r w:rsidR="0072116D" w:rsidRPr="00D94671">
        <w:rPr>
          <w:lang w:val="fr-CH"/>
        </w:rPr>
        <w:t>ï</w:t>
      </w:r>
      <w:r>
        <w:rPr>
          <w:lang w:val="fr-CH"/>
        </w:rPr>
        <w:t xml:space="preserve">, 2018), </w:t>
      </w:r>
      <w:r w:rsidR="0072116D" w:rsidRPr="00D94671">
        <w:rPr>
          <w:lang w:val="fr-CH"/>
        </w:rPr>
        <w:t>le Conseil de l</w:t>
      </w:r>
      <w:r w:rsidR="00747BBA">
        <w:rPr>
          <w:lang w:val="fr-CH"/>
        </w:rPr>
        <w:t>'</w:t>
      </w:r>
      <w:r w:rsidR="0072116D" w:rsidRPr="00D94671">
        <w:rPr>
          <w:lang w:val="fr-CH"/>
        </w:rPr>
        <w:t>UIT</w:t>
      </w:r>
      <w:bookmarkEnd w:id="16"/>
      <w:r>
        <w:rPr>
          <w:lang w:val="fr-CH"/>
        </w:rPr>
        <w:t xml:space="preserve"> est chargé</w:t>
      </w:r>
      <w:r w:rsidR="0072116D" w:rsidRPr="00D94671">
        <w:rPr>
          <w:lang w:val="fr-CH"/>
        </w:rPr>
        <w:t xml:space="preserve">: </w:t>
      </w:r>
    </w:p>
    <w:p w14:paraId="7D7E9405" w14:textId="67DBC4EE" w:rsidR="0072116D" w:rsidRPr="00D94671" w:rsidRDefault="0072116D" w:rsidP="00747BBA">
      <w:pPr>
        <w:pStyle w:val="enumlev1"/>
        <w:rPr>
          <w:lang w:val="fr-CH"/>
        </w:rPr>
      </w:pPr>
      <w:r w:rsidRPr="00D94671">
        <w:rPr>
          <w:lang w:val="fr-CH"/>
        </w:rPr>
        <w:t>•</w:t>
      </w:r>
      <w:r w:rsidRPr="00D94671">
        <w:rPr>
          <w:lang w:val="fr-CH"/>
        </w:rPr>
        <w:tab/>
        <w:t>de continuer d</w:t>
      </w:r>
      <w:r w:rsidR="00747BBA">
        <w:rPr>
          <w:lang w:val="fr-CH"/>
        </w:rPr>
        <w:t>'</w:t>
      </w:r>
      <w:r w:rsidRPr="00D94671">
        <w:rPr>
          <w:lang w:val="fr-CH"/>
        </w:rPr>
        <w:t>arrêter la durée, les dates, le lieu, l</w:t>
      </w:r>
      <w:r w:rsidR="00747BBA">
        <w:rPr>
          <w:lang w:val="fr-CH"/>
        </w:rPr>
        <w:t>'</w:t>
      </w:r>
      <w:r w:rsidRPr="00D94671">
        <w:rPr>
          <w:lang w:val="fr-CH"/>
        </w:rPr>
        <w:t>ordre du jour et les thèmes des FMPT qui pourraient être organisés dans l</w:t>
      </w:r>
      <w:r w:rsidR="00747BBA">
        <w:rPr>
          <w:lang w:val="fr-CH"/>
        </w:rPr>
        <w:t>'</w:t>
      </w:r>
      <w:r w:rsidRPr="00D94671">
        <w:rPr>
          <w:lang w:val="fr-CH"/>
        </w:rPr>
        <w:t>avenir;</w:t>
      </w:r>
    </w:p>
    <w:p w14:paraId="7C0175DB" w14:textId="49116579" w:rsidR="0072116D" w:rsidRPr="00D94671" w:rsidRDefault="0072116D" w:rsidP="00747BBA">
      <w:pPr>
        <w:pStyle w:val="enumlev1"/>
        <w:rPr>
          <w:lang w:val="fr-CH"/>
        </w:rPr>
      </w:pPr>
      <w:r w:rsidRPr="00D94671">
        <w:rPr>
          <w:lang w:val="fr-CH"/>
        </w:rPr>
        <w:t>•</w:t>
      </w:r>
      <w:r w:rsidRPr="00D94671">
        <w:rPr>
          <w:lang w:val="fr-CH"/>
        </w:rPr>
        <w:tab/>
        <w:t>d</w:t>
      </w:r>
      <w:r w:rsidR="00747BBA">
        <w:rPr>
          <w:lang w:val="fr-CH"/>
        </w:rPr>
        <w:t>'</w:t>
      </w:r>
      <w:r w:rsidRPr="00D94671">
        <w:rPr>
          <w:lang w:val="fr-CH"/>
        </w:rPr>
        <w:t>adopter une procédure pour l</w:t>
      </w:r>
      <w:r w:rsidR="00747BBA">
        <w:rPr>
          <w:lang w:val="fr-CH"/>
        </w:rPr>
        <w:t>'</w:t>
      </w:r>
      <w:r w:rsidRPr="00D94671">
        <w:rPr>
          <w:lang w:val="fr-CH"/>
        </w:rPr>
        <w:t>élaboration du rapport du Secrétaire général;</w:t>
      </w:r>
    </w:p>
    <w:p w14:paraId="5F133E14" w14:textId="12EEDE25" w:rsidR="0072116D" w:rsidRPr="00D94671" w:rsidRDefault="0072116D" w:rsidP="00747BBA">
      <w:pPr>
        <w:pStyle w:val="enumlev1"/>
        <w:rPr>
          <w:lang w:val="fr-CH"/>
        </w:rPr>
      </w:pPr>
      <w:r w:rsidRPr="00D94671">
        <w:rPr>
          <w:lang w:val="fr-CH"/>
        </w:rPr>
        <w:lastRenderedPageBreak/>
        <w:t>•</w:t>
      </w:r>
      <w:r w:rsidRPr="00D94671">
        <w:rPr>
          <w:lang w:val="fr-CH"/>
        </w:rPr>
        <w:tab/>
        <w:t xml:space="preserve">que la procédure visée au point 2 du </w:t>
      </w:r>
      <w:r w:rsidRPr="00D94671">
        <w:rPr>
          <w:i/>
          <w:iCs/>
          <w:lang w:val="fr-CH"/>
        </w:rPr>
        <w:t>charge le Conseil de l</w:t>
      </w:r>
      <w:r w:rsidR="00747BBA">
        <w:rPr>
          <w:i/>
          <w:iCs/>
          <w:lang w:val="fr-CH"/>
        </w:rPr>
        <w:t>'</w:t>
      </w:r>
      <w:r w:rsidRPr="00D94671">
        <w:rPr>
          <w:i/>
          <w:iCs/>
          <w:lang w:val="fr-CH"/>
        </w:rPr>
        <w:t>UIT</w:t>
      </w:r>
      <w:r w:rsidRPr="00D94671">
        <w:rPr>
          <w:lang w:val="fr-CH"/>
        </w:rPr>
        <w:t xml:space="preserve"> devrait être ouverte à la participation de tous les </w:t>
      </w:r>
      <w:r w:rsidR="00747BBA">
        <w:rPr>
          <w:lang w:val="fr-CH"/>
        </w:rPr>
        <w:t>É</w:t>
      </w:r>
      <w:r w:rsidRPr="00D94671">
        <w:rPr>
          <w:lang w:val="fr-CH"/>
        </w:rPr>
        <w:t>tats Membres et de tous les Membres de Secteur, selon qu</w:t>
      </w:r>
      <w:r w:rsidR="00747BBA">
        <w:rPr>
          <w:lang w:val="fr-CH"/>
        </w:rPr>
        <w:t>'</w:t>
      </w:r>
      <w:r w:rsidRPr="00D94671">
        <w:rPr>
          <w:lang w:val="fr-CH"/>
        </w:rPr>
        <w:t>il conviendra, et comprendre des consultations publiques en ligne ouvertes à toutes les parties prenantes intéressées, compte tenu de la pratique suivie antérieurement et de l</w:t>
      </w:r>
      <w:r w:rsidR="00747BBA">
        <w:rPr>
          <w:lang w:val="fr-CH"/>
        </w:rPr>
        <w:t>'</w:t>
      </w:r>
      <w:r w:rsidRPr="00D94671">
        <w:rPr>
          <w:lang w:val="fr-CH"/>
        </w:rPr>
        <w:t>expérience acquise par l</w:t>
      </w:r>
      <w:r w:rsidR="00747BBA">
        <w:rPr>
          <w:lang w:val="fr-CH"/>
        </w:rPr>
        <w:t>'</w:t>
      </w:r>
      <w:r w:rsidRPr="00D94671">
        <w:rPr>
          <w:lang w:val="fr-CH"/>
        </w:rPr>
        <w:t>UIT, y compris en ce qui concerne le processus préparatoire, concernant la tenue des éditions précédentes du FMPT</w:t>
      </w:r>
      <w:r w:rsidR="002E6F63" w:rsidRPr="00D94671">
        <w:rPr>
          <w:lang w:val="fr-CH"/>
        </w:rPr>
        <w:t>.</w:t>
      </w:r>
    </w:p>
    <w:p w14:paraId="2A67C07A" w14:textId="6ABF2DE3" w:rsidR="002E6F63" w:rsidRPr="003848C7" w:rsidRDefault="003848C7" w:rsidP="00747BBA">
      <w:pPr>
        <w:spacing w:after="240"/>
        <w:rPr>
          <w:lang w:val="fr-CH"/>
        </w:rPr>
      </w:pPr>
      <w:r>
        <w:rPr>
          <w:lang w:val="fr-CH"/>
        </w:rPr>
        <w:t>9</w:t>
      </w:r>
      <w:r w:rsidR="00C8157A" w:rsidRPr="003848C7">
        <w:rPr>
          <w:lang w:val="fr-CH"/>
        </w:rPr>
        <w:tab/>
      </w:r>
      <w:r w:rsidR="002E6F63" w:rsidRPr="003848C7">
        <w:rPr>
          <w:lang w:val="fr-CH"/>
        </w:rPr>
        <w:t xml:space="preserve">Le calendrier proposé pour la préparation du </w:t>
      </w:r>
      <w:r w:rsidR="002E6F63" w:rsidRPr="00D94671">
        <w:rPr>
          <w:lang w:val="fr-CH"/>
        </w:rPr>
        <w:t>FMPT-2021 est le suivant:</w:t>
      </w:r>
    </w:p>
    <w:tbl>
      <w:tblPr>
        <w:tblW w:w="92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817"/>
      </w:tblGrid>
      <w:tr w:rsidR="00C8157A" w:rsidRPr="00D94671" w14:paraId="511963E4" w14:textId="77777777" w:rsidTr="00747BBA">
        <w:trPr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2357" w14:textId="67DD2D20" w:rsidR="00C8157A" w:rsidRPr="003848C7" w:rsidRDefault="002E6F63" w:rsidP="00747BBA">
            <w:pPr>
              <w:pStyle w:val="Tablehead"/>
              <w:rPr>
                <w:rFonts w:eastAsiaTheme="minorEastAsia"/>
                <w:lang w:val="fr-CH" w:eastAsia="zh-CN"/>
              </w:rPr>
            </w:pPr>
            <w:r w:rsidRPr="003848C7">
              <w:rPr>
                <w:rFonts w:eastAsiaTheme="minorEastAsia"/>
                <w:lang w:val="fr-CH" w:eastAsia="zh-CN"/>
              </w:rPr>
              <w:t>Calendrier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81A4" w14:textId="77777777" w:rsidR="00C8157A" w:rsidRPr="003848C7" w:rsidRDefault="00C8157A" w:rsidP="00747BBA">
            <w:pPr>
              <w:pStyle w:val="Tablehead"/>
              <w:rPr>
                <w:rFonts w:eastAsiaTheme="minorEastAsia"/>
                <w:lang w:val="fr-CH" w:eastAsia="zh-CN"/>
              </w:rPr>
            </w:pPr>
          </w:p>
        </w:tc>
      </w:tr>
      <w:tr w:rsidR="00C8157A" w:rsidRPr="00D94671" w14:paraId="695ACCA1" w14:textId="77777777" w:rsidTr="00747BBA">
        <w:trPr>
          <w:trHeight w:val="71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1092" w14:textId="642386A4" w:rsidR="00C8157A" w:rsidRPr="003848C7" w:rsidRDefault="00C8157A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17" w:name="lt_pId046"/>
            <w:r w:rsidRPr="003848C7">
              <w:rPr>
                <w:rFonts w:eastAsiaTheme="minorEastAsia"/>
                <w:lang w:val="fr-CH" w:eastAsia="zh-CN"/>
              </w:rPr>
              <w:t>Septemb</w:t>
            </w:r>
            <w:r w:rsidR="009F3788" w:rsidRPr="003848C7">
              <w:rPr>
                <w:rFonts w:eastAsiaTheme="minorEastAsia"/>
                <w:lang w:val="fr-CH" w:eastAsia="zh-CN"/>
              </w:rPr>
              <w:t>r</w:t>
            </w:r>
            <w:r w:rsidRPr="003848C7">
              <w:rPr>
                <w:rFonts w:eastAsiaTheme="minorEastAsia"/>
                <w:lang w:val="fr-CH" w:eastAsia="zh-CN"/>
              </w:rPr>
              <w:t>e 2019</w:t>
            </w:r>
            <w:bookmarkEnd w:id="17"/>
            <w:r w:rsidRPr="003848C7">
              <w:rPr>
                <w:rFonts w:eastAsiaTheme="minorEastAsia"/>
                <w:lang w:val="fr-CH" w:eastAsia="zh-CN"/>
              </w:rPr>
              <w:br/>
            </w:r>
            <w:bookmarkStart w:id="18" w:name="lt_pId047"/>
            <w:r w:rsidRPr="003848C7">
              <w:rPr>
                <w:rFonts w:eastAsiaTheme="minorEastAsia"/>
                <w:lang w:val="fr-CH" w:eastAsia="zh-CN"/>
              </w:rPr>
              <w:t>(</w:t>
            </w:r>
            <w:r w:rsidR="002E6F63" w:rsidRPr="003848C7">
              <w:rPr>
                <w:rFonts w:eastAsiaTheme="minorEastAsia"/>
                <w:lang w:val="fr-CH" w:eastAsia="zh-CN"/>
              </w:rPr>
              <w:t>dans le cadre</w:t>
            </w:r>
            <w:r w:rsidR="007C1EAB" w:rsidRPr="003848C7">
              <w:rPr>
                <w:rFonts w:eastAsiaTheme="minorEastAsia"/>
                <w:lang w:val="fr-CH" w:eastAsia="zh-CN"/>
              </w:rPr>
              <w:t xml:space="preserve"> de la série de réunions des GTC</w:t>
            </w:r>
            <w:r w:rsidRPr="003848C7">
              <w:rPr>
                <w:rFonts w:eastAsiaTheme="minorEastAsia"/>
                <w:lang w:val="fr-CH" w:eastAsia="zh-CN"/>
              </w:rPr>
              <w:t>)</w:t>
            </w:r>
            <w:bookmarkEnd w:id="18"/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9CB6" w14:textId="7FD898A4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19" w:name="lt_pId048"/>
            <w:r w:rsidRPr="00D94671">
              <w:rPr>
                <w:rFonts w:eastAsiaTheme="minorEastAsia"/>
                <w:lang w:val="fr-CH" w:eastAsia="zh-CN"/>
              </w:rPr>
              <w:t>1</w:t>
            </w:r>
            <w:r w:rsidRPr="003848C7">
              <w:rPr>
                <w:rFonts w:eastAsiaTheme="minorEastAsia"/>
              </w:rPr>
              <w:t>ère</w:t>
            </w:r>
            <w:r w:rsidRPr="00D94671">
              <w:rPr>
                <w:rFonts w:eastAsiaTheme="minorEastAsia"/>
                <w:lang w:val="fr-CH" w:eastAsia="zh-CN"/>
              </w:rPr>
              <w:t xml:space="preserve"> réunion du Groupe informel d</w:t>
            </w:r>
            <w:r w:rsidR="00747BBA">
              <w:rPr>
                <w:rFonts w:eastAsiaTheme="minorEastAsia"/>
                <w:lang w:val="fr-CH" w:eastAsia="zh-CN"/>
              </w:rPr>
              <w:t>'</w:t>
            </w:r>
            <w:r w:rsidRPr="00D94671">
              <w:rPr>
                <w:rFonts w:eastAsiaTheme="minorEastAsia"/>
                <w:lang w:val="fr-CH" w:eastAsia="zh-CN"/>
              </w:rPr>
              <w:t>experts (GIE)</w:t>
            </w:r>
            <w:bookmarkEnd w:id="19"/>
            <w:r w:rsidR="009F3788" w:rsidRPr="003848C7">
              <w:rPr>
                <w:rFonts w:eastAsiaTheme="minorEastAsia"/>
                <w:lang w:val="fr-CH" w:eastAsia="zh-CN"/>
              </w:rPr>
              <w:br/>
            </w:r>
            <w:bookmarkStart w:id="20" w:name="lt_pId049"/>
            <w:r w:rsidR="00C8157A" w:rsidRPr="003848C7">
              <w:rPr>
                <w:rFonts w:eastAsiaTheme="minorEastAsia"/>
                <w:lang w:val="fr-CH" w:eastAsia="zh-CN"/>
              </w:rPr>
              <w:t xml:space="preserve">(2 </w:t>
            </w:r>
            <w:r w:rsidRPr="003848C7">
              <w:rPr>
                <w:rFonts w:eastAsiaTheme="minorEastAsia"/>
                <w:lang w:val="fr-CH" w:eastAsia="zh-CN"/>
              </w:rPr>
              <w:t>jours</w:t>
            </w:r>
            <w:r w:rsidR="00C8157A" w:rsidRPr="003848C7">
              <w:rPr>
                <w:rFonts w:eastAsiaTheme="minorEastAsia"/>
                <w:lang w:val="fr-CH" w:eastAsia="zh-CN"/>
              </w:rPr>
              <w:t>)</w:t>
            </w:r>
            <w:bookmarkEnd w:id="20"/>
          </w:p>
        </w:tc>
      </w:tr>
      <w:tr w:rsidR="00C8157A" w:rsidRPr="00D94671" w14:paraId="584BF71D" w14:textId="77777777" w:rsidTr="00747BBA">
        <w:trPr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2683" w14:textId="2A4D800D" w:rsidR="00C8157A" w:rsidRPr="003848C7" w:rsidRDefault="009F3788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1" w:name="lt_pId050"/>
            <w:r w:rsidRPr="003848C7">
              <w:rPr>
                <w:rFonts w:eastAsiaTheme="minorEastAsia"/>
                <w:lang w:val="fr-CH" w:eastAsia="zh-CN"/>
              </w:rPr>
              <w:t>Février</w:t>
            </w:r>
            <w:r w:rsidR="00C8157A" w:rsidRPr="003848C7">
              <w:rPr>
                <w:rFonts w:eastAsiaTheme="minorEastAsia"/>
                <w:lang w:val="fr-CH" w:eastAsia="zh-CN"/>
              </w:rPr>
              <w:t xml:space="preserve"> 2020</w:t>
            </w:r>
            <w:bookmarkEnd w:id="21"/>
          </w:p>
          <w:p w14:paraId="6BF74A40" w14:textId="17C03040" w:rsidR="00C8157A" w:rsidRPr="003848C7" w:rsidRDefault="00C8157A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2" w:name="lt_pId051"/>
            <w:r w:rsidRPr="003848C7">
              <w:rPr>
                <w:rFonts w:eastAsiaTheme="minorEastAsia"/>
                <w:lang w:val="fr-CH" w:eastAsia="zh-CN"/>
              </w:rPr>
              <w:t>(</w:t>
            </w:r>
            <w:r w:rsidR="007C1EAB" w:rsidRPr="00D94671">
              <w:rPr>
                <w:rFonts w:eastAsiaTheme="minorEastAsia"/>
                <w:lang w:val="fr-CH" w:eastAsia="zh-CN"/>
              </w:rPr>
              <w:t>dans le cadre de la série de réunions des GTC</w:t>
            </w:r>
            <w:r w:rsidRPr="003848C7">
              <w:rPr>
                <w:rFonts w:eastAsiaTheme="minorEastAsia"/>
                <w:lang w:val="fr-CH" w:eastAsia="zh-CN"/>
              </w:rPr>
              <w:t>)</w:t>
            </w:r>
            <w:bookmarkEnd w:id="22"/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7137" w14:textId="0DE51BDA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3" w:name="lt_pId052"/>
            <w:r w:rsidRPr="00D94671">
              <w:rPr>
                <w:rFonts w:eastAsiaTheme="minorEastAsia"/>
                <w:lang w:val="fr-CH" w:eastAsia="zh-CN"/>
              </w:rPr>
              <w:t>2</w:t>
            </w:r>
            <w:r w:rsidRPr="003848C7">
              <w:rPr>
                <w:rFonts w:eastAsiaTheme="minorEastAsia"/>
                <w:lang w:val="fr-CH" w:eastAsia="zh-CN"/>
              </w:rPr>
              <w:t xml:space="preserve">ème </w:t>
            </w:r>
            <w:r w:rsidRPr="00D94671">
              <w:rPr>
                <w:rFonts w:eastAsiaTheme="minorEastAsia"/>
                <w:lang w:val="fr-CH" w:eastAsia="zh-CN"/>
              </w:rPr>
              <w:t>réunion du Groupe informel d</w:t>
            </w:r>
            <w:r w:rsidR="00747BBA">
              <w:rPr>
                <w:rFonts w:eastAsiaTheme="minorEastAsia"/>
                <w:lang w:val="fr-CH" w:eastAsia="zh-CN"/>
              </w:rPr>
              <w:t>'</w:t>
            </w:r>
            <w:r w:rsidRPr="00D94671">
              <w:rPr>
                <w:rFonts w:eastAsiaTheme="minorEastAsia"/>
                <w:lang w:val="fr-CH" w:eastAsia="zh-CN"/>
              </w:rPr>
              <w:t>experts (GIE)</w:t>
            </w:r>
            <w:bookmarkEnd w:id="23"/>
            <w:r w:rsidR="009F3788" w:rsidRPr="003848C7">
              <w:rPr>
                <w:rFonts w:eastAsiaTheme="minorEastAsia"/>
                <w:lang w:val="fr-CH" w:eastAsia="zh-CN"/>
              </w:rPr>
              <w:br/>
            </w:r>
            <w:bookmarkStart w:id="24" w:name="lt_pId053"/>
            <w:r w:rsidR="00C8157A" w:rsidRPr="003848C7">
              <w:rPr>
                <w:rFonts w:eastAsiaTheme="minorEastAsia"/>
                <w:lang w:val="fr-CH" w:eastAsia="zh-CN"/>
              </w:rPr>
              <w:t xml:space="preserve">(2 </w:t>
            </w:r>
            <w:r w:rsidRPr="003848C7">
              <w:rPr>
                <w:rFonts w:eastAsiaTheme="minorEastAsia"/>
                <w:lang w:val="fr-CH" w:eastAsia="zh-CN"/>
              </w:rPr>
              <w:t>jours</w:t>
            </w:r>
            <w:r w:rsidR="00C8157A" w:rsidRPr="003848C7">
              <w:rPr>
                <w:rFonts w:eastAsiaTheme="minorEastAsia"/>
                <w:lang w:val="fr-CH" w:eastAsia="zh-CN"/>
              </w:rPr>
              <w:t>)</w:t>
            </w:r>
            <w:bookmarkEnd w:id="24"/>
          </w:p>
        </w:tc>
      </w:tr>
      <w:tr w:rsidR="00C8157A" w:rsidRPr="00D94671" w14:paraId="61ACE816" w14:textId="77777777" w:rsidTr="00747BBA">
        <w:trPr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ECD9" w14:textId="1C8498F8" w:rsidR="00C8157A" w:rsidRPr="003848C7" w:rsidRDefault="00C8157A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5" w:name="lt_pId054"/>
            <w:r w:rsidRPr="003848C7">
              <w:rPr>
                <w:rFonts w:eastAsiaTheme="minorEastAsia"/>
                <w:lang w:val="fr-CH" w:eastAsia="zh-CN"/>
              </w:rPr>
              <w:t>Septembr</w:t>
            </w:r>
            <w:r w:rsidR="009F3788" w:rsidRPr="003848C7">
              <w:rPr>
                <w:rFonts w:eastAsiaTheme="minorEastAsia"/>
                <w:lang w:val="fr-CH" w:eastAsia="zh-CN"/>
              </w:rPr>
              <w:t>e</w:t>
            </w:r>
            <w:r w:rsidRPr="003848C7">
              <w:rPr>
                <w:rFonts w:eastAsiaTheme="minorEastAsia"/>
                <w:lang w:val="fr-CH" w:eastAsia="zh-CN"/>
              </w:rPr>
              <w:t xml:space="preserve"> 2020</w:t>
            </w:r>
            <w:bookmarkEnd w:id="25"/>
            <w:r w:rsidRPr="003848C7">
              <w:rPr>
                <w:rFonts w:eastAsiaTheme="minorEastAsia"/>
                <w:lang w:val="fr-CH" w:eastAsia="zh-CN"/>
              </w:rPr>
              <w:t xml:space="preserve"> </w:t>
            </w:r>
            <w:r w:rsidRPr="003848C7">
              <w:rPr>
                <w:rFonts w:eastAsiaTheme="minorEastAsia"/>
                <w:lang w:val="fr-CH" w:eastAsia="zh-CN"/>
              </w:rPr>
              <w:br/>
            </w:r>
            <w:bookmarkStart w:id="26" w:name="lt_pId055"/>
            <w:r w:rsidRPr="003848C7">
              <w:rPr>
                <w:rFonts w:eastAsiaTheme="minorEastAsia"/>
                <w:lang w:val="fr-CH" w:eastAsia="zh-CN"/>
              </w:rPr>
              <w:t>(</w:t>
            </w:r>
            <w:r w:rsidR="007C1EAB" w:rsidRPr="00D94671">
              <w:rPr>
                <w:rFonts w:eastAsiaTheme="minorEastAsia"/>
                <w:lang w:val="fr-CH" w:eastAsia="zh-CN"/>
              </w:rPr>
              <w:t>dans le cadre de la série de réunions des GTC</w:t>
            </w:r>
            <w:r w:rsidRPr="003848C7">
              <w:rPr>
                <w:rFonts w:eastAsiaTheme="minorEastAsia"/>
                <w:lang w:val="fr-CH" w:eastAsia="zh-CN"/>
              </w:rPr>
              <w:t>)</w:t>
            </w:r>
            <w:bookmarkEnd w:id="26"/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E74" w14:textId="54D8BC4D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7" w:name="lt_pId056"/>
            <w:r w:rsidRPr="00D94671">
              <w:rPr>
                <w:rFonts w:eastAsiaTheme="minorEastAsia"/>
                <w:lang w:val="fr-CH" w:eastAsia="zh-CN"/>
              </w:rPr>
              <w:t>3</w:t>
            </w:r>
            <w:r w:rsidRPr="003848C7">
              <w:rPr>
                <w:rFonts w:eastAsiaTheme="minorEastAsia"/>
                <w:lang w:val="fr-CH" w:eastAsia="zh-CN"/>
              </w:rPr>
              <w:t xml:space="preserve">ème </w:t>
            </w:r>
            <w:r w:rsidRPr="00D94671">
              <w:rPr>
                <w:rFonts w:eastAsiaTheme="minorEastAsia"/>
                <w:lang w:val="fr-CH" w:eastAsia="zh-CN"/>
              </w:rPr>
              <w:t>réunion du Groupe informel d</w:t>
            </w:r>
            <w:r w:rsidR="00747BBA">
              <w:rPr>
                <w:rFonts w:eastAsiaTheme="minorEastAsia"/>
                <w:lang w:val="fr-CH" w:eastAsia="zh-CN"/>
              </w:rPr>
              <w:t>'</w:t>
            </w:r>
            <w:r w:rsidRPr="00D94671">
              <w:rPr>
                <w:rFonts w:eastAsiaTheme="minorEastAsia"/>
                <w:lang w:val="fr-CH" w:eastAsia="zh-CN"/>
              </w:rPr>
              <w:t>experts</w:t>
            </w:r>
            <w:bookmarkEnd w:id="27"/>
            <w:r w:rsidRPr="00D94671">
              <w:rPr>
                <w:rFonts w:eastAsiaTheme="minorEastAsia"/>
                <w:lang w:val="fr-CH" w:eastAsia="zh-CN"/>
              </w:rPr>
              <w:t xml:space="preserve"> (GIE)</w:t>
            </w:r>
            <w:r w:rsidR="009F3788" w:rsidRPr="003848C7">
              <w:rPr>
                <w:rFonts w:eastAsiaTheme="minorEastAsia"/>
                <w:lang w:val="fr-CH" w:eastAsia="zh-CN"/>
              </w:rPr>
              <w:br/>
            </w:r>
            <w:bookmarkStart w:id="28" w:name="lt_pId057"/>
            <w:r w:rsidR="00C8157A" w:rsidRPr="003848C7">
              <w:rPr>
                <w:rFonts w:eastAsiaTheme="minorEastAsia"/>
                <w:lang w:val="fr-CH" w:eastAsia="zh-CN"/>
              </w:rPr>
              <w:t xml:space="preserve">(3 </w:t>
            </w:r>
            <w:r w:rsidRPr="003848C7">
              <w:rPr>
                <w:rFonts w:eastAsiaTheme="minorEastAsia"/>
                <w:lang w:val="fr-CH" w:eastAsia="zh-CN"/>
              </w:rPr>
              <w:t>jours</w:t>
            </w:r>
            <w:r w:rsidR="00C8157A" w:rsidRPr="003848C7">
              <w:rPr>
                <w:rFonts w:eastAsiaTheme="minorEastAsia"/>
                <w:lang w:val="fr-CH" w:eastAsia="zh-CN"/>
              </w:rPr>
              <w:t>)</w:t>
            </w:r>
            <w:bookmarkEnd w:id="28"/>
          </w:p>
        </w:tc>
      </w:tr>
      <w:tr w:rsidR="00C8157A" w:rsidRPr="00D94671" w14:paraId="4DD2CCE8" w14:textId="77777777" w:rsidTr="00747BBA">
        <w:trPr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4061" w14:textId="3C0E7C75" w:rsidR="00C8157A" w:rsidRPr="003848C7" w:rsidRDefault="009F3788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29" w:name="lt_pId058"/>
            <w:r w:rsidRPr="003848C7">
              <w:rPr>
                <w:rFonts w:eastAsiaTheme="minorEastAsia"/>
                <w:lang w:val="fr-CH" w:eastAsia="zh-CN"/>
              </w:rPr>
              <w:t>Février</w:t>
            </w:r>
            <w:r w:rsidR="00C8157A" w:rsidRPr="003848C7">
              <w:rPr>
                <w:rFonts w:eastAsiaTheme="minorEastAsia"/>
                <w:lang w:val="fr-CH" w:eastAsia="zh-CN"/>
              </w:rPr>
              <w:t xml:space="preserve"> 2021</w:t>
            </w:r>
            <w:bookmarkStart w:id="30" w:name="lt_pId059"/>
            <w:bookmarkEnd w:id="29"/>
            <w:r w:rsidR="00747BBA">
              <w:rPr>
                <w:rFonts w:eastAsiaTheme="minorEastAsia"/>
                <w:lang w:val="fr-CH" w:eastAsia="zh-CN"/>
              </w:rPr>
              <w:br/>
            </w:r>
            <w:r w:rsidR="00C8157A" w:rsidRPr="003848C7">
              <w:rPr>
                <w:rFonts w:eastAsiaTheme="minorEastAsia"/>
                <w:lang w:val="fr-CH" w:eastAsia="zh-CN"/>
              </w:rPr>
              <w:t>(</w:t>
            </w:r>
            <w:r w:rsidR="007C1EAB" w:rsidRPr="00D94671">
              <w:rPr>
                <w:rFonts w:eastAsiaTheme="minorEastAsia"/>
                <w:lang w:val="fr-CH" w:eastAsia="zh-CN"/>
              </w:rPr>
              <w:t>dans le cadre de la série de réunions des GTC</w:t>
            </w:r>
            <w:r w:rsidR="00C8157A" w:rsidRPr="003848C7">
              <w:rPr>
                <w:rFonts w:eastAsiaTheme="minorEastAsia"/>
                <w:lang w:val="fr-CH" w:eastAsia="zh-CN"/>
              </w:rPr>
              <w:t>)</w:t>
            </w:r>
            <w:bookmarkEnd w:id="30"/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B2BC" w14:textId="1F7FD86C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r w:rsidRPr="003848C7">
              <w:rPr>
                <w:rFonts w:eastAsiaTheme="minorEastAsia"/>
                <w:lang w:val="fr-CH" w:eastAsia="zh-CN"/>
              </w:rPr>
              <w:t>4ème réunion du Groupe informel d</w:t>
            </w:r>
            <w:r w:rsidR="00747BBA">
              <w:rPr>
                <w:rFonts w:eastAsiaTheme="minorEastAsia"/>
                <w:lang w:val="fr-CH" w:eastAsia="zh-CN"/>
              </w:rPr>
              <w:t>'</w:t>
            </w:r>
            <w:r w:rsidRPr="003848C7">
              <w:rPr>
                <w:rFonts w:eastAsiaTheme="minorEastAsia"/>
                <w:lang w:val="fr-CH" w:eastAsia="zh-CN"/>
              </w:rPr>
              <w:t>experts (GIE)</w:t>
            </w:r>
            <w:r w:rsidR="009F3788" w:rsidRPr="003848C7">
              <w:rPr>
                <w:rFonts w:eastAsiaTheme="minorEastAsia"/>
                <w:lang w:val="fr-CH" w:eastAsia="zh-CN"/>
              </w:rPr>
              <w:br/>
            </w:r>
            <w:bookmarkStart w:id="31" w:name="lt_pId061"/>
            <w:r w:rsidR="00C8157A" w:rsidRPr="003848C7">
              <w:rPr>
                <w:rFonts w:eastAsiaTheme="minorEastAsia"/>
                <w:lang w:val="fr-CH" w:eastAsia="zh-CN"/>
              </w:rPr>
              <w:t xml:space="preserve">(3 </w:t>
            </w:r>
            <w:r w:rsidRPr="00D94671">
              <w:rPr>
                <w:rFonts w:eastAsiaTheme="minorEastAsia"/>
                <w:lang w:val="fr-CH" w:eastAsia="zh-CN"/>
              </w:rPr>
              <w:t>jours</w:t>
            </w:r>
            <w:r w:rsidR="00C8157A" w:rsidRPr="003848C7">
              <w:rPr>
                <w:rFonts w:eastAsiaTheme="minorEastAsia"/>
                <w:lang w:val="fr-CH" w:eastAsia="zh-CN"/>
              </w:rPr>
              <w:t>)</w:t>
            </w:r>
            <w:bookmarkEnd w:id="31"/>
          </w:p>
        </w:tc>
      </w:tr>
      <w:tr w:rsidR="00C8157A" w:rsidRPr="00D94671" w14:paraId="38375226" w14:textId="77777777" w:rsidTr="00747BBA">
        <w:trPr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CEBA" w14:textId="39516A46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32" w:name="lt_pId062"/>
            <w:r w:rsidRPr="003848C7">
              <w:rPr>
                <w:rFonts w:eastAsiaTheme="minorEastAsia"/>
                <w:lang w:val="fr-CH" w:eastAsia="zh-CN"/>
              </w:rPr>
              <w:t>Forum du SMSI</w:t>
            </w:r>
            <w:r w:rsidR="00C8157A" w:rsidRPr="003848C7">
              <w:rPr>
                <w:rFonts w:eastAsiaTheme="minorEastAsia"/>
                <w:lang w:val="fr-CH" w:eastAsia="zh-CN"/>
              </w:rPr>
              <w:t xml:space="preserve"> </w:t>
            </w:r>
            <w:r w:rsidR="003848C7">
              <w:rPr>
                <w:rFonts w:eastAsiaTheme="minorEastAsia"/>
                <w:lang w:val="fr-CH" w:eastAsia="zh-CN"/>
              </w:rPr>
              <w:t xml:space="preserve">de </w:t>
            </w:r>
            <w:r w:rsidR="00C8157A" w:rsidRPr="003848C7">
              <w:rPr>
                <w:rFonts w:eastAsiaTheme="minorEastAsia"/>
                <w:lang w:val="fr-CH" w:eastAsia="zh-CN"/>
              </w:rPr>
              <w:t>2021</w:t>
            </w:r>
            <w:bookmarkEnd w:id="32"/>
            <w:r w:rsidR="00C8157A" w:rsidRPr="003848C7">
              <w:rPr>
                <w:rFonts w:eastAsiaTheme="minorEastAsia"/>
                <w:lang w:val="fr-CH" w:eastAsia="zh-CN"/>
              </w:rPr>
              <w:t xml:space="preserve"> </w:t>
            </w:r>
            <w:r w:rsidR="00C8157A" w:rsidRPr="003848C7">
              <w:rPr>
                <w:rFonts w:eastAsiaTheme="minorEastAsia"/>
                <w:lang w:val="fr-CH" w:eastAsia="zh-CN"/>
              </w:rPr>
              <w:br/>
            </w:r>
            <w:bookmarkStart w:id="33" w:name="lt_pId063"/>
            <w:r w:rsidR="00C8157A" w:rsidRPr="003848C7">
              <w:rPr>
                <w:rFonts w:eastAsiaTheme="minorEastAsia"/>
                <w:lang w:val="fr-CH" w:eastAsia="zh-CN"/>
              </w:rPr>
              <w:t xml:space="preserve">(17-21 </w:t>
            </w:r>
            <w:r w:rsidR="009F3788" w:rsidRPr="003848C7">
              <w:rPr>
                <w:rFonts w:eastAsiaTheme="minorEastAsia"/>
                <w:lang w:val="fr-CH" w:eastAsia="zh-CN"/>
              </w:rPr>
              <w:t>mai</w:t>
            </w:r>
            <w:r w:rsidR="00C8157A" w:rsidRPr="003848C7">
              <w:rPr>
                <w:rFonts w:eastAsiaTheme="minorEastAsia"/>
                <w:lang w:val="fr-CH" w:eastAsia="zh-CN"/>
              </w:rPr>
              <w:t xml:space="preserve"> 2021)</w:t>
            </w:r>
            <w:bookmarkEnd w:id="33"/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855E" w14:textId="6C32E5C0" w:rsidR="00C8157A" w:rsidRPr="003848C7" w:rsidRDefault="007C1EAB" w:rsidP="00747BBA">
            <w:pPr>
              <w:pStyle w:val="Tabletext"/>
              <w:rPr>
                <w:rFonts w:eastAsiaTheme="minorEastAsia"/>
                <w:lang w:val="fr-CH" w:eastAsia="zh-CN"/>
              </w:rPr>
            </w:pPr>
            <w:bookmarkStart w:id="34" w:name="lt_pId064"/>
            <w:r w:rsidRPr="003848C7">
              <w:rPr>
                <w:rFonts w:eastAsiaTheme="minorEastAsia"/>
                <w:lang w:val="fr-CH" w:eastAsia="zh-CN"/>
              </w:rPr>
              <w:t>Dates proposées pour le FMPT</w:t>
            </w:r>
            <w:r w:rsidR="00C8157A" w:rsidRPr="003848C7">
              <w:rPr>
                <w:rFonts w:eastAsiaTheme="minorEastAsia"/>
                <w:lang w:val="fr-CH" w:eastAsia="zh-CN"/>
              </w:rPr>
              <w:t>-21</w:t>
            </w:r>
            <w:bookmarkEnd w:id="34"/>
          </w:p>
        </w:tc>
      </w:tr>
    </w:tbl>
    <w:p w14:paraId="3AC0E6C6" w14:textId="0909F03E" w:rsidR="003B2646" w:rsidRPr="003848C7" w:rsidRDefault="003848C7" w:rsidP="00747BBA">
      <w:pPr>
        <w:rPr>
          <w:lang w:val="fr-CH" w:eastAsia="zh-CN"/>
        </w:rPr>
      </w:pPr>
      <w:r>
        <w:rPr>
          <w:lang w:val="fr-CH" w:eastAsia="zh-CN"/>
        </w:rPr>
        <w:t>10</w:t>
      </w:r>
      <w:r w:rsidR="00C8157A" w:rsidRPr="003848C7">
        <w:rPr>
          <w:lang w:val="fr-CH" w:eastAsia="zh-CN"/>
        </w:rPr>
        <w:tab/>
      </w:r>
      <w:r w:rsidR="003B2646" w:rsidRPr="003848C7">
        <w:rPr>
          <w:lang w:val="fr-CH" w:eastAsia="zh-CN"/>
        </w:rPr>
        <w:t xml:space="preserve">Des discussions </w:t>
      </w:r>
      <w:r>
        <w:rPr>
          <w:lang w:val="fr-CH" w:eastAsia="zh-CN"/>
        </w:rPr>
        <w:t>ont</w:t>
      </w:r>
      <w:r w:rsidR="003B2646" w:rsidRPr="003848C7">
        <w:rPr>
          <w:lang w:val="fr-CH" w:eastAsia="zh-CN"/>
        </w:rPr>
        <w:t xml:space="preserve"> eu lieu aux sessions de 2016 et de 2017 du Conseil sur le choix d</w:t>
      </w:r>
      <w:r w:rsidR="00747BBA">
        <w:rPr>
          <w:lang w:val="fr-CH" w:eastAsia="zh-CN"/>
        </w:rPr>
        <w:t>'</w:t>
      </w:r>
      <w:r w:rsidR="003B2646" w:rsidRPr="003848C7">
        <w:rPr>
          <w:lang w:val="fr-CH" w:eastAsia="zh-CN"/>
        </w:rPr>
        <w:t>un thème pour un éventuel FMPT</w:t>
      </w:r>
      <w:r>
        <w:rPr>
          <w:lang w:val="fr-CH" w:eastAsia="zh-CN"/>
        </w:rPr>
        <w:t>;</w:t>
      </w:r>
      <w:r w:rsidR="003B2646" w:rsidRPr="00D94671">
        <w:rPr>
          <w:lang w:val="fr-CH" w:eastAsia="zh-CN"/>
        </w:rPr>
        <w:t xml:space="preserve"> </w:t>
      </w:r>
      <w:r>
        <w:rPr>
          <w:lang w:val="fr-CH" w:eastAsia="zh-CN"/>
        </w:rPr>
        <w:t>le contexte est présenté ci-dessous</w:t>
      </w:r>
      <w:r w:rsidR="003B2646" w:rsidRPr="00D94671">
        <w:rPr>
          <w:lang w:val="fr-CH" w:eastAsia="zh-CN"/>
        </w:rPr>
        <w:t>:</w:t>
      </w:r>
      <w:r w:rsidR="003B2646" w:rsidRPr="003848C7">
        <w:rPr>
          <w:lang w:val="fr-CH" w:eastAsia="zh-CN"/>
        </w:rPr>
        <w:t xml:space="preserve"> </w:t>
      </w:r>
    </w:p>
    <w:p w14:paraId="56F1157B" w14:textId="0009E4DE" w:rsidR="009F3788" w:rsidRPr="00D94671" w:rsidRDefault="009F3788" w:rsidP="00747BBA">
      <w:pPr>
        <w:pStyle w:val="enumlev1"/>
        <w:rPr>
          <w:szCs w:val="24"/>
          <w:lang w:val="fr-CH"/>
        </w:rPr>
      </w:pPr>
      <w:r w:rsidRPr="00D94671">
        <w:rPr>
          <w:lang w:val="fr-CH" w:eastAsia="zh-CN"/>
        </w:rPr>
        <w:t>–</w:t>
      </w:r>
      <w:r w:rsidRPr="00D94671">
        <w:rPr>
          <w:lang w:val="fr-CH" w:eastAsia="zh-CN"/>
        </w:rPr>
        <w:tab/>
      </w:r>
      <w:r w:rsidRPr="00D94671">
        <w:rPr>
          <w:color w:val="000000"/>
          <w:lang w:val="fr-CH"/>
        </w:rPr>
        <w:t xml:space="preserve">En 2015, par la </w:t>
      </w:r>
      <w:hyperlink r:id="rId11" w:history="1">
        <w:r w:rsidRPr="00D94671">
          <w:rPr>
            <w:rStyle w:val="Hyperlink"/>
            <w:szCs w:val="24"/>
            <w:lang w:val="fr-CH"/>
          </w:rPr>
          <w:t>Lettre circulaire CL-15/40</w:t>
        </w:r>
      </w:hyperlink>
      <w:r w:rsidRPr="00D94671">
        <w:rPr>
          <w:szCs w:val="24"/>
          <w:lang w:val="fr-CH"/>
        </w:rPr>
        <w:t xml:space="preserve">, les Etats Membres et les Membres de Secteur ont été invités à soumettre leurs propositions de thème possible et de questions de politique générale </w:t>
      </w:r>
      <w:r w:rsidRPr="00D94671">
        <w:rPr>
          <w:color w:val="000000"/>
          <w:lang w:val="fr-CH"/>
        </w:rPr>
        <w:t>en rapport avec les télécommunications/TIC, pour lesquels un échange de vues dans le cadre du FMPT serait utile, ainsi qu</w:t>
      </w:r>
      <w:r w:rsidR="00747BBA">
        <w:rPr>
          <w:color w:val="000000"/>
          <w:lang w:val="fr-CH"/>
        </w:rPr>
        <w:t>'</w:t>
      </w:r>
      <w:r w:rsidRPr="00D94671">
        <w:rPr>
          <w:color w:val="000000"/>
          <w:lang w:val="fr-CH"/>
        </w:rPr>
        <w:t xml:space="preserve">à proposer une période pour la tenue de ce Forum. </w:t>
      </w:r>
      <w:r w:rsidRPr="00D94671">
        <w:rPr>
          <w:szCs w:val="24"/>
          <w:lang w:val="fr-CH"/>
        </w:rPr>
        <w:t>Au total 19 contributions ont été reçues en réponse à cette Lettre circulaire. Toutes les contributions reçues sont disponibles dans le Document d</w:t>
      </w:r>
      <w:r w:rsidR="00747BBA">
        <w:rPr>
          <w:szCs w:val="24"/>
          <w:lang w:val="fr-CH"/>
        </w:rPr>
        <w:t>'</w:t>
      </w:r>
      <w:r w:rsidRPr="00D94671">
        <w:rPr>
          <w:szCs w:val="24"/>
          <w:lang w:val="fr-CH"/>
        </w:rPr>
        <w:t xml:space="preserve">information </w:t>
      </w:r>
      <w:hyperlink r:id="rId12" w:history="1">
        <w:r w:rsidRPr="00D94671">
          <w:rPr>
            <w:rStyle w:val="Hyperlink"/>
            <w:szCs w:val="24"/>
            <w:lang w:val="fr-CH"/>
          </w:rPr>
          <w:t>C16/INF/3(R</w:t>
        </w:r>
        <w:r w:rsidR="00E434CD">
          <w:rPr>
            <w:rStyle w:val="Hyperlink"/>
            <w:szCs w:val="24"/>
            <w:lang w:val="fr-CH"/>
          </w:rPr>
          <w:t>é</w:t>
        </w:r>
        <w:r w:rsidRPr="00D94671">
          <w:rPr>
            <w:rStyle w:val="Hyperlink"/>
            <w:szCs w:val="24"/>
            <w:lang w:val="fr-CH"/>
          </w:rPr>
          <w:t>v.2)</w:t>
        </w:r>
      </w:hyperlink>
      <w:r w:rsidRPr="00D94671">
        <w:rPr>
          <w:szCs w:val="24"/>
          <w:lang w:val="fr-CH"/>
        </w:rPr>
        <w:t>.</w:t>
      </w:r>
    </w:p>
    <w:p w14:paraId="79D1E6F9" w14:textId="3ABCFF83" w:rsidR="009F3788" w:rsidRPr="00D94671" w:rsidRDefault="009F3788" w:rsidP="00747BBA">
      <w:pPr>
        <w:pStyle w:val="enumlev1"/>
        <w:rPr>
          <w:lang w:val="fr-CH"/>
        </w:rPr>
      </w:pPr>
      <w:r w:rsidRPr="00D94671">
        <w:rPr>
          <w:szCs w:val="24"/>
          <w:lang w:val="fr-CH"/>
        </w:rPr>
        <w:lastRenderedPageBreak/>
        <w:t>–</w:t>
      </w:r>
      <w:r w:rsidRPr="00D94671">
        <w:rPr>
          <w:szCs w:val="24"/>
          <w:lang w:val="fr-CH"/>
        </w:rPr>
        <w:tab/>
      </w:r>
      <w:r w:rsidRPr="00D94671">
        <w:rPr>
          <w:color w:val="000000"/>
          <w:lang w:val="fr-CH"/>
        </w:rPr>
        <w:t>Lors de sa session de 2016, le Conseil de l</w:t>
      </w:r>
      <w:r w:rsidR="00747BBA">
        <w:rPr>
          <w:color w:val="000000"/>
          <w:lang w:val="fr-CH"/>
        </w:rPr>
        <w:t>'</w:t>
      </w:r>
      <w:r w:rsidRPr="00D94671">
        <w:rPr>
          <w:color w:val="000000"/>
          <w:lang w:val="fr-CH"/>
        </w:rPr>
        <w:t xml:space="preserve">UIT a examiné le </w:t>
      </w:r>
      <w:hyperlink r:id="rId13" w:history="1">
        <w:r w:rsidRPr="00D94671">
          <w:rPr>
            <w:rStyle w:val="Hyperlink"/>
            <w:szCs w:val="24"/>
            <w:lang w:val="fr-CH"/>
          </w:rPr>
          <w:t>Document 16/59(Rév.1)</w:t>
        </w:r>
      </w:hyperlink>
      <w:r w:rsidRPr="00D94671">
        <w:rPr>
          <w:rStyle w:val="Hyperlink"/>
          <w:color w:val="auto"/>
          <w:szCs w:val="24"/>
          <w:u w:val="none"/>
          <w:lang w:val="fr-CH"/>
        </w:rPr>
        <w:t xml:space="preserve">, </w:t>
      </w:r>
      <w:r w:rsidRPr="00D94671">
        <w:rPr>
          <w:rFonts w:eastAsia="MS Mincho"/>
          <w:lang w:val="fr-CH"/>
        </w:rPr>
        <w:t xml:space="preserve">présentant les contributions reçues </w:t>
      </w:r>
      <w:r w:rsidRPr="00D94671">
        <w:rPr>
          <w:rStyle w:val="Hyperlink"/>
          <w:color w:val="auto"/>
          <w:szCs w:val="24"/>
          <w:u w:val="none"/>
          <w:lang w:val="fr-CH"/>
        </w:rPr>
        <w:t xml:space="preserve">en réponse à la Lettre circulaire CL-15/40. </w:t>
      </w:r>
      <w:r w:rsidRPr="00D94671">
        <w:rPr>
          <w:rFonts w:eastAsia="MS Mincho"/>
          <w:lang w:val="fr-CH"/>
        </w:rPr>
        <w:t>Le Conseil a décidé que, compte tenu de l</w:t>
      </w:r>
      <w:r w:rsidR="00747BBA">
        <w:rPr>
          <w:rFonts w:eastAsia="MS Mincho"/>
          <w:lang w:val="fr-CH"/>
        </w:rPr>
        <w:t>'</w:t>
      </w:r>
      <w:r w:rsidRPr="00D94671">
        <w:rPr>
          <w:rFonts w:eastAsia="MS Mincho"/>
          <w:lang w:val="fr-CH"/>
        </w:rPr>
        <w:t xml:space="preserve">importance du Forum, le Secrétaire général devrait poursuivre les consultations sur le thème, les dates et le lieu possibles pour le prochain FMPT, et </w:t>
      </w:r>
      <w:r w:rsidRPr="00D94671">
        <w:rPr>
          <w:lang w:val="fr-CH"/>
        </w:rPr>
        <w:t>soumettre un rapport à la session de 2017 du Conseil.</w:t>
      </w:r>
    </w:p>
    <w:p w14:paraId="0496CFC1" w14:textId="30A22A53" w:rsidR="009F3788" w:rsidRPr="00D94671" w:rsidRDefault="009F3788" w:rsidP="00747BBA">
      <w:pPr>
        <w:pStyle w:val="enumlev1"/>
        <w:rPr>
          <w:lang w:val="fr-CH" w:eastAsia="zh-CN"/>
        </w:rPr>
      </w:pPr>
      <w:r w:rsidRPr="00D94671">
        <w:rPr>
          <w:lang w:val="fr-CH"/>
        </w:rPr>
        <w:t>–</w:t>
      </w:r>
      <w:r w:rsidRPr="00D94671">
        <w:rPr>
          <w:lang w:val="fr-CH"/>
        </w:rPr>
        <w:tab/>
      </w:r>
      <w:r w:rsidRPr="00D94671">
        <w:rPr>
          <w:szCs w:val="24"/>
          <w:lang w:val="fr-CH"/>
        </w:rPr>
        <w:t>P</w:t>
      </w:r>
      <w:r w:rsidRPr="00D94671">
        <w:rPr>
          <w:rFonts w:asciiTheme="minorHAnsi" w:hAnsiTheme="minorHAnsi"/>
          <w:szCs w:val="24"/>
          <w:lang w:val="fr-CH"/>
        </w:rPr>
        <w:t xml:space="preserve">ar la </w:t>
      </w:r>
      <w:hyperlink r:id="rId14" w:history="1">
        <w:r w:rsidRPr="00D94671">
          <w:rPr>
            <w:rStyle w:val="Hyperlink"/>
            <w:rFonts w:asciiTheme="minorHAnsi" w:hAnsiTheme="minorHAnsi"/>
            <w:szCs w:val="24"/>
            <w:lang w:val="fr-CH"/>
          </w:rPr>
          <w:t>Lettre circulaire CL-16/32</w:t>
        </w:r>
      </w:hyperlink>
      <w:r w:rsidRPr="00D94671">
        <w:rPr>
          <w:rFonts w:asciiTheme="minorHAnsi" w:hAnsiTheme="minorHAnsi"/>
          <w:szCs w:val="24"/>
          <w:lang w:val="fr-CH"/>
        </w:rPr>
        <w:t xml:space="preserve">, les </w:t>
      </w:r>
      <w:r w:rsidR="00747BBA">
        <w:rPr>
          <w:rFonts w:asciiTheme="minorHAnsi" w:hAnsiTheme="minorHAnsi"/>
          <w:szCs w:val="24"/>
          <w:lang w:val="fr-CH"/>
        </w:rPr>
        <w:t>É</w:t>
      </w:r>
      <w:r w:rsidRPr="00D94671">
        <w:rPr>
          <w:rFonts w:asciiTheme="minorHAnsi" w:hAnsiTheme="minorHAnsi"/>
          <w:szCs w:val="24"/>
          <w:lang w:val="fr-CH"/>
        </w:rPr>
        <w:t xml:space="preserve">tats Membres et les Membres de Secteur ont été invités à soumettre leurs propositions de thème, de dates et de lieu envisageables pour le prochain FMPT. </w:t>
      </w:r>
      <w:r w:rsidRPr="00D94671">
        <w:rPr>
          <w:szCs w:val="24"/>
          <w:lang w:val="fr-CH"/>
        </w:rPr>
        <w:t>Au total, 5 contributions ont été reçues en réponse à cette Lettre circulaire. Toutes les contributions reçues sont disponibles dans le Document d</w:t>
      </w:r>
      <w:r w:rsidR="00747BBA">
        <w:rPr>
          <w:szCs w:val="24"/>
          <w:lang w:val="fr-CH"/>
        </w:rPr>
        <w:t>'</w:t>
      </w:r>
      <w:r w:rsidRPr="00D94671">
        <w:rPr>
          <w:szCs w:val="24"/>
          <w:lang w:val="fr-CH"/>
        </w:rPr>
        <w:t xml:space="preserve">information </w:t>
      </w:r>
      <w:hyperlink r:id="rId15" w:history="1">
        <w:r w:rsidRPr="00D94671">
          <w:rPr>
            <w:rStyle w:val="Hyperlink"/>
            <w:szCs w:val="24"/>
            <w:lang w:val="fr-CH"/>
          </w:rPr>
          <w:t>C17/INF/3</w:t>
        </w:r>
      </w:hyperlink>
      <w:r w:rsidRPr="00D94671">
        <w:rPr>
          <w:szCs w:val="24"/>
          <w:lang w:val="fr-CH"/>
        </w:rPr>
        <w:t>.</w:t>
      </w:r>
    </w:p>
    <w:p w14:paraId="0706D454" w14:textId="22FB6B98" w:rsidR="00520F36" w:rsidRDefault="003B2646" w:rsidP="00747BBA">
      <w:pPr>
        <w:rPr>
          <w:lang w:val="fr-CH"/>
        </w:rPr>
      </w:pPr>
      <w:r w:rsidRPr="003848C7">
        <w:rPr>
          <w:lang w:val="fr-CH"/>
        </w:rPr>
        <w:t>Le Conseil est invité à prendre en compte, dans ses délibérations, les discussions qui ont eu lieu à ses précédentes réunions.</w:t>
      </w:r>
    </w:p>
    <w:p w14:paraId="5888B12D" w14:textId="77777777" w:rsidR="00747BBA" w:rsidRDefault="00747BBA" w:rsidP="00747BBA">
      <w:pPr>
        <w:pStyle w:val="Reasons"/>
      </w:pPr>
    </w:p>
    <w:p w14:paraId="0F01E856" w14:textId="77777777" w:rsidR="00747BBA" w:rsidRDefault="00747BBA" w:rsidP="00747BBA">
      <w:pPr>
        <w:jc w:val="center"/>
      </w:pPr>
      <w:r>
        <w:t>______________</w:t>
      </w:r>
    </w:p>
    <w:sectPr w:rsidR="00747BBA" w:rsidSect="005C38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2A09" w14:textId="77777777" w:rsidR="006571B9" w:rsidRDefault="006571B9">
      <w:r>
        <w:separator/>
      </w:r>
    </w:p>
  </w:endnote>
  <w:endnote w:type="continuationSeparator" w:id="0">
    <w:p w14:paraId="0E58CC4B" w14:textId="77777777" w:rsidR="006571B9" w:rsidRDefault="006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1304" w14:textId="77777777" w:rsidR="00732045" w:rsidRDefault="00D11E1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571B9">
      <w:t>Document5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12.04.19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571B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C721" w14:textId="31364398" w:rsidR="00732045" w:rsidRPr="00E94BFF" w:rsidRDefault="00747BBA" w:rsidP="003848C7">
    <w:pPr>
      <w:pStyle w:val="Footer"/>
    </w:pPr>
    <w:fldSimple w:instr=" FILENAME \p  \* MERGEFORMAT ">
      <w:r w:rsidR="003848C7">
        <w:t>P:\FRA\SG\CONSEIL\C19\000\005F.docx</w:t>
      </w:r>
    </w:fldSimple>
    <w:r w:rsidR="00E94BFF">
      <w:t xml:space="preserve"> (450214)</w:t>
    </w:r>
    <w:r w:rsidR="003848C7" w:rsidRPr="00E94BF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14E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498C" w14:textId="77777777" w:rsidR="006571B9" w:rsidRDefault="006571B9">
      <w:r>
        <w:t>____________________</w:t>
      </w:r>
    </w:p>
  </w:footnote>
  <w:footnote w:type="continuationSeparator" w:id="0">
    <w:p w14:paraId="7C51402A" w14:textId="77777777" w:rsidR="006571B9" w:rsidRDefault="0065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D74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8D971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B2C2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11E14">
      <w:rPr>
        <w:noProof/>
      </w:rPr>
      <w:t>2</w:t>
    </w:r>
    <w:r>
      <w:rPr>
        <w:noProof/>
      </w:rPr>
      <w:fldChar w:fldCharType="end"/>
    </w:r>
  </w:p>
  <w:p w14:paraId="3F08B76F" w14:textId="720A298B" w:rsidR="00732045" w:rsidRDefault="00732045" w:rsidP="00E94BFF">
    <w:pPr>
      <w:pStyle w:val="Header"/>
    </w:pPr>
    <w:r>
      <w:t>C1</w:t>
    </w:r>
    <w:r w:rsidR="00106B19">
      <w:t>9</w:t>
    </w:r>
    <w:r>
      <w:t>/</w:t>
    </w:r>
    <w:r w:rsidR="00E94BFF">
      <w:t>5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C68"/>
    <w:multiLevelType w:val="hybridMultilevel"/>
    <w:tmpl w:val="0070071E"/>
    <w:lvl w:ilvl="0" w:tplc="EBEEA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EB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CA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2A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CF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46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86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A7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0A7C"/>
    <w:multiLevelType w:val="hybridMultilevel"/>
    <w:tmpl w:val="B5E46852"/>
    <w:lvl w:ilvl="0" w:tplc="747AE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A7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48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E3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E6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D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A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43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33FF"/>
    <w:multiLevelType w:val="hybridMultilevel"/>
    <w:tmpl w:val="33141600"/>
    <w:lvl w:ilvl="0" w:tplc="44ACC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B9"/>
    <w:rsid w:val="00070458"/>
    <w:rsid w:val="000C2E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1F486C"/>
    <w:rsid w:val="00207CD1"/>
    <w:rsid w:val="002131C6"/>
    <w:rsid w:val="002477A2"/>
    <w:rsid w:val="00255261"/>
    <w:rsid w:val="00263A51"/>
    <w:rsid w:val="00267E02"/>
    <w:rsid w:val="002778CD"/>
    <w:rsid w:val="002A5D44"/>
    <w:rsid w:val="002E0BC4"/>
    <w:rsid w:val="002E6F63"/>
    <w:rsid w:val="002F1B76"/>
    <w:rsid w:val="00322743"/>
    <w:rsid w:val="0033568E"/>
    <w:rsid w:val="00355FF5"/>
    <w:rsid w:val="00361350"/>
    <w:rsid w:val="003848C7"/>
    <w:rsid w:val="003B2646"/>
    <w:rsid w:val="003B4D48"/>
    <w:rsid w:val="003C3FAE"/>
    <w:rsid w:val="004038CB"/>
    <w:rsid w:val="0040546F"/>
    <w:rsid w:val="0042404A"/>
    <w:rsid w:val="0044618F"/>
    <w:rsid w:val="004640E3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77B7F"/>
    <w:rsid w:val="005B1938"/>
    <w:rsid w:val="005C3890"/>
    <w:rsid w:val="005F7BFE"/>
    <w:rsid w:val="00600017"/>
    <w:rsid w:val="006235CA"/>
    <w:rsid w:val="006571B9"/>
    <w:rsid w:val="006643AB"/>
    <w:rsid w:val="007210CD"/>
    <w:rsid w:val="0072116D"/>
    <w:rsid w:val="00732045"/>
    <w:rsid w:val="007369DB"/>
    <w:rsid w:val="00747BBA"/>
    <w:rsid w:val="007712BD"/>
    <w:rsid w:val="007956C2"/>
    <w:rsid w:val="007A187E"/>
    <w:rsid w:val="007C1EAB"/>
    <w:rsid w:val="007C31CE"/>
    <w:rsid w:val="007C661D"/>
    <w:rsid w:val="007C72C2"/>
    <w:rsid w:val="007D4436"/>
    <w:rsid w:val="007F257A"/>
    <w:rsid w:val="007F3665"/>
    <w:rsid w:val="007F5E52"/>
    <w:rsid w:val="00800037"/>
    <w:rsid w:val="00826465"/>
    <w:rsid w:val="00861D73"/>
    <w:rsid w:val="008A4E87"/>
    <w:rsid w:val="008D76E6"/>
    <w:rsid w:val="0092392D"/>
    <w:rsid w:val="0093234A"/>
    <w:rsid w:val="009C307F"/>
    <w:rsid w:val="009F3788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72098"/>
    <w:rsid w:val="00BB4545"/>
    <w:rsid w:val="00BB7BB7"/>
    <w:rsid w:val="00BD5873"/>
    <w:rsid w:val="00C04BE3"/>
    <w:rsid w:val="00C25D29"/>
    <w:rsid w:val="00C27A7C"/>
    <w:rsid w:val="00C8157A"/>
    <w:rsid w:val="00C946ED"/>
    <w:rsid w:val="00C966D8"/>
    <w:rsid w:val="00CA08ED"/>
    <w:rsid w:val="00CE4EED"/>
    <w:rsid w:val="00CF183B"/>
    <w:rsid w:val="00D11E14"/>
    <w:rsid w:val="00D375CD"/>
    <w:rsid w:val="00D553A2"/>
    <w:rsid w:val="00D74150"/>
    <w:rsid w:val="00D774D3"/>
    <w:rsid w:val="00D904E8"/>
    <w:rsid w:val="00D94671"/>
    <w:rsid w:val="00DA08C3"/>
    <w:rsid w:val="00DB5A3E"/>
    <w:rsid w:val="00DC22AA"/>
    <w:rsid w:val="00DF74DD"/>
    <w:rsid w:val="00E052C4"/>
    <w:rsid w:val="00E25AD0"/>
    <w:rsid w:val="00E434CD"/>
    <w:rsid w:val="00E7429F"/>
    <w:rsid w:val="00E84BDC"/>
    <w:rsid w:val="00E94BFF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AFD474"/>
  <w15:docId w15:val="{825DECAE-6C47-49EB-803F-A766F64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8157A"/>
    <w:pPr>
      <w:ind w:left="720"/>
      <w:contextualSpacing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B4D48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C96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6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6D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6D8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C966D8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966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66D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3-CL-C-0064/en" TargetMode="External"/><Relationship Id="rId13" Type="http://schemas.openxmlformats.org/officeDocument/2006/relationships/hyperlink" Target="https://www.itu.int/md/S16-CL-C-0059/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6-CL-INF-0003/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5-SG-CIR-0040/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INF-0003/fr" TargetMode="External"/><Relationship Id="rId10" Type="http://schemas.openxmlformats.org/officeDocument/2006/relationships/hyperlink" Target="https://www.itu.int/md/S13-CL-C-0064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02-F.pdf" TargetMode="External"/><Relationship Id="rId14" Type="http://schemas.openxmlformats.org/officeDocument/2006/relationships/hyperlink" Target="https://www.itu.int/md/S16-SG-CIR-0032/fr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roqu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0</TotalTime>
  <Pages>3</Pages>
  <Words>1016</Words>
  <Characters>5828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WTPF-21</dc:title>
  <dc:subject>Conseil 2018</dc:subject>
  <dc:creator>Delaroque, Marceline</dc:creator>
  <cp:keywords>C2019, C19</cp:keywords>
  <dc:description/>
  <cp:lastModifiedBy>Janin, Patricia</cp:lastModifiedBy>
  <cp:revision>2</cp:revision>
  <cp:lastPrinted>2000-07-18T08:55:00Z</cp:lastPrinted>
  <dcterms:created xsi:type="dcterms:W3CDTF">2019-04-16T09:23:00Z</dcterms:created>
  <dcterms:modified xsi:type="dcterms:W3CDTF">2019-04-16T09:23:00Z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