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E4067">
        <w:trPr>
          <w:cantSplit/>
        </w:trPr>
        <w:tc>
          <w:tcPr>
            <w:tcW w:w="6912" w:type="dxa"/>
          </w:tcPr>
          <w:p w:rsidR="00093EEB" w:rsidRPr="00FE4067" w:rsidRDefault="00093EEB" w:rsidP="00C2727F">
            <w:pPr>
              <w:spacing w:before="360"/>
              <w:rPr>
                <w:szCs w:val="24"/>
              </w:rPr>
            </w:pPr>
            <w:bookmarkStart w:id="0" w:name="dc06"/>
            <w:bookmarkStart w:id="1" w:name="dbluepink" w:colFirst="0" w:colLast="0"/>
            <w:bookmarkEnd w:id="0"/>
            <w:r w:rsidRPr="00FE4067">
              <w:rPr>
                <w:b/>
                <w:bCs/>
                <w:sz w:val="30"/>
                <w:szCs w:val="30"/>
              </w:rPr>
              <w:t>Consejo 201</w:t>
            </w:r>
            <w:r w:rsidR="00C2727F" w:rsidRPr="00FE4067">
              <w:rPr>
                <w:b/>
                <w:bCs/>
                <w:sz w:val="30"/>
                <w:szCs w:val="30"/>
              </w:rPr>
              <w:t>9</w:t>
            </w:r>
            <w:r w:rsidRPr="00FE4067">
              <w:rPr>
                <w:b/>
                <w:bCs/>
                <w:sz w:val="26"/>
                <w:szCs w:val="26"/>
              </w:rPr>
              <w:br/>
            </w:r>
            <w:r w:rsidRPr="00FE4067">
              <w:rPr>
                <w:b/>
                <w:bCs/>
                <w:szCs w:val="24"/>
              </w:rPr>
              <w:t>Ginebra, 1</w:t>
            </w:r>
            <w:r w:rsidR="00C2727F" w:rsidRPr="00FE4067">
              <w:rPr>
                <w:b/>
                <w:bCs/>
                <w:szCs w:val="24"/>
              </w:rPr>
              <w:t>0</w:t>
            </w:r>
            <w:r w:rsidRPr="00FE4067">
              <w:rPr>
                <w:b/>
                <w:bCs/>
                <w:szCs w:val="24"/>
              </w:rPr>
              <w:t>-2</w:t>
            </w:r>
            <w:r w:rsidR="00C2727F" w:rsidRPr="00FE4067">
              <w:rPr>
                <w:b/>
                <w:bCs/>
                <w:szCs w:val="24"/>
              </w:rPr>
              <w:t>0</w:t>
            </w:r>
            <w:r w:rsidRPr="00FE4067">
              <w:rPr>
                <w:b/>
                <w:bCs/>
                <w:szCs w:val="24"/>
              </w:rPr>
              <w:t xml:space="preserve"> de </w:t>
            </w:r>
            <w:r w:rsidR="00C2727F" w:rsidRPr="00FE4067">
              <w:rPr>
                <w:b/>
                <w:bCs/>
                <w:szCs w:val="24"/>
              </w:rPr>
              <w:t>junio</w:t>
            </w:r>
            <w:r w:rsidRPr="00FE4067">
              <w:rPr>
                <w:b/>
                <w:bCs/>
                <w:szCs w:val="24"/>
              </w:rPr>
              <w:t xml:space="preserve"> de 201</w:t>
            </w:r>
            <w:r w:rsidR="00C2727F" w:rsidRPr="00FE4067">
              <w:rPr>
                <w:b/>
                <w:bCs/>
                <w:szCs w:val="24"/>
              </w:rPr>
              <w:t>9</w:t>
            </w:r>
          </w:p>
        </w:tc>
        <w:tc>
          <w:tcPr>
            <w:tcW w:w="3261" w:type="dxa"/>
          </w:tcPr>
          <w:p w:rsidR="00093EEB" w:rsidRPr="00FE4067" w:rsidRDefault="00093EEB" w:rsidP="00093EEB">
            <w:pPr>
              <w:spacing w:before="0"/>
              <w:jc w:val="right"/>
              <w:rPr>
                <w:szCs w:val="24"/>
              </w:rPr>
            </w:pPr>
            <w:bookmarkStart w:id="2" w:name="ditulogo"/>
            <w:bookmarkEnd w:id="2"/>
            <w:r w:rsidRPr="00FE4067">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E4067">
        <w:trPr>
          <w:cantSplit/>
          <w:trHeight w:val="20"/>
        </w:trPr>
        <w:tc>
          <w:tcPr>
            <w:tcW w:w="10173" w:type="dxa"/>
            <w:gridSpan w:val="2"/>
            <w:tcBorders>
              <w:bottom w:val="single" w:sz="12" w:space="0" w:color="auto"/>
            </w:tcBorders>
          </w:tcPr>
          <w:p w:rsidR="00093EEB" w:rsidRPr="00FE4067" w:rsidRDefault="00093EEB">
            <w:pPr>
              <w:spacing w:before="0"/>
              <w:rPr>
                <w:b/>
                <w:bCs/>
                <w:szCs w:val="24"/>
              </w:rPr>
            </w:pPr>
          </w:p>
        </w:tc>
      </w:tr>
      <w:tr w:rsidR="00093EEB" w:rsidRPr="00FE4067">
        <w:trPr>
          <w:cantSplit/>
          <w:trHeight w:val="20"/>
        </w:trPr>
        <w:tc>
          <w:tcPr>
            <w:tcW w:w="6912" w:type="dxa"/>
            <w:tcBorders>
              <w:top w:val="single" w:sz="12" w:space="0" w:color="auto"/>
            </w:tcBorders>
          </w:tcPr>
          <w:p w:rsidR="00093EEB" w:rsidRPr="00FE406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FE4067" w:rsidRDefault="00093EEB">
            <w:pPr>
              <w:spacing w:before="0"/>
              <w:rPr>
                <w:b/>
                <w:bCs/>
                <w:szCs w:val="24"/>
              </w:rPr>
            </w:pPr>
          </w:p>
        </w:tc>
      </w:tr>
      <w:tr w:rsidR="00093EEB" w:rsidRPr="00FE4067">
        <w:trPr>
          <w:cantSplit/>
          <w:trHeight w:val="20"/>
        </w:trPr>
        <w:tc>
          <w:tcPr>
            <w:tcW w:w="6912" w:type="dxa"/>
            <w:shd w:val="clear" w:color="auto" w:fill="auto"/>
          </w:tcPr>
          <w:p w:rsidR="00093EEB" w:rsidRPr="00FE4067" w:rsidRDefault="00B37D3F">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E4067">
              <w:rPr>
                <w:b/>
                <w:bCs/>
              </w:rPr>
              <w:t>Punto del orden del día: PL 2.6</w:t>
            </w:r>
          </w:p>
        </w:tc>
        <w:tc>
          <w:tcPr>
            <w:tcW w:w="3261" w:type="dxa"/>
          </w:tcPr>
          <w:p w:rsidR="00093EEB" w:rsidRPr="00FE4067" w:rsidRDefault="00093EEB" w:rsidP="00C2727F">
            <w:pPr>
              <w:spacing w:before="0"/>
              <w:rPr>
                <w:b/>
                <w:bCs/>
                <w:szCs w:val="24"/>
              </w:rPr>
            </w:pPr>
            <w:r w:rsidRPr="00FE4067">
              <w:rPr>
                <w:b/>
                <w:bCs/>
                <w:szCs w:val="24"/>
              </w:rPr>
              <w:t>Documento C1</w:t>
            </w:r>
            <w:r w:rsidR="00C2727F" w:rsidRPr="00FE4067">
              <w:rPr>
                <w:b/>
                <w:bCs/>
                <w:szCs w:val="24"/>
              </w:rPr>
              <w:t>9</w:t>
            </w:r>
            <w:r w:rsidRPr="00FE4067">
              <w:rPr>
                <w:b/>
                <w:bCs/>
                <w:szCs w:val="24"/>
              </w:rPr>
              <w:t>/</w:t>
            </w:r>
            <w:r w:rsidR="00B37D3F" w:rsidRPr="00FE4067">
              <w:rPr>
                <w:b/>
                <w:bCs/>
                <w:szCs w:val="24"/>
              </w:rPr>
              <w:t>5</w:t>
            </w:r>
            <w:r w:rsidRPr="00FE4067">
              <w:rPr>
                <w:b/>
                <w:bCs/>
                <w:szCs w:val="24"/>
              </w:rPr>
              <w:t>-S</w:t>
            </w:r>
          </w:p>
        </w:tc>
      </w:tr>
      <w:tr w:rsidR="00093EEB" w:rsidRPr="00FE4067">
        <w:trPr>
          <w:cantSplit/>
          <w:trHeight w:val="20"/>
        </w:trPr>
        <w:tc>
          <w:tcPr>
            <w:tcW w:w="6912" w:type="dxa"/>
            <w:shd w:val="clear" w:color="auto" w:fill="auto"/>
          </w:tcPr>
          <w:p w:rsidR="00093EEB" w:rsidRPr="00FE406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FE4067" w:rsidRDefault="00B37D3F" w:rsidP="00C2727F">
            <w:pPr>
              <w:spacing w:before="0"/>
              <w:rPr>
                <w:b/>
                <w:bCs/>
                <w:szCs w:val="24"/>
              </w:rPr>
            </w:pPr>
            <w:r w:rsidRPr="00FE4067">
              <w:rPr>
                <w:b/>
                <w:bCs/>
              </w:rPr>
              <w:t>1 de abril</w:t>
            </w:r>
            <w:r w:rsidR="00093EEB" w:rsidRPr="00FE4067">
              <w:rPr>
                <w:b/>
                <w:bCs/>
                <w:szCs w:val="24"/>
              </w:rPr>
              <w:t xml:space="preserve"> de 201</w:t>
            </w:r>
            <w:r w:rsidR="00C2727F" w:rsidRPr="00FE4067">
              <w:rPr>
                <w:b/>
                <w:bCs/>
                <w:szCs w:val="24"/>
              </w:rPr>
              <w:t>9</w:t>
            </w:r>
          </w:p>
        </w:tc>
      </w:tr>
      <w:tr w:rsidR="00093EEB" w:rsidRPr="00FE4067">
        <w:trPr>
          <w:cantSplit/>
          <w:trHeight w:val="20"/>
        </w:trPr>
        <w:tc>
          <w:tcPr>
            <w:tcW w:w="6912" w:type="dxa"/>
            <w:shd w:val="clear" w:color="auto" w:fill="auto"/>
          </w:tcPr>
          <w:p w:rsidR="00093EEB" w:rsidRPr="00FE4067" w:rsidRDefault="00093EEB">
            <w:pPr>
              <w:shd w:val="solid" w:color="FFFFFF" w:fill="FFFFFF"/>
              <w:spacing w:before="0"/>
              <w:rPr>
                <w:smallCaps/>
                <w:szCs w:val="24"/>
              </w:rPr>
            </w:pPr>
            <w:bookmarkStart w:id="6" w:name="dorlang" w:colFirst="1" w:colLast="1"/>
            <w:bookmarkEnd w:id="5"/>
          </w:p>
        </w:tc>
        <w:tc>
          <w:tcPr>
            <w:tcW w:w="3261" w:type="dxa"/>
          </w:tcPr>
          <w:p w:rsidR="00093EEB" w:rsidRPr="00FE4067" w:rsidRDefault="00093EEB" w:rsidP="00093EEB">
            <w:pPr>
              <w:spacing w:before="0"/>
              <w:rPr>
                <w:b/>
                <w:bCs/>
                <w:szCs w:val="24"/>
              </w:rPr>
            </w:pPr>
            <w:r w:rsidRPr="00FE4067">
              <w:rPr>
                <w:b/>
                <w:bCs/>
                <w:szCs w:val="24"/>
              </w:rPr>
              <w:t>Original: inglés</w:t>
            </w:r>
          </w:p>
        </w:tc>
      </w:tr>
      <w:tr w:rsidR="00093EEB" w:rsidRPr="00FE4067">
        <w:trPr>
          <w:cantSplit/>
        </w:trPr>
        <w:tc>
          <w:tcPr>
            <w:tcW w:w="10173" w:type="dxa"/>
            <w:gridSpan w:val="2"/>
          </w:tcPr>
          <w:p w:rsidR="00093EEB" w:rsidRPr="00FE4067" w:rsidRDefault="00B37D3F">
            <w:pPr>
              <w:pStyle w:val="Source"/>
            </w:pPr>
            <w:bookmarkStart w:id="7" w:name="dsource" w:colFirst="0" w:colLast="0"/>
            <w:bookmarkEnd w:id="1"/>
            <w:bookmarkEnd w:id="6"/>
            <w:r w:rsidRPr="00FE4067">
              <w:rPr>
                <w:bCs/>
              </w:rPr>
              <w:t>Informe del Secretario General</w:t>
            </w:r>
          </w:p>
        </w:tc>
      </w:tr>
      <w:tr w:rsidR="00093EEB" w:rsidRPr="00FE4067">
        <w:trPr>
          <w:cantSplit/>
        </w:trPr>
        <w:tc>
          <w:tcPr>
            <w:tcW w:w="10173" w:type="dxa"/>
            <w:gridSpan w:val="2"/>
          </w:tcPr>
          <w:p w:rsidR="00093EEB" w:rsidRPr="00FE4067" w:rsidRDefault="00B37D3F">
            <w:pPr>
              <w:pStyle w:val="Title1"/>
            </w:pPr>
            <w:bookmarkStart w:id="8" w:name="dtitle1" w:colFirst="0" w:colLast="0"/>
            <w:bookmarkEnd w:id="7"/>
            <w:r w:rsidRPr="00FE4067">
              <w:t>PREPARATIVOS PARA EL FMPT-21</w:t>
            </w:r>
          </w:p>
        </w:tc>
      </w:tr>
      <w:bookmarkEnd w:id="8"/>
    </w:tbl>
    <w:p w:rsidR="00093EEB" w:rsidRPr="00FE406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E4067" w:rsidTr="00306702">
        <w:trPr>
          <w:trHeight w:val="5196"/>
        </w:trPr>
        <w:tc>
          <w:tcPr>
            <w:tcW w:w="8080" w:type="dxa"/>
            <w:tcBorders>
              <w:top w:val="single" w:sz="12" w:space="0" w:color="auto"/>
              <w:left w:val="single" w:sz="12" w:space="0" w:color="auto"/>
              <w:bottom w:val="single" w:sz="12" w:space="0" w:color="auto"/>
              <w:right w:val="single" w:sz="12" w:space="0" w:color="auto"/>
            </w:tcBorders>
          </w:tcPr>
          <w:p w:rsidR="00093EEB" w:rsidRPr="00FE4067" w:rsidRDefault="00093EEB">
            <w:pPr>
              <w:pStyle w:val="Headingb"/>
            </w:pPr>
            <w:r w:rsidRPr="00FE4067">
              <w:t>Resumen</w:t>
            </w:r>
          </w:p>
          <w:p w:rsidR="00093EEB" w:rsidRPr="00FE4067" w:rsidRDefault="00B37D3F">
            <w:pPr>
              <w:rPr>
                <w:szCs w:val="24"/>
              </w:rPr>
            </w:pPr>
            <w:r w:rsidRPr="00FE4067">
              <w:rPr>
                <w:szCs w:val="24"/>
              </w:rPr>
              <w:t xml:space="preserve">La Resolución 2 (Rev. Dubái, 2018) </w:t>
            </w:r>
            <w:r w:rsidRPr="00FE4067">
              <w:rPr>
                <w:i/>
                <w:iCs/>
                <w:szCs w:val="24"/>
              </w:rPr>
              <w:t>resuelve</w:t>
            </w:r>
            <w:r w:rsidRPr="00FE4067">
              <w:rPr>
                <w:szCs w:val="24"/>
              </w:rPr>
              <w:t xml:space="preserve"> que el FMPT se celebre preferiblemente de manera consecutiva con el Foro de la CMSI 2021, teniendo en cuenta la necesidad de que los Estados Miembros se preparen adecuadamente. Este documento proporciona información general sobre el FMPT y propone un plazo para el proceso preparatorio del FMPT-21.</w:t>
            </w:r>
          </w:p>
          <w:p w:rsidR="00093EEB" w:rsidRPr="00FE4067" w:rsidRDefault="00093EEB">
            <w:pPr>
              <w:pStyle w:val="Headingb"/>
            </w:pPr>
            <w:r w:rsidRPr="00FE4067">
              <w:t>Acción solicitada</w:t>
            </w:r>
          </w:p>
          <w:p w:rsidR="00B37D3F" w:rsidRPr="00FE4067" w:rsidRDefault="003F4488" w:rsidP="00B37D3F">
            <w:pPr>
              <w:tabs>
                <w:tab w:val="clear" w:pos="567"/>
                <w:tab w:val="clear" w:pos="1134"/>
                <w:tab w:val="clear" w:pos="1701"/>
                <w:tab w:val="clear" w:pos="2268"/>
                <w:tab w:val="clear" w:pos="2835"/>
              </w:tabs>
              <w:overflowPunct/>
              <w:spacing w:after="120"/>
              <w:textAlignment w:val="auto"/>
              <w:rPr>
                <w:rFonts w:cs="Calibri"/>
                <w:szCs w:val="24"/>
              </w:rPr>
            </w:pPr>
            <w:r w:rsidRPr="00FE4067">
              <w:rPr>
                <w:rFonts w:cs="Calibri"/>
                <w:szCs w:val="24"/>
              </w:rPr>
              <w:t>Se encarga al Consejo que:</w:t>
            </w:r>
          </w:p>
          <w:p w:rsidR="00B37D3F" w:rsidRPr="00FE4067" w:rsidRDefault="003F4488" w:rsidP="003F4488">
            <w:pPr>
              <w:pStyle w:val="enumlev1"/>
            </w:pPr>
            <w:r w:rsidRPr="00FE4067">
              <w:t>1)</w:t>
            </w:r>
            <w:r w:rsidRPr="00FE4067">
              <w:tab/>
            </w:r>
            <w:r w:rsidR="00B37D3F" w:rsidRPr="00FE4067">
              <w:rPr>
                <w:b/>
                <w:bCs/>
              </w:rPr>
              <w:t>decida</w:t>
            </w:r>
            <w:r w:rsidR="00B37D3F" w:rsidRPr="00FE4067">
              <w:t xml:space="preserve"> la duración, la fecha, el lugar de celebración, el orden del día y los temas del FMPT-21;</w:t>
            </w:r>
          </w:p>
          <w:p w:rsidR="00093EEB" w:rsidRPr="00FE4067" w:rsidRDefault="003F4488" w:rsidP="00707491">
            <w:pPr>
              <w:pStyle w:val="enumlev1"/>
            </w:pPr>
            <w:r w:rsidRPr="00FE4067">
              <w:t>2)</w:t>
            </w:r>
            <w:r w:rsidRPr="00FE4067">
              <w:tab/>
            </w:r>
            <w:r w:rsidR="00B37D3F" w:rsidRPr="00FE4067">
              <w:rPr>
                <w:b/>
                <w:bCs/>
              </w:rPr>
              <w:t xml:space="preserve">adopte </w:t>
            </w:r>
            <w:r w:rsidR="00B37D3F" w:rsidRPr="00FE4067">
              <w:t xml:space="preserve">el procedimiento de preparación del informe </w:t>
            </w:r>
            <w:r w:rsidR="00707491" w:rsidRPr="00FE4067">
              <w:t>d</w:t>
            </w:r>
            <w:r w:rsidR="00B37D3F" w:rsidRPr="00FE4067">
              <w:t>el Secretario General al FMPT-21.</w:t>
            </w:r>
          </w:p>
          <w:p w:rsidR="00093EEB" w:rsidRPr="00FE4067" w:rsidRDefault="00093EEB">
            <w:pPr>
              <w:pStyle w:val="Table"/>
              <w:keepNext w:val="0"/>
              <w:spacing w:before="0" w:after="0"/>
              <w:rPr>
                <w:caps w:val="0"/>
                <w:sz w:val="22"/>
                <w:lang w:val="es-ES_tradnl"/>
              </w:rPr>
            </w:pPr>
            <w:r w:rsidRPr="00FE4067">
              <w:rPr>
                <w:caps w:val="0"/>
                <w:sz w:val="22"/>
                <w:lang w:val="es-ES_tradnl"/>
              </w:rPr>
              <w:t>____________</w:t>
            </w:r>
          </w:p>
          <w:p w:rsidR="00093EEB" w:rsidRPr="00FE4067" w:rsidRDefault="00093EEB">
            <w:pPr>
              <w:pStyle w:val="Headingb"/>
            </w:pPr>
            <w:r w:rsidRPr="00FE4067">
              <w:t>Referencia</w:t>
            </w:r>
            <w:r w:rsidR="0015735D" w:rsidRPr="00FE4067">
              <w:t>s</w:t>
            </w:r>
          </w:p>
          <w:p w:rsidR="00093EEB" w:rsidRPr="00FE4067" w:rsidRDefault="00B37D3F" w:rsidP="00B37D3F">
            <w:pPr>
              <w:spacing w:after="120"/>
              <w:rPr>
                <w:i/>
                <w:iCs/>
              </w:rPr>
            </w:pPr>
            <w:r w:rsidRPr="00FE4067">
              <w:t xml:space="preserve">Documento </w:t>
            </w:r>
            <w:hyperlink r:id="rId8" w:history="1">
              <w:r w:rsidRPr="00FE4067">
                <w:rPr>
                  <w:rStyle w:val="Hyperlink"/>
                </w:rPr>
                <w:t>C13/64(Rev1)</w:t>
              </w:r>
            </w:hyperlink>
            <w:r w:rsidRPr="00FE4067">
              <w:t>;</w:t>
            </w:r>
            <w:r w:rsidRPr="00FE4067">
              <w:rPr>
                <w:i/>
                <w:iCs/>
              </w:rPr>
              <w:t xml:space="preserve"> </w:t>
            </w:r>
            <w:hyperlink r:id="rId9" w:history="1">
              <w:r w:rsidRPr="00FE4067">
                <w:rPr>
                  <w:rStyle w:val="Hyperlink"/>
                  <w:rFonts w:asciiTheme="minorHAnsi" w:hAnsiTheme="minorHAnsi" w:cstheme="minorHAnsi"/>
                  <w:szCs w:val="24"/>
                </w:rPr>
                <w:t>Resolución 2 (</w:t>
              </w:r>
              <w:bookmarkStart w:id="9" w:name="_GoBack"/>
              <w:bookmarkEnd w:id="9"/>
              <w:r w:rsidRPr="00FE4067">
                <w:rPr>
                  <w:rStyle w:val="Hyperlink"/>
                  <w:rFonts w:asciiTheme="minorHAnsi" w:hAnsiTheme="minorHAnsi" w:cstheme="minorHAnsi"/>
                  <w:szCs w:val="24"/>
                </w:rPr>
                <w:t>Rev. Dubái, 2018)</w:t>
              </w:r>
            </w:hyperlink>
          </w:p>
        </w:tc>
      </w:tr>
    </w:tbl>
    <w:p w:rsidR="00B37D3F" w:rsidRPr="00FE4067" w:rsidRDefault="009B08BA" w:rsidP="00F42467">
      <w:pPr>
        <w:pStyle w:val="Normalaftertitle"/>
      </w:pPr>
      <w:r w:rsidRPr="00FE4067">
        <w:t>1</w:t>
      </w:r>
      <w:r w:rsidR="00B37D3F" w:rsidRPr="00FE4067">
        <w:tab/>
        <w:t xml:space="preserve">El Foro Mundial de Política de las Telecomunicaciones/TIC (FMPT) de la UIT, establecido por la Conferencia de Plenipotenciarios de Kyoto celebrada en 1994 y contemplado en las disposiciones de la Resolución 2 (Rev. Dubái, 2018). El FMPT se celebró satisfactoriamente </w:t>
      </w:r>
      <w:r w:rsidR="00F42467" w:rsidRPr="00FE4067">
        <w:t>en</w:t>
      </w:r>
      <w:r w:rsidR="00B37D3F" w:rsidRPr="00FE4067">
        <w:t xml:space="preserve"> 1996, 1998, 2001, 2009 y 2013. El informe sobre el FMPT-13 está disponible en el </w:t>
      </w:r>
      <w:r w:rsidR="00F42467" w:rsidRPr="00FE4067">
        <w:t>Documento </w:t>
      </w:r>
      <w:hyperlink r:id="rId10" w:history="1">
        <w:r w:rsidR="00B37D3F" w:rsidRPr="00FE4067">
          <w:rPr>
            <w:rStyle w:val="Hyperlink"/>
          </w:rPr>
          <w:t>C13/64(Rev.1)</w:t>
        </w:r>
      </w:hyperlink>
      <w:r w:rsidR="00B37D3F" w:rsidRPr="00FE4067">
        <w:t>.</w:t>
      </w:r>
    </w:p>
    <w:p w:rsidR="00B37D3F" w:rsidRPr="00FE4067" w:rsidRDefault="00342EAD" w:rsidP="009E6A2D">
      <w:pPr>
        <w:rPr>
          <w:rFonts w:cs="Calibri"/>
        </w:rPr>
      </w:pPr>
      <w:r w:rsidRPr="00FE4067">
        <w:t>2</w:t>
      </w:r>
      <w:r w:rsidR="00B37D3F" w:rsidRPr="00FE4067">
        <w:tab/>
        <w:t xml:space="preserve">El propósito del FMPT es ofrecer un lugar donde las instancias decisorias de todo el mundo intercambien opiniones e información y lleguen a una visión compartida para contribuir a establecer los marcos que exige el advenimiento de los nuevos servicios y tecnologías de las telecomunicaciones/TIC, así como para el examen de cualquier otra cuestión de política general de telecomunicaciones/TIC que </w:t>
      </w:r>
      <w:r w:rsidR="00B37D3F" w:rsidRPr="00FE4067">
        <w:lastRenderedPageBreak/>
        <w:t>pueda beneficiarse de un intercambio general de ideas, además de adoptar opiniones que re</w:t>
      </w:r>
      <w:r w:rsidR="005C207A" w:rsidRPr="00FE4067">
        <w:t>flejen puntos de vista comunes.</w:t>
      </w:r>
    </w:p>
    <w:p w:rsidR="00B37D3F" w:rsidRPr="00FE4067" w:rsidRDefault="00783A77" w:rsidP="00783A77">
      <w:r w:rsidRPr="00FE4067">
        <w:t>3</w:t>
      </w:r>
      <w:r w:rsidR="00B37D3F" w:rsidRPr="00FE4067">
        <w:tab/>
        <w:t>La conveniencia de que el FMPT siga prestando atención especial a los intereses y necesidades de los países en desarrollo, en los que las tecnologías y los servicios modernos pueden contribuir considerablemente al desarrollo de la infraes</w:t>
      </w:r>
      <w:r w:rsidRPr="00FE4067">
        <w:t>tructura de telecomunicaciones.</w:t>
      </w:r>
    </w:p>
    <w:p w:rsidR="00B37D3F" w:rsidRPr="00FE4067" w:rsidRDefault="00783A77" w:rsidP="00783A77">
      <w:r w:rsidRPr="00FE4067">
        <w:t>4</w:t>
      </w:r>
      <w:r w:rsidR="00B37D3F" w:rsidRPr="00FE4067">
        <w:tab/>
        <w:t>Para asegurarse de que los debates del FMPT estén bien definidos, éstos se basen exclusivamente en un único informe del Secretario General, y en las contribuciones de los participantes basadas en dicho informe, preparado de acuerdo con un procedimiento adoptado por el Consejo y basado en las opiniones formuladas por los Estados Miembros y los Miembros de Sector, y sobre las opiniones de los Asociados, las Instituciones Académi</w:t>
      </w:r>
      <w:r w:rsidRPr="00FE4067">
        <w:t>cas y otras partes interesadas.</w:t>
      </w:r>
    </w:p>
    <w:p w:rsidR="00B37D3F" w:rsidRPr="00FE4067" w:rsidRDefault="00783A77" w:rsidP="00213EB3">
      <w:r w:rsidRPr="00FE4067">
        <w:t>5</w:t>
      </w:r>
      <w:r w:rsidR="00B37D3F" w:rsidRPr="00FE4067">
        <w:tab/>
        <w:t>El FMPT no elabore normas preceptivas; sin embargo, el Foro preparará informes y adoptará opiniones por consenso para su examen por los Estados Miembros, los Miembros de Sector y las reuniones pertinentes de la UIT.</w:t>
      </w:r>
    </w:p>
    <w:p w:rsidR="00B37D3F" w:rsidRPr="00FE4067" w:rsidRDefault="00213EB3" w:rsidP="00213EB3">
      <w:r w:rsidRPr="00FE4067">
        <w:t>6</w:t>
      </w:r>
      <w:r w:rsidR="00B37D3F" w:rsidRPr="00FE4067">
        <w:tab/>
        <w:t>El FMPT esté abierto a todos los Estados Miembros y Miembros de Sector pero, si procede pueda reservar, por decisión de la mayoría de los representantes de los Estados Miembros, una reunión especial so</w:t>
      </w:r>
      <w:r w:rsidRPr="00FE4067">
        <w:t>lamente a los Estados Miembros.</w:t>
      </w:r>
    </w:p>
    <w:p w:rsidR="00B37D3F" w:rsidRPr="00FE4067" w:rsidRDefault="00213EB3" w:rsidP="00783A77">
      <w:r w:rsidRPr="00FE4067">
        <w:t>7</w:t>
      </w:r>
      <w:r w:rsidR="00B37D3F" w:rsidRPr="00FE4067">
        <w:tab/>
        <w:t xml:space="preserve">La Resolución 2 (Rev. Dubái, 2018) </w:t>
      </w:r>
      <w:r w:rsidR="00B37D3F" w:rsidRPr="00FE4067">
        <w:rPr>
          <w:i/>
          <w:iCs/>
        </w:rPr>
        <w:t>resuelve</w:t>
      </w:r>
      <w:r w:rsidR="00B37D3F" w:rsidRPr="00FE4067">
        <w:t xml:space="preserve"> que el FMPT se celebre preferiblemente de manera consecutiva con el Foro de la CMSI 2021, teniendo en cuenta la necesidad de que los Estados Miembros se preparen adecuadamente.</w:t>
      </w:r>
    </w:p>
    <w:p w:rsidR="00B37D3F" w:rsidRPr="00FE4067" w:rsidRDefault="00223B2A" w:rsidP="00783A77">
      <w:r w:rsidRPr="00FE4067">
        <w:t>8</w:t>
      </w:r>
      <w:r w:rsidR="00B37D3F" w:rsidRPr="00FE4067">
        <w:tab/>
        <w:t>La Resolución 2 (Rev. Dubái, 2018) encarga al Consejo de la UIT:</w:t>
      </w:r>
    </w:p>
    <w:p w:rsidR="00946899" w:rsidRPr="00FE4067" w:rsidRDefault="00306702" w:rsidP="00105D0F">
      <w:pPr>
        <w:pStyle w:val="enumlev1"/>
      </w:pPr>
      <w:r w:rsidRPr="00FE4067">
        <w:t>•</w:t>
      </w:r>
      <w:r w:rsidRPr="00FE4067">
        <w:tab/>
      </w:r>
      <w:r w:rsidR="00B37D3F" w:rsidRPr="00FE4067">
        <w:t>que continúe decidiendo la duración, la fecha, el lugar de celebración, el orden del día y los temas de los futuros FMPT;</w:t>
      </w:r>
    </w:p>
    <w:p w:rsidR="00B37D3F" w:rsidRPr="00FE4067" w:rsidRDefault="00306702" w:rsidP="00FC7C34">
      <w:pPr>
        <w:pStyle w:val="enumlev1"/>
      </w:pPr>
      <w:r w:rsidRPr="00FE4067">
        <w:t>•</w:t>
      </w:r>
      <w:r w:rsidRPr="00FE4067">
        <w:tab/>
      </w:r>
      <w:r w:rsidR="00B37D3F" w:rsidRPr="00FE4067">
        <w:t xml:space="preserve">que adopte el procedimiento de preparación del informe </w:t>
      </w:r>
      <w:r w:rsidR="00FC7C34" w:rsidRPr="00FE4067">
        <w:t>d</w:t>
      </w:r>
      <w:r w:rsidR="00DE0FC6" w:rsidRPr="00FE4067">
        <w:t>el Secretario General al FMPT</w:t>
      </w:r>
      <w:r w:rsidR="00DE0FC6" w:rsidRPr="00FE4067">
        <w:noBreakHyphen/>
      </w:r>
      <w:r w:rsidR="00B37D3F" w:rsidRPr="00FE4067">
        <w:t>21;</w:t>
      </w:r>
    </w:p>
    <w:p w:rsidR="00B37D3F" w:rsidRPr="00FE4067" w:rsidRDefault="00306702" w:rsidP="00105D0F">
      <w:pPr>
        <w:pStyle w:val="enumlev1"/>
      </w:pPr>
      <w:r w:rsidRPr="00FE4067">
        <w:t>•</w:t>
      </w:r>
      <w:r w:rsidRPr="00FE4067">
        <w:tab/>
      </w:r>
      <w:r w:rsidR="00B37D3F" w:rsidRPr="00FE4067">
        <w:t xml:space="preserve">que el procedimiento indicado en el </w:t>
      </w:r>
      <w:r w:rsidR="00B37D3F" w:rsidRPr="00FE4067">
        <w:rPr>
          <w:i/>
          <w:iCs/>
        </w:rPr>
        <w:t>encarga al Consejo de la UIT</w:t>
      </w:r>
      <w:r w:rsidR="00B37D3F" w:rsidRPr="00FE4067">
        <w:t xml:space="preserve"> 2 incluya, según proceda, una participación abierta a todos </w:t>
      </w:r>
      <w:r w:rsidR="00B37D3F" w:rsidRPr="00FE4067">
        <w:lastRenderedPageBreak/>
        <w:t>los Estados Miembros y Miembros de Sector y consultas públicas en línea abiertas a todas las partes interesadas, teniendo en cuenta las prácticas adoptadas y experiencias adquiridas por la UIT, especialmente en el proceso preparatorio de los FMPT anteriores.</w:t>
      </w:r>
    </w:p>
    <w:p w:rsidR="00B37D3F" w:rsidRPr="00FE4067" w:rsidRDefault="00770761" w:rsidP="00770761">
      <w:pPr>
        <w:spacing w:after="120"/>
      </w:pPr>
      <w:r w:rsidRPr="00FE4067">
        <w:t>9</w:t>
      </w:r>
      <w:r w:rsidR="00B37D3F" w:rsidRPr="00FE4067">
        <w:tab/>
        <w:t>Los plazos propuestos para la preparación de</w:t>
      </w:r>
      <w:r w:rsidRPr="00FE4067">
        <w:t>l FMPT-2021 son los siguientes:</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5096"/>
      </w:tblGrid>
      <w:tr w:rsidR="00B37D3F" w:rsidRPr="00FE4067" w:rsidTr="0040364C">
        <w:trPr>
          <w:jc w:val="center"/>
        </w:trPr>
        <w:tc>
          <w:tcPr>
            <w:tcW w:w="4106" w:type="dxa"/>
            <w:shd w:val="clear" w:color="auto" w:fill="EEECE1"/>
            <w:tcMar>
              <w:top w:w="0" w:type="dxa"/>
              <w:left w:w="108" w:type="dxa"/>
              <w:bottom w:w="0" w:type="dxa"/>
              <w:right w:w="108" w:type="dxa"/>
            </w:tcMar>
            <w:hideMark/>
          </w:tcPr>
          <w:p w:rsidR="00B37D3F" w:rsidRPr="00FE4067" w:rsidRDefault="00B37D3F" w:rsidP="0010620A">
            <w:pPr>
              <w:pStyle w:val="Tablehead"/>
              <w:spacing w:before="40" w:after="40"/>
              <w:rPr>
                <w:rFonts w:eastAsiaTheme="minorEastAsia"/>
              </w:rPr>
            </w:pPr>
            <w:r w:rsidRPr="00FE4067">
              <w:rPr>
                <w:rFonts w:eastAsiaTheme="minorEastAsia"/>
              </w:rPr>
              <w:t>Plazo</w:t>
            </w:r>
          </w:p>
        </w:tc>
        <w:tc>
          <w:tcPr>
            <w:tcW w:w="5096" w:type="dxa"/>
            <w:shd w:val="clear" w:color="auto" w:fill="EEECE1"/>
            <w:tcMar>
              <w:top w:w="0" w:type="dxa"/>
              <w:left w:w="108" w:type="dxa"/>
              <w:bottom w:w="0" w:type="dxa"/>
              <w:right w:w="108" w:type="dxa"/>
            </w:tcMar>
            <w:hideMark/>
          </w:tcPr>
          <w:p w:rsidR="00B37D3F" w:rsidRPr="00FE4067" w:rsidRDefault="00B37D3F" w:rsidP="0010620A">
            <w:pPr>
              <w:pStyle w:val="Tablehead"/>
              <w:spacing w:before="40" w:after="40"/>
              <w:rPr>
                <w:rFonts w:eastAsiaTheme="minorEastAsia"/>
              </w:rPr>
            </w:pPr>
          </w:p>
        </w:tc>
      </w:tr>
      <w:tr w:rsidR="00B37D3F" w:rsidRPr="00FE4067" w:rsidTr="0040364C">
        <w:trPr>
          <w:trHeight w:val="710"/>
          <w:jc w:val="center"/>
        </w:trPr>
        <w:tc>
          <w:tcPr>
            <w:tcW w:w="4106" w:type="dxa"/>
            <w:tcMar>
              <w:top w:w="0" w:type="dxa"/>
              <w:left w:w="108" w:type="dxa"/>
              <w:bottom w:w="0" w:type="dxa"/>
              <w:right w:w="108" w:type="dxa"/>
            </w:tcMar>
          </w:tcPr>
          <w:p w:rsidR="00B37D3F" w:rsidRPr="00FE4067" w:rsidRDefault="00B37D3F" w:rsidP="00C96661">
            <w:pPr>
              <w:pStyle w:val="Tabletext"/>
              <w:rPr>
                <w:rFonts w:eastAsiaTheme="minorEastAsia"/>
                <w:b/>
                <w:bCs/>
              </w:rPr>
            </w:pPr>
            <w:r w:rsidRPr="00FE4067">
              <w:rPr>
                <w:rFonts w:eastAsiaTheme="minorEastAsia"/>
                <w:b/>
                <w:bCs/>
              </w:rPr>
              <w:t>Septiembre de 2019</w:t>
            </w:r>
            <w:r w:rsidRPr="00FE4067">
              <w:rPr>
                <w:rFonts w:eastAsiaTheme="minorEastAsia"/>
                <w:b/>
                <w:bCs/>
              </w:rPr>
              <w:br/>
              <w:t>(pa</w:t>
            </w:r>
            <w:r w:rsidR="00C96661" w:rsidRPr="00FE4067">
              <w:rPr>
                <w:rFonts w:eastAsiaTheme="minorEastAsia"/>
                <w:b/>
                <w:bCs/>
              </w:rPr>
              <w:t>rte de la serie de reuniones de </w:t>
            </w:r>
            <w:r w:rsidRPr="00FE4067">
              <w:rPr>
                <w:rFonts w:eastAsiaTheme="minorEastAsia"/>
                <w:b/>
                <w:bCs/>
              </w:rPr>
              <w:t>los GTC)</w:t>
            </w:r>
          </w:p>
        </w:tc>
        <w:tc>
          <w:tcPr>
            <w:tcW w:w="5096" w:type="dxa"/>
            <w:tcMar>
              <w:top w:w="0" w:type="dxa"/>
              <w:left w:w="108" w:type="dxa"/>
              <w:bottom w:w="0" w:type="dxa"/>
              <w:right w:w="108" w:type="dxa"/>
            </w:tcMar>
          </w:tcPr>
          <w:p w:rsidR="00B37D3F" w:rsidRPr="00FE4067" w:rsidRDefault="00B37D3F" w:rsidP="00FF7616">
            <w:pPr>
              <w:pStyle w:val="Tabletext"/>
              <w:rPr>
                <w:rFonts w:eastAsiaTheme="minorEastAsia"/>
              </w:rPr>
            </w:pPr>
            <w:r w:rsidRPr="00FE4067">
              <w:rPr>
                <w:rFonts w:eastAsiaTheme="minorEastAsia"/>
              </w:rPr>
              <w:t>Primera reunión del grupo informal de expertos (GIE)</w:t>
            </w:r>
            <w:r w:rsidR="00772772" w:rsidRPr="00FE4067">
              <w:rPr>
                <w:rFonts w:eastAsiaTheme="minorEastAsia"/>
              </w:rPr>
              <w:t xml:space="preserve"> </w:t>
            </w:r>
            <w:r w:rsidRPr="00FE4067">
              <w:rPr>
                <w:rFonts w:eastAsiaTheme="minorEastAsia"/>
              </w:rPr>
              <w:t>(2 días)</w:t>
            </w:r>
          </w:p>
        </w:tc>
      </w:tr>
      <w:tr w:rsidR="00B37D3F" w:rsidRPr="00FE4067" w:rsidTr="0040364C">
        <w:trPr>
          <w:jc w:val="center"/>
        </w:trPr>
        <w:tc>
          <w:tcPr>
            <w:tcW w:w="4106" w:type="dxa"/>
            <w:tcMar>
              <w:top w:w="0" w:type="dxa"/>
              <w:left w:w="108" w:type="dxa"/>
              <w:bottom w:w="0" w:type="dxa"/>
              <w:right w:w="108" w:type="dxa"/>
            </w:tcMar>
            <w:hideMark/>
          </w:tcPr>
          <w:p w:rsidR="00B37D3F" w:rsidRPr="00FE4067" w:rsidRDefault="00C96661" w:rsidP="00C96661">
            <w:pPr>
              <w:pStyle w:val="Tabletext"/>
              <w:rPr>
                <w:rFonts w:eastAsiaTheme="minorEastAsia"/>
                <w:b/>
                <w:bCs/>
              </w:rPr>
            </w:pPr>
            <w:r w:rsidRPr="00FE4067">
              <w:rPr>
                <w:rFonts w:eastAsiaTheme="minorEastAsia"/>
                <w:b/>
                <w:bCs/>
              </w:rPr>
              <w:t>Febrero de 2020</w:t>
            </w:r>
            <w:r w:rsidRPr="00FE4067">
              <w:rPr>
                <w:rFonts w:eastAsiaTheme="minorEastAsia"/>
                <w:b/>
                <w:bCs/>
              </w:rPr>
              <w:br/>
            </w:r>
            <w:r w:rsidR="00B37D3F" w:rsidRPr="00FE4067">
              <w:rPr>
                <w:rFonts w:eastAsiaTheme="minorEastAsia"/>
                <w:b/>
                <w:bCs/>
              </w:rPr>
              <w:t>(pa</w:t>
            </w:r>
            <w:r w:rsidRPr="00FE4067">
              <w:rPr>
                <w:rFonts w:eastAsiaTheme="minorEastAsia"/>
                <w:b/>
                <w:bCs/>
              </w:rPr>
              <w:t>rte de la serie de reuniones de </w:t>
            </w:r>
            <w:r w:rsidR="00B37D3F" w:rsidRPr="00FE4067">
              <w:rPr>
                <w:rFonts w:eastAsiaTheme="minorEastAsia"/>
                <w:b/>
                <w:bCs/>
              </w:rPr>
              <w:t>los GTC)</w:t>
            </w:r>
          </w:p>
        </w:tc>
        <w:tc>
          <w:tcPr>
            <w:tcW w:w="5096" w:type="dxa"/>
            <w:tcMar>
              <w:top w:w="0" w:type="dxa"/>
              <w:left w:w="108" w:type="dxa"/>
              <w:bottom w:w="0" w:type="dxa"/>
              <w:right w:w="108" w:type="dxa"/>
            </w:tcMar>
            <w:hideMark/>
          </w:tcPr>
          <w:p w:rsidR="00B37D3F" w:rsidRPr="00FE4067" w:rsidRDefault="00B37D3F" w:rsidP="00FF7616">
            <w:pPr>
              <w:pStyle w:val="Tabletext"/>
              <w:rPr>
                <w:rFonts w:eastAsiaTheme="minorEastAsia"/>
              </w:rPr>
            </w:pPr>
            <w:r w:rsidRPr="00FE4067">
              <w:rPr>
                <w:rFonts w:eastAsiaTheme="minorEastAsia"/>
              </w:rPr>
              <w:t>Segunda reunión del grupo informal de expertos (GIE)</w:t>
            </w:r>
            <w:r w:rsidR="00772772" w:rsidRPr="00FE4067">
              <w:rPr>
                <w:rFonts w:eastAsiaTheme="minorEastAsia"/>
              </w:rPr>
              <w:t xml:space="preserve"> </w:t>
            </w:r>
            <w:r w:rsidRPr="00FE4067">
              <w:rPr>
                <w:rFonts w:eastAsiaTheme="minorEastAsia"/>
              </w:rPr>
              <w:t>(2 días)</w:t>
            </w:r>
          </w:p>
        </w:tc>
      </w:tr>
      <w:tr w:rsidR="00B37D3F" w:rsidRPr="00FE4067" w:rsidTr="0040364C">
        <w:trPr>
          <w:jc w:val="center"/>
        </w:trPr>
        <w:tc>
          <w:tcPr>
            <w:tcW w:w="4106" w:type="dxa"/>
            <w:tcMar>
              <w:top w:w="0" w:type="dxa"/>
              <w:left w:w="108" w:type="dxa"/>
              <w:bottom w:w="0" w:type="dxa"/>
              <w:right w:w="108" w:type="dxa"/>
            </w:tcMar>
          </w:tcPr>
          <w:p w:rsidR="00B37D3F" w:rsidRPr="00FE4067" w:rsidRDefault="00B37D3F" w:rsidP="00C96661">
            <w:pPr>
              <w:pStyle w:val="Tabletext"/>
              <w:rPr>
                <w:rFonts w:eastAsiaTheme="minorEastAsia"/>
                <w:b/>
                <w:bCs/>
              </w:rPr>
            </w:pPr>
            <w:r w:rsidRPr="00FE4067">
              <w:rPr>
                <w:rFonts w:eastAsiaTheme="minorEastAsia"/>
                <w:b/>
                <w:bCs/>
              </w:rPr>
              <w:t xml:space="preserve">Septiembre de 2020 </w:t>
            </w:r>
            <w:r w:rsidRPr="00FE4067">
              <w:rPr>
                <w:rFonts w:eastAsiaTheme="minorEastAsia"/>
                <w:b/>
                <w:bCs/>
              </w:rPr>
              <w:br/>
              <w:t>(pa</w:t>
            </w:r>
            <w:r w:rsidR="00C96661" w:rsidRPr="00FE4067">
              <w:rPr>
                <w:rFonts w:eastAsiaTheme="minorEastAsia"/>
                <w:b/>
                <w:bCs/>
              </w:rPr>
              <w:t>rte de la serie de reuniones de </w:t>
            </w:r>
            <w:r w:rsidRPr="00FE4067">
              <w:rPr>
                <w:rFonts w:eastAsiaTheme="minorEastAsia"/>
                <w:b/>
                <w:bCs/>
              </w:rPr>
              <w:t>los GTC)</w:t>
            </w:r>
          </w:p>
        </w:tc>
        <w:tc>
          <w:tcPr>
            <w:tcW w:w="5096" w:type="dxa"/>
            <w:tcMar>
              <w:top w:w="0" w:type="dxa"/>
              <w:left w:w="108" w:type="dxa"/>
              <w:bottom w:w="0" w:type="dxa"/>
              <w:right w:w="108" w:type="dxa"/>
            </w:tcMar>
          </w:tcPr>
          <w:p w:rsidR="00B37D3F" w:rsidRPr="00FE4067" w:rsidRDefault="00B37D3F" w:rsidP="00FF7616">
            <w:pPr>
              <w:pStyle w:val="Tabletext"/>
              <w:rPr>
                <w:rFonts w:eastAsiaTheme="minorEastAsia"/>
              </w:rPr>
            </w:pPr>
            <w:r w:rsidRPr="00FE4067">
              <w:rPr>
                <w:rFonts w:eastAsiaTheme="minorEastAsia"/>
              </w:rPr>
              <w:t>Tercera reunión del grupo informal de expertos (GIE)</w:t>
            </w:r>
            <w:r w:rsidR="00772772" w:rsidRPr="00FE4067">
              <w:rPr>
                <w:rFonts w:eastAsiaTheme="minorEastAsia"/>
              </w:rPr>
              <w:t xml:space="preserve"> </w:t>
            </w:r>
            <w:r w:rsidRPr="00FE4067">
              <w:rPr>
                <w:rFonts w:eastAsiaTheme="minorEastAsia"/>
              </w:rPr>
              <w:t>(3 días)</w:t>
            </w:r>
          </w:p>
        </w:tc>
      </w:tr>
      <w:tr w:rsidR="00B37D3F" w:rsidRPr="00FE4067" w:rsidTr="0040364C">
        <w:trPr>
          <w:jc w:val="center"/>
        </w:trPr>
        <w:tc>
          <w:tcPr>
            <w:tcW w:w="4106" w:type="dxa"/>
            <w:tcMar>
              <w:top w:w="0" w:type="dxa"/>
              <w:left w:w="108" w:type="dxa"/>
              <w:bottom w:w="0" w:type="dxa"/>
              <w:right w:w="108" w:type="dxa"/>
            </w:tcMar>
          </w:tcPr>
          <w:p w:rsidR="00B37D3F" w:rsidRPr="00FE4067" w:rsidRDefault="00B37D3F" w:rsidP="00C96661">
            <w:pPr>
              <w:pStyle w:val="Tabletext"/>
              <w:rPr>
                <w:rFonts w:eastAsiaTheme="minorEastAsia"/>
                <w:b/>
                <w:bCs/>
              </w:rPr>
            </w:pPr>
            <w:r w:rsidRPr="00FE4067">
              <w:rPr>
                <w:rFonts w:eastAsiaTheme="minorEastAsia"/>
                <w:b/>
                <w:bCs/>
              </w:rPr>
              <w:t xml:space="preserve">Febrero de 2021 </w:t>
            </w:r>
            <w:r w:rsidR="00C96661" w:rsidRPr="00FE4067">
              <w:rPr>
                <w:rFonts w:eastAsiaTheme="minorEastAsia"/>
                <w:b/>
                <w:bCs/>
              </w:rPr>
              <w:br/>
            </w:r>
            <w:r w:rsidRPr="00FE4067">
              <w:rPr>
                <w:rFonts w:eastAsiaTheme="minorEastAsia"/>
                <w:b/>
                <w:bCs/>
              </w:rPr>
              <w:t>(pa</w:t>
            </w:r>
            <w:r w:rsidR="00C96661" w:rsidRPr="00FE4067">
              <w:rPr>
                <w:rFonts w:eastAsiaTheme="minorEastAsia"/>
                <w:b/>
                <w:bCs/>
              </w:rPr>
              <w:t>rte de la serie de reuniones de </w:t>
            </w:r>
            <w:r w:rsidRPr="00FE4067">
              <w:rPr>
                <w:rFonts w:eastAsiaTheme="minorEastAsia"/>
                <w:b/>
                <w:bCs/>
              </w:rPr>
              <w:t>los GTC)</w:t>
            </w:r>
          </w:p>
        </w:tc>
        <w:tc>
          <w:tcPr>
            <w:tcW w:w="5096" w:type="dxa"/>
            <w:tcMar>
              <w:top w:w="0" w:type="dxa"/>
              <w:left w:w="108" w:type="dxa"/>
              <w:bottom w:w="0" w:type="dxa"/>
              <w:right w:w="108" w:type="dxa"/>
            </w:tcMar>
          </w:tcPr>
          <w:p w:rsidR="00B37D3F" w:rsidRPr="00FE4067" w:rsidRDefault="00B37D3F" w:rsidP="00FF7616">
            <w:pPr>
              <w:pStyle w:val="Tabletext"/>
              <w:rPr>
                <w:rFonts w:eastAsiaTheme="minorEastAsia"/>
              </w:rPr>
            </w:pPr>
            <w:r w:rsidRPr="00FE4067">
              <w:rPr>
                <w:rFonts w:eastAsiaTheme="minorEastAsia"/>
              </w:rPr>
              <w:t>Cuarta reunión del grupo informal de expertos (GIE)</w:t>
            </w:r>
            <w:r w:rsidR="00772772" w:rsidRPr="00FE4067">
              <w:rPr>
                <w:rFonts w:eastAsiaTheme="minorEastAsia"/>
              </w:rPr>
              <w:t xml:space="preserve"> </w:t>
            </w:r>
            <w:r w:rsidR="00FF7616" w:rsidRPr="00FE4067">
              <w:rPr>
                <w:rFonts w:eastAsiaTheme="minorEastAsia"/>
              </w:rPr>
              <w:t>(3 </w:t>
            </w:r>
            <w:r w:rsidRPr="00FE4067">
              <w:rPr>
                <w:rFonts w:eastAsiaTheme="minorEastAsia"/>
              </w:rPr>
              <w:t>días)</w:t>
            </w:r>
          </w:p>
        </w:tc>
      </w:tr>
      <w:tr w:rsidR="00B37D3F" w:rsidRPr="00FE4067" w:rsidTr="0040364C">
        <w:trPr>
          <w:jc w:val="center"/>
        </w:trPr>
        <w:tc>
          <w:tcPr>
            <w:tcW w:w="4106" w:type="dxa"/>
            <w:tcMar>
              <w:top w:w="0" w:type="dxa"/>
              <w:left w:w="108" w:type="dxa"/>
              <w:bottom w:w="0" w:type="dxa"/>
              <w:right w:w="108" w:type="dxa"/>
            </w:tcMar>
            <w:hideMark/>
          </w:tcPr>
          <w:p w:rsidR="00B37D3F" w:rsidRPr="00FE4067" w:rsidRDefault="00B37D3F" w:rsidP="00C96661">
            <w:pPr>
              <w:pStyle w:val="Tabletext"/>
              <w:rPr>
                <w:rFonts w:eastAsiaTheme="minorEastAsia"/>
                <w:b/>
                <w:bCs/>
              </w:rPr>
            </w:pPr>
            <w:r w:rsidRPr="00FE4067">
              <w:rPr>
                <w:rFonts w:eastAsiaTheme="minorEastAsia"/>
                <w:b/>
                <w:bCs/>
              </w:rPr>
              <w:t xml:space="preserve">Foro de la CMSI 2021 </w:t>
            </w:r>
            <w:r w:rsidRPr="00FE4067">
              <w:rPr>
                <w:rFonts w:eastAsiaTheme="minorEastAsia"/>
                <w:b/>
                <w:bCs/>
              </w:rPr>
              <w:br/>
              <w:t>(17-21 de mayo de 2021)</w:t>
            </w:r>
          </w:p>
        </w:tc>
        <w:tc>
          <w:tcPr>
            <w:tcW w:w="5096" w:type="dxa"/>
            <w:tcMar>
              <w:top w:w="0" w:type="dxa"/>
              <w:left w:w="108" w:type="dxa"/>
              <w:bottom w:w="0" w:type="dxa"/>
              <w:right w:w="108" w:type="dxa"/>
            </w:tcMar>
            <w:hideMark/>
          </w:tcPr>
          <w:p w:rsidR="00B37D3F" w:rsidRPr="00FE4067" w:rsidRDefault="00B37D3F" w:rsidP="00FF7616">
            <w:pPr>
              <w:pStyle w:val="Tabletext"/>
              <w:rPr>
                <w:rFonts w:eastAsiaTheme="minorEastAsia"/>
              </w:rPr>
            </w:pPr>
            <w:r w:rsidRPr="00FE4067">
              <w:rPr>
                <w:rFonts w:eastAsiaTheme="minorEastAsia"/>
              </w:rPr>
              <w:t>Fechas propuestas para el FMPT-21</w:t>
            </w:r>
          </w:p>
        </w:tc>
      </w:tr>
    </w:tbl>
    <w:p w:rsidR="000E0D0E" w:rsidRPr="00FE4067" w:rsidRDefault="000E0D0E" w:rsidP="000E0D0E">
      <w:r w:rsidRPr="00FE4067">
        <w:br w:type="page"/>
      </w:r>
    </w:p>
    <w:p w:rsidR="00B37D3F" w:rsidRPr="00FE4067" w:rsidRDefault="000E0D0E" w:rsidP="000E0D0E">
      <w:r w:rsidRPr="00FE4067">
        <w:lastRenderedPageBreak/>
        <w:t>10</w:t>
      </w:r>
      <w:r w:rsidR="00B37D3F" w:rsidRPr="00FE4067">
        <w:tab/>
        <w:t>En los Consejos de 2016 y 2017 se debatió el tema de un posible FMPT, cuyos antecedent</w:t>
      </w:r>
      <w:r w:rsidRPr="00FE4067">
        <w:t>es se presentan a continuación:</w:t>
      </w:r>
    </w:p>
    <w:p w:rsidR="00B37D3F" w:rsidRPr="00FE4067" w:rsidRDefault="00B80662" w:rsidP="00B80662">
      <w:pPr>
        <w:pStyle w:val="enumlev1"/>
        <w:rPr>
          <w:rFonts w:asciiTheme="minorHAnsi" w:hAnsiTheme="minorHAnsi"/>
          <w:sz w:val="22"/>
        </w:rPr>
      </w:pPr>
      <w:r w:rsidRPr="00FE4067">
        <w:t>–</w:t>
      </w:r>
      <w:r w:rsidRPr="00FE4067">
        <w:tab/>
      </w:r>
      <w:r w:rsidR="00B37D3F" w:rsidRPr="00FE4067">
        <w:t xml:space="preserve">En 2015, a través de la </w:t>
      </w:r>
      <w:hyperlink r:id="rId11" w:history="1">
        <w:r w:rsidR="00B37D3F" w:rsidRPr="00FE4067">
          <w:rPr>
            <w:rStyle w:val="Hyperlink"/>
          </w:rPr>
          <w:t xml:space="preserve">Carta Circular </w:t>
        </w:r>
        <w:r w:rsidR="00B37D3F" w:rsidRPr="00FE4067">
          <w:rPr>
            <w:rStyle w:val="Hyperlink"/>
            <w:szCs w:val="24"/>
          </w:rPr>
          <w:t>CL-15/40</w:t>
        </w:r>
      </w:hyperlink>
      <w:r w:rsidR="00B37D3F" w:rsidRPr="00FE4067">
        <w:t xml:space="preserve">, se invitó a los Estados Miembros y Miembros de Sector a presentar sus sugerencias respecto de un posible tema y de las cuestiones de política relacionadas con las telecomunicaciones/TIC que podrían beneficiarse de un intercambio de puntos de vista en el FMPT, así como las fechas en que éste podría celebrarse. Se recibió un total de 19 contribuciones en respuesta a dicha Carta Circular. Todas las contribuciones recibidas pueden consultarse en el Documento informativo </w:t>
      </w:r>
      <w:hyperlink r:id="rId12" w:history="1">
        <w:r w:rsidR="00B37D3F" w:rsidRPr="00FE4067">
          <w:rPr>
            <w:rStyle w:val="Hyperlink"/>
            <w:szCs w:val="24"/>
          </w:rPr>
          <w:t>C16/INF/3(Rev.2)</w:t>
        </w:r>
      </w:hyperlink>
      <w:r w:rsidR="00B37D3F" w:rsidRPr="00FE4067">
        <w:t>.</w:t>
      </w:r>
    </w:p>
    <w:p w:rsidR="00B37D3F" w:rsidRPr="00FE4067" w:rsidRDefault="00B80662" w:rsidP="00237BA3">
      <w:pPr>
        <w:pStyle w:val="enumlev1"/>
        <w:rPr>
          <w:szCs w:val="24"/>
        </w:rPr>
      </w:pPr>
      <w:r w:rsidRPr="00FE4067">
        <w:t>–</w:t>
      </w:r>
      <w:r w:rsidRPr="00FE4067">
        <w:tab/>
      </w:r>
      <w:r w:rsidR="00B37D3F" w:rsidRPr="00FE4067">
        <w:rPr>
          <w:szCs w:val="24"/>
        </w:rPr>
        <w:t xml:space="preserve">En su reunión de 2016 el Consejo de la UIT examinó el </w:t>
      </w:r>
      <w:hyperlink r:id="rId13" w:history="1">
        <w:r w:rsidR="00B37D3F" w:rsidRPr="00FE4067">
          <w:rPr>
            <w:rStyle w:val="Hyperlink"/>
            <w:szCs w:val="24"/>
          </w:rPr>
          <w:t>Documento C16/59(Rev.1)</w:t>
        </w:r>
      </w:hyperlink>
      <w:r w:rsidR="00B37D3F" w:rsidRPr="00FE4067">
        <w:rPr>
          <w:szCs w:val="24"/>
        </w:rPr>
        <w:t xml:space="preserve"> que </w:t>
      </w:r>
      <w:r w:rsidR="00B37D3F" w:rsidRPr="00FE4067">
        <w:t>contiene</w:t>
      </w:r>
      <w:r w:rsidR="00B37D3F" w:rsidRPr="00FE4067">
        <w:rPr>
          <w:szCs w:val="24"/>
        </w:rPr>
        <w:t xml:space="preserve"> las contribuciones recibidas en respuesta a la CL-15/40. El Consejo acordó que, dada la importancia del Foro, el Secretario General debe seguir manteniendo consultas sobre el posible tema, las fechas y el lugar de celebración del próximo FMPT y presentar un informe a </w:t>
      </w:r>
      <w:r w:rsidR="00237BA3" w:rsidRPr="00FE4067">
        <w:rPr>
          <w:szCs w:val="24"/>
        </w:rPr>
        <w:t>la reunión de 2017 del Consejo.</w:t>
      </w:r>
    </w:p>
    <w:p w:rsidR="00B37D3F" w:rsidRPr="00FE4067" w:rsidRDefault="00B80662" w:rsidP="00B80662">
      <w:pPr>
        <w:pStyle w:val="enumlev1"/>
        <w:rPr>
          <w:szCs w:val="24"/>
        </w:rPr>
      </w:pPr>
      <w:r w:rsidRPr="00FE4067">
        <w:t>–</w:t>
      </w:r>
      <w:r w:rsidRPr="00FE4067">
        <w:tab/>
      </w:r>
      <w:r w:rsidR="00B37D3F" w:rsidRPr="00FE4067">
        <w:rPr>
          <w:szCs w:val="24"/>
        </w:rPr>
        <w:t>Se invitó a los Estados Miembros y a los Miembros de Sector, mediante</w:t>
      </w:r>
      <w:r w:rsidR="002E0015" w:rsidRPr="00FE4067">
        <w:rPr>
          <w:szCs w:val="24"/>
        </w:rPr>
        <w:t xml:space="preserve"> la</w:t>
      </w:r>
      <w:r w:rsidR="00B37D3F" w:rsidRPr="00FE4067">
        <w:rPr>
          <w:szCs w:val="24"/>
        </w:rPr>
        <w:t xml:space="preserve"> </w:t>
      </w:r>
      <w:hyperlink r:id="rId14" w:history="1">
        <w:r w:rsidR="002E0015" w:rsidRPr="00FE4067">
          <w:rPr>
            <w:rStyle w:val="Hyperlink"/>
            <w:szCs w:val="24"/>
          </w:rPr>
          <w:t>Carta Circular CL</w:t>
        </w:r>
        <w:r w:rsidR="002E0015" w:rsidRPr="00FE4067">
          <w:rPr>
            <w:rStyle w:val="Hyperlink"/>
            <w:szCs w:val="24"/>
          </w:rPr>
          <w:noBreakHyphen/>
        </w:r>
        <w:r w:rsidR="00B37D3F" w:rsidRPr="00FE4067">
          <w:rPr>
            <w:rStyle w:val="Hyperlink"/>
            <w:szCs w:val="24"/>
          </w:rPr>
          <w:t>16/32</w:t>
        </w:r>
      </w:hyperlink>
      <w:r w:rsidR="00B37D3F" w:rsidRPr="00FE4067">
        <w:rPr>
          <w:szCs w:val="24"/>
        </w:rPr>
        <w:t xml:space="preserve">, a presentar sus puntos de vista respecto del posible tema, las fechas y el lugar de celebración del próximo FMTP. Se recibió un total de 5 contribuciones en respuesta a dicha Carta Circular. Todas las contribuciones recibidas pueden consultarse en el Documento informativo </w:t>
      </w:r>
      <w:hyperlink r:id="rId15" w:history="1">
        <w:r w:rsidR="00B37D3F" w:rsidRPr="00FE4067">
          <w:rPr>
            <w:rStyle w:val="Hyperlink"/>
            <w:szCs w:val="24"/>
          </w:rPr>
          <w:t>C17/INF/3</w:t>
        </w:r>
      </w:hyperlink>
      <w:r w:rsidR="00B37D3F" w:rsidRPr="00FE4067">
        <w:rPr>
          <w:szCs w:val="24"/>
        </w:rPr>
        <w:t>.</w:t>
      </w:r>
    </w:p>
    <w:p w:rsidR="00B37D3F" w:rsidRPr="00FE4067" w:rsidRDefault="00B37D3F" w:rsidP="00A75541">
      <w:r w:rsidRPr="00FE4067">
        <w:t>Se invita al Consejo a tener en cuenta en sus deliberaciones los debates mantenidos en an</w:t>
      </w:r>
      <w:r w:rsidR="006B0C7E" w:rsidRPr="00FE4067">
        <w:t>teriores reuniones del Consejo.</w:t>
      </w:r>
    </w:p>
    <w:p w:rsidR="006B0C7E" w:rsidRPr="00FE4067" w:rsidRDefault="006B0C7E" w:rsidP="0032202E">
      <w:pPr>
        <w:pStyle w:val="Reasons"/>
      </w:pPr>
    </w:p>
    <w:p w:rsidR="006B0C7E" w:rsidRPr="00FE4067" w:rsidRDefault="006B0C7E">
      <w:pPr>
        <w:jc w:val="center"/>
      </w:pPr>
      <w:r w:rsidRPr="00FE4067">
        <w:t>______________</w:t>
      </w:r>
    </w:p>
    <w:sectPr w:rsidR="006B0C7E" w:rsidRPr="00FE4067"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36" w:rsidRDefault="00127F36">
      <w:r>
        <w:separator/>
      </w:r>
    </w:p>
  </w:endnote>
  <w:endnote w:type="continuationSeparator" w:id="0">
    <w:p w:rsidR="00127F36" w:rsidRDefault="0012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714A5" w:rsidRDefault="000714A5" w:rsidP="000714A5">
    <w:pPr>
      <w:pStyle w:val="Footer"/>
      <w:rPr>
        <w:lang w:val="fr-CH"/>
      </w:rPr>
    </w:pPr>
    <w:r>
      <w:rPr>
        <w:lang w:val="en-US"/>
      </w:rPr>
      <w:fldChar w:fldCharType="begin"/>
    </w:r>
    <w:r w:rsidRPr="000714A5">
      <w:rPr>
        <w:lang w:val="fr-CH"/>
      </w:rPr>
      <w:instrText xml:space="preserve"> FILENAME \p \* MERGEFORMAT </w:instrText>
    </w:r>
    <w:r>
      <w:rPr>
        <w:lang w:val="en-US"/>
      </w:rPr>
      <w:fldChar w:fldCharType="separate"/>
    </w:r>
    <w:r w:rsidRPr="000714A5">
      <w:rPr>
        <w:lang w:val="fr-CH"/>
      </w:rPr>
      <w:t>P:\ESP\SG\CONSEIL\C19\000\005S.docx</w:t>
    </w:r>
    <w:r>
      <w:rPr>
        <w:lang w:val="en-US"/>
      </w:rPr>
      <w:fldChar w:fldCharType="end"/>
    </w:r>
    <w:r w:rsidRPr="000714A5">
      <w:rPr>
        <w:lang w:val="fr-CH"/>
      </w:rPr>
      <w:t xml:space="preserve"> (450214)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75541" w:rsidRDefault="00760F1C" w:rsidP="005C207A">
    <w:pPr>
      <w:spacing w:after="120"/>
      <w:jc w:val="center"/>
    </w:pPr>
    <w:r>
      <w:t xml:space="preserve">• </w:t>
    </w:r>
    <w:hyperlink r:id="rId1" w:history="1">
      <w:r>
        <w:rPr>
          <w:rStyle w:val="Hyperlink"/>
        </w:rPr>
        <w:t>http://www.itu.int/council</w:t>
      </w:r>
    </w:hyperlink>
    <w:r>
      <w:t xml:space="preserve"> •</w:t>
    </w:r>
    <w:r w:rsidR="00A75541">
      <w:rPr>
        <w:lang w:val="en-US"/>
      </w:rPr>
      <w:fldChar w:fldCharType="begin"/>
    </w:r>
    <w:r w:rsidR="00A75541" w:rsidRPr="000714A5">
      <w:rPr>
        <w:lang w:val="fr-CH"/>
      </w:rPr>
      <w:instrText xml:space="preserve"> FILENAME \p \* MERGEFORMAT </w:instrText>
    </w:r>
    <w:r w:rsidR="00A75541">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36" w:rsidRDefault="00127F36">
      <w:r>
        <w:t>____________________</w:t>
      </w:r>
    </w:p>
  </w:footnote>
  <w:footnote w:type="continuationSeparator" w:id="0">
    <w:p w:rsidR="00127F36" w:rsidRDefault="0012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75C3E">
      <w:rPr>
        <w:noProof/>
      </w:rPr>
      <w:t>2</w:t>
    </w:r>
    <w:r>
      <w:rPr>
        <w:noProof/>
      </w:rPr>
      <w:fldChar w:fldCharType="end"/>
    </w:r>
  </w:p>
  <w:p w:rsidR="00760F1C" w:rsidRDefault="00760F1C" w:rsidP="000714A5">
    <w:pPr>
      <w:pStyle w:val="Header"/>
    </w:pPr>
    <w:r>
      <w:t>C</w:t>
    </w:r>
    <w:r w:rsidR="007F350B">
      <w:t>1</w:t>
    </w:r>
    <w:r w:rsidR="00C2727F">
      <w:t>9</w:t>
    </w:r>
    <w:r>
      <w:t>/</w:t>
    </w:r>
    <w:r w:rsidR="000714A5">
      <w:t>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D0D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AE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A5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CAB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22C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69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EAF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B8C7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A04E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8F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6"/>
    <w:rsid w:val="000714A5"/>
    <w:rsid w:val="00093EEB"/>
    <w:rsid w:val="000B0D00"/>
    <w:rsid w:val="000B7C15"/>
    <w:rsid w:val="000D1D0F"/>
    <w:rsid w:val="000E0D0E"/>
    <w:rsid w:val="000F5290"/>
    <w:rsid w:val="0010165C"/>
    <w:rsid w:val="00105D0F"/>
    <w:rsid w:val="0010620A"/>
    <w:rsid w:val="00127F36"/>
    <w:rsid w:val="00140167"/>
    <w:rsid w:val="00146BFB"/>
    <w:rsid w:val="0015735D"/>
    <w:rsid w:val="001F14A2"/>
    <w:rsid w:val="00213EB3"/>
    <w:rsid w:val="00223B2A"/>
    <w:rsid w:val="00237BA3"/>
    <w:rsid w:val="002801AA"/>
    <w:rsid w:val="002C4676"/>
    <w:rsid w:val="002C70B0"/>
    <w:rsid w:val="002E0015"/>
    <w:rsid w:val="002F3CC4"/>
    <w:rsid w:val="00306702"/>
    <w:rsid w:val="00342EAD"/>
    <w:rsid w:val="003F4488"/>
    <w:rsid w:val="0040364C"/>
    <w:rsid w:val="0044422A"/>
    <w:rsid w:val="00513630"/>
    <w:rsid w:val="00560125"/>
    <w:rsid w:val="00585553"/>
    <w:rsid w:val="005B34D9"/>
    <w:rsid w:val="005C207A"/>
    <w:rsid w:val="005D0CCF"/>
    <w:rsid w:val="005E7F01"/>
    <w:rsid w:val="005F3BCB"/>
    <w:rsid w:val="005F410F"/>
    <w:rsid w:val="0060149A"/>
    <w:rsid w:val="00601924"/>
    <w:rsid w:val="0063298E"/>
    <w:rsid w:val="006447EA"/>
    <w:rsid w:val="0064731F"/>
    <w:rsid w:val="006710F6"/>
    <w:rsid w:val="006B0C7E"/>
    <w:rsid w:val="006C1B56"/>
    <w:rsid w:val="006D4761"/>
    <w:rsid w:val="00701895"/>
    <w:rsid w:val="00707491"/>
    <w:rsid w:val="00726872"/>
    <w:rsid w:val="00760F1C"/>
    <w:rsid w:val="007657F0"/>
    <w:rsid w:val="00770761"/>
    <w:rsid w:val="0077252D"/>
    <w:rsid w:val="00772772"/>
    <w:rsid w:val="00775E79"/>
    <w:rsid w:val="00783A77"/>
    <w:rsid w:val="007970D4"/>
    <w:rsid w:val="007A7AEA"/>
    <w:rsid w:val="007E5DD3"/>
    <w:rsid w:val="007F350B"/>
    <w:rsid w:val="00820BE4"/>
    <w:rsid w:val="008448B3"/>
    <w:rsid w:val="008451E8"/>
    <w:rsid w:val="00867140"/>
    <w:rsid w:val="008E7DFF"/>
    <w:rsid w:val="00913B9C"/>
    <w:rsid w:val="00946899"/>
    <w:rsid w:val="00956E77"/>
    <w:rsid w:val="00975C3E"/>
    <w:rsid w:val="0097646B"/>
    <w:rsid w:val="009B08BA"/>
    <w:rsid w:val="009B37E0"/>
    <w:rsid w:val="009D7DB9"/>
    <w:rsid w:val="009E6A2D"/>
    <w:rsid w:val="009F4811"/>
    <w:rsid w:val="00A515A9"/>
    <w:rsid w:val="00A75541"/>
    <w:rsid w:val="00A75543"/>
    <w:rsid w:val="00AA390C"/>
    <w:rsid w:val="00AD2206"/>
    <w:rsid w:val="00B0200A"/>
    <w:rsid w:val="00B12D9E"/>
    <w:rsid w:val="00B37D3F"/>
    <w:rsid w:val="00B574DB"/>
    <w:rsid w:val="00B80662"/>
    <w:rsid w:val="00B826C2"/>
    <w:rsid w:val="00B8298E"/>
    <w:rsid w:val="00BD0723"/>
    <w:rsid w:val="00BD2518"/>
    <w:rsid w:val="00BF1D1C"/>
    <w:rsid w:val="00C20C59"/>
    <w:rsid w:val="00C2727F"/>
    <w:rsid w:val="00C55B1F"/>
    <w:rsid w:val="00C96661"/>
    <w:rsid w:val="00CF1A67"/>
    <w:rsid w:val="00D2301F"/>
    <w:rsid w:val="00D2750E"/>
    <w:rsid w:val="00D34122"/>
    <w:rsid w:val="00D62446"/>
    <w:rsid w:val="00DA4EA2"/>
    <w:rsid w:val="00DC3D3E"/>
    <w:rsid w:val="00DE0125"/>
    <w:rsid w:val="00DE0FC6"/>
    <w:rsid w:val="00DE2C90"/>
    <w:rsid w:val="00DE3B24"/>
    <w:rsid w:val="00E06947"/>
    <w:rsid w:val="00E3592D"/>
    <w:rsid w:val="00E92DE8"/>
    <w:rsid w:val="00EB1212"/>
    <w:rsid w:val="00ED65AB"/>
    <w:rsid w:val="00F12850"/>
    <w:rsid w:val="00F33BF4"/>
    <w:rsid w:val="00F42467"/>
    <w:rsid w:val="00F7105E"/>
    <w:rsid w:val="00F75F57"/>
    <w:rsid w:val="00F82FEE"/>
    <w:rsid w:val="00F91E31"/>
    <w:rsid w:val="00F97803"/>
    <w:rsid w:val="00FC7C34"/>
    <w:rsid w:val="00FD57D3"/>
    <w:rsid w:val="00FE4067"/>
    <w:rsid w:val="00FF11BD"/>
    <w:rsid w:val="00FF7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FD6A7CA-12C5-40E5-B11E-72790F14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B37D3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3-CL-C-0064/es" TargetMode="External"/><Relationship Id="rId13" Type="http://schemas.openxmlformats.org/officeDocument/2006/relationships/hyperlink" Target="https://www.itu.int/md/S16-CL-C-0059/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6-CL-INF-0003/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5-SG-CIR-0040/es" TargetMode="External"/><Relationship Id="rId5" Type="http://schemas.openxmlformats.org/officeDocument/2006/relationships/footnotes" Target="footnotes.xml"/><Relationship Id="rId15" Type="http://schemas.openxmlformats.org/officeDocument/2006/relationships/hyperlink" Target="https://www.itu.int/md/S17-CL-INF-0003/es" TargetMode="External"/><Relationship Id="rId10" Type="http://schemas.openxmlformats.org/officeDocument/2006/relationships/hyperlink" Target="https://www.itu.int/md/S13-CL-C-0064/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RES-002-S.pdf" TargetMode="External"/><Relationship Id="rId14" Type="http://schemas.openxmlformats.org/officeDocument/2006/relationships/hyperlink" Target="https://www.itu.int/md/S16-SG-CIR-0032/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1</TotalTime>
  <Pages>3</Pages>
  <Words>974</Words>
  <Characters>5605</Characters>
  <Application>Microsoft Office Word</Application>
  <DocSecurity>4</DocSecurity>
  <Lines>46</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6566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FMPT</dc:title>
  <dc:subject>Consejo 2018</dc:subject>
  <dc:creator>Santiago, Genoveva</dc:creator>
  <cp:keywords>C2019, C19</cp:keywords>
  <dc:description/>
  <cp:lastModifiedBy>Janin, Patricia</cp:lastModifiedBy>
  <cp:revision>2</cp:revision>
  <cp:lastPrinted>2006-03-24T09:51:00Z</cp:lastPrinted>
  <dcterms:created xsi:type="dcterms:W3CDTF">2019-04-16T09:25:00Z</dcterms:created>
  <dcterms:modified xsi:type="dcterms:W3CDTF">2019-04-16T09:25:00Z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