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B67DFCD" w14:textId="77777777" w:rsidTr="007C7EDC">
        <w:trPr>
          <w:cantSplit/>
        </w:trPr>
        <w:tc>
          <w:tcPr>
            <w:tcW w:w="6911" w:type="dxa"/>
          </w:tcPr>
          <w:p w14:paraId="68FABD28" w14:textId="4D050224" w:rsidR="002A2188" w:rsidRPr="00813E5E" w:rsidRDefault="002A2188" w:rsidP="00945F67">
            <w:pPr>
              <w:spacing w:before="360" w:after="48" w:line="240" w:lineRule="atLeast"/>
              <w:rPr>
                <w:position w:val="6"/>
              </w:rPr>
            </w:pPr>
            <w:bookmarkStart w:id="0" w:name="dc06"/>
            <w:bookmarkEnd w:id="0"/>
            <w:r w:rsidRPr="00E85629">
              <w:rPr>
                <w:b/>
                <w:bCs/>
                <w:position w:val="6"/>
                <w:sz w:val="30"/>
                <w:szCs w:val="30"/>
                <w:lang w:val="fr-CH"/>
              </w:rPr>
              <w:t>Council 201</w:t>
            </w:r>
            <w:r w:rsidR="00945F67">
              <w:rPr>
                <w:b/>
                <w:bCs/>
                <w:position w:val="6"/>
                <w:sz w:val="30"/>
                <w:szCs w:val="30"/>
                <w:lang w:val="fr-CH"/>
              </w:rPr>
              <w:t>9</w:t>
            </w:r>
            <w:r w:rsidRPr="00E85629">
              <w:rPr>
                <w:rFonts w:cs="Times"/>
                <w:b/>
                <w:position w:val="6"/>
                <w:sz w:val="26"/>
                <w:szCs w:val="26"/>
                <w:lang w:val="en-US"/>
              </w:rPr>
              <w:br/>
            </w:r>
            <w:r w:rsidRPr="00E85629">
              <w:rPr>
                <w:b/>
                <w:bCs/>
                <w:position w:val="6"/>
                <w:szCs w:val="24"/>
                <w:lang w:val="fr-CH"/>
              </w:rPr>
              <w:t xml:space="preserve">Geneva, </w:t>
            </w:r>
            <w:r w:rsidR="00945F67">
              <w:rPr>
                <w:b/>
                <w:bCs/>
                <w:position w:val="6"/>
                <w:szCs w:val="24"/>
                <w:lang w:val="fr-CH"/>
              </w:rPr>
              <w:t>10-20 June 2019</w:t>
            </w:r>
          </w:p>
        </w:tc>
        <w:tc>
          <w:tcPr>
            <w:tcW w:w="3120" w:type="dxa"/>
          </w:tcPr>
          <w:p w14:paraId="763787F6" w14:textId="77777777" w:rsidR="002A2188" w:rsidRPr="00813E5E" w:rsidRDefault="002A2188" w:rsidP="007C7EDC">
            <w:pPr>
              <w:spacing w:before="0" w:line="240" w:lineRule="atLeast"/>
              <w:jc w:val="right"/>
            </w:pPr>
            <w:bookmarkStart w:id="1" w:name="ditulogo"/>
            <w:bookmarkEnd w:id="1"/>
            <w:r w:rsidRPr="00F21593">
              <w:rPr>
                <w:rFonts w:ascii="Verdana" w:hAnsi="Verdana"/>
                <w:noProof/>
                <w:color w:val="FFFFFF"/>
                <w:sz w:val="26"/>
                <w:szCs w:val="26"/>
                <w:lang w:eastAsia="zh-CN"/>
              </w:rPr>
              <w:drawing>
                <wp:inline distT="0" distB="0" distL="0" distR="0" wp14:anchorId="193A05BB" wp14:editId="61FAA395">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14:paraId="5FE902A8" w14:textId="77777777" w:rsidTr="007C7EDC">
        <w:trPr>
          <w:cantSplit/>
        </w:trPr>
        <w:tc>
          <w:tcPr>
            <w:tcW w:w="6911" w:type="dxa"/>
            <w:tcBorders>
              <w:bottom w:val="single" w:sz="12" w:space="0" w:color="auto"/>
            </w:tcBorders>
          </w:tcPr>
          <w:p w14:paraId="6B01A9FD" w14:textId="77777777" w:rsidR="002A2188" w:rsidRPr="00813E5E" w:rsidRDefault="002A2188" w:rsidP="007C7EDC">
            <w:pPr>
              <w:spacing w:before="0" w:after="48" w:line="240" w:lineRule="atLeast"/>
              <w:rPr>
                <w:b/>
                <w:smallCaps/>
                <w:szCs w:val="24"/>
              </w:rPr>
            </w:pPr>
          </w:p>
        </w:tc>
        <w:tc>
          <w:tcPr>
            <w:tcW w:w="3120" w:type="dxa"/>
            <w:tcBorders>
              <w:bottom w:val="single" w:sz="12" w:space="0" w:color="auto"/>
            </w:tcBorders>
          </w:tcPr>
          <w:p w14:paraId="39E34C0B" w14:textId="77777777" w:rsidR="002A2188" w:rsidRPr="00813E5E" w:rsidRDefault="002A2188" w:rsidP="007C7EDC">
            <w:pPr>
              <w:spacing w:before="0" w:line="240" w:lineRule="atLeast"/>
              <w:rPr>
                <w:szCs w:val="24"/>
              </w:rPr>
            </w:pPr>
          </w:p>
        </w:tc>
      </w:tr>
      <w:tr w:rsidR="002A2188" w:rsidRPr="00813E5E" w14:paraId="78B2B2A6" w14:textId="77777777" w:rsidTr="007C7EDC">
        <w:trPr>
          <w:cantSplit/>
        </w:trPr>
        <w:tc>
          <w:tcPr>
            <w:tcW w:w="6911" w:type="dxa"/>
            <w:tcBorders>
              <w:top w:val="single" w:sz="12" w:space="0" w:color="auto"/>
            </w:tcBorders>
          </w:tcPr>
          <w:p w14:paraId="0917DDDF" w14:textId="77777777" w:rsidR="002A2188" w:rsidRPr="00813E5E" w:rsidRDefault="002A2188" w:rsidP="007C7EDC">
            <w:pPr>
              <w:spacing w:before="0" w:after="48" w:line="240" w:lineRule="atLeast"/>
              <w:rPr>
                <w:b/>
                <w:smallCaps/>
                <w:szCs w:val="24"/>
              </w:rPr>
            </w:pPr>
          </w:p>
        </w:tc>
        <w:tc>
          <w:tcPr>
            <w:tcW w:w="3120" w:type="dxa"/>
            <w:tcBorders>
              <w:top w:val="single" w:sz="12" w:space="0" w:color="auto"/>
            </w:tcBorders>
          </w:tcPr>
          <w:p w14:paraId="73A76AA2" w14:textId="77777777" w:rsidR="002A2188" w:rsidRPr="00813E5E" w:rsidRDefault="002A2188" w:rsidP="007C7EDC">
            <w:pPr>
              <w:spacing w:before="0" w:line="240" w:lineRule="atLeast"/>
              <w:rPr>
                <w:szCs w:val="24"/>
              </w:rPr>
            </w:pPr>
          </w:p>
        </w:tc>
      </w:tr>
      <w:tr w:rsidR="002A2188" w:rsidRPr="00813E5E" w14:paraId="63294C31" w14:textId="77777777" w:rsidTr="007C7EDC">
        <w:trPr>
          <w:cantSplit/>
          <w:trHeight w:val="23"/>
        </w:trPr>
        <w:tc>
          <w:tcPr>
            <w:tcW w:w="6911" w:type="dxa"/>
            <w:vMerge w:val="restart"/>
          </w:tcPr>
          <w:p w14:paraId="7A7C766C" w14:textId="577212AD" w:rsidR="002A2188" w:rsidRPr="00E85629" w:rsidRDefault="00D04E39" w:rsidP="00632727">
            <w:pPr>
              <w:tabs>
                <w:tab w:val="left" w:pos="851"/>
              </w:tabs>
              <w:spacing w:before="0" w:line="240" w:lineRule="atLeast"/>
              <w:rPr>
                <w:b/>
              </w:rPr>
            </w:pPr>
            <w:bookmarkStart w:id="2" w:name="dmeeting" w:colFirst="0" w:colLast="0"/>
            <w:bookmarkStart w:id="3" w:name="dnum" w:colFirst="1" w:colLast="1"/>
            <w:r>
              <w:rPr>
                <w:b/>
              </w:rPr>
              <w:t xml:space="preserve">Agenda item: </w:t>
            </w:r>
            <w:r w:rsidR="00B20073">
              <w:rPr>
                <w:b/>
              </w:rPr>
              <w:t>PL 1.</w:t>
            </w:r>
            <w:r w:rsidR="00632727">
              <w:rPr>
                <w:b/>
              </w:rPr>
              <w:t>9</w:t>
            </w:r>
          </w:p>
        </w:tc>
        <w:tc>
          <w:tcPr>
            <w:tcW w:w="3120" w:type="dxa"/>
          </w:tcPr>
          <w:p w14:paraId="13D811A3" w14:textId="5F9519B2" w:rsidR="002A2188" w:rsidRPr="00E85629" w:rsidRDefault="002A2188" w:rsidP="00945F67">
            <w:pPr>
              <w:tabs>
                <w:tab w:val="left" w:pos="851"/>
              </w:tabs>
              <w:spacing w:before="0" w:line="240" w:lineRule="atLeast"/>
              <w:rPr>
                <w:b/>
              </w:rPr>
            </w:pPr>
            <w:r>
              <w:rPr>
                <w:b/>
              </w:rPr>
              <w:t>Document C1</w:t>
            </w:r>
            <w:r w:rsidR="00945F67">
              <w:rPr>
                <w:b/>
              </w:rPr>
              <w:t>9</w:t>
            </w:r>
            <w:r>
              <w:rPr>
                <w:b/>
              </w:rPr>
              <w:t>/</w:t>
            </w:r>
            <w:r w:rsidR="008047BE">
              <w:rPr>
                <w:b/>
              </w:rPr>
              <w:t>6</w:t>
            </w:r>
            <w:r>
              <w:rPr>
                <w:b/>
              </w:rPr>
              <w:t>-E</w:t>
            </w:r>
          </w:p>
        </w:tc>
      </w:tr>
      <w:tr w:rsidR="002A2188" w:rsidRPr="00813E5E" w14:paraId="1D9AC401" w14:textId="77777777" w:rsidTr="007C7EDC">
        <w:trPr>
          <w:cantSplit/>
          <w:trHeight w:val="23"/>
        </w:trPr>
        <w:tc>
          <w:tcPr>
            <w:tcW w:w="6911" w:type="dxa"/>
            <w:vMerge/>
          </w:tcPr>
          <w:p w14:paraId="425CD38F" w14:textId="77777777" w:rsidR="002A2188" w:rsidRPr="00813E5E" w:rsidRDefault="002A2188" w:rsidP="007C7EDC">
            <w:pPr>
              <w:tabs>
                <w:tab w:val="left" w:pos="851"/>
              </w:tabs>
              <w:spacing w:line="240" w:lineRule="atLeast"/>
              <w:rPr>
                <w:b/>
              </w:rPr>
            </w:pPr>
            <w:bookmarkStart w:id="4" w:name="ddate" w:colFirst="1" w:colLast="1"/>
            <w:bookmarkEnd w:id="2"/>
            <w:bookmarkEnd w:id="3"/>
          </w:p>
        </w:tc>
        <w:tc>
          <w:tcPr>
            <w:tcW w:w="3120" w:type="dxa"/>
          </w:tcPr>
          <w:p w14:paraId="7E2CF408" w14:textId="36AF4836" w:rsidR="002A2188" w:rsidRPr="00577A79" w:rsidRDefault="001D4D6F" w:rsidP="00945F67">
            <w:pPr>
              <w:tabs>
                <w:tab w:val="left" w:pos="993"/>
              </w:tabs>
              <w:spacing w:before="0"/>
              <w:rPr>
                <w:b/>
              </w:rPr>
            </w:pPr>
            <w:r w:rsidRPr="00577A79">
              <w:rPr>
                <w:b/>
              </w:rPr>
              <w:t>8 March</w:t>
            </w:r>
            <w:r w:rsidR="002A2188" w:rsidRPr="00577A79">
              <w:rPr>
                <w:b/>
              </w:rPr>
              <w:t xml:space="preserve"> 201</w:t>
            </w:r>
            <w:r w:rsidR="00945F67" w:rsidRPr="00577A79">
              <w:rPr>
                <w:b/>
              </w:rPr>
              <w:t>9</w:t>
            </w:r>
          </w:p>
        </w:tc>
      </w:tr>
      <w:tr w:rsidR="002A2188" w:rsidRPr="00813E5E" w14:paraId="35516B71" w14:textId="77777777" w:rsidTr="007C7EDC">
        <w:trPr>
          <w:cantSplit/>
          <w:trHeight w:val="23"/>
        </w:trPr>
        <w:tc>
          <w:tcPr>
            <w:tcW w:w="6911" w:type="dxa"/>
            <w:vMerge/>
          </w:tcPr>
          <w:p w14:paraId="555E1FD2" w14:textId="77777777" w:rsidR="002A2188" w:rsidRPr="00813E5E" w:rsidRDefault="002A2188" w:rsidP="007C7EDC">
            <w:pPr>
              <w:tabs>
                <w:tab w:val="left" w:pos="851"/>
              </w:tabs>
              <w:spacing w:line="240" w:lineRule="atLeast"/>
              <w:rPr>
                <w:b/>
              </w:rPr>
            </w:pPr>
            <w:bookmarkStart w:id="5" w:name="dorlang" w:colFirst="1" w:colLast="1"/>
            <w:bookmarkEnd w:id="4"/>
          </w:p>
        </w:tc>
        <w:tc>
          <w:tcPr>
            <w:tcW w:w="3120" w:type="dxa"/>
          </w:tcPr>
          <w:p w14:paraId="16F7A3BE" w14:textId="4346EB1E" w:rsidR="002A2188" w:rsidRPr="00E85629" w:rsidRDefault="002A2188" w:rsidP="007C7EDC">
            <w:pPr>
              <w:tabs>
                <w:tab w:val="left" w:pos="993"/>
              </w:tabs>
              <w:spacing w:before="0"/>
              <w:rPr>
                <w:b/>
              </w:rPr>
            </w:pPr>
            <w:r>
              <w:rPr>
                <w:b/>
              </w:rPr>
              <w:t>Original: English</w:t>
            </w:r>
          </w:p>
        </w:tc>
      </w:tr>
      <w:tr w:rsidR="002A2188" w:rsidRPr="00813E5E" w14:paraId="2ED904C9" w14:textId="77777777" w:rsidTr="007C7EDC">
        <w:trPr>
          <w:cantSplit/>
        </w:trPr>
        <w:tc>
          <w:tcPr>
            <w:tcW w:w="10031" w:type="dxa"/>
            <w:gridSpan w:val="2"/>
          </w:tcPr>
          <w:p w14:paraId="0F93A977" w14:textId="77777777" w:rsidR="002A2188" w:rsidRPr="00813E5E" w:rsidRDefault="00D04E39" w:rsidP="007C7EDC">
            <w:pPr>
              <w:pStyle w:val="Source"/>
            </w:pPr>
            <w:bookmarkStart w:id="6" w:name="dsource" w:colFirst="0" w:colLast="0"/>
            <w:bookmarkEnd w:id="5"/>
            <w:r w:rsidRPr="00D04E39">
              <w:t>Report by the Secretary-General</w:t>
            </w:r>
          </w:p>
        </w:tc>
      </w:tr>
      <w:tr w:rsidR="002A2188" w:rsidRPr="00813E5E" w14:paraId="5568374F" w14:textId="77777777" w:rsidTr="007C7EDC">
        <w:trPr>
          <w:cantSplit/>
        </w:trPr>
        <w:tc>
          <w:tcPr>
            <w:tcW w:w="10031" w:type="dxa"/>
            <w:gridSpan w:val="2"/>
          </w:tcPr>
          <w:p w14:paraId="56996298" w14:textId="60BAA36E" w:rsidR="002A2188" w:rsidRPr="00813E5E" w:rsidRDefault="00F52905" w:rsidP="007C7EDC">
            <w:pPr>
              <w:pStyle w:val="Title1"/>
            </w:pPr>
            <w:bookmarkStart w:id="7" w:name="dtitle1" w:colFirst="0" w:colLast="0"/>
            <w:bookmarkEnd w:id="6"/>
            <w:r w:rsidRPr="00F52905">
              <w:t xml:space="preserve">ITU’S ACTIVITIES RELATED TO RESOLUTION 70 (REV. </w:t>
            </w:r>
            <w:r w:rsidR="003F4E70">
              <w:t>Dubai</w:t>
            </w:r>
            <w:r w:rsidRPr="00F52905">
              <w:t xml:space="preserve">, </w:t>
            </w:r>
            <w:r w:rsidR="003F4E70" w:rsidRPr="00F52905">
              <w:t>201</w:t>
            </w:r>
            <w:r w:rsidR="003F4E70">
              <w:t>8</w:t>
            </w:r>
            <w:r w:rsidRPr="00F52905">
              <w:t>)</w:t>
            </w:r>
            <w:r w:rsidR="00B20073">
              <w:t xml:space="preserve"> and</w:t>
            </w:r>
            <w:r w:rsidR="007543BC">
              <w:t xml:space="preserve"> </w:t>
            </w:r>
            <w:r w:rsidR="00AF76C8">
              <w:t xml:space="preserve">NEW </w:t>
            </w:r>
            <w:r w:rsidR="007543BC">
              <w:t>Approach to Gender equality and Mainstreaming Planning</w:t>
            </w:r>
          </w:p>
        </w:tc>
      </w:tr>
      <w:bookmarkEnd w:id="7"/>
    </w:tbl>
    <w:p w14:paraId="1A1EC697"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700B233A" w14:textId="77777777" w:rsidTr="007C7EDC">
        <w:trPr>
          <w:trHeight w:val="3372"/>
        </w:trPr>
        <w:tc>
          <w:tcPr>
            <w:tcW w:w="8080" w:type="dxa"/>
            <w:tcBorders>
              <w:top w:val="single" w:sz="12" w:space="0" w:color="auto"/>
              <w:left w:val="single" w:sz="12" w:space="0" w:color="auto"/>
              <w:bottom w:val="single" w:sz="12" w:space="0" w:color="auto"/>
              <w:right w:val="single" w:sz="12" w:space="0" w:color="auto"/>
            </w:tcBorders>
          </w:tcPr>
          <w:p w14:paraId="29B5501F" w14:textId="77777777" w:rsidR="002A2188" w:rsidRPr="00813E5E" w:rsidRDefault="002A2188" w:rsidP="007C7EDC">
            <w:pPr>
              <w:pStyle w:val="Headingb"/>
            </w:pPr>
            <w:r w:rsidRPr="00813E5E">
              <w:t>Summary</w:t>
            </w:r>
          </w:p>
          <w:p w14:paraId="2BCF70C2" w14:textId="39E1C3F4" w:rsidR="002A2188" w:rsidRPr="00813E5E" w:rsidRDefault="00F52905" w:rsidP="000D1E22">
            <w:pPr>
              <w:jc w:val="both"/>
            </w:pPr>
            <w:r w:rsidRPr="00F52905">
              <w:t xml:space="preserve">This document summarizes ITU’s activities </w:t>
            </w:r>
            <w:r w:rsidR="00E379F1">
              <w:t>related to</w:t>
            </w:r>
            <w:r w:rsidRPr="00F52905">
              <w:t xml:space="preserve"> the implementation of Resolution</w:t>
            </w:r>
            <w:r w:rsidR="008047BE">
              <w:t> </w:t>
            </w:r>
            <w:r w:rsidRPr="00F52905">
              <w:t xml:space="preserve">70 (Rev. </w:t>
            </w:r>
            <w:r w:rsidR="003F4E70">
              <w:t>Dubai</w:t>
            </w:r>
            <w:r w:rsidRPr="00F52905">
              <w:t xml:space="preserve">, </w:t>
            </w:r>
            <w:r w:rsidR="003F4E70" w:rsidRPr="00F52905">
              <w:t>201</w:t>
            </w:r>
            <w:r w:rsidR="003F4E70">
              <w:t>8</w:t>
            </w:r>
            <w:r w:rsidRPr="00F52905">
              <w:t xml:space="preserve">) </w:t>
            </w:r>
            <w:r w:rsidR="00A66117">
              <w:t>since</w:t>
            </w:r>
            <w:r w:rsidR="001D4D6F">
              <w:t xml:space="preserve"> Council 2018</w:t>
            </w:r>
            <w:r w:rsidR="007543BC">
              <w:t>, and introduces the new approach for Gender Equality and Mainstreaming (GEM) planning.</w:t>
            </w:r>
          </w:p>
          <w:p w14:paraId="50257E7E" w14:textId="77777777" w:rsidR="002A2188" w:rsidRPr="00813E5E" w:rsidRDefault="002A2188" w:rsidP="007C7EDC">
            <w:pPr>
              <w:pStyle w:val="Headingb"/>
            </w:pPr>
            <w:r w:rsidRPr="00813E5E">
              <w:t>Action required</w:t>
            </w:r>
          </w:p>
          <w:p w14:paraId="49729492" w14:textId="77777777" w:rsidR="002A2188" w:rsidRPr="00813E5E" w:rsidRDefault="00F52905" w:rsidP="00D04E39">
            <w:pPr>
              <w:spacing w:after="120"/>
            </w:pPr>
            <w:r w:rsidRPr="00F52905">
              <w:t xml:space="preserve">The Council is invited </w:t>
            </w:r>
            <w:r w:rsidRPr="008047BE">
              <w:rPr>
                <w:b/>
                <w:bCs/>
              </w:rPr>
              <w:t>to note</w:t>
            </w:r>
            <w:r w:rsidRPr="00F52905">
              <w:t xml:space="preserve"> the report.</w:t>
            </w:r>
          </w:p>
          <w:p w14:paraId="4BBA74FD" w14:textId="77777777" w:rsidR="002A2188" w:rsidRPr="00813E5E" w:rsidRDefault="002A2188" w:rsidP="00D04E39">
            <w:pPr>
              <w:pStyle w:val="Table"/>
              <w:keepNext w:val="0"/>
              <w:spacing w:before="120"/>
              <w:rPr>
                <w:rFonts w:ascii="Calibri" w:hAnsi="Calibri"/>
                <w:caps w:val="0"/>
                <w:sz w:val="22"/>
              </w:rPr>
            </w:pPr>
            <w:r w:rsidRPr="00813E5E">
              <w:rPr>
                <w:rFonts w:ascii="Calibri" w:hAnsi="Calibri"/>
                <w:caps w:val="0"/>
                <w:sz w:val="22"/>
              </w:rPr>
              <w:t>____________</w:t>
            </w:r>
          </w:p>
          <w:p w14:paraId="4B26E07B" w14:textId="77777777" w:rsidR="002A2188" w:rsidRPr="00813E5E" w:rsidRDefault="002A2188" w:rsidP="007C7EDC">
            <w:pPr>
              <w:pStyle w:val="Headingb"/>
            </w:pPr>
            <w:r w:rsidRPr="00813E5E">
              <w:t>References</w:t>
            </w:r>
          </w:p>
          <w:p w14:paraId="2D7EAEF8" w14:textId="1B4EDC42" w:rsidR="002A2188" w:rsidRPr="00813E5E" w:rsidRDefault="00F52905" w:rsidP="004B57DE">
            <w:pPr>
              <w:spacing w:after="120"/>
              <w:rPr>
                <w:i/>
                <w:iCs/>
              </w:rPr>
            </w:pPr>
            <w:r w:rsidRPr="004317A9">
              <w:rPr>
                <w:i/>
                <w:iCs/>
              </w:rPr>
              <w:t xml:space="preserve">PP </w:t>
            </w:r>
            <w:hyperlink r:id="rId9" w:history="1">
              <w:r w:rsidR="007C4416" w:rsidRPr="00561BE6">
                <w:rPr>
                  <w:rStyle w:val="Hyperlink"/>
                  <w:i/>
                  <w:iCs/>
                </w:rPr>
                <w:t>Resolution 70 (Rev. Dubai, 2018)</w:t>
              </w:r>
            </w:hyperlink>
            <w:bookmarkStart w:id="8" w:name="_GoBack"/>
            <w:bookmarkEnd w:id="8"/>
            <w:r w:rsidRPr="004317A9">
              <w:rPr>
                <w:i/>
                <w:iCs/>
              </w:rPr>
              <w:t xml:space="preserve">; Council documents </w:t>
            </w:r>
            <w:hyperlink r:id="rId10" w:history="1">
              <w:r w:rsidRPr="004317A9">
                <w:rPr>
                  <w:rStyle w:val="Hyperlink"/>
                  <w:i/>
                  <w:iCs/>
                </w:rPr>
                <w:t>C13/INF/11</w:t>
              </w:r>
            </w:hyperlink>
            <w:r w:rsidRPr="004317A9">
              <w:rPr>
                <w:i/>
                <w:iCs/>
              </w:rPr>
              <w:t xml:space="preserve">, </w:t>
            </w:r>
            <w:hyperlink r:id="rId11" w:history="1">
              <w:r w:rsidRPr="004317A9">
                <w:rPr>
                  <w:rStyle w:val="Hyperlink"/>
                  <w:i/>
                  <w:iCs/>
                </w:rPr>
                <w:t>C13/39</w:t>
              </w:r>
            </w:hyperlink>
            <w:r w:rsidRPr="004317A9">
              <w:rPr>
                <w:i/>
                <w:iCs/>
              </w:rPr>
              <w:t xml:space="preserve">, </w:t>
            </w:r>
            <w:hyperlink r:id="rId12" w:history="1">
              <w:r w:rsidRPr="004317A9">
                <w:rPr>
                  <w:rStyle w:val="Hyperlink"/>
                  <w:i/>
                  <w:iCs/>
                </w:rPr>
                <w:t>C14/6</w:t>
              </w:r>
            </w:hyperlink>
            <w:r w:rsidRPr="00EE1126">
              <w:rPr>
                <w:rStyle w:val="Hyperlink"/>
                <w:i/>
                <w:iCs/>
              </w:rPr>
              <w:t xml:space="preserve">, </w:t>
            </w:r>
            <w:hyperlink r:id="rId13" w:history="1">
              <w:r w:rsidRPr="004317A9">
                <w:rPr>
                  <w:rStyle w:val="Hyperlink"/>
                  <w:i/>
                  <w:iCs/>
                </w:rPr>
                <w:t>C15/6</w:t>
              </w:r>
            </w:hyperlink>
            <w:r>
              <w:t xml:space="preserve">, </w:t>
            </w:r>
            <w:hyperlink r:id="rId14" w:history="1">
              <w:r w:rsidRPr="00EE1126">
                <w:rPr>
                  <w:rStyle w:val="Hyperlink"/>
                  <w:i/>
                  <w:iCs/>
                </w:rPr>
                <w:t>C16/6</w:t>
              </w:r>
            </w:hyperlink>
            <w:r w:rsidRPr="00EE1126">
              <w:t>,</w:t>
            </w:r>
            <w:r w:rsidRPr="003206FF">
              <w:rPr>
                <w:rStyle w:val="Hyperlink"/>
                <w:i/>
                <w:iCs/>
              </w:rPr>
              <w:t xml:space="preserve"> </w:t>
            </w:r>
            <w:hyperlink r:id="rId15" w:history="1">
              <w:r w:rsidRPr="008047BE">
                <w:rPr>
                  <w:rStyle w:val="Hyperlink"/>
                  <w:i/>
                  <w:iCs/>
                </w:rPr>
                <w:t>C17/6</w:t>
              </w:r>
            </w:hyperlink>
            <w:r w:rsidRPr="008047BE">
              <w:rPr>
                <w:rStyle w:val="Hyperlink"/>
                <w:i/>
                <w:iCs/>
                <w:u w:val="none"/>
              </w:rPr>
              <w:t xml:space="preserve">, </w:t>
            </w:r>
            <w:hyperlink r:id="rId16" w:history="1">
              <w:r w:rsidR="00537A8B" w:rsidRPr="008047BE">
                <w:rPr>
                  <w:rStyle w:val="Hyperlink"/>
                  <w:i/>
                  <w:iCs/>
                </w:rPr>
                <w:t>C1</w:t>
              </w:r>
              <w:r w:rsidR="00537A8B">
                <w:rPr>
                  <w:rStyle w:val="Hyperlink"/>
                  <w:i/>
                  <w:iCs/>
                </w:rPr>
                <w:t>8</w:t>
              </w:r>
              <w:r w:rsidR="00537A8B" w:rsidRPr="008047BE">
                <w:rPr>
                  <w:rStyle w:val="Hyperlink"/>
                  <w:i/>
                  <w:iCs/>
                </w:rPr>
                <w:t>/6</w:t>
              </w:r>
            </w:hyperlink>
            <w:r w:rsidR="00537A8B" w:rsidRPr="008047BE">
              <w:rPr>
                <w:rStyle w:val="Hyperlink"/>
                <w:i/>
                <w:iCs/>
                <w:u w:val="none"/>
              </w:rPr>
              <w:t xml:space="preserve">, </w:t>
            </w:r>
            <w:hyperlink r:id="rId17" w:history="1">
              <w:r w:rsidRPr="008047BE">
                <w:rPr>
                  <w:rStyle w:val="Hyperlink"/>
                  <w:i/>
                  <w:iCs/>
                </w:rPr>
                <w:t>C18/INF/3</w:t>
              </w:r>
            </w:hyperlink>
            <w:r w:rsidR="00C14992">
              <w:rPr>
                <w:rStyle w:val="Hyperlink"/>
                <w:i/>
                <w:iCs/>
                <w:u w:val="none"/>
              </w:rPr>
              <w:t xml:space="preserve">, </w:t>
            </w:r>
            <w:hyperlink r:id="rId18" w:history="1">
              <w:r w:rsidR="00C14992">
                <w:rPr>
                  <w:rStyle w:val="Hyperlink"/>
                  <w:i/>
                  <w:iCs/>
                </w:rPr>
                <w:t>C19/INF/2</w:t>
              </w:r>
            </w:hyperlink>
            <w:r w:rsidR="00C14992" w:rsidRPr="00DB7C5A">
              <w:rPr>
                <w:rStyle w:val="Hyperlink"/>
                <w:i/>
                <w:iCs/>
                <w:u w:val="none"/>
              </w:rPr>
              <w:t xml:space="preserve">, </w:t>
            </w:r>
            <w:hyperlink r:id="rId19" w:history="1">
              <w:r w:rsidR="00C14992" w:rsidRPr="00DB7C5A">
                <w:rPr>
                  <w:rStyle w:val="Hyperlink"/>
                  <w:i/>
                  <w:iCs/>
                </w:rPr>
                <w:t>C19/24</w:t>
              </w:r>
            </w:hyperlink>
            <w:r w:rsidR="00C14992" w:rsidRPr="00DB7C5A">
              <w:rPr>
                <w:rStyle w:val="Hyperlink"/>
                <w:i/>
                <w:iCs/>
                <w:u w:val="none"/>
              </w:rPr>
              <w:t>.</w:t>
            </w:r>
          </w:p>
        </w:tc>
      </w:tr>
    </w:tbl>
    <w:p w14:paraId="76535EAE" w14:textId="77777777" w:rsidR="008047BE" w:rsidRPr="00EE1126" w:rsidRDefault="008047BE" w:rsidP="008047BE">
      <w:pPr>
        <w:pStyle w:val="Heading1"/>
        <w:keepNext w:val="0"/>
        <w:keepLines w:val="0"/>
        <w:tabs>
          <w:tab w:val="clear" w:pos="567"/>
          <w:tab w:val="clear" w:pos="1134"/>
          <w:tab w:val="clear" w:pos="1701"/>
          <w:tab w:val="clear" w:pos="2268"/>
          <w:tab w:val="clear" w:pos="2835"/>
        </w:tabs>
        <w:snapToGrid w:val="0"/>
        <w:spacing w:after="120"/>
        <w:rPr>
          <w:caps/>
          <w:sz w:val="24"/>
          <w:szCs w:val="24"/>
        </w:rPr>
      </w:pPr>
      <w:bookmarkStart w:id="9" w:name="dstart"/>
      <w:bookmarkStart w:id="10" w:name="dbreak"/>
      <w:bookmarkEnd w:id="9"/>
      <w:bookmarkEnd w:id="10"/>
      <w:r w:rsidRPr="00EE1126">
        <w:rPr>
          <w:sz w:val="24"/>
          <w:szCs w:val="24"/>
        </w:rPr>
        <w:t>1</w:t>
      </w:r>
      <w:r w:rsidRPr="00EE1126">
        <w:rPr>
          <w:sz w:val="24"/>
          <w:szCs w:val="24"/>
        </w:rPr>
        <w:tab/>
        <w:t>Introduction</w:t>
      </w:r>
    </w:p>
    <w:p w14:paraId="776427BA" w14:textId="73305CA3" w:rsidR="008047BE" w:rsidRPr="00EE1126" w:rsidRDefault="008047BE" w:rsidP="00C77A5F">
      <w:pPr>
        <w:tabs>
          <w:tab w:val="clear" w:pos="567"/>
          <w:tab w:val="clear" w:pos="1134"/>
          <w:tab w:val="clear" w:pos="1701"/>
          <w:tab w:val="clear" w:pos="2268"/>
          <w:tab w:val="clear" w:pos="2835"/>
        </w:tabs>
        <w:snapToGrid w:val="0"/>
        <w:spacing w:after="120"/>
        <w:jc w:val="both"/>
        <w:rPr>
          <w:rFonts w:cstheme="minorHAnsi"/>
          <w:szCs w:val="24"/>
        </w:rPr>
      </w:pPr>
      <w:r w:rsidRPr="00EE1126">
        <w:rPr>
          <w:rFonts w:cstheme="minorHAnsi"/>
          <w:szCs w:val="24"/>
        </w:rPr>
        <w:t xml:space="preserve">Resolution 70 (Rev. </w:t>
      </w:r>
      <w:r w:rsidR="003F4E70">
        <w:rPr>
          <w:rFonts w:cstheme="minorHAnsi"/>
          <w:szCs w:val="24"/>
        </w:rPr>
        <w:t>Dubai</w:t>
      </w:r>
      <w:r w:rsidRPr="00EE1126">
        <w:rPr>
          <w:rFonts w:cstheme="minorHAnsi"/>
          <w:szCs w:val="24"/>
        </w:rPr>
        <w:t xml:space="preserve">, </w:t>
      </w:r>
      <w:r w:rsidR="003F4E70" w:rsidRPr="00EE1126">
        <w:rPr>
          <w:rFonts w:cstheme="minorHAnsi"/>
          <w:szCs w:val="24"/>
        </w:rPr>
        <w:t>201</w:t>
      </w:r>
      <w:r w:rsidR="003F4E70">
        <w:rPr>
          <w:rFonts w:cstheme="minorHAnsi"/>
          <w:szCs w:val="24"/>
        </w:rPr>
        <w:t>8</w:t>
      </w:r>
      <w:r w:rsidRPr="00EE1126">
        <w:rPr>
          <w:rFonts w:cstheme="minorHAnsi"/>
          <w:szCs w:val="24"/>
        </w:rPr>
        <w:t xml:space="preserve">) highlights the </w:t>
      </w:r>
      <w:r w:rsidR="003F4E70">
        <w:rPr>
          <w:rFonts w:cstheme="minorHAnsi"/>
          <w:szCs w:val="24"/>
        </w:rPr>
        <w:t xml:space="preserve">importance of mainstreaming a gender perspective in ITU and promoting gender equality and the empowerment of women through telecommunications/information and communication technologies (ICTs). </w:t>
      </w:r>
      <w:r w:rsidRPr="00EE1126">
        <w:rPr>
          <w:rFonts w:cstheme="minorHAnsi"/>
          <w:szCs w:val="24"/>
        </w:rPr>
        <w:t xml:space="preserve">This document provides a </w:t>
      </w:r>
      <w:r w:rsidR="00E379F1">
        <w:rPr>
          <w:rFonts w:cstheme="minorHAnsi"/>
          <w:szCs w:val="24"/>
        </w:rPr>
        <w:t xml:space="preserve">summary </w:t>
      </w:r>
      <w:r w:rsidRPr="00EE1126">
        <w:rPr>
          <w:rFonts w:cstheme="minorHAnsi"/>
          <w:szCs w:val="24"/>
        </w:rPr>
        <w:t xml:space="preserve">review of relevant activities and developments </w:t>
      </w:r>
      <w:r w:rsidR="007C4416">
        <w:rPr>
          <w:rFonts w:cstheme="minorHAnsi"/>
          <w:szCs w:val="24"/>
        </w:rPr>
        <w:t>since Council 2018</w:t>
      </w:r>
      <w:r w:rsidRPr="00EE1126">
        <w:rPr>
          <w:rFonts w:cstheme="minorHAnsi"/>
          <w:szCs w:val="24"/>
        </w:rPr>
        <w:t xml:space="preserve">. </w:t>
      </w:r>
      <w:r w:rsidRPr="00EE1126">
        <w:rPr>
          <w:rFonts w:eastAsia="SimSun"/>
          <w:szCs w:val="24"/>
        </w:rPr>
        <w:t xml:space="preserve">Further information related to gender and ICTs can be found on </w:t>
      </w:r>
      <w:hyperlink r:id="rId20" w:history="1">
        <w:r>
          <w:rPr>
            <w:rStyle w:val="Hyperlink"/>
            <w:rFonts w:eastAsia="SimSun"/>
            <w:szCs w:val="24"/>
          </w:rPr>
          <w:t>ITU’s gender webpage</w:t>
        </w:r>
      </w:hyperlink>
      <w:r w:rsidRPr="00EE1126">
        <w:rPr>
          <w:rFonts w:eastAsia="SimSun"/>
          <w:szCs w:val="24"/>
        </w:rPr>
        <w:t>.</w:t>
      </w:r>
    </w:p>
    <w:p w14:paraId="585507C6" w14:textId="77777777" w:rsidR="008047BE" w:rsidRPr="00EE1126" w:rsidRDefault="008047BE" w:rsidP="008047BE">
      <w:pPr>
        <w:pStyle w:val="Heading1"/>
        <w:keepNext w:val="0"/>
        <w:keepLines w:val="0"/>
        <w:tabs>
          <w:tab w:val="clear" w:pos="567"/>
          <w:tab w:val="clear" w:pos="1134"/>
          <w:tab w:val="clear" w:pos="1701"/>
          <w:tab w:val="clear" w:pos="2268"/>
          <w:tab w:val="clear" w:pos="2835"/>
        </w:tabs>
        <w:snapToGrid w:val="0"/>
        <w:spacing w:after="120"/>
        <w:rPr>
          <w:rFonts w:eastAsia="SimSun"/>
          <w:sz w:val="24"/>
          <w:szCs w:val="24"/>
        </w:rPr>
      </w:pPr>
      <w:r w:rsidRPr="00EE1126">
        <w:rPr>
          <w:sz w:val="24"/>
          <w:szCs w:val="24"/>
        </w:rPr>
        <w:t>2</w:t>
      </w:r>
      <w:r w:rsidRPr="00EE1126">
        <w:rPr>
          <w:sz w:val="24"/>
          <w:szCs w:val="24"/>
        </w:rPr>
        <w:tab/>
        <w:t>Data Gathering and Tracking</w:t>
      </w:r>
    </w:p>
    <w:p w14:paraId="511824D9" w14:textId="61F1E782" w:rsidR="008047BE" w:rsidRPr="00EE1126" w:rsidRDefault="008047BE" w:rsidP="0002412B">
      <w:pPr>
        <w:tabs>
          <w:tab w:val="clear" w:pos="567"/>
          <w:tab w:val="clear" w:pos="1134"/>
          <w:tab w:val="clear" w:pos="1701"/>
          <w:tab w:val="clear" w:pos="2268"/>
          <w:tab w:val="clear" w:pos="2835"/>
        </w:tabs>
        <w:snapToGrid w:val="0"/>
        <w:spacing w:after="120"/>
        <w:jc w:val="both"/>
        <w:rPr>
          <w:bCs/>
          <w:szCs w:val="24"/>
        </w:rPr>
      </w:pPr>
      <w:r w:rsidRPr="00EE1126">
        <w:rPr>
          <w:bCs/>
          <w:szCs w:val="24"/>
        </w:rPr>
        <w:t xml:space="preserve">ITU regularly collects and disseminates ICT indicators </w:t>
      </w:r>
      <w:r w:rsidRPr="00EE1126">
        <w:rPr>
          <w:rFonts w:eastAsia="SimSun"/>
          <w:szCs w:val="24"/>
        </w:rPr>
        <w:t xml:space="preserve">related to individuals accessing and using ICTs. These indicators can </w:t>
      </w:r>
      <w:r w:rsidR="00FE61D1">
        <w:rPr>
          <w:bCs/>
          <w:szCs w:val="24"/>
        </w:rPr>
        <w:t xml:space="preserve">be </w:t>
      </w:r>
      <w:r w:rsidRPr="00EE1126">
        <w:rPr>
          <w:rFonts w:eastAsia="SimSun"/>
          <w:szCs w:val="24"/>
        </w:rPr>
        <w:t xml:space="preserve">disaggregated by </w:t>
      </w:r>
      <w:r w:rsidR="00FE61D1">
        <w:rPr>
          <w:rFonts w:eastAsia="SimSun"/>
          <w:szCs w:val="24"/>
        </w:rPr>
        <w:t xml:space="preserve">gender, </w:t>
      </w:r>
      <w:r w:rsidRPr="00EE1126">
        <w:rPr>
          <w:rFonts w:eastAsia="SimSun"/>
          <w:szCs w:val="24"/>
        </w:rPr>
        <w:t>age, education, labour force status</w:t>
      </w:r>
      <w:r>
        <w:rPr>
          <w:rFonts w:eastAsia="SimSun"/>
          <w:szCs w:val="24"/>
        </w:rPr>
        <w:t>,</w:t>
      </w:r>
      <w:r w:rsidRPr="00EE1126">
        <w:rPr>
          <w:rFonts w:eastAsia="SimSun"/>
          <w:szCs w:val="24"/>
        </w:rPr>
        <w:t xml:space="preserve"> and occupation. </w:t>
      </w:r>
      <w:r w:rsidRPr="00EE1126">
        <w:rPr>
          <w:bCs/>
          <w:szCs w:val="24"/>
        </w:rPr>
        <w:t xml:space="preserve">ITU monitors and tracks </w:t>
      </w:r>
      <w:r>
        <w:rPr>
          <w:bCs/>
          <w:szCs w:val="24"/>
        </w:rPr>
        <w:t>three</w:t>
      </w:r>
      <w:r w:rsidRPr="00EE1126">
        <w:rPr>
          <w:bCs/>
          <w:szCs w:val="24"/>
        </w:rPr>
        <w:t xml:space="preserve"> gender-related indicators that </w:t>
      </w:r>
      <w:r>
        <w:rPr>
          <w:bCs/>
          <w:szCs w:val="24"/>
        </w:rPr>
        <w:t>are</w:t>
      </w:r>
      <w:r w:rsidRPr="00EE1126">
        <w:rPr>
          <w:bCs/>
          <w:szCs w:val="24"/>
        </w:rPr>
        <w:t xml:space="preserve"> included in the SDG Indicators Monitoring Framework</w:t>
      </w:r>
      <w:r>
        <w:rPr>
          <w:bCs/>
          <w:szCs w:val="24"/>
        </w:rPr>
        <w:t xml:space="preserve">: (1) </w:t>
      </w:r>
      <w:r w:rsidR="00394DFF">
        <w:rPr>
          <w:bCs/>
          <w:szCs w:val="24"/>
        </w:rPr>
        <w:t>“</w:t>
      </w:r>
      <w:r w:rsidRPr="00EE1126">
        <w:rPr>
          <w:bCs/>
          <w:i/>
          <w:iCs/>
          <w:szCs w:val="24"/>
        </w:rPr>
        <w:t>proportion of individuals who own a mobile telephone, by sex</w:t>
      </w:r>
      <w:r w:rsidR="00394DFF">
        <w:rPr>
          <w:bCs/>
          <w:szCs w:val="24"/>
        </w:rPr>
        <w:t>”</w:t>
      </w:r>
      <w:r w:rsidRPr="00EE1126">
        <w:rPr>
          <w:bCs/>
          <w:szCs w:val="24"/>
        </w:rPr>
        <w:t xml:space="preserve"> </w:t>
      </w:r>
      <w:r>
        <w:rPr>
          <w:bCs/>
          <w:szCs w:val="24"/>
        </w:rPr>
        <w:t xml:space="preserve">(which is </w:t>
      </w:r>
      <w:r w:rsidRPr="00EE1126">
        <w:rPr>
          <w:bCs/>
          <w:szCs w:val="24"/>
        </w:rPr>
        <w:t>one of the gender-related</w:t>
      </w:r>
      <w:r>
        <w:rPr>
          <w:bCs/>
          <w:szCs w:val="24"/>
        </w:rPr>
        <w:t xml:space="preserve"> indicators), (2) </w:t>
      </w:r>
      <w:r w:rsidR="00394DFF">
        <w:rPr>
          <w:bCs/>
          <w:szCs w:val="24"/>
        </w:rPr>
        <w:t>“</w:t>
      </w:r>
      <w:r w:rsidRPr="006758B9">
        <w:rPr>
          <w:bCs/>
          <w:i/>
          <w:iCs/>
          <w:szCs w:val="24"/>
        </w:rPr>
        <w:t>proportion of individuals using the Internet, by sex</w:t>
      </w:r>
      <w:r w:rsidR="00394DFF">
        <w:rPr>
          <w:bCs/>
          <w:szCs w:val="24"/>
        </w:rPr>
        <w:t>”</w:t>
      </w:r>
      <w:r>
        <w:rPr>
          <w:bCs/>
          <w:szCs w:val="24"/>
        </w:rPr>
        <w:t xml:space="preserve">, and (3) </w:t>
      </w:r>
      <w:r w:rsidR="00394DFF">
        <w:rPr>
          <w:bCs/>
          <w:szCs w:val="24"/>
        </w:rPr>
        <w:t>“</w:t>
      </w:r>
      <w:r w:rsidRPr="006758B9">
        <w:rPr>
          <w:bCs/>
          <w:i/>
          <w:iCs/>
          <w:szCs w:val="24"/>
        </w:rPr>
        <w:t>proportion of individuals with ICT skills, by sex</w:t>
      </w:r>
      <w:r w:rsidR="00394DFF">
        <w:rPr>
          <w:bCs/>
          <w:szCs w:val="24"/>
        </w:rPr>
        <w:t>”</w:t>
      </w:r>
      <w:r w:rsidRPr="00EE1126">
        <w:rPr>
          <w:bCs/>
          <w:szCs w:val="24"/>
        </w:rPr>
        <w:t xml:space="preserve">. </w:t>
      </w:r>
    </w:p>
    <w:p w14:paraId="2EBFDECD" w14:textId="3580E307" w:rsidR="001D4D6F" w:rsidRDefault="008047BE" w:rsidP="00700045">
      <w:pPr>
        <w:tabs>
          <w:tab w:val="clear" w:pos="567"/>
          <w:tab w:val="clear" w:pos="1134"/>
          <w:tab w:val="clear" w:pos="1701"/>
          <w:tab w:val="clear" w:pos="2268"/>
          <w:tab w:val="clear" w:pos="2835"/>
        </w:tabs>
        <w:snapToGrid w:val="0"/>
        <w:spacing w:after="120"/>
        <w:jc w:val="both"/>
        <w:rPr>
          <w:szCs w:val="24"/>
        </w:rPr>
      </w:pPr>
      <w:bookmarkStart w:id="11" w:name="_Hlk2678733"/>
      <w:r>
        <w:rPr>
          <w:szCs w:val="24"/>
        </w:rPr>
        <w:lastRenderedPageBreak/>
        <w:t xml:space="preserve">ITU’s </w:t>
      </w:r>
      <w:hyperlink r:id="rId21" w:history="1">
        <w:r w:rsidRPr="00EE1126">
          <w:rPr>
            <w:rStyle w:val="Hyperlink"/>
            <w:szCs w:val="24"/>
          </w:rPr>
          <w:t xml:space="preserve">Gender </w:t>
        </w:r>
        <w:r>
          <w:rPr>
            <w:rStyle w:val="Hyperlink"/>
            <w:szCs w:val="24"/>
          </w:rPr>
          <w:t>D</w:t>
        </w:r>
        <w:r w:rsidRPr="00EE1126">
          <w:rPr>
            <w:rStyle w:val="Hyperlink"/>
            <w:szCs w:val="24"/>
          </w:rPr>
          <w:t>ashboard</w:t>
        </w:r>
      </w:hyperlink>
      <w:r w:rsidRPr="00EE1126">
        <w:rPr>
          <w:szCs w:val="24"/>
        </w:rPr>
        <w:t xml:space="preserve"> provides a visual overview of gender</w:t>
      </w:r>
      <w:r w:rsidR="001569D3">
        <w:rPr>
          <w:szCs w:val="24"/>
        </w:rPr>
        <w:t xml:space="preserve"> in the ICT </w:t>
      </w:r>
      <w:r w:rsidR="00264CF5">
        <w:rPr>
          <w:szCs w:val="24"/>
        </w:rPr>
        <w:t xml:space="preserve">arena, in ITU meetings, and within ITU. </w:t>
      </w:r>
      <w:r w:rsidR="00D30DF8">
        <w:rPr>
          <w:szCs w:val="24"/>
        </w:rPr>
        <w:t>The last tab presents</w:t>
      </w:r>
      <w:r w:rsidR="001B09CB">
        <w:rPr>
          <w:szCs w:val="24"/>
        </w:rPr>
        <w:t xml:space="preserve"> ITU’s </w:t>
      </w:r>
      <w:r w:rsidR="001569D3">
        <w:rPr>
          <w:szCs w:val="24"/>
        </w:rPr>
        <w:t xml:space="preserve">overall </w:t>
      </w:r>
      <w:r w:rsidR="001B09CB">
        <w:rPr>
          <w:szCs w:val="24"/>
        </w:rPr>
        <w:t>staff</w:t>
      </w:r>
      <w:r w:rsidR="001569D3">
        <w:rPr>
          <w:szCs w:val="24"/>
        </w:rPr>
        <w:t xml:space="preserve"> composition</w:t>
      </w:r>
      <w:r w:rsidR="008C32A4">
        <w:rPr>
          <w:szCs w:val="24"/>
        </w:rPr>
        <w:t xml:space="preserve"> by </w:t>
      </w:r>
      <w:r w:rsidR="00D30DF8">
        <w:rPr>
          <w:szCs w:val="24"/>
        </w:rPr>
        <w:t xml:space="preserve">gender and </w:t>
      </w:r>
      <w:r w:rsidR="008C32A4">
        <w:rPr>
          <w:szCs w:val="24"/>
        </w:rPr>
        <w:t>grade</w:t>
      </w:r>
      <w:r>
        <w:rPr>
          <w:szCs w:val="24"/>
        </w:rPr>
        <w:t xml:space="preserve">, </w:t>
      </w:r>
      <w:r w:rsidR="001569D3">
        <w:rPr>
          <w:szCs w:val="24"/>
        </w:rPr>
        <w:t>as well as</w:t>
      </w:r>
      <w:r w:rsidR="001B09CB">
        <w:rPr>
          <w:szCs w:val="24"/>
        </w:rPr>
        <w:t xml:space="preserve"> </w:t>
      </w:r>
      <w:r w:rsidR="00D30DF8">
        <w:rPr>
          <w:szCs w:val="24"/>
        </w:rPr>
        <w:t xml:space="preserve">gender representation </w:t>
      </w:r>
      <w:r w:rsidR="001B09CB">
        <w:rPr>
          <w:szCs w:val="24"/>
        </w:rPr>
        <w:t xml:space="preserve">in </w:t>
      </w:r>
      <w:r w:rsidR="001569D3">
        <w:rPr>
          <w:szCs w:val="24"/>
        </w:rPr>
        <w:t xml:space="preserve">the </w:t>
      </w:r>
      <w:r w:rsidR="001B09CB">
        <w:rPr>
          <w:szCs w:val="24"/>
        </w:rPr>
        <w:t xml:space="preserve">recruitment and selection </w:t>
      </w:r>
      <w:r w:rsidR="001569D3">
        <w:rPr>
          <w:szCs w:val="24"/>
        </w:rPr>
        <w:t>processes</w:t>
      </w:r>
      <w:r w:rsidR="001B09CB">
        <w:rPr>
          <w:szCs w:val="24"/>
        </w:rPr>
        <w:t xml:space="preserve">. Gender representation in </w:t>
      </w:r>
      <w:r w:rsidR="0020315E">
        <w:rPr>
          <w:szCs w:val="24"/>
        </w:rPr>
        <w:t>statutory committees</w:t>
      </w:r>
      <w:r w:rsidR="001569D3">
        <w:rPr>
          <w:szCs w:val="24"/>
        </w:rPr>
        <w:t xml:space="preserve"> is also reported.</w:t>
      </w:r>
      <w:r w:rsidR="008C32A4">
        <w:rPr>
          <w:szCs w:val="24"/>
        </w:rPr>
        <w:t xml:space="preserve"> </w:t>
      </w:r>
      <w:r w:rsidR="00D30DF8">
        <w:rPr>
          <w:szCs w:val="24"/>
        </w:rPr>
        <w:t>Further g</w:t>
      </w:r>
      <w:r w:rsidR="008C32A4">
        <w:rPr>
          <w:szCs w:val="24"/>
        </w:rPr>
        <w:t xml:space="preserve">ender equality </w:t>
      </w:r>
      <w:r w:rsidR="00D30DF8">
        <w:rPr>
          <w:szCs w:val="24"/>
        </w:rPr>
        <w:t>efforts in human resources</w:t>
      </w:r>
      <w:r w:rsidR="008C32A4">
        <w:rPr>
          <w:szCs w:val="24"/>
        </w:rPr>
        <w:t xml:space="preserve"> is available in the </w:t>
      </w:r>
      <w:hyperlink r:id="rId22" w:history="1">
        <w:r w:rsidR="008C32A4" w:rsidRPr="00DB7C5A">
          <w:rPr>
            <w:rStyle w:val="Hyperlink"/>
            <w:szCs w:val="24"/>
          </w:rPr>
          <w:t>Report to Council on Resolution 48</w:t>
        </w:r>
      </w:hyperlink>
      <w:r w:rsidR="008C32A4" w:rsidRPr="00DB7C5A">
        <w:rPr>
          <w:szCs w:val="24"/>
        </w:rPr>
        <w:t>.</w:t>
      </w:r>
      <w:r w:rsidR="008C32A4">
        <w:rPr>
          <w:szCs w:val="24"/>
        </w:rPr>
        <w:t xml:space="preserve"> </w:t>
      </w:r>
    </w:p>
    <w:bookmarkEnd w:id="11"/>
    <w:p w14:paraId="13CD0340" w14:textId="0985622A" w:rsidR="008047BE" w:rsidRPr="00EE1126" w:rsidRDefault="008047BE" w:rsidP="008047BE">
      <w:pPr>
        <w:pStyle w:val="Heading1"/>
        <w:keepNext w:val="0"/>
        <w:keepLines w:val="0"/>
        <w:tabs>
          <w:tab w:val="clear" w:pos="567"/>
          <w:tab w:val="clear" w:pos="1134"/>
          <w:tab w:val="clear" w:pos="1701"/>
          <w:tab w:val="clear" w:pos="2268"/>
          <w:tab w:val="clear" w:pos="2835"/>
        </w:tabs>
        <w:snapToGrid w:val="0"/>
        <w:spacing w:after="120"/>
        <w:ind w:left="709" w:hanging="709"/>
        <w:jc w:val="both"/>
        <w:rPr>
          <w:rFonts w:eastAsia="SimSun"/>
          <w:sz w:val="24"/>
          <w:szCs w:val="24"/>
        </w:rPr>
      </w:pPr>
      <w:r w:rsidRPr="00EE1126">
        <w:rPr>
          <w:rFonts w:eastAsia="SimSun"/>
          <w:sz w:val="24"/>
          <w:szCs w:val="24"/>
        </w:rPr>
        <w:t>3</w:t>
      </w:r>
      <w:r w:rsidRPr="00EE1126">
        <w:rPr>
          <w:rFonts w:eastAsia="SimSun"/>
          <w:sz w:val="24"/>
          <w:szCs w:val="24"/>
        </w:rPr>
        <w:tab/>
      </w:r>
      <w:r w:rsidR="005C648E">
        <w:rPr>
          <w:rFonts w:eastAsia="SimSun"/>
          <w:sz w:val="24"/>
          <w:szCs w:val="24"/>
        </w:rPr>
        <w:t xml:space="preserve">Advancing Agenda 2030 </w:t>
      </w:r>
      <w:r w:rsidR="00B20073">
        <w:rPr>
          <w:rFonts w:eastAsia="SimSun"/>
          <w:sz w:val="24"/>
          <w:szCs w:val="24"/>
        </w:rPr>
        <w:t>and</w:t>
      </w:r>
      <w:r w:rsidR="005C648E">
        <w:rPr>
          <w:rFonts w:eastAsia="SimSun"/>
          <w:sz w:val="24"/>
          <w:szCs w:val="24"/>
        </w:rPr>
        <w:t xml:space="preserve"> </w:t>
      </w:r>
      <w:r w:rsidRPr="00EE1126">
        <w:rPr>
          <w:rFonts w:eastAsia="SimSun"/>
          <w:sz w:val="24"/>
          <w:szCs w:val="24"/>
        </w:rPr>
        <w:t xml:space="preserve">Bridging the Digital Gender Divide </w:t>
      </w:r>
    </w:p>
    <w:p w14:paraId="3B026DCA" w14:textId="3C01BDBD" w:rsidR="008047BE" w:rsidRPr="00EE1126" w:rsidRDefault="008047BE" w:rsidP="008047BE">
      <w:pPr>
        <w:pStyle w:val="Heading3"/>
        <w:keepNext w:val="0"/>
        <w:keepLines w:val="0"/>
        <w:tabs>
          <w:tab w:val="clear" w:pos="567"/>
          <w:tab w:val="clear" w:pos="1134"/>
          <w:tab w:val="clear" w:pos="1701"/>
          <w:tab w:val="clear" w:pos="2268"/>
          <w:tab w:val="clear" w:pos="2835"/>
        </w:tabs>
        <w:snapToGrid w:val="0"/>
        <w:spacing w:before="120" w:after="120"/>
        <w:ind w:left="0" w:firstLine="0"/>
        <w:rPr>
          <w:szCs w:val="24"/>
        </w:rPr>
      </w:pPr>
      <w:bookmarkStart w:id="12" w:name="_Hlk2676846"/>
      <w:r>
        <w:rPr>
          <w:szCs w:val="24"/>
        </w:rPr>
        <w:t>3.1</w:t>
      </w:r>
      <w:r>
        <w:rPr>
          <w:szCs w:val="24"/>
        </w:rPr>
        <w:tab/>
      </w:r>
      <w:r w:rsidR="005C648E">
        <w:rPr>
          <w:szCs w:val="24"/>
        </w:rPr>
        <w:t>World Summit on the Information Society (WSIS)</w:t>
      </w:r>
    </w:p>
    <w:p w14:paraId="64844961" w14:textId="0ED5248A" w:rsidR="005C648E" w:rsidRDefault="005C648E" w:rsidP="001F3BAF">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E37148">
        <w:rPr>
          <w:rFonts w:asciiTheme="minorHAnsi" w:hAnsiTheme="minorHAnsi"/>
          <w:szCs w:val="24"/>
        </w:rPr>
        <w:t>The</w:t>
      </w:r>
      <w:r w:rsidRPr="00E37148">
        <w:rPr>
          <w:rFonts w:asciiTheme="minorHAnsi" w:hAnsiTheme="minorHAnsi"/>
          <w:b/>
          <w:bCs/>
          <w:szCs w:val="24"/>
        </w:rPr>
        <w:t xml:space="preserve"> </w:t>
      </w:r>
      <w:hyperlink r:id="rId23" w:history="1">
        <w:r w:rsidR="001236E9" w:rsidRPr="00E3601C">
          <w:rPr>
            <w:rStyle w:val="Hyperlink"/>
            <w:rFonts w:asciiTheme="minorHAnsi" w:hAnsiTheme="minorHAnsi"/>
            <w:bCs/>
            <w:szCs w:val="24"/>
          </w:rPr>
          <w:t>WSIS+10 Statement on Implementation of WSIS Outcomes and the WSIS+10 Vision for WSIS Beyond 2015</w:t>
        </w:r>
      </w:hyperlink>
      <w:r w:rsidR="001236E9" w:rsidRPr="00E37148">
        <w:rPr>
          <w:rFonts w:asciiTheme="minorHAnsi" w:hAnsiTheme="minorHAnsi"/>
          <w:b/>
          <w:bCs/>
          <w:szCs w:val="24"/>
        </w:rPr>
        <w:t xml:space="preserve"> </w:t>
      </w:r>
      <w:r w:rsidRPr="00E37148">
        <w:rPr>
          <w:rFonts w:asciiTheme="minorHAnsi" w:hAnsiTheme="minorHAnsi"/>
          <w:szCs w:val="24"/>
        </w:rPr>
        <w:t>invite all</w:t>
      </w:r>
      <w:r w:rsidRPr="00E37148">
        <w:rPr>
          <w:rFonts w:asciiTheme="minorHAnsi" w:hAnsiTheme="minorHAnsi"/>
          <w:b/>
          <w:bCs/>
          <w:szCs w:val="24"/>
        </w:rPr>
        <w:t xml:space="preserve"> </w:t>
      </w:r>
      <w:r w:rsidRPr="00E37148">
        <w:rPr>
          <w:rFonts w:asciiTheme="minorHAnsi" w:hAnsiTheme="minorHAnsi"/>
          <w:szCs w:val="24"/>
        </w:rPr>
        <w:t xml:space="preserve">WSIS Stakeholders to mainstream a gender equality perspective and use ICTs as a tool to that end. As the coordinator of the WSIS Process, the ITU has been working with the UN WSIS Action Line focal points and </w:t>
      </w:r>
      <w:r w:rsidR="0048335F">
        <w:rPr>
          <w:rFonts w:asciiTheme="minorHAnsi" w:hAnsiTheme="minorHAnsi"/>
          <w:szCs w:val="24"/>
        </w:rPr>
        <w:t>across</w:t>
      </w:r>
      <w:r w:rsidRPr="00E37148">
        <w:rPr>
          <w:rFonts w:asciiTheme="minorHAnsi" w:hAnsiTheme="minorHAnsi"/>
          <w:szCs w:val="24"/>
        </w:rPr>
        <w:t xml:space="preserve"> ITU, to fully integrate Gender equality perspectives in WSIS related strategies</w:t>
      </w:r>
      <w:r w:rsidR="0048335F">
        <w:rPr>
          <w:rFonts w:asciiTheme="minorHAnsi" w:hAnsiTheme="minorHAnsi"/>
          <w:szCs w:val="24"/>
        </w:rPr>
        <w:t>.</w:t>
      </w:r>
      <w:r w:rsidRPr="00E37148">
        <w:rPr>
          <w:rFonts w:asciiTheme="minorHAnsi" w:hAnsiTheme="minorHAnsi"/>
          <w:szCs w:val="24"/>
        </w:rPr>
        <w:t xml:space="preserve"> </w:t>
      </w:r>
      <w:r w:rsidR="0048335F">
        <w:rPr>
          <w:rFonts w:asciiTheme="minorHAnsi" w:hAnsiTheme="minorHAnsi"/>
          <w:szCs w:val="24"/>
        </w:rPr>
        <w:t>Th</w:t>
      </w:r>
      <w:r w:rsidR="001236E9">
        <w:rPr>
          <w:rFonts w:asciiTheme="minorHAnsi" w:hAnsiTheme="minorHAnsi"/>
          <w:szCs w:val="24"/>
        </w:rPr>
        <w:t>is</w:t>
      </w:r>
      <w:r w:rsidR="0048335F">
        <w:rPr>
          <w:rFonts w:asciiTheme="minorHAnsi" w:hAnsiTheme="minorHAnsi"/>
          <w:szCs w:val="24"/>
        </w:rPr>
        <w:t xml:space="preserve"> is particularly evident in the</w:t>
      </w:r>
      <w:r w:rsidRPr="00E37148">
        <w:rPr>
          <w:rFonts w:asciiTheme="minorHAnsi" w:hAnsiTheme="minorHAnsi"/>
          <w:szCs w:val="24"/>
        </w:rPr>
        <w:t xml:space="preserve"> WSIS Forum, WSIS Stocktaking, WSIS Prizes, UNGIS and Partnership on Measuring ICT for Development</w:t>
      </w:r>
      <w:r w:rsidR="0048335F">
        <w:rPr>
          <w:rFonts w:asciiTheme="minorHAnsi" w:hAnsiTheme="minorHAnsi"/>
          <w:szCs w:val="24"/>
        </w:rPr>
        <w:t>,</w:t>
      </w:r>
      <w:r w:rsidRPr="00E37148">
        <w:rPr>
          <w:rFonts w:asciiTheme="minorHAnsi" w:hAnsiTheme="minorHAnsi"/>
          <w:szCs w:val="24"/>
        </w:rPr>
        <w:t xml:space="preserve"> in order to facilitate their implementation to ensure that the Information Society enables women’s empowerment and full participation on the basis of equality in all spheres of society and in all decision-making processes. One successful example of this joint effort is the </w:t>
      </w:r>
      <w:hyperlink r:id="rId24" w:history="1">
        <w:r w:rsidRPr="00E37148">
          <w:rPr>
            <w:rStyle w:val="Hyperlink"/>
            <w:rFonts w:asciiTheme="minorHAnsi" w:hAnsiTheme="minorHAnsi"/>
            <w:szCs w:val="24"/>
          </w:rPr>
          <w:t>WSIS Forum</w:t>
        </w:r>
      </w:hyperlink>
      <w:r w:rsidRPr="00E37148">
        <w:rPr>
          <w:rFonts w:asciiTheme="minorHAnsi" w:hAnsiTheme="minorHAnsi"/>
          <w:szCs w:val="24"/>
        </w:rPr>
        <w:t xml:space="preserve"> where </w:t>
      </w:r>
      <w:r w:rsidR="000D1E22">
        <w:rPr>
          <w:rFonts w:asciiTheme="minorHAnsi" w:hAnsiTheme="minorHAnsi"/>
          <w:szCs w:val="24"/>
        </w:rPr>
        <w:t>there is an effort to achieve</w:t>
      </w:r>
      <w:r w:rsidRPr="00E37148">
        <w:rPr>
          <w:rFonts w:asciiTheme="minorHAnsi" w:hAnsiTheme="minorHAnsi"/>
          <w:szCs w:val="24"/>
        </w:rPr>
        <w:t xml:space="preserve"> 50:50 participation of women and men.</w:t>
      </w:r>
    </w:p>
    <w:bookmarkEnd w:id="12"/>
    <w:p w14:paraId="11BB38B4" w14:textId="4266C9D5" w:rsidR="002A3899" w:rsidRPr="00EE1126" w:rsidRDefault="002A3899" w:rsidP="002A3899">
      <w:pPr>
        <w:pStyle w:val="Heading3"/>
        <w:keepNext w:val="0"/>
        <w:keepLines w:val="0"/>
        <w:tabs>
          <w:tab w:val="clear" w:pos="567"/>
          <w:tab w:val="clear" w:pos="1134"/>
          <w:tab w:val="clear" w:pos="1701"/>
          <w:tab w:val="clear" w:pos="2268"/>
          <w:tab w:val="clear" w:pos="2835"/>
        </w:tabs>
        <w:snapToGrid w:val="0"/>
        <w:spacing w:before="120" w:after="120"/>
        <w:ind w:left="0" w:firstLine="0"/>
        <w:rPr>
          <w:szCs w:val="24"/>
        </w:rPr>
      </w:pPr>
      <w:r>
        <w:rPr>
          <w:szCs w:val="24"/>
        </w:rPr>
        <w:t>3.2</w:t>
      </w:r>
      <w:r>
        <w:rPr>
          <w:szCs w:val="24"/>
        </w:rPr>
        <w:tab/>
        <w:t>African Girls Can Code Initiative</w:t>
      </w:r>
      <w:r w:rsidR="000D1E22">
        <w:rPr>
          <w:szCs w:val="24"/>
        </w:rPr>
        <w:t xml:space="preserve"> (AGCCI)</w:t>
      </w:r>
    </w:p>
    <w:p w14:paraId="47C5F1D7" w14:textId="69E22677" w:rsidR="001A404F" w:rsidRDefault="002A3899" w:rsidP="001F3BAF">
      <w:pPr>
        <w:tabs>
          <w:tab w:val="clear" w:pos="567"/>
          <w:tab w:val="clear" w:pos="1134"/>
          <w:tab w:val="clear" w:pos="1701"/>
          <w:tab w:val="clear" w:pos="2268"/>
          <w:tab w:val="clear" w:pos="2835"/>
        </w:tabs>
        <w:snapToGrid w:val="0"/>
        <w:spacing w:after="120"/>
        <w:jc w:val="both"/>
        <w:rPr>
          <w:rFonts w:eastAsia="SimSun"/>
          <w:szCs w:val="24"/>
        </w:rPr>
      </w:pPr>
      <w:r w:rsidRPr="002A3899">
        <w:rPr>
          <w:rFonts w:eastAsia="SimSun"/>
          <w:szCs w:val="24"/>
        </w:rPr>
        <w:t>ITU and UN Women, in collaboration with the African Union Commission, have launched the African Girls Can CODE Initiative. The AGCCI is a four-year prog</w:t>
      </w:r>
      <w:r>
        <w:rPr>
          <w:rFonts w:eastAsia="SimSun"/>
          <w:szCs w:val="24"/>
        </w:rPr>
        <w:t>r</w:t>
      </w:r>
      <w:r w:rsidRPr="002A3899">
        <w:rPr>
          <w:rFonts w:eastAsia="SimSun"/>
          <w:szCs w:val="24"/>
        </w:rPr>
        <w:t>amme that aims to train and empower girls and young women aged 17 to 20 years old across Africa to become computer programmers, creators and designers. The key objectives are to promote ICTs for girls and digital skills for young women and girls; encourage African countries to mainstream ICT studies to provide girls and young women with more opportunities to learn digital skills; establish a network of women in ICT</w:t>
      </w:r>
      <w:r w:rsidR="000D1E22">
        <w:rPr>
          <w:rFonts w:eastAsia="SimSun"/>
          <w:szCs w:val="24"/>
        </w:rPr>
        <w:t>s</w:t>
      </w:r>
      <w:r w:rsidRPr="002A3899">
        <w:rPr>
          <w:rFonts w:eastAsia="SimSun"/>
          <w:szCs w:val="24"/>
        </w:rPr>
        <w:t xml:space="preserve"> who will act as role-models; and create an online community platform for sharing coding experiences.</w:t>
      </w:r>
    </w:p>
    <w:p w14:paraId="52E8324F" w14:textId="75D066B1" w:rsidR="00D714F1" w:rsidRPr="00D714F1" w:rsidRDefault="008047BE" w:rsidP="001F3BAF">
      <w:pPr>
        <w:tabs>
          <w:tab w:val="clear" w:pos="567"/>
          <w:tab w:val="clear" w:pos="1134"/>
          <w:tab w:val="clear" w:pos="1701"/>
          <w:tab w:val="clear" w:pos="2268"/>
          <w:tab w:val="clear" w:pos="2835"/>
        </w:tabs>
        <w:snapToGrid w:val="0"/>
        <w:spacing w:after="120"/>
        <w:jc w:val="both"/>
        <w:rPr>
          <w:szCs w:val="24"/>
        </w:rPr>
      </w:pPr>
      <w:bookmarkStart w:id="13" w:name="_Hlk2686851"/>
      <w:r w:rsidRPr="00D714F1">
        <w:rPr>
          <w:b/>
          <w:bCs/>
          <w:szCs w:val="24"/>
        </w:rPr>
        <w:t>3.</w:t>
      </w:r>
      <w:r w:rsidR="002A3899">
        <w:rPr>
          <w:b/>
          <w:bCs/>
          <w:szCs w:val="24"/>
        </w:rPr>
        <w:t>3</w:t>
      </w:r>
      <w:r w:rsidRPr="00D714F1">
        <w:rPr>
          <w:b/>
          <w:bCs/>
          <w:szCs w:val="24"/>
        </w:rPr>
        <w:tab/>
        <w:t>Girls in ICT Day</w:t>
      </w:r>
    </w:p>
    <w:p w14:paraId="30DEE4E1" w14:textId="57B7260C" w:rsidR="008047BE" w:rsidRPr="00EE1126" w:rsidRDefault="008047BE" w:rsidP="00AD180F">
      <w:pPr>
        <w:tabs>
          <w:tab w:val="clear" w:pos="567"/>
          <w:tab w:val="clear" w:pos="1134"/>
          <w:tab w:val="clear" w:pos="1701"/>
          <w:tab w:val="clear" w:pos="2268"/>
          <w:tab w:val="clear" w:pos="2835"/>
        </w:tabs>
        <w:snapToGrid w:val="0"/>
        <w:spacing w:after="120"/>
        <w:jc w:val="both"/>
        <w:rPr>
          <w:szCs w:val="24"/>
          <w:lang w:val="en"/>
        </w:rPr>
      </w:pPr>
      <w:r w:rsidRPr="00EE1126">
        <w:rPr>
          <w:szCs w:val="24"/>
          <w:lang w:val="en"/>
        </w:rPr>
        <w:t xml:space="preserve">The </w:t>
      </w:r>
      <w:hyperlink r:id="rId25" w:history="1">
        <w:r w:rsidRPr="009E07C7">
          <w:rPr>
            <w:rStyle w:val="Hyperlink"/>
            <w:szCs w:val="24"/>
            <w:lang w:val="en"/>
          </w:rPr>
          <w:t>International Girls in ICT Day</w:t>
        </w:r>
      </w:hyperlink>
      <w:r w:rsidRPr="00EE1126">
        <w:rPr>
          <w:szCs w:val="24"/>
          <w:lang w:val="en"/>
        </w:rPr>
        <w:t xml:space="preserve"> takes place every fourth Thursday of April to encourage more girls and young women to take up ICT careers and studies. From its launch in 2011 through 201</w:t>
      </w:r>
      <w:r w:rsidR="002113AA">
        <w:rPr>
          <w:szCs w:val="24"/>
          <w:lang w:val="en"/>
        </w:rPr>
        <w:t>8</w:t>
      </w:r>
      <w:r w:rsidRPr="00EE1126">
        <w:rPr>
          <w:szCs w:val="24"/>
          <w:lang w:val="en"/>
        </w:rPr>
        <w:t xml:space="preserve">, the </w:t>
      </w:r>
      <w:r w:rsidRPr="00AD180F">
        <w:rPr>
          <w:spacing w:val="-2"/>
          <w:szCs w:val="24"/>
          <w:lang w:val="en"/>
        </w:rPr>
        <w:t>campaign had reached 3</w:t>
      </w:r>
      <w:r w:rsidR="002113AA">
        <w:rPr>
          <w:spacing w:val="-2"/>
          <w:szCs w:val="24"/>
          <w:lang w:val="en"/>
        </w:rPr>
        <w:t>57</w:t>
      </w:r>
      <w:r w:rsidRPr="00AD180F">
        <w:rPr>
          <w:spacing w:val="-2"/>
          <w:szCs w:val="24"/>
          <w:lang w:val="en"/>
        </w:rPr>
        <w:t>,000 girls in 1</w:t>
      </w:r>
      <w:r w:rsidR="002113AA">
        <w:rPr>
          <w:spacing w:val="-2"/>
          <w:szCs w:val="24"/>
          <w:lang w:val="en"/>
        </w:rPr>
        <w:t>71</w:t>
      </w:r>
      <w:r w:rsidRPr="00AD180F">
        <w:rPr>
          <w:spacing w:val="-2"/>
          <w:szCs w:val="24"/>
          <w:lang w:val="en"/>
        </w:rPr>
        <w:t xml:space="preserve"> countries. The #GirlsinICT hashtag </w:t>
      </w:r>
      <w:r w:rsidR="00DE6372">
        <w:rPr>
          <w:spacing w:val="-2"/>
          <w:szCs w:val="24"/>
          <w:lang w:val="en"/>
        </w:rPr>
        <w:t xml:space="preserve">has </w:t>
      </w:r>
      <w:r w:rsidRPr="00AD180F">
        <w:rPr>
          <w:spacing w:val="-2"/>
          <w:szCs w:val="24"/>
          <w:lang w:val="en"/>
        </w:rPr>
        <w:t xml:space="preserve">reached </w:t>
      </w:r>
      <w:r w:rsidR="00DE6372" w:rsidRPr="002270D8">
        <w:rPr>
          <w:spacing w:val="-2"/>
          <w:szCs w:val="24"/>
          <w:lang w:val="en"/>
        </w:rPr>
        <w:t>93</w:t>
      </w:r>
      <w:r w:rsidR="00AD180F" w:rsidRPr="00AD180F">
        <w:rPr>
          <w:spacing w:val="-2"/>
          <w:szCs w:val="24"/>
          <w:lang w:val="en"/>
        </w:rPr>
        <w:t> </w:t>
      </w:r>
      <w:r w:rsidRPr="00AD180F">
        <w:rPr>
          <w:spacing w:val="-2"/>
          <w:szCs w:val="24"/>
          <w:lang w:val="en"/>
        </w:rPr>
        <w:t>million</w:t>
      </w:r>
      <w:r w:rsidRPr="006758B9">
        <w:rPr>
          <w:szCs w:val="24"/>
          <w:lang w:val="en"/>
        </w:rPr>
        <w:t xml:space="preserve"> Twitter accounts while the ITU Girls in ICT Portal</w:t>
      </w:r>
      <w:r w:rsidRPr="00DE6372">
        <w:rPr>
          <w:szCs w:val="24"/>
          <w:lang w:val="en"/>
        </w:rPr>
        <w:t xml:space="preserve"> </w:t>
      </w:r>
      <w:r w:rsidR="003C7F03">
        <w:rPr>
          <w:szCs w:val="24"/>
          <w:lang w:val="en"/>
        </w:rPr>
        <w:t>has</w:t>
      </w:r>
      <w:r w:rsidRPr="006758B9">
        <w:rPr>
          <w:szCs w:val="24"/>
          <w:lang w:val="en"/>
        </w:rPr>
        <w:t xml:space="preserve"> received over 1 million page views, helping to raise visibility for the importance of attracting more women and girls to ICT studies and careers.</w:t>
      </w:r>
      <w:r>
        <w:rPr>
          <w:rFonts w:ascii="Arial" w:hAnsi="Arial" w:cs="Arial"/>
          <w:color w:val="004B96"/>
          <w:sz w:val="17"/>
          <w:szCs w:val="17"/>
          <w:shd w:val="clear" w:color="auto" w:fill="FFFFFF"/>
        </w:rPr>
        <w:t xml:space="preserve"> </w:t>
      </w:r>
      <w:r w:rsidRPr="00EE1126">
        <w:rPr>
          <w:szCs w:val="24"/>
          <w:lang w:val="en"/>
        </w:rPr>
        <w:t>In 201</w:t>
      </w:r>
      <w:r w:rsidR="002113AA">
        <w:rPr>
          <w:szCs w:val="24"/>
          <w:lang w:val="en"/>
        </w:rPr>
        <w:t>8</w:t>
      </w:r>
      <w:r w:rsidRPr="00EE1126">
        <w:rPr>
          <w:szCs w:val="24"/>
          <w:lang w:val="en"/>
        </w:rPr>
        <w:t xml:space="preserve"> the day saw more than </w:t>
      </w:r>
      <w:r>
        <w:rPr>
          <w:szCs w:val="24"/>
          <w:lang w:val="en"/>
        </w:rPr>
        <w:t>2</w:t>
      </w:r>
      <w:r w:rsidRPr="00EE1126">
        <w:rPr>
          <w:szCs w:val="24"/>
          <w:lang w:val="en"/>
        </w:rPr>
        <w:t>,</w:t>
      </w:r>
      <w:r w:rsidRPr="00DE6372">
        <w:rPr>
          <w:szCs w:val="24"/>
          <w:lang w:val="en"/>
        </w:rPr>
        <w:t>1</w:t>
      </w:r>
      <w:r w:rsidR="00DE6372" w:rsidRPr="002270D8">
        <w:rPr>
          <w:szCs w:val="24"/>
          <w:lang w:val="en"/>
        </w:rPr>
        <w:t>86</w:t>
      </w:r>
      <w:r w:rsidRPr="00EE1126">
        <w:rPr>
          <w:szCs w:val="24"/>
          <w:lang w:val="en"/>
        </w:rPr>
        <w:t xml:space="preserve"> events in </w:t>
      </w:r>
      <w:r w:rsidRPr="00DE6372">
        <w:rPr>
          <w:szCs w:val="24"/>
          <w:lang w:val="en"/>
        </w:rPr>
        <w:t>13</w:t>
      </w:r>
      <w:r w:rsidR="00DE6372" w:rsidRPr="002270D8">
        <w:rPr>
          <w:szCs w:val="24"/>
          <w:lang w:val="en"/>
        </w:rPr>
        <w:t>1</w:t>
      </w:r>
      <w:r w:rsidRPr="00EE1126">
        <w:rPr>
          <w:szCs w:val="24"/>
          <w:lang w:val="en"/>
        </w:rPr>
        <w:t xml:space="preserve"> </w:t>
      </w:r>
      <w:r w:rsidR="002A3899">
        <w:rPr>
          <w:szCs w:val="24"/>
          <w:lang w:val="en"/>
        </w:rPr>
        <w:t xml:space="preserve">with the </w:t>
      </w:r>
      <w:r w:rsidRPr="001074B3">
        <w:rPr>
          <w:rFonts w:asciiTheme="minorHAnsi" w:hAnsiTheme="minorHAnsi" w:cstheme="minorHAnsi"/>
        </w:rPr>
        <w:t xml:space="preserve">flagship Girls in ICT Day event </w:t>
      </w:r>
      <w:r w:rsidR="002A3899">
        <w:rPr>
          <w:rFonts w:asciiTheme="minorHAnsi" w:hAnsiTheme="minorHAnsi" w:cstheme="minorHAnsi"/>
        </w:rPr>
        <w:t>being</w:t>
      </w:r>
      <w:r w:rsidR="00670942">
        <w:rPr>
          <w:rFonts w:asciiTheme="minorHAnsi" w:hAnsiTheme="minorHAnsi" w:cstheme="minorHAnsi"/>
        </w:rPr>
        <w:t xml:space="preserve"> held</w:t>
      </w:r>
      <w:r w:rsidRPr="001074B3">
        <w:rPr>
          <w:rFonts w:asciiTheme="minorHAnsi" w:hAnsiTheme="minorHAnsi" w:cstheme="minorHAnsi"/>
        </w:rPr>
        <w:t xml:space="preserve"> in Geneva.</w:t>
      </w:r>
      <w:r>
        <w:rPr>
          <w:rFonts w:ascii="Arial" w:hAnsi="Arial" w:cs="Arial"/>
          <w:color w:val="004B96"/>
          <w:sz w:val="17"/>
          <w:szCs w:val="17"/>
          <w:shd w:val="clear" w:color="auto" w:fill="FFFFFF"/>
        </w:rPr>
        <w:t xml:space="preserve">  </w:t>
      </w:r>
      <w:r w:rsidR="004C6C96">
        <w:rPr>
          <w:szCs w:val="24"/>
          <w:lang w:val="en"/>
        </w:rPr>
        <w:t>T</w:t>
      </w:r>
      <w:r>
        <w:rPr>
          <w:szCs w:val="24"/>
          <w:lang w:val="en"/>
        </w:rPr>
        <w:t>he</w:t>
      </w:r>
      <w:r w:rsidR="002A3899">
        <w:rPr>
          <w:szCs w:val="24"/>
          <w:lang w:val="en"/>
        </w:rPr>
        <w:t xml:space="preserve"> next </w:t>
      </w:r>
      <w:r>
        <w:rPr>
          <w:szCs w:val="24"/>
          <w:lang w:val="en"/>
        </w:rPr>
        <w:t xml:space="preserve">International Girls in ICT Day </w:t>
      </w:r>
      <w:r w:rsidR="00A7761C">
        <w:rPr>
          <w:szCs w:val="24"/>
          <w:lang w:val="en"/>
        </w:rPr>
        <w:t xml:space="preserve">is </w:t>
      </w:r>
      <w:r w:rsidR="00A66117">
        <w:rPr>
          <w:szCs w:val="24"/>
          <w:lang w:val="en"/>
        </w:rPr>
        <w:t>25 April 2019</w:t>
      </w:r>
      <w:r w:rsidR="002A3899">
        <w:rPr>
          <w:szCs w:val="24"/>
          <w:lang w:val="en"/>
        </w:rPr>
        <w:t xml:space="preserve">. The day </w:t>
      </w:r>
      <w:r w:rsidR="006E6447">
        <w:rPr>
          <w:szCs w:val="24"/>
          <w:lang w:val="en"/>
        </w:rPr>
        <w:t xml:space="preserve">is </w:t>
      </w:r>
      <w:r w:rsidR="002A3899">
        <w:rPr>
          <w:szCs w:val="24"/>
          <w:lang w:val="en"/>
        </w:rPr>
        <w:t xml:space="preserve">now a </w:t>
      </w:r>
      <w:hyperlink r:id="rId26" w:history="1">
        <w:r w:rsidR="002A3899" w:rsidRPr="009E07C7">
          <w:rPr>
            <w:rStyle w:val="Hyperlink"/>
            <w:szCs w:val="24"/>
            <w:lang w:val="en"/>
          </w:rPr>
          <w:t>UN observance</w:t>
        </w:r>
      </w:hyperlink>
      <w:r w:rsidR="00A66117">
        <w:rPr>
          <w:szCs w:val="24"/>
          <w:lang w:val="en"/>
        </w:rPr>
        <w:t>.</w:t>
      </w:r>
      <w:r w:rsidRPr="00CF1214">
        <w:rPr>
          <w:szCs w:val="24"/>
          <w:lang w:val="en"/>
        </w:rPr>
        <w:t xml:space="preserve"> </w:t>
      </w:r>
    </w:p>
    <w:bookmarkEnd w:id="13"/>
    <w:p w14:paraId="71FF5FF4" w14:textId="415D67FF" w:rsidR="008047BE" w:rsidRPr="00EE1126" w:rsidRDefault="008047BE" w:rsidP="006C3F5C">
      <w:pPr>
        <w:pStyle w:val="Heading3"/>
        <w:keepNext w:val="0"/>
        <w:keepLines w:val="0"/>
        <w:tabs>
          <w:tab w:val="clear" w:pos="567"/>
          <w:tab w:val="clear" w:pos="1134"/>
          <w:tab w:val="clear" w:pos="1701"/>
          <w:tab w:val="clear" w:pos="2268"/>
          <w:tab w:val="clear" w:pos="2835"/>
        </w:tabs>
        <w:snapToGrid w:val="0"/>
        <w:spacing w:before="240" w:after="120"/>
        <w:ind w:left="0" w:firstLine="0"/>
        <w:rPr>
          <w:szCs w:val="24"/>
        </w:rPr>
      </w:pPr>
      <w:r>
        <w:rPr>
          <w:szCs w:val="24"/>
        </w:rPr>
        <w:t>3.</w:t>
      </w:r>
      <w:r w:rsidR="002A3899">
        <w:rPr>
          <w:szCs w:val="24"/>
        </w:rPr>
        <w:t>4</w:t>
      </w:r>
      <w:r>
        <w:rPr>
          <w:szCs w:val="24"/>
        </w:rPr>
        <w:tab/>
      </w:r>
      <w:r w:rsidRPr="00EE1126">
        <w:rPr>
          <w:szCs w:val="24"/>
        </w:rPr>
        <w:t>EQUALS: The Global Partnership to Bridge the Gender Digital Divide</w:t>
      </w:r>
    </w:p>
    <w:p w14:paraId="6D111A22" w14:textId="02D4F27C" w:rsidR="008047BE" w:rsidRPr="00EE1126" w:rsidRDefault="00561BE6" w:rsidP="00AD180F">
      <w:pPr>
        <w:tabs>
          <w:tab w:val="clear" w:pos="567"/>
          <w:tab w:val="clear" w:pos="1134"/>
          <w:tab w:val="clear" w:pos="1701"/>
          <w:tab w:val="clear" w:pos="2268"/>
          <w:tab w:val="clear" w:pos="2835"/>
        </w:tabs>
        <w:snapToGrid w:val="0"/>
        <w:spacing w:after="120"/>
        <w:jc w:val="both"/>
        <w:rPr>
          <w:rFonts w:asciiTheme="minorHAnsi" w:eastAsia="SimSun" w:hAnsiTheme="minorHAnsi"/>
          <w:szCs w:val="24"/>
          <w:lang w:val="en-US"/>
        </w:rPr>
      </w:pPr>
      <w:hyperlink r:id="rId27" w:history="1">
        <w:r w:rsidR="008047BE" w:rsidRPr="00742F76">
          <w:rPr>
            <w:rStyle w:val="Hyperlink"/>
            <w:rFonts w:eastAsia="SimSun"/>
            <w:szCs w:val="24"/>
          </w:rPr>
          <w:t>EQUALS</w:t>
        </w:r>
      </w:hyperlink>
      <w:r w:rsidR="008047BE" w:rsidRPr="00742F76">
        <w:rPr>
          <w:rFonts w:eastAsia="SimSun"/>
          <w:szCs w:val="24"/>
        </w:rPr>
        <w:t>, the Global Partnership for Gender Equality in the Digital Age, has the objective to establish a network of organizations working together to ensure that women are given access, are equipped with skills, and develop the leadership potential of girls and women to work in the ICT industry. The partnership has five co-founders: GSMA, ITC, ITU, UNU</w:t>
      </w:r>
      <w:r w:rsidR="000D1E22">
        <w:rPr>
          <w:rFonts w:eastAsia="SimSun"/>
          <w:szCs w:val="24"/>
        </w:rPr>
        <w:t>,</w:t>
      </w:r>
      <w:r w:rsidR="008047BE" w:rsidRPr="00742F76">
        <w:rPr>
          <w:rFonts w:eastAsia="SimSun"/>
          <w:szCs w:val="24"/>
        </w:rPr>
        <w:t xml:space="preserve"> and UN Women; </w:t>
      </w:r>
      <w:r w:rsidR="004034FF">
        <w:rPr>
          <w:rFonts w:eastAsia="SimSun"/>
          <w:szCs w:val="24"/>
        </w:rPr>
        <w:t>40</w:t>
      </w:r>
      <w:r w:rsidR="008047BE" w:rsidRPr="00742F76">
        <w:rPr>
          <w:rFonts w:eastAsia="SimSun"/>
          <w:szCs w:val="24"/>
        </w:rPr>
        <w:t xml:space="preserve"> partners and 26</w:t>
      </w:r>
      <w:r w:rsidR="00AD180F">
        <w:rPr>
          <w:rFonts w:eastAsia="SimSun"/>
          <w:szCs w:val="24"/>
        </w:rPr>
        <w:t> </w:t>
      </w:r>
      <w:r w:rsidR="008047BE" w:rsidRPr="00742F76">
        <w:rPr>
          <w:rFonts w:eastAsia="SimSun"/>
          <w:szCs w:val="24"/>
        </w:rPr>
        <w:t xml:space="preserve">Research group members, all working together to address the digital gender divide. </w:t>
      </w:r>
      <w:r w:rsidR="008047BE" w:rsidRPr="00EE1126">
        <w:rPr>
          <w:rFonts w:eastAsia="SimSun"/>
          <w:szCs w:val="24"/>
        </w:rPr>
        <w:t xml:space="preserve">The global framework of action focuses on </w:t>
      </w:r>
      <w:r w:rsidR="008047BE">
        <w:rPr>
          <w:rFonts w:eastAsia="SimSun"/>
          <w:szCs w:val="24"/>
        </w:rPr>
        <w:t>three</w:t>
      </w:r>
      <w:r w:rsidR="008047BE" w:rsidRPr="00EE1126">
        <w:rPr>
          <w:rFonts w:eastAsia="SimSun"/>
          <w:szCs w:val="24"/>
        </w:rPr>
        <w:t xml:space="preserve"> compl</w:t>
      </w:r>
      <w:r w:rsidR="008047BE">
        <w:rPr>
          <w:rFonts w:eastAsia="SimSun"/>
          <w:szCs w:val="24"/>
        </w:rPr>
        <w:t>e</w:t>
      </w:r>
      <w:r w:rsidR="008047BE" w:rsidRPr="00EE1126">
        <w:rPr>
          <w:rFonts w:eastAsia="SimSun"/>
          <w:szCs w:val="24"/>
        </w:rPr>
        <w:t>mentary and cross-cutting areas of action:</w:t>
      </w:r>
      <w:r w:rsidR="00AD756F">
        <w:rPr>
          <w:rFonts w:asciiTheme="minorHAnsi" w:eastAsia="SimSun" w:hAnsiTheme="minorHAnsi"/>
          <w:szCs w:val="24"/>
          <w:u w:val="single"/>
        </w:rPr>
        <w:t xml:space="preserve"> (1) </w:t>
      </w:r>
      <w:r w:rsidR="008047BE" w:rsidRPr="001F3BAF">
        <w:rPr>
          <w:rFonts w:asciiTheme="minorHAnsi" w:eastAsia="SimSun" w:hAnsiTheme="minorHAnsi"/>
          <w:szCs w:val="24"/>
          <w:u w:val="single"/>
          <w:lang w:val="en-US"/>
        </w:rPr>
        <w:t>Access</w:t>
      </w:r>
      <w:r w:rsidR="00AD756F">
        <w:rPr>
          <w:rFonts w:asciiTheme="minorHAnsi" w:eastAsia="SimSun" w:hAnsiTheme="minorHAnsi"/>
          <w:szCs w:val="24"/>
          <w:u w:val="single"/>
          <w:lang w:val="en-US"/>
        </w:rPr>
        <w:t xml:space="preserve">, </w:t>
      </w:r>
      <w:r w:rsidR="00AD756F">
        <w:rPr>
          <w:rFonts w:asciiTheme="minorHAnsi" w:eastAsia="SimSun" w:hAnsiTheme="minorHAnsi"/>
          <w:szCs w:val="24"/>
          <w:lang w:val="en-US"/>
        </w:rPr>
        <w:t xml:space="preserve">(2) </w:t>
      </w:r>
      <w:r w:rsidR="008047BE" w:rsidRPr="00EE1126">
        <w:rPr>
          <w:rFonts w:asciiTheme="minorHAnsi" w:eastAsia="SimSun" w:hAnsiTheme="minorHAnsi"/>
          <w:szCs w:val="24"/>
          <w:u w:val="single"/>
          <w:lang w:val="en-US"/>
        </w:rPr>
        <w:t>Skills</w:t>
      </w:r>
      <w:r w:rsidR="00AD756F">
        <w:rPr>
          <w:rFonts w:asciiTheme="minorHAnsi" w:eastAsia="SimSun" w:hAnsiTheme="minorHAnsi"/>
          <w:szCs w:val="24"/>
          <w:u w:val="single"/>
          <w:lang w:val="en-US"/>
        </w:rPr>
        <w:t xml:space="preserve">, </w:t>
      </w:r>
      <w:r w:rsidR="00AD756F">
        <w:rPr>
          <w:rFonts w:asciiTheme="minorHAnsi" w:eastAsia="SimSun" w:hAnsiTheme="minorHAnsi"/>
          <w:szCs w:val="24"/>
          <w:lang w:val="en-US"/>
        </w:rPr>
        <w:t xml:space="preserve">and (3) </w:t>
      </w:r>
      <w:r w:rsidR="008047BE" w:rsidRPr="00EE1126">
        <w:rPr>
          <w:rFonts w:asciiTheme="minorHAnsi" w:eastAsia="SimSun" w:hAnsiTheme="minorHAnsi"/>
          <w:szCs w:val="24"/>
          <w:u w:val="single"/>
          <w:lang w:val="en-US"/>
        </w:rPr>
        <w:t>Leadership</w:t>
      </w:r>
      <w:r w:rsidR="00544804">
        <w:rPr>
          <w:rFonts w:asciiTheme="minorHAnsi" w:eastAsia="SimSun" w:hAnsiTheme="minorHAnsi"/>
          <w:szCs w:val="24"/>
          <w:lang w:val="en-US"/>
        </w:rPr>
        <w:t>.</w:t>
      </w:r>
      <w:r w:rsidR="008047BE" w:rsidRPr="00EE1126">
        <w:rPr>
          <w:rFonts w:asciiTheme="minorHAnsi" w:eastAsia="SimSun" w:hAnsiTheme="minorHAnsi"/>
          <w:szCs w:val="24"/>
          <w:lang w:val="en-US"/>
        </w:rPr>
        <w:t xml:space="preserve"> </w:t>
      </w:r>
    </w:p>
    <w:p w14:paraId="44248C5A" w14:textId="68197FCC" w:rsidR="008047BE" w:rsidRPr="00555FEC" w:rsidRDefault="000D1E22" w:rsidP="006C3F5C">
      <w:pPr>
        <w:pStyle w:val="Heading3"/>
        <w:keepNext w:val="0"/>
        <w:keepLines w:val="0"/>
        <w:tabs>
          <w:tab w:val="clear" w:pos="567"/>
          <w:tab w:val="clear" w:pos="1134"/>
          <w:tab w:val="clear" w:pos="1701"/>
          <w:tab w:val="clear" w:pos="2268"/>
          <w:tab w:val="clear" w:pos="2835"/>
        </w:tabs>
        <w:snapToGrid w:val="0"/>
        <w:spacing w:before="240" w:after="120"/>
        <w:ind w:left="0" w:firstLine="0"/>
        <w:rPr>
          <w:szCs w:val="24"/>
        </w:rPr>
      </w:pPr>
      <w:r>
        <w:rPr>
          <w:szCs w:val="24"/>
        </w:rPr>
        <w:lastRenderedPageBreak/>
        <w:t>3.5</w:t>
      </w:r>
      <w:r w:rsidR="008047BE" w:rsidRPr="00EE1126">
        <w:rPr>
          <w:szCs w:val="24"/>
        </w:rPr>
        <w:tab/>
      </w:r>
      <w:r w:rsidR="008047BE" w:rsidRPr="00555FEC">
        <w:rPr>
          <w:szCs w:val="24"/>
        </w:rPr>
        <w:t>EQUALS in Tech Awards</w:t>
      </w:r>
    </w:p>
    <w:p w14:paraId="4929383B" w14:textId="1BF38BF1" w:rsidR="008047BE" w:rsidRPr="00EE1126" w:rsidRDefault="008047BE" w:rsidP="00FE61D1">
      <w:pPr>
        <w:tabs>
          <w:tab w:val="clear" w:pos="567"/>
          <w:tab w:val="clear" w:pos="1134"/>
          <w:tab w:val="clear" w:pos="1701"/>
          <w:tab w:val="clear" w:pos="2268"/>
          <w:tab w:val="clear" w:pos="2835"/>
        </w:tabs>
        <w:snapToGrid w:val="0"/>
        <w:spacing w:after="120"/>
        <w:jc w:val="both"/>
        <w:rPr>
          <w:rFonts w:eastAsia="SimSun"/>
          <w:szCs w:val="24"/>
        </w:rPr>
      </w:pPr>
      <w:r w:rsidRPr="00555FEC">
        <w:t xml:space="preserve">The </w:t>
      </w:r>
      <w:r w:rsidR="004034FF">
        <w:t>fifth</w:t>
      </w:r>
      <w:r w:rsidR="004034FF" w:rsidRPr="00555FEC">
        <w:t xml:space="preserve"> </w:t>
      </w:r>
      <w:r w:rsidRPr="00555FEC">
        <w:t xml:space="preserve">annual </w:t>
      </w:r>
      <w:hyperlink r:id="rId28" w:history="1">
        <w:r w:rsidRPr="00555FEC">
          <w:rPr>
            <w:rStyle w:val="Hyperlink"/>
          </w:rPr>
          <w:t>EQUALS in Tech Awards</w:t>
        </w:r>
      </w:hyperlink>
      <w:r w:rsidRPr="00555FEC">
        <w:t xml:space="preserve"> (formerly </w:t>
      </w:r>
      <w:r w:rsidRPr="005917B5">
        <w:rPr>
          <w:rStyle w:val="Hyperlink"/>
          <w:rFonts w:eastAsia="SimSun"/>
          <w:color w:val="auto"/>
          <w:spacing w:val="-4"/>
          <w:szCs w:val="24"/>
          <w:u w:val="none"/>
        </w:rPr>
        <w:t>GEM-TECH Awards</w:t>
      </w:r>
      <w:r w:rsidRPr="00555FEC">
        <w:t xml:space="preserve">) </w:t>
      </w:r>
      <w:r w:rsidR="00FE61D1">
        <w:t>was</w:t>
      </w:r>
      <w:r w:rsidRPr="00555FEC">
        <w:t xml:space="preserve"> held on </w:t>
      </w:r>
      <w:r w:rsidR="004034FF">
        <w:t>21 September 2018 in New York</w:t>
      </w:r>
      <w:r w:rsidRPr="00555FEC">
        <w:t xml:space="preserve">. </w:t>
      </w:r>
      <w:r w:rsidR="004034FF">
        <w:t xml:space="preserve">More than </w:t>
      </w:r>
      <w:r w:rsidRPr="00555FEC">
        <w:t>300 nominations were put forward this year from stakeholders across the globe. The Awards celebrate</w:t>
      </w:r>
      <w:r w:rsidR="004034FF">
        <w:t>d</w:t>
      </w:r>
      <w:r w:rsidRPr="00555FEC">
        <w:t xml:space="preserve"> </w:t>
      </w:r>
      <w:r w:rsidR="004034FF">
        <w:t xml:space="preserve">four </w:t>
      </w:r>
      <w:r w:rsidRPr="00555FEC">
        <w:t>winners in the categories of Access, Skills</w:t>
      </w:r>
      <w:r w:rsidR="004034FF">
        <w:t>, Research</w:t>
      </w:r>
      <w:r w:rsidRPr="00555FEC">
        <w:t xml:space="preserve"> and Leadership. The EQUALS in Tech Awards was made possible through partnership with the Swiss Federal Office of Communication (OFCOM), the Internet Society and support from</w:t>
      </w:r>
      <w:r w:rsidR="009E07C7">
        <w:t xml:space="preserve"> </w:t>
      </w:r>
      <w:r w:rsidR="004034FF">
        <w:t>Verizon</w:t>
      </w:r>
      <w:r w:rsidRPr="00555FEC">
        <w:t>.</w:t>
      </w:r>
      <w:r w:rsidR="001A404F">
        <w:t xml:space="preserve"> For the EQUALS investor work please see </w:t>
      </w:r>
      <w:hyperlink r:id="rId29" w:history="1">
        <w:r w:rsidR="001A404F" w:rsidRPr="001A404F">
          <w:rPr>
            <w:rStyle w:val="Hyperlink"/>
          </w:rPr>
          <w:t>here</w:t>
        </w:r>
      </w:hyperlink>
      <w:r w:rsidR="001A404F">
        <w:t xml:space="preserve"> and f</w:t>
      </w:r>
      <w:r w:rsidR="001A404F">
        <w:rPr>
          <w:color w:val="000000"/>
        </w:rPr>
        <w:t xml:space="preserve">or 25 ways to be a more inclusive engineer see </w:t>
      </w:r>
      <w:hyperlink r:id="rId30" w:history="1">
        <w:r w:rsidR="001A404F" w:rsidRPr="001A404F">
          <w:rPr>
            <w:rStyle w:val="Hyperlink"/>
          </w:rPr>
          <w:t>here</w:t>
        </w:r>
      </w:hyperlink>
      <w:r w:rsidR="001A404F">
        <w:t>.</w:t>
      </w:r>
    </w:p>
    <w:p w14:paraId="4D5EF99D" w14:textId="02B6812D" w:rsidR="008047BE" w:rsidRPr="00EE1126" w:rsidRDefault="008047BE" w:rsidP="008047BE">
      <w:pPr>
        <w:pStyle w:val="Heading3"/>
        <w:keepNext w:val="0"/>
        <w:keepLines w:val="0"/>
        <w:tabs>
          <w:tab w:val="clear" w:pos="567"/>
          <w:tab w:val="clear" w:pos="1134"/>
          <w:tab w:val="clear" w:pos="1701"/>
          <w:tab w:val="clear" w:pos="2268"/>
          <w:tab w:val="clear" w:pos="2835"/>
        </w:tabs>
        <w:snapToGrid w:val="0"/>
        <w:spacing w:before="120" w:after="120"/>
        <w:ind w:left="0" w:firstLine="0"/>
        <w:rPr>
          <w:szCs w:val="24"/>
        </w:rPr>
      </w:pPr>
      <w:bookmarkStart w:id="14" w:name="_Hlk2763801"/>
      <w:r w:rsidRPr="00EE1126">
        <w:rPr>
          <w:szCs w:val="24"/>
        </w:rPr>
        <w:t>3.</w:t>
      </w:r>
      <w:r w:rsidR="000D1E22">
        <w:rPr>
          <w:szCs w:val="24"/>
        </w:rPr>
        <w:t>6</w:t>
      </w:r>
      <w:r w:rsidRPr="00EE1126">
        <w:rPr>
          <w:szCs w:val="24"/>
        </w:rPr>
        <w:tab/>
      </w:r>
      <w:r w:rsidR="00BF3617" w:rsidRPr="00BF3617">
        <w:rPr>
          <w:szCs w:val="24"/>
        </w:rPr>
        <w:t>Broadband Commission</w:t>
      </w:r>
      <w:r w:rsidR="00BF3617">
        <w:rPr>
          <w:szCs w:val="24"/>
        </w:rPr>
        <w:t xml:space="preserve"> - </w:t>
      </w:r>
      <w:r w:rsidRPr="00EE1126">
        <w:rPr>
          <w:szCs w:val="24"/>
        </w:rPr>
        <w:t>Recommendations to Reduce the Digital Gender Divide</w:t>
      </w:r>
    </w:p>
    <w:p w14:paraId="4F9ACF21" w14:textId="1C34F0FD" w:rsidR="008047BE" w:rsidRPr="00EE1126" w:rsidRDefault="008047BE">
      <w:pPr>
        <w:tabs>
          <w:tab w:val="clear" w:pos="567"/>
          <w:tab w:val="clear" w:pos="1134"/>
          <w:tab w:val="clear" w:pos="1701"/>
          <w:tab w:val="clear" w:pos="2268"/>
          <w:tab w:val="clear" w:pos="2835"/>
        </w:tabs>
        <w:snapToGrid w:val="0"/>
        <w:spacing w:after="120"/>
        <w:jc w:val="both"/>
        <w:rPr>
          <w:szCs w:val="24"/>
        </w:rPr>
      </w:pPr>
      <w:r w:rsidRPr="00EE1126">
        <w:rPr>
          <w:szCs w:val="24"/>
        </w:rPr>
        <w:t xml:space="preserve">The Broadband Commission Working Group on the Digital Gender Divide, </w:t>
      </w:r>
      <w:r>
        <w:rPr>
          <w:szCs w:val="24"/>
        </w:rPr>
        <w:t>chaired</w:t>
      </w:r>
      <w:r w:rsidRPr="00EE1126">
        <w:rPr>
          <w:szCs w:val="24"/>
        </w:rPr>
        <w:t xml:space="preserve"> by GSMA and UNESCO</w:t>
      </w:r>
      <w:r w:rsidR="000D1E22">
        <w:rPr>
          <w:szCs w:val="24"/>
        </w:rPr>
        <w:t>,</w:t>
      </w:r>
      <w:r w:rsidRPr="00EE1126">
        <w:rPr>
          <w:szCs w:val="24"/>
        </w:rPr>
        <w:t xml:space="preserve"> delivered a set of </w:t>
      </w:r>
      <w:hyperlink r:id="rId31" w:history="1">
        <w:r w:rsidRPr="000F49CE">
          <w:rPr>
            <w:rStyle w:val="Hyperlink"/>
            <w:szCs w:val="24"/>
          </w:rPr>
          <w:t>recommendations</w:t>
        </w:r>
      </w:hyperlink>
      <w:r w:rsidRPr="00EE1126">
        <w:rPr>
          <w:szCs w:val="24"/>
        </w:rPr>
        <w:t xml:space="preserve"> in March 2017, to help reduce the digital gender gap in </w:t>
      </w:r>
      <w:r>
        <w:rPr>
          <w:szCs w:val="24"/>
        </w:rPr>
        <w:t>I</w:t>
      </w:r>
      <w:r w:rsidRPr="00EE1126">
        <w:rPr>
          <w:szCs w:val="24"/>
        </w:rPr>
        <w:t xml:space="preserve">nternet and broadband access and </w:t>
      </w:r>
      <w:r>
        <w:rPr>
          <w:szCs w:val="24"/>
        </w:rPr>
        <w:t>to</w:t>
      </w:r>
      <w:r w:rsidRPr="00EE1126">
        <w:rPr>
          <w:szCs w:val="24"/>
        </w:rPr>
        <w:t xml:space="preserve"> clarify the complementary roles of different actors. </w:t>
      </w:r>
      <w:r>
        <w:rPr>
          <w:szCs w:val="24"/>
        </w:rPr>
        <w:t xml:space="preserve">During the </w:t>
      </w:r>
      <w:r w:rsidRPr="000F4E60">
        <w:rPr>
          <w:szCs w:val="24"/>
        </w:rPr>
        <w:t>Annual Meeting of the Broadband Commission for Sustainable Development</w:t>
      </w:r>
      <w:r>
        <w:rPr>
          <w:szCs w:val="24"/>
        </w:rPr>
        <w:t xml:space="preserve"> in New York in September 201</w:t>
      </w:r>
      <w:r w:rsidR="00121F97">
        <w:rPr>
          <w:szCs w:val="24"/>
        </w:rPr>
        <w:t>8</w:t>
      </w:r>
      <w:r>
        <w:rPr>
          <w:szCs w:val="24"/>
        </w:rPr>
        <w:t xml:space="preserve">, the group </w:t>
      </w:r>
      <w:r w:rsidRPr="000F4E60">
        <w:rPr>
          <w:szCs w:val="24"/>
        </w:rPr>
        <w:t xml:space="preserve">launched its </w:t>
      </w:r>
      <w:r w:rsidR="00121F97">
        <w:rPr>
          <w:szCs w:val="24"/>
        </w:rPr>
        <w:t xml:space="preserve">second </w:t>
      </w:r>
      <w:r w:rsidRPr="000F4E60">
        <w:rPr>
          <w:szCs w:val="24"/>
        </w:rPr>
        <w:t xml:space="preserve">progress report </w:t>
      </w:r>
      <w:r w:rsidR="00394DFF">
        <w:rPr>
          <w:szCs w:val="24"/>
        </w:rPr>
        <w:t>“</w:t>
      </w:r>
      <w:hyperlink r:id="rId32" w:history="1">
        <w:r w:rsidRPr="000F4E60">
          <w:rPr>
            <w:rStyle w:val="Hyperlink"/>
            <w:szCs w:val="24"/>
          </w:rPr>
          <w:t>Bridging the gender gap in internet and broadband access and use</w:t>
        </w:r>
      </w:hyperlink>
      <w:r w:rsidR="00400EEE">
        <w:rPr>
          <w:szCs w:val="24"/>
        </w:rPr>
        <w:t>”</w:t>
      </w:r>
      <w:r>
        <w:rPr>
          <w:szCs w:val="24"/>
        </w:rPr>
        <w:t>. It</w:t>
      </w:r>
      <w:r w:rsidRPr="000F4E60">
        <w:rPr>
          <w:szCs w:val="24"/>
        </w:rPr>
        <w:t xml:space="preserve"> provides an update on progress against the commitments of the Working Group members to take forward the four groups of recommended </w:t>
      </w:r>
      <w:r w:rsidRPr="00E379F1">
        <w:rPr>
          <w:szCs w:val="24"/>
        </w:rPr>
        <w:t>actions outlined in the outcome of March 2017</w:t>
      </w:r>
      <w:r>
        <w:rPr>
          <w:szCs w:val="24"/>
        </w:rPr>
        <w:t>.</w:t>
      </w:r>
      <w:r w:rsidR="00121F97">
        <w:rPr>
          <w:szCs w:val="24"/>
        </w:rPr>
        <w:t xml:space="preserve"> From now on, these updates will be the responsibility of the </w:t>
      </w:r>
      <w:hyperlink r:id="rId33" w:history="1">
        <w:r w:rsidR="00121F97" w:rsidRPr="00121F97">
          <w:rPr>
            <w:rStyle w:val="Hyperlink"/>
            <w:szCs w:val="24"/>
          </w:rPr>
          <w:t>Equals Global Partnership</w:t>
        </w:r>
      </w:hyperlink>
      <w:r w:rsidR="00121F97">
        <w:rPr>
          <w:szCs w:val="24"/>
        </w:rPr>
        <w:t>.</w:t>
      </w:r>
    </w:p>
    <w:bookmarkEnd w:id="14"/>
    <w:p w14:paraId="01090FB1" w14:textId="77777777" w:rsidR="008047BE" w:rsidRPr="00EE1126" w:rsidRDefault="008047BE" w:rsidP="008047BE">
      <w:pPr>
        <w:pStyle w:val="Heading1"/>
        <w:keepNext w:val="0"/>
        <w:keepLines w:val="0"/>
        <w:tabs>
          <w:tab w:val="clear" w:pos="567"/>
          <w:tab w:val="clear" w:pos="1134"/>
          <w:tab w:val="clear" w:pos="1701"/>
          <w:tab w:val="clear" w:pos="2268"/>
          <w:tab w:val="clear" w:pos="2835"/>
        </w:tabs>
        <w:snapToGrid w:val="0"/>
        <w:spacing w:after="120"/>
        <w:ind w:left="0" w:firstLine="0"/>
        <w:rPr>
          <w:rFonts w:eastAsia="SimSun"/>
          <w:sz w:val="24"/>
          <w:szCs w:val="24"/>
        </w:rPr>
      </w:pPr>
      <w:r w:rsidRPr="00EE1126">
        <w:rPr>
          <w:sz w:val="24"/>
          <w:szCs w:val="24"/>
        </w:rPr>
        <w:t>4</w:t>
      </w:r>
      <w:r w:rsidRPr="00EE1126">
        <w:rPr>
          <w:sz w:val="24"/>
          <w:szCs w:val="24"/>
        </w:rPr>
        <w:tab/>
        <w:t>Reinforcing Women</w:t>
      </w:r>
      <w:r>
        <w:rPr>
          <w:sz w:val="24"/>
          <w:szCs w:val="24"/>
        </w:rPr>
        <w:t>’</w:t>
      </w:r>
      <w:r w:rsidRPr="00EE1126">
        <w:rPr>
          <w:sz w:val="24"/>
          <w:szCs w:val="24"/>
        </w:rPr>
        <w:t>s Participation in ITU</w:t>
      </w:r>
      <w:r>
        <w:rPr>
          <w:sz w:val="24"/>
          <w:szCs w:val="24"/>
        </w:rPr>
        <w:t>’</w:t>
      </w:r>
      <w:r w:rsidRPr="00EE1126">
        <w:rPr>
          <w:sz w:val="24"/>
          <w:szCs w:val="24"/>
        </w:rPr>
        <w:t xml:space="preserve">s </w:t>
      </w:r>
      <w:r>
        <w:rPr>
          <w:sz w:val="24"/>
          <w:szCs w:val="24"/>
        </w:rPr>
        <w:t xml:space="preserve">Meetings and </w:t>
      </w:r>
      <w:r w:rsidRPr="00EE1126">
        <w:rPr>
          <w:sz w:val="24"/>
          <w:szCs w:val="24"/>
        </w:rPr>
        <w:t>Conferences</w:t>
      </w:r>
    </w:p>
    <w:p w14:paraId="53AB9F97" w14:textId="77777777" w:rsidR="008047BE" w:rsidRPr="00EE1126" w:rsidRDefault="008047BE" w:rsidP="008047BE">
      <w:pPr>
        <w:pStyle w:val="Heading3"/>
        <w:keepNext w:val="0"/>
        <w:keepLines w:val="0"/>
        <w:tabs>
          <w:tab w:val="clear" w:pos="567"/>
          <w:tab w:val="clear" w:pos="1134"/>
          <w:tab w:val="clear" w:pos="1701"/>
          <w:tab w:val="clear" w:pos="2268"/>
          <w:tab w:val="clear" w:pos="2835"/>
        </w:tabs>
        <w:snapToGrid w:val="0"/>
        <w:spacing w:before="120" w:after="120"/>
        <w:ind w:left="0" w:firstLine="0"/>
        <w:rPr>
          <w:szCs w:val="24"/>
          <w:lang w:val="en-CA"/>
        </w:rPr>
      </w:pPr>
      <w:r>
        <w:rPr>
          <w:szCs w:val="24"/>
          <w:lang w:val="en-CA"/>
        </w:rPr>
        <w:t>4.1</w:t>
      </w:r>
      <w:r w:rsidRPr="00EE1126">
        <w:rPr>
          <w:szCs w:val="24"/>
          <w:lang w:val="en-CA"/>
        </w:rPr>
        <w:tab/>
        <w:t>Gender Equality in Delegations</w:t>
      </w:r>
      <w:r w:rsidR="00FF786C">
        <w:rPr>
          <w:szCs w:val="24"/>
          <w:lang w:val="en-CA"/>
        </w:rPr>
        <w:t xml:space="preserve"> and Conferences</w:t>
      </w:r>
    </w:p>
    <w:p w14:paraId="7A1636B9" w14:textId="15566437" w:rsidR="008047BE" w:rsidRDefault="008047BE" w:rsidP="008047BE">
      <w:pPr>
        <w:tabs>
          <w:tab w:val="clear" w:pos="567"/>
          <w:tab w:val="clear" w:pos="1134"/>
          <w:tab w:val="clear" w:pos="1701"/>
          <w:tab w:val="clear" w:pos="2268"/>
          <w:tab w:val="clear" w:pos="2835"/>
        </w:tabs>
        <w:snapToGrid w:val="0"/>
        <w:spacing w:after="120"/>
        <w:jc w:val="both"/>
        <w:rPr>
          <w:szCs w:val="24"/>
          <w:lang w:val="en-CA"/>
        </w:rPr>
      </w:pPr>
      <w:r>
        <w:rPr>
          <w:szCs w:val="24"/>
          <w:lang w:val="en-CA"/>
        </w:rPr>
        <w:t xml:space="preserve">Following </w:t>
      </w:r>
      <w:r w:rsidRPr="00EE1126">
        <w:rPr>
          <w:szCs w:val="24"/>
          <w:lang w:val="en-CA"/>
        </w:rPr>
        <w:t>ITU</w:t>
      </w:r>
      <w:r>
        <w:rPr>
          <w:szCs w:val="24"/>
          <w:lang w:val="en-CA"/>
        </w:rPr>
        <w:t>’s collaboration</w:t>
      </w:r>
      <w:r w:rsidRPr="00EE1126">
        <w:rPr>
          <w:szCs w:val="24"/>
          <w:lang w:val="en-CA"/>
        </w:rPr>
        <w:t xml:space="preserve"> on the publication </w:t>
      </w:r>
      <w:r w:rsidR="00394DFF">
        <w:rPr>
          <w:szCs w:val="24"/>
          <w:lang w:val="en-CA"/>
        </w:rPr>
        <w:t>“</w:t>
      </w:r>
      <w:hyperlink r:id="rId34" w:history="1">
        <w:r w:rsidRPr="009B6FAE">
          <w:rPr>
            <w:rStyle w:val="Hyperlink"/>
            <w:szCs w:val="24"/>
            <w:lang w:val="en-CA"/>
          </w:rPr>
          <w:t>Shaping the international agenda: Raising women’s voices in intergovernmental forums</w:t>
        </w:r>
      </w:hyperlink>
      <w:r w:rsidR="00394DFF">
        <w:rPr>
          <w:szCs w:val="24"/>
          <w:lang w:val="en-CA"/>
        </w:rPr>
        <w:t>”,</w:t>
      </w:r>
      <w:r>
        <w:rPr>
          <w:szCs w:val="24"/>
          <w:lang w:val="en-CA"/>
        </w:rPr>
        <w:t xml:space="preserve"> ITU has increased efforts towards gender</w:t>
      </w:r>
      <w:r w:rsidR="000D1E22">
        <w:rPr>
          <w:szCs w:val="24"/>
          <w:lang w:val="en-CA"/>
        </w:rPr>
        <w:t>-</w:t>
      </w:r>
      <w:r>
        <w:rPr>
          <w:szCs w:val="24"/>
          <w:lang w:val="en-CA"/>
        </w:rPr>
        <w:t>balanced representation and participation</w:t>
      </w:r>
      <w:r w:rsidRPr="00EE1126">
        <w:rPr>
          <w:szCs w:val="24"/>
          <w:lang w:val="en-CA"/>
        </w:rPr>
        <w:t xml:space="preserve">. </w:t>
      </w:r>
      <w:r>
        <w:rPr>
          <w:szCs w:val="24"/>
          <w:lang w:val="en-CA"/>
        </w:rPr>
        <w:t xml:space="preserve">Circular letters sent to membership encourage gender-balanced representation and invite nominations of women for key roles. The Secretary-General has indicated that all invitation letters signed by himself shall </w:t>
      </w:r>
      <w:r w:rsidRPr="007174FA">
        <w:rPr>
          <w:szCs w:val="24"/>
          <w:lang w:val="en-CA"/>
        </w:rPr>
        <w:t>contain a sentence encouraging the participation o</w:t>
      </w:r>
      <w:r w:rsidR="00AD180F">
        <w:rPr>
          <w:szCs w:val="24"/>
          <w:lang w:val="en-CA"/>
        </w:rPr>
        <w:t>f women delegates/participants.</w:t>
      </w:r>
    </w:p>
    <w:p w14:paraId="413E5ED4" w14:textId="4FE3DCD9" w:rsidR="008047BE" w:rsidRPr="00EE1126" w:rsidRDefault="008047BE" w:rsidP="006C3F5C">
      <w:pPr>
        <w:pStyle w:val="Heading3"/>
        <w:keepNext w:val="0"/>
        <w:keepLines w:val="0"/>
        <w:tabs>
          <w:tab w:val="clear" w:pos="567"/>
          <w:tab w:val="clear" w:pos="1134"/>
          <w:tab w:val="clear" w:pos="1701"/>
          <w:tab w:val="clear" w:pos="2268"/>
          <w:tab w:val="clear" w:pos="2835"/>
        </w:tabs>
        <w:snapToGrid w:val="0"/>
        <w:spacing w:before="240" w:after="120"/>
        <w:ind w:left="0" w:firstLine="0"/>
        <w:rPr>
          <w:szCs w:val="24"/>
          <w:lang w:val="en-CA"/>
        </w:rPr>
      </w:pPr>
      <w:bookmarkStart w:id="15" w:name="_Hlk2341777"/>
      <w:r>
        <w:rPr>
          <w:szCs w:val="24"/>
          <w:lang w:val="en-CA"/>
        </w:rPr>
        <w:t>4.2</w:t>
      </w:r>
      <w:r w:rsidRPr="00EE1126">
        <w:rPr>
          <w:szCs w:val="24"/>
          <w:lang w:val="en-CA"/>
        </w:rPr>
        <w:tab/>
      </w:r>
      <w:r w:rsidR="003273CC">
        <w:rPr>
          <w:szCs w:val="24"/>
          <w:lang w:val="en-CA"/>
        </w:rPr>
        <w:t>Plenipotentiary Conference 2018 in Dubai (</w:t>
      </w:r>
      <w:r w:rsidR="00FF786C">
        <w:rPr>
          <w:szCs w:val="24"/>
          <w:lang w:val="en-CA"/>
        </w:rPr>
        <w:t>PP-18</w:t>
      </w:r>
      <w:r w:rsidR="003273CC">
        <w:rPr>
          <w:szCs w:val="24"/>
          <w:lang w:val="en-CA"/>
        </w:rPr>
        <w:t>)</w:t>
      </w:r>
      <w:r w:rsidR="003273CC" w:rsidDel="00FF786C">
        <w:rPr>
          <w:szCs w:val="24"/>
          <w:lang w:val="en-CA"/>
        </w:rPr>
        <w:t xml:space="preserve"> </w:t>
      </w:r>
    </w:p>
    <w:p w14:paraId="10C8BC2B" w14:textId="192D7742" w:rsidR="008047BE" w:rsidRPr="00D35101" w:rsidRDefault="003F4E70" w:rsidP="004C6C96">
      <w:pPr>
        <w:jc w:val="both"/>
        <w:rPr>
          <w:rFonts w:asciiTheme="minorHAnsi" w:hAnsiTheme="minorHAnsi"/>
          <w:szCs w:val="24"/>
        </w:rPr>
      </w:pPr>
      <w:r w:rsidRPr="003F4E70">
        <w:rPr>
          <w:rFonts w:asciiTheme="minorHAnsi" w:hAnsiTheme="minorHAnsi"/>
        </w:rPr>
        <w:t xml:space="preserve">The </w:t>
      </w:r>
      <w:r w:rsidR="000D1E22">
        <w:rPr>
          <w:szCs w:val="24"/>
          <w:lang w:val="en-CA"/>
        </w:rPr>
        <w:t xml:space="preserve">Secretary-General </w:t>
      </w:r>
      <w:r w:rsidRPr="003F4E70">
        <w:rPr>
          <w:rFonts w:asciiTheme="minorHAnsi" w:hAnsiTheme="minorHAnsi"/>
        </w:rPr>
        <w:t>made a personal commitment to promote the representation of women in delegations and in the key roles of chairs and vice</w:t>
      </w:r>
      <w:r w:rsidR="000D1E22">
        <w:rPr>
          <w:rFonts w:asciiTheme="minorHAnsi" w:hAnsiTheme="minorHAnsi"/>
        </w:rPr>
        <w:t>-</w:t>
      </w:r>
      <w:r w:rsidRPr="003F4E70">
        <w:rPr>
          <w:rFonts w:asciiTheme="minorHAnsi" w:hAnsiTheme="minorHAnsi"/>
        </w:rPr>
        <w:t>chairs for PP-18. Four of the seven chairs were women and participation of women delegates increased by 3.5 percentage points. While the percentage increase is low, there was a shift with awareness on the participation of women, particularly with the election of Doreen Bogdan</w:t>
      </w:r>
      <w:r w:rsidR="000D1E22">
        <w:rPr>
          <w:rFonts w:asciiTheme="minorHAnsi" w:hAnsiTheme="minorHAnsi"/>
        </w:rPr>
        <w:t>-Martin</w:t>
      </w:r>
      <w:r w:rsidRPr="003F4E70">
        <w:rPr>
          <w:rFonts w:asciiTheme="minorHAnsi" w:hAnsiTheme="minorHAnsi"/>
        </w:rPr>
        <w:t xml:space="preserve"> as ITU’s first female elected official. Gender information was included and communicated regularly in registration statistics. Conference webcasts were analysed to determine speaking time of women and men through machine learning, in partnership with University of Southern California’s Signal Analysis and Interpretation Laboratory (USC/SAIL)</w:t>
      </w:r>
      <w:r w:rsidR="00264CF5">
        <w:rPr>
          <w:rFonts w:asciiTheme="minorHAnsi" w:hAnsiTheme="minorHAnsi"/>
        </w:rPr>
        <w:t xml:space="preserve">; results were reported on the </w:t>
      </w:r>
      <w:hyperlink r:id="rId35" w:history="1">
        <w:r w:rsidR="00264CF5" w:rsidRPr="00264CF5">
          <w:rPr>
            <w:rStyle w:val="Hyperlink"/>
            <w:rFonts w:asciiTheme="minorHAnsi" w:hAnsiTheme="minorHAnsi"/>
          </w:rPr>
          <w:t>gender dashboard</w:t>
        </w:r>
      </w:hyperlink>
      <w:r w:rsidR="00264CF5">
        <w:rPr>
          <w:rFonts w:asciiTheme="minorHAnsi" w:hAnsiTheme="minorHAnsi"/>
        </w:rPr>
        <w:t>.</w:t>
      </w:r>
      <w:r>
        <w:rPr>
          <w:rFonts w:asciiTheme="minorHAnsi" w:hAnsiTheme="minorHAnsi"/>
        </w:rPr>
        <w:t xml:space="preserve"> </w:t>
      </w:r>
      <w:bookmarkEnd w:id="15"/>
      <w:r w:rsidR="008047BE" w:rsidRPr="00D35101">
        <w:rPr>
          <w:rFonts w:asciiTheme="minorHAnsi" w:hAnsiTheme="minorHAnsi"/>
        </w:rPr>
        <w:t xml:space="preserve"> </w:t>
      </w:r>
    </w:p>
    <w:p w14:paraId="7FE7663B" w14:textId="77777777" w:rsidR="008047BE" w:rsidRPr="00EE1126" w:rsidRDefault="008047BE" w:rsidP="006C3F5C">
      <w:pPr>
        <w:pStyle w:val="Heading3"/>
        <w:keepNext w:val="0"/>
        <w:keepLines w:val="0"/>
        <w:tabs>
          <w:tab w:val="clear" w:pos="567"/>
          <w:tab w:val="clear" w:pos="1134"/>
          <w:tab w:val="clear" w:pos="1701"/>
          <w:tab w:val="clear" w:pos="2268"/>
          <w:tab w:val="clear" w:pos="2835"/>
        </w:tabs>
        <w:snapToGrid w:val="0"/>
        <w:spacing w:before="240" w:after="120"/>
        <w:ind w:left="0" w:firstLine="0"/>
        <w:rPr>
          <w:rFonts w:eastAsia="SimSun"/>
          <w:szCs w:val="24"/>
        </w:rPr>
      </w:pPr>
      <w:r w:rsidRPr="00EE1126">
        <w:rPr>
          <w:szCs w:val="24"/>
        </w:rPr>
        <w:t>4.</w:t>
      </w:r>
      <w:r>
        <w:rPr>
          <w:szCs w:val="24"/>
        </w:rPr>
        <w:t>3</w:t>
      </w:r>
      <w:r w:rsidRPr="00EE1126">
        <w:rPr>
          <w:szCs w:val="24"/>
        </w:rPr>
        <w:tab/>
        <w:t>ITU Network of Women for WRC (NOW)</w:t>
      </w:r>
    </w:p>
    <w:p w14:paraId="76204ADD" w14:textId="4CDC2201" w:rsidR="00A02B0B" w:rsidRPr="00A02B0B" w:rsidRDefault="00A02B0B" w:rsidP="00A02B0B">
      <w:pPr>
        <w:jc w:val="both"/>
      </w:pPr>
      <w:r w:rsidRPr="00A02B0B">
        <w:t xml:space="preserve">During </w:t>
      </w:r>
      <w:hyperlink r:id="rId36" w:history="1">
        <w:r w:rsidRPr="00A02B0B">
          <w:rPr>
            <w:rStyle w:val="Hyperlink"/>
          </w:rPr>
          <w:t>WRS-16</w:t>
        </w:r>
      </w:hyperlink>
      <w:r w:rsidRPr="00A02B0B">
        <w:t>, the ITU ‘Network of Women for WRC’ (</w:t>
      </w:r>
      <w:hyperlink r:id="rId37" w:history="1">
        <w:r w:rsidRPr="00A02B0B">
          <w:rPr>
            <w:rStyle w:val="Hyperlink"/>
          </w:rPr>
          <w:t>NOW)</w:t>
        </w:r>
      </w:hyperlink>
      <w:r w:rsidRPr="00A02B0B">
        <w:t xml:space="preserve"> was launched. NOW encourages gender balance in decision-making bodies, panels, statutory committees</w:t>
      </w:r>
      <w:r w:rsidR="000D1E22">
        <w:t>,</w:t>
      </w:r>
      <w:r w:rsidRPr="00A02B0B">
        <w:t xml:space="preserve"> and study groups at ITU-R events to build capacity early in the </w:t>
      </w:r>
      <w:hyperlink r:id="rId38" w:history="1">
        <w:r w:rsidRPr="00A02B0B">
          <w:rPr>
            <w:rStyle w:val="Hyperlink"/>
          </w:rPr>
          <w:t>WRC-19</w:t>
        </w:r>
      </w:hyperlink>
      <w:r w:rsidRPr="00A02B0B">
        <w:t xml:space="preserve"> process and encourage greater participation of women delegates, including in roles such as chairs and vice-chairs.</w:t>
      </w:r>
      <w:r>
        <w:t xml:space="preserve"> </w:t>
      </w:r>
      <w:r w:rsidRPr="00A02B0B">
        <w:rPr>
          <w:lang w:val="en-US"/>
        </w:rPr>
        <w:t xml:space="preserve">Several sessions and mentorship programme cycles were organized during </w:t>
      </w:r>
      <w:r>
        <w:rPr>
          <w:lang w:val="en-US"/>
        </w:rPr>
        <w:t xml:space="preserve">ITU-R study group meetings as well as during WRC-19 </w:t>
      </w:r>
      <w:r>
        <w:rPr>
          <w:lang w:val="en-US"/>
        </w:rPr>
        <w:lastRenderedPageBreak/>
        <w:t xml:space="preserve">regional preparatory meetings. </w:t>
      </w:r>
      <w:r w:rsidR="000F49CE">
        <w:rPr>
          <w:lang w:val="en-US"/>
        </w:rPr>
        <w:t>D</w:t>
      </w:r>
      <w:r>
        <w:rPr>
          <w:lang w:val="en-US"/>
        </w:rPr>
        <w:t xml:space="preserve">ates and </w:t>
      </w:r>
      <w:r w:rsidR="000F49CE">
        <w:rPr>
          <w:lang w:val="en-US"/>
        </w:rPr>
        <w:t xml:space="preserve">other </w:t>
      </w:r>
      <w:r>
        <w:rPr>
          <w:lang w:val="en-US"/>
        </w:rPr>
        <w:t xml:space="preserve">details are available on the </w:t>
      </w:r>
      <w:hyperlink r:id="rId39" w:history="1">
        <w:r w:rsidRPr="000F49CE">
          <w:rPr>
            <w:rStyle w:val="Hyperlink"/>
          </w:rPr>
          <w:t>NOW</w:t>
        </w:r>
        <w:r w:rsidRPr="00A02B0B">
          <w:rPr>
            <w:rStyle w:val="Hyperlink"/>
          </w:rPr>
          <w:t xml:space="preserve"> </w:t>
        </w:r>
        <w:r w:rsidRPr="000F49CE">
          <w:rPr>
            <w:rStyle w:val="Hyperlink"/>
          </w:rPr>
          <w:t>website</w:t>
        </w:r>
      </w:hyperlink>
      <w:r>
        <w:t xml:space="preserve">. </w:t>
      </w:r>
      <w:r w:rsidRPr="00A02B0B">
        <w:rPr>
          <w:lang w:val="en-US"/>
        </w:rPr>
        <w:t>A NOW panel discussion “</w:t>
      </w:r>
      <w:hyperlink r:id="rId40" w:anchor="intro" w:tgtFrame="_blank" w:history="1">
        <w:r w:rsidRPr="001D4D6F">
          <w:rPr>
            <w:rStyle w:val="Hyperlink"/>
            <w:i/>
            <w:lang w:val="en-US"/>
          </w:rPr>
          <w:t>International decision-making in ICT – where are the women?</w:t>
        </w:r>
      </w:hyperlink>
      <w:r w:rsidRPr="001D4D6F">
        <w:rPr>
          <w:i/>
        </w:rPr>
        <w:t>”</w:t>
      </w:r>
      <w:r w:rsidRPr="00A02B0B">
        <w:rPr>
          <w:lang w:val="en-US"/>
        </w:rPr>
        <w:t xml:space="preserve"> was organized at the WSIS </w:t>
      </w:r>
      <w:r w:rsidR="000D1E22">
        <w:rPr>
          <w:lang w:val="en-US"/>
        </w:rPr>
        <w:t>F</w:t>
      </w:r>
      <w:r w:rsidRPr="00A02B0B">
        <w:rPr>
          <w:lang w:val="en-US"/>
        </w:rPr>
        <w:t>orum</w:t>
      </w:r>
      <w:r>
        <w:rPr>
          <w:lang w:val="en-US"/>
        </w:rPr>
        <w:t xml:space="preserve"> </w:t>
      </w:r>
      <w:r w:rsidR="000D1E22">
        <w:rPr>
          <w:lang w:val="en-US"/>
        </w:rPr>
        <w:t xml:space="preserve">in </w:t>
      </w:r>
      <w:r w:rsidRPr="00A02B0B">
        <w:rPr>
          <w:lang w:val="en-US"/>
        </w:rPr>
        <w:t>March</w:t>
      </w:r>
      <w:r w:rsidR="000D1E22">
        <w:rPr>
          <w:lang w:val="en-US"/>
        </w:rPr>
        <w:t xml:space="preserve"> 2018</w:t>
      </w:r>
      <w:r>
        <w:rPr>
          <w:lang w:val="en-US"/>
        </w:rPr>
        <w:t xml:space="preserve"> </w:t>
      </w:r>
      <w:r w:rsidRPr="00A02B0B">
        <w:rPr>
          <w:lang w:val="en-US"/>
        </w:rPr>
        <w:t xml:space="preserve">to </w:t>
      </w:r>
      <w:r w:rsidRPr="00A02B0B">
        <w:t xml:space="preserve">discuss the current situation, debate the role of women in international decision-making processes, and rethink how to shape the ICT world towards more inclusion. </w:t>
      </w:r>
      <w:r w:rsidRPr="00A02B0B">
        <w:rPr>
          <w:lang w:val="en"/>
        </w:rPr>
        <w:t xml:space="preserve">The </w:t>
      </w:r>
      <w:hyperlink r:id="rId41" w:history="1">
        <w:r w:rsidRPr="00F76E9D">
          <w:rPr>
            <w:rStyle w:val="Hyperlink"/>
            <w:lang w:val="en"/>
          </w:rPr>
          <w:t>session</w:t>
        </w:r>
      </w:hyperlink>
      <w:r w:rsidRPr="00A02B0B">
        <w:rPr>
          <w:lang w:val="en"/>
        </w:rPr>
        <w:t xml:space="preserve"> also </w:t>
      </w:r>
      <w:r w:rsidR="00F76E9D">
        <w:rPr>
          <w:lang w:val="en"/>
        </w:rPr>
        <w:t xml:space="preserve">covered </w:t>
      </w:r>
      <w:r w:rsidRPr="00A02B0B">
        <w:rPr>
          <w:lang w:val="en"/>
        </w:rPr>
        <w:t>participation in the</w:t>
      </w:r>
      <w:r w:rsidRPr="00A02B0B">
        <w:t xml:space="preserve"> </w:t>
      </w:r>
      <w:hyperlink r:id="rId42" w:history="1">
        <w:r w:rsidRPr="00A02B0B">
          <w:rPr>
            <w:rStyle w:val="Hyperlink"/>
            <w:lang w:val="en"/>
          </w:rPr>
          <w:t>WRC</w:t>
        </w:r>
      </w:hyperlink>
      <w:r w:rsidRPr="00A02B0B">
        <w:rPr>
          <w:lang w:val="en"/>
        </w:rPr>
        <w:t xml:space="preserve"> and preparatory processes and how women in the radiocommunication sector can take ownership of their community, foster teamwork and buil</w:t>
      </w:r>
      <w:r w:rsidR="002874A2">
        <w:rPr>
          <w:lang w:val="en"/>
        </w:rPr>
        <w:t>d</w:t>
      </w:r>
      <w:r w:rsidRPr="00A02B0B">
        <w:rPr>
          <w:lang w:val="en"/>
        </w:rPr>
        <w:t xml:space="preserve"> capacity in the </w:t>
      </w:r>
      <w:hyperlink r:id="rId43" w:history="1">
        <w:r w:rsidRPr="00A02B0B">
          <w:rPr>
            <w:rStyle w:val="Hyperlink"/>
            <w:lang w:val="en-US"/>
          </w:rPr>
          <w:t>NOW</w:t>
        </w:r>
      </w:hyperlink>
      <w:r w:rsidRPr="00A02B0B">
        <w:rPr>
          <w:lang w:val="en-US"/>
        </w:rPr>
        <w:t xml:space="preserve"> </w:t>
      </w:r>
      <w:r w:rsidRPr="00A02B0B">
        <w:rPr>
          <w:lang w:val="en"/>
        </w:rPr>
        <w:t>community.</w:t>
      </w:r>
    </w:p>
    <w:p w14:paraId="09D0D46F" w14:textId="71241A68" w:rsidR="008047BE" w:rsidRPr="00EE1126" w:rsidRDefault="008047BE" w:rsidP="006C3F5C">
      <w:pPr>
        <w:pStyle w:val="Heading3"/>
        <w:keepNext w:val="0"/>
        <w:keepLines w:val="0"/>
        <w:tabs>
          <w:tab w:val="clear" w:pos="567"/>
          <w:tab w:val="clear" w:pos="1134"/>
          <w:tab w:val="clear" w:pos="1701"/>
          <w:tab w:val="clear" w:pos="2268"/>
          <w:tab w:val="clear" w:pos="2835"/>
        </w:tabs>
        <w:snapToGrid w:val="0"/>
        <w:spacing w:before="240" w:after="120"/>
        <w:ind w:left="0" w:firstLine="0"/>
        <w:rPr>
          <w:szCs w:val="24"/>
        </w:rPr>
      </w:pPr>
      <w:r w:rsidRPr="00EE1126">
        <w:rPr>
          <w:szCs w:val="24"/>
        </w:rPr>
        <w:t>4</w:t>
      </w:r>
      <w:r>
        <w:rPr>
          <w:szCs w:val="24"/>
        </w:rPr>
        <w:t>.4</w:t>
      </w:r>
      <w:r w:rsidRPr="00EE1126">
        <w:rPr>
          <w:szCs w:val="24"/>
        </w:rPr>
        <w:tab/>
      </w:r>
      <w:r w:rsidR="00136C27">
        <w:rPr>
          <w:szCs w:val="24"/>
        </w:rPr>
        <w:t xml:space="preserve">Setting the </w:t>
      </w:r>
      <w:r w:rsidR="00644E56">
        <w:rPr>
          <w:szCs w:val="24"/>
        </w:rPr>
        <w:t>S</w:t>
      </w:r>
      <w:r w:rsidR="00136C27">
        <w:rPr>
          <w:szCs w:val="24"/>
        </w:rPr>
        <w:t xml:space="preserve">tandard for </w:t>
      </w:r>
      <w:r w:rsidR="00644E56">
        <w:rPr>
          <w:szCs w:val="24"/>
        </w:rPr>
        <w:t>G</w:t>
      </w:r>
      <w:r w:rsidR="00136C27">
        <w:rPr>
          <w:szCs w:val="24"/>
        </w:rPr>
        <w:t xml:space="preserve">ender </w:t>
      </w:r>
      <w:r w:rsidR="00644E56">
        <w:rPr>
          <w:szCs w:val="24"/>
        </w:rPr>
        <w:t>E</w:t>
      </w:r>
      <w:r w:rsidR="00136C27">
        <w:rPr>
          <w:szCs w:val="24"/>
        </w:rPr>
        <w:t>quality</w:t>
      </w:r>
    </w:p>
    <w:p w14:paraId="2B726BA2" w14:textId="5BC3F48A" w:rsidR="008047BE" w:rsidRPr="00EE1126" w:rsidRDefault="008047BE" w:rsidP="008047BE">
      <w:pPr>
        <w:tabs>
          <w:tab w:val="clear" w:pos="567"/>
          <w:tab w:val="clear" w:pos="1134"/>
          <w:tab w:val="clear" w:pos="1701"/>
          <w:tab w:val="clear" w:pos="2268"/>
          <w:tab w:val="clear" w:pos="2835"/>
        </w:tabs>
        <w:snapToGrid w:val="0"/>
        <w:spacing w:after="120"/>
        <w:jc w:val="both"/>
        <w:rPr>
          <w:rFonts w:eastAsia="SimSun"/>
          <w:szCs w:val="24"/>
        </w:rPr>
      </w:pPr>
      <w:r>
        <w:rPr>
          <w:rFonts w:eastAsia="SimSun"/>
          <w:szCs w:val="24"/>
        </w:rPr>
        <w:t xml:space="preserve">In alignment with ITU-T Resolution 55 (Rev. Hammamet), </w:t>
      </w:r>
      <w:r w:rsidR="005E567C">
        <w:rPr>
          <w:rFonts w:eastAsia="SimSun"/>
          <w:szCs w:val="24"/>
        </w:rPr>
        <w:t>the Director of TSB</w:t>
      </w:r>
      <w:r w:rsidR="00136C27" w:rsidRPr="00136C27">
        <w:rPr>
          <w:rFonts w:eastAsia="SimSun"/>
          <w:szCs w:val="24"/>
        </w:rPr>
        <w:t>, Dr Chaesub Lee, continues to undertake actions</w:t>
      </w:r>
      <w:r w:rsidR="00136C27">
        <w:rPr>
          <w:rFonts w:eastAsia="SimSun"/>
          <w:szCs w:val="24"/>
        </w:rPr>
        <w:t xml:space="preserve"> to improve gender equality</w:t>
      </w:r>
      <w:r w:rsidR="005E567C">
        <w:rPr>
          <w:rFonts w:eastAsia="SimSun"/>
          <w:szCs w:val="24"/>
        </w:rPr>
        <w:t xml:space="preserve"> in TSB and ITU-T</w:t>
      </w:r>
      <w:r w:rsidR="00136C27">
        <w:rPr>
          <w:rFonts w:eastAsia="SimSun"/>
          <w:szCs w:val="24"/>
        </w:rPr>
        <w:t>. In 2018</w:t>
      </w:r>
      <w:r w:rsidR="00136C27" w:rsidRPr="00136C27">
        <w:rPr>
          <w:rFonts w:eastAsia="SimSun"/>
          <w:szCs w:val="24"/>
        </w:rPr>
        <w:t xml:space="preserve">, </w:t>
      </w:r>
      <w:r w:rsidR="000D1E22">
        <w:rPr>
          <w:rFonts w:eastAsia="SimSun"/>
          <w:szCs w:val="24"/>
        </w:rPr>
        <w:t>60</w:t>
      </w:r>
      <w:r w:rsidR="00136C27">
        <w:rPr>
          <w:rFonts w:eastAsia="SimSun"/>
          <w:szCs w:val="24"/>
        </w:rPr>
        <w:t xml:space="preserve"> per cent of </w:t>
      </w:r>
      <w:r w:rsidR="00136C27" w:rsidRPr="00136C27">
        <w:rPr>
          <w:rFonts w:eastAsia="SimSun"/>
          <w:szCs w:val="24"/>
        </w:rPr>
        <w:t>promot</w:t>
      </w:r>
      <w:r w:rsidR="00136C27">
        <w:rPr>
          <w:rFonts w:eastAsia="SimSun"/>
          <w:szCs w:val="24"/>
        </w:rPr>
        <w:t xml:space="preserve">ion into higher grades </w:t>
      </w:r>
      <w:r w:rsidR="00FF0A2C">
        <w:rPr>
          <w:rFonts w:eastAsia="SimSun"/>
          <w:szCs w:val="24"/>
        </w:rPr>
        <w:t xml:space="preserve">in TSB were awarded </w:t>
      </w:r>
      <w:r w:rsidR="00136C27">
        <w:rPr>
          <w:rFonts w:eastAsia="SimSun"/>
          <w:szCs w:val="24"/>
        </w:rPr>
        <w:t xml:space="preserve">to </w:t>
      </w:r>
      <w:r w:rsidR="00136C27" w:rsidRPr="00136C27">
        <w:rPr>
          <w:rFonts w:eastAsia="SimSun"/>
          <w:szCs w:val="24"/>
        </w:rPr>
        <w:t>wom</w:t>
      </w:r>
      <w:r w:rsidR="00136C27">
        <w:rPr>
          <w:rFonts w:eastAsia="SimSun"/>
          <w:szCs w:val="24"/>
        </w:rPr>
        <w:t>en in th</w:t>
      </w:r>
      <w:r w:rsidR="00FF0A2C">
        <w:rPr>
          <w:rFonts w:eastAsia="SimSun"/>
          <w:szCs w:val="24"/>
        </w:rPr>
        <w:t>e professional category. With regard to active participation in ITU-T activities,</w:t>
      </w:r>
      <w:r w:rsidR="00136C27">
        <w:rPr>
          <w:rFonts w:eastAsia="SimSun"/>
          <w:szCs w:val="24"/>
        </w:rPr>
        <w:t xml:space="preserve"> </w:t>
      </w:r>
      <w:r w:rsidR="000D1E22">
        <w:rPr>
          <w:rFonts w:eastAsia="SimSun"/>
          <w:szCs w:val="24"/>
        </w:rPr>
        <w:t>34</w:t>
      </w:r>
      <w:r w:rsidR="00136C27">
        <w:rPr>
          <w:rFonts w:eastAsia="SimSun"/>
          <w:szCs w:val="24"/>
        </w:rPr>
        <w:t xml:space="preserve"> per cent of expert speakers at the AI Summit 2018 were women</w:t>
      </w:r>
      <w:r w:rsidR="00FF0A2C">
        <w:rPr>
          <w:rFonts w:eastAsia="SimSun"/>
          <w:szCs w:val="24"/>
        </w:rPr>
        <w:t xml:space="preserve">. </w:t>
      </w:r>
      <w:bookmarkStart w:id="16" w:name="_Hlk2181458"/>
      <w:r w:rsidR="00FF0A2C">
        <w:rPr>
          <w:rFonts w:eastAsia="SimSun"/>
          <w:szCs w:val="24"/>
        </w:rPr>
        <w:t>Last but not least, TSB has endorsed the “</w:t>
      </w:r>
      <w:r w:rsidR="00FF0A2C" w:rsidRPr="00FF0A2C">
        <w:rPr>
          <w:rFonts w:eastAsia="SimSun"/>
          <w:szCs w:val="24"/>
        </w:rPr>
        <w:t xml:space="preserve">Gender </w:t>
      </w:r>
      <w:r w:rsidR="00FF0A2C">
        <w:rPr>
          <w:rFonts w:eastAsia="SimSun"/>
          <w:szCs w:val="24"/>
        </w:rPr>
        <w:t xml:space="preserve">Responsive Standards” initiative by UNECE whose aim is </w:t>
      </w:r>
      <w:r w:rsidR="00FF0A2C" w:rsidRPr="00FF0A2C">
        <w:rPr>
          <w:rFonts w:eastAsia="SimSun"/>
          <w:szCs w:val="24"/>
        </w:rPr>
        <w:t>to improve gender balance in standards development and to ensure that the content and impact of standards when implemented are gender responsive.</w:t>
      </w:r>
    </w:p>
    <w:bookmarkEnd w:id="16"/>
    <w:p w14:paraId="5F98005D" w14:textId="77777777" w:rsidR="008047BE" w:rsidRPr="00EE1126" w:rsidRDefault="008047BE" w:rsidP="008047BE">
      <w:pPr>
        <w:pStyle w:val="Heading1"/>
        <w:keepNext w:val="0"/>
        <w:keepLines w:val="0"/>
        <w:tabs>
          <w:tab w:val="clear" w:pos="567"/>
          <w:tab w:val="clear" w:pos="1134"/>
          <w:tab w:val="clear" w:pos="1701"/>
          <w:tab w:val="clear" w:pos="2268"/>
          <w:tab w:val="clear" w:pos="2835"/>
        </w:tabs>
        <w:snapToGrid w:val="0"/>
        <w:spacing w:after="120"/>
        <w:ind w:left="0" w:firstLine="0"/>
        <w:jc w:val="both"/>
        <w:rPr>
          <w:sz w:val="24"/>
          <w:szCs w:val="24"/>
        </w:rPr>
      </w:pPr>
      <w:r w:rsidRPr="00EE1126">
        <w:rPr>
          <w:sz w:val="24"/>
          <w:szCs w:val="24"/>
        </w:rPr>
        <w:t>5</w:t>
      </w:r>
      <w:r w:rsidRPr="00EE1126">
        <w:rPr>
          <w:sz w:val="24"/>
          <w:szCs w:val="24"/>
        </w:rPr>
        <w:tab/>
        <w:t>Institutional Awareness of Gender Equality and Mainstreaming</w:t>
      </w:r>
    </w:p>
    <w:p w14:paraId="0FA50F1F" w14:textId="3D7EE9F7" w:rsidR="00CE26C1" w:rsidRPr="00EE1126" w:rsidRDefault="00CE26C1" w:rsidP="00CE26C1">
      <w:pPr>
        <w:pStyle w:val="Heading3"/>
        <w:keepNext w:val="0"/>
        <w:keepLines w:val="0"/>
        <w:tabs>
          <w:tab w:val="clear" w:pos="567"/>
          <w:tab w:val="clear" w:pos="1134"/>
          <w:tab w:val="clear" w:pos="1701"/>
          <w:tab w:val="clear" w:pos="2268"/>
          <w:tab w:val="clear" w:pos="2835"/>
        </w:tabs>
        <w:snapToGrid w:val="0"/>
        <w:spacing w:before="240" w:after="120"/>
        <w:ind w:left="0" w:firstLine="0"/>
        <w:rPr>
          <w:rFonts w:eastAsia="SimSun"/>
          <w:szCs w:val="24"/>
        </w:rPr>
      </w:pPr>
      <w:r w:rsidRPr="00EE1126">
        <w:rPr>
          <w:szCs w:val="24"/>
        </w:rPr>
        <w:t>5.</w:t>
      </w:r>
      <w:r>
        <w:rPr>
          <w:szCs w:val="24"/>
        </w:rPr>
        <w:t>1</w:t>
      </w:r>
      <w:r w:rsidRPr="00EE1126">
        <w:rPr>
          <w:szCs w:val="24"/>
        </w:rPr>
        <w:tab/>
        <w:t>International Gender Champion</w:t>
      </w:r>
      <w:r w:rsidR="000D1E22">
        <w:rPr>
          <w:szCs w:val="24"/>
        </w:rPr>
        <w:t>s</w:t>
      </w:r>
      <w:r w:rsidRPr="00EE1126">
        <w:rPr>
          <w:szCs w:val="24"/>
        </w:rPr>
        <w:t xml:space="preserve"> of Geneva</w:t>
      </w:r>
    </w:p>
    <w:p w14:paraId="4A41C2F8" w14:textId="7CA35CBF" w:rsidR="00CE26C1" w:rsidRPr="00EE1126" w:rsidRDefault="00CE26C1" w:rsidP="00CE26C1">
      <w:pPr>
        <w:tabs>
          <w:tab w:val="clear" w:pos="567"/>
          <w:tab w:val="clear" w:pos="1134"/>
          <w:tab w:val="clear" w:pos="1701"/>
          <w:tab w:val="clear" w:pos="2268"/>
          <w:tab w:val="clear" w:pos="2835"/>
        </w:tabs>
        <w:snapToGrid w:val="0"/>
        <w:spacing w:after="120"/>
        <w:jc w:val="both"/>
        <w:rPr>
          <w:rFonts w:cs="Calibri"/>
          <w:bCs/>
          <w:szCs w:val="24"/>
        </w:rPr>
      </w:pPr>
      <w:r w:rsidRPr="00EE1126">
        <w:rPr>
          <w:rFonts w:cs="Calibri"/>
          <w:bCs/>
          <w:szCs w:val="24"/>
        </w:rPr>
        <w:t>The ITU Secretary-General is a founding member of the</w:t>
      </w:r>
      <w:r w:rsidR="005917B5">
        <w:rPr>
          <w:rFonts w:cs="Calibri"/>
          <w:bCs/>
          <w:szCs w:val="24"/>
        </w:rPr>
        <w:t xml:space="preserve"> Geneva chapter of the </w:t>
      </w:r>
      <w:hyperlink r:id="rId44" w:history="1">
        <w:r w:rsidR="005917B5" w:rsidRPr="005917B5">
          <w:rPr>
            <w:rStyle w:val="Hyperlink"/>
            <w:rFonts w:cs="Calibri"/>
            <w:bCs/>
            <w:szCs w:val="24"/>
          </w:rPr>
          <w:t>International Gender Champions</w:t>
        </w:r>
      </w:hyperlink>
      <w:r w:rsidRPr="00EE1126">
        <w:rPr>
          <w:rFonts w:cs="Calibri"/>
          <w:bCs/>
          <w:szCs w:val="24"/>
        </w:rPr>
        <w:t xml:space="preserve"> </w:t>
      </w:r>
      <w:r>
        <w:rPr>
          <w:rFonts w:cs="Calibri"/>
          <w:bCs/>
          <w:szCs w:val="24"/>
        </w:rPr>
        <w:t xml:space="preserve">and has taken the panel-parity pledge to avoid single-sex panels. As he does each year, the </w:t>
      </w:r>
      <w:r w:rsidR="000D1E22">
        <w:rPr>
          <w:szCs w:val="24"/>
          <w:lang w:val="en-CA"/>
        </w:rPr>
        <w:t xml:space="preserve">Secretary-General </w:t>
      </w:r>
      <w:r>
        <w:rPr>
          <w:rFonts w:cs="Calibri"/>
          <w:bCs/>
          <w:szCs w:val="24"/>
        </w:rPr>
        <w:t xml:space="preserve">has made the following </w:t>
      </w:r>
      <w:hyperlink r:id="rId45" w:history="1">
        <w:r w:rsidRPr="009A37F8">
          <w:rPr>
            <w:rStyle w:val="Hyperlink"/>
            <w:rFonts w:cs="Calibri"/>
            <w:bCs/>
            <w:szCs w:val="24"/>
          </w:rPr>
          <w:t>annual commitments for 2019</w:t>
        </w:r>
      </w:hyperlink>
      <w:r w:rsidRPr="00EE1126">
        <w:rPr>
          <w:rFonts w:cs="Calibri"/>
          <w:bCs/>
          <w:szCs w:val="24"/>
        </w:rPr>
        <w:t>: (</w:t>
      </w:r>
      <w:r>
        <w:rPr>
          <w:rFonts w:cs="Calibri"/>
          <w:bCs/>
          <w:szCs w:val="24"/>
        </w:rPr>
        <w:t>1</w:t>
      </w:r>
      <w:r w:rsidRPr="00EE1126">
        <w:rPr>
          <w:rFonts w:cs="Calibri"/>
          <w:bCs/>
          <w:szCs w:val="24"/>
        </w:rPr>
        <w:t xml:space="preserve">) </w:t>
      </w:r>
      <w:r>
        <w:rPr>
          <w:rFonts w:cs="Calibri"/>
          <w:bCs/>
          <w:szCs w:val="24"/>
        </w:rPr>
        <w:t>to launch</w:t>
      </w:r>
      <w:r w:rsidRPr="00031DA7">
        <w:rPr>
          <w:rFonts w:cs="Calibri"/>
          <w:bCs/>
          <w:szCs w:val="24"/>
        </w:rPr>
        <w:t xml:space="preserve"> a public outreach campaign to raise awareness and promote equal access to ICT infrastructure</w:t>
      </w:r>
      <w:r>
        <w:rPr>
          <w:rFonts w:cs="Calibri"/>
          <w:bCs/>
          <w:szCs w:val="24"/>
        </w:rPr>
        <w:t xml:space="preserve">; and </w:t>
      </w:r>
      <w:r w:rsidRPr="00EE1126">
        <w:rPr>
          <w:rFonts w:cs="Calibri"/>
          <w:bCs/>
          <w:szCs w:val="24"/>
        </w:rPr>
        <w:t>(</w:t>
      </w:r>
      <w:r>
        <w:rPr>
          <w:rFonts w:cs="Calibri"/>
          <w:bCs/>
          <w:szCs w:val="24"/>
        </w:rPr>
        <w:t>2</w:t>
      </w:r>
      <w:r w:rsidRPr="00EE1126">
        <w:rPr>
          <w:rFonts w:cs="Calibri"/>
          <w:bCs/>
          <w:szCs w:val="24"/>
        </w:rPr>
        <w:t xml:space="preserve">) </w:t>
      </w:r>
      <w:r>
        <w:rPr>
          <w:rFonts w:cs="Calibri"/>
          <w:bCs/>
          <w:szCs w:val="24"/>
        </w:rPr>
        <w:t>to increase</w:t>
      </w:r>
      <w:r w:rsidRPr="00031DA7">
        <w:rPr>
          <w:rFonts w:cs="Calibri"/>
          <w:bCs/>
          <w:szCs w:val="24"/>
        </w:rPr>
        <w:t xml:space="preserve"> the number of countries collecting and disseminating global/regional/national gender- and age-disaggregated data on access to, and use of, ICTs and digital skills</w:t>
      </w:r>
      <w:r w:rsidR="000D1E22">
        <w:rPr>
          <w:rFonts w:cs="Calibri"/>
          <w:bCs/>
          <w:szCs w:val="24"/>
        </w:rPr>
        <w:t xml:space="preserve">, and to reinforce ITU’s </w:t>
      </w:r>
      <w:r w:rsidRPr="00031DA7">
        <w:rPr>
          <w:rFonts w:cs="Calibri"/>
          <w:bCs/>
          <w:szCs w:val="24"/>
        </w:rPr>
        <w:t>efforts to help countries to have the necessary capacity to collect the required data</w:t>
      </w:r>
      <w:r>
        <w:rPr>
          <w:rFonts w:cs="Calibri"/>
          <w:bCs/>
          <w:szCs w:val="24"/>
        </w:rPr>
        <w:t>.</w:t>
      </w:r>
    </w:p>
    <w:p w14:paraId="75F181F5" w14:textId="58ADF46E" w:rsidR="00436005" w:rsidRPr="00EE1126" w:rsidRDefault="00436005" w:rsidP="00436005">
      <w:pPr>
        <w:pStyle w:val="Heading3"/>
        <w:rPr>
          <w:rFonts w:eastAsia="SimSun"/>
        </w:rPr>
      </w:pPr>
      <w:r w:rsidRPr="00EE1126">
        <w:t>5.</w:t>
      </w:r>
      <w:r w:rsidR="00F3185F">
        <w:t>2</w:t>
      </w:r>
      <w:r w:rsidRPr="00EE1126">
        <w:tab/>
      </w:r>
      <w:r>
        <w:t>ITU as a Safe and Professional Environment</w:t>
      </w:r>
    </w:p>
    <w:p w14:paraId="4D138F7C" w14:textId="4CD11481" w:rsidR="00436005" w:rsidRDefault="00F3185F" w:rsidP="00436005">
      <w:pPr>
        <w:tabs>
          <w:tab w:val="clear" w:pos="567"/>
          <w:tab w:val="clear" w:pos="1134"/>
          <w:tab w:val="clear" w:pos="1701"/>
          <w:tab w:val="clear" w:pos="2268"/>
          <w:tab w:val="clear" w:pos="2835"/>
        </w:tabs>
        <w:snapToGrid w:val="0"/>
        <w:spacing w:after="120"/>
        <w:jc w:val="both"/>
      </w:pPr>
      <w:r>
        <w:t>A</w:t>
      </w:r>
      <w:r w:rsidRPr="009D4049">
        <w:t xml:space="preserve"> zero-tolerance policy on sexual harassment </w:t>
      </w:r>
      <w:r>
        <w:t xml:space="preserve">(SH) has been communicated and upheld </w:t>
      </w:r>
      <w:r w:rsidRPr="009D4049">
        <w:t xml:space="preserve">across ITU. A task force was set up </w:t>
      </w:r>
      <w:r>
        <w:t xml:space="preserve">within ITU </w:t>
      </w:r>
      <w:r w:rsidRPr="009D4049">
        <w:t xml:space="preserve">in early 2018 </w:t>
      </w:r>
      <w:r>
        <w:t>and a</w:t>
      </w:r>
      <w:r w:rsidR="000D1E22">
        <w:t xml:space="preserve"> staff-</w:t>
      </w:r>
      <w:r w:rsidRPr="009D4049">
        <w:t>wide survey on SH was launched in April</w:t>
      </w:r>
      <w:r w:rsidR="000D1E22">
        <w:t>.</w:t>
      </w:r>
      <w:r>
        <w:t xml:space="preserve"> </w:t>
      </w:r>
      <w:r w:rsidR="0087203D" w:rsidRPr="0087203D">
        <w:t>ITU also participated in the UN</w:t>
      </w:r>
      <w:r w:rsidR="000D1E22">
        <w:t>-</w:t>
      </w:r>
      <w:r w:rsidR="0087203D" w:rsidRPr="0087203D">
        <w:t>wide SH survey together with 30 UN entities in November</w:t>
      </w:r>
      <w:r w:rsidR="0087203D">
        <w:t xml:space="preserve">. </w:t>
      </w:r>
      <w:r w:rsidRPr="00FF1A96">
        <w:t xml:space="preserve">Heeding the call of the United Nations Office at Geneva's campaign to “Say no to sexism", </w:t>
      </w:r>
      <w:r>
        <w:t xml:space="preserve">ITU </w:t>
      </w:r>
      <w:hyperlink r:id="rId46" w:history="1">
        <w:r w:rsidRPr="00894573">
          <w:rPr>
            <w:rStyle w:val="Hyperlink"/>
          </w:rPr>
          <w:t>launched a campaign</w:t>
        </w:r>
      </w:hyperlink>
      <w:r w:rsidRPr="00FF1A96">
        <w:t xml:space="preserve"> to </w:t>
      </w:r>
      <w:r>
        <w:t>increase</w:t>
      </w:r>
      <w:r w:rsidRPr="00FF1A96">
        <w:t xml:space="preserve"> awareness of sexist attitudes and behaviour</w:t>
      </w:r>
      <w:r>
        <w:t xml:space="preserve">s. </w:t>
      </w:r>
      <w:r w:rsidR="009A37F8">
        <w:t xml:space="preserve">ITU’s commitment to a safe and </w:t>
      </w:r>
      <w:r w:rsidR="0087203D">
        <w:t>harmonious work</w:t>
      </w:r>
      <w:r w:rsidR="009A37F8">
        <w:t xml:space="preserve"> environment aligns to the Chief </w:t>
      </w:r>
      <w:r w:rsidR="00436005">
        <w:t xml:space="preserve">Executive Board (CEB) task force on addressing sexual harassment within the United Nations system. Work is focused </w:t>
      </w:r>
      <w:r>
        <w:t xml:space="preserve">on </w:t>
      </w:r>
      <w:r w:rsidR="00436005">
        <w:t>scaling up prevention and response mechanisms to sexual harassment with specific focus on harmonized UN policies, improved reporting and accountability, and enhanced communications and training. ITU has also been involved in the sub-working group on a code of conduct to p</w:t>
      </w:r>
      <w:r w:rsidR="00436005" w:rsidRPr="00FF1A96">
        <w:t xml:space="preserve">revent </w:t>
      </w:r>
      <w:r w:rsidR="00436005">
        <w:t>s</w:t>
      </w:r>
      <w:r w:rsidR="00436005" w:rsidRPr="00FF1A96">
        <w:t xml:space="preserve">exual </w:t>
      </w:r>
      <w:r w:rsidR="00436005">
        <w:t>h</w:t>
      </w:r>
      <w:r w:rsidR="00436005" w:rsidRPr="00FF1A96">
        <w:t xml:space="preserve">arassment </w:t>
      </w:r>
      <w:r w:rsidR="00436005">
        <w:t>d</w:t>
      </w:r>
      <w:r w:rsidR="00436005" w:rsidRPr="00FF1A96">
        <w:t xml:space="preserve">uring or </w:t>
      </w:r>
      <w:r w:rsidR="00436005">
        <w:t>i</w:t>
      </w:r>
      <w:r w:rsidR="00436005" w:rsidRPr="00FF1A96">
        <w:t xml:space="preserve">n </w:t>
      </w:r>
      <w:r w:rsidR="00436005">
        <w:t>r</w:t>
      </w:r>
      <w:r w:rsidR="00436005" w:rsidRPr="00FF1A96">
        <w:t xml:space="preserve">elation to </w:t>
      </w:r>
      <w:r w:rsidR="00436005">
        <w:t>UN events</w:t>
      </w:r>
      <w:r>
        <w:t xml:space="preserve">; the </w:t>
      </w:r>
      <w:hyperlink r:id="rId47" w:history="1">
        <w:r w:rsidRPr="00C92E3F">
          <w:rPr>
            <w:rStyle w:val="Hyperlink"/>
          </w:rPr>
          <w:t>code</w:t>
        </w:r>
      </w:hyperlink>
      <w:r>
        <w:t xml:space="preserve"> is </w:t>
      </w:r>
      <w:r w:rsidR="005B7D4F">
        <w:t>accessible</w:t>
      </w:r>
      <w:r>
        <w:t xml:space="preserve"> from the </w:t>
      </w:r>
      <w:hyperlink r:id="rId48" w:history="1">
        <w:r w:rsidRPr="005B7D4F">
          <w:rPr>
            <w:rStyle w:val="Hyperlink"/>
          </w:rPr>
          <w:t>Delegates Corner</w:t>
        </w:r>
      </w:hyperlink>
      <w:r w:rsidR="00436005">
        <w:t xml:space="preserve">. </w:t>
      </w:r>
    </w:p>
    <w:p w14:paraId="29AEBFC7" w14:textId="77777777" w:rsidR="00436005" w:rsidRPr="00EE1126" w:rsidRDefault="00436005" w:rsidP="00436005">
      <w:pPr>
        <w:pStyle w:val="Heading3"/>
        <w:keepNext w:val="0"/>
        <w:keepLines w:val="0"/>
        <w:tabs>
          <w:tab w:val="clear" w:pos="567"/>
          <w:tab w:val="clear" w:pos="1134"/>
          <w:tab w:val="clear" w:pos="1701"/>
          <w:tab w:val="clear" w:pos="2268"/>
          <w:tab w:val="clear" w:pos="2835"/>
        </w:tabs>
        <w:snapToGrid w:val="0"/>
        <w:spacing w:before="240" w:after="120"/>
        <w:ind w:left="0" w:firstLine="0"/>
        <w:rPr>
          <w:rFonts w:eastAsia="SimSun" w:cs="Arial"/>
          <w:szCs w:val="24"/>
        </w:rPr>
      </w:pPr>
      <w:r w:rsidRPr="00EE1126">
        <w:rPr>
          <w:rFonts w:eastAsia="SimSun"/>
          <w:szCs w:val="24"/>
        </w:rPr>
        <w:t>5.</w:t>
      </w:r>
      <w:r>
        <w:rPr>
          <w:rFonts w:eastAsia="SimSun"/>
          <w:szCs w:val="24"/>
        </w:rPr>
        <w:t>3</w:t>
      </w:r>
      <w:r w:rsidRPr="00EE1126">
        <w:rPr>
          <w:rFonts w:eastAsia="SimSun"/>
          <w:szCs w:val="24"/>
        </w:rPr>
        <w:tab/>
        <w:t xml:space="preserve">Network of BR Women Engineers in the Space Sector </w:t>
      </w:r>
    </w:p>
    <w:p w14:paraId="2FFFF894" w14:textId="402BC922" w:rsidR="00436005" w:rsidRDefault="00436005" w:rsidP="00436005">
      <w:pPr>
        <w:tabs>
          <w:tab w:val="clear" w:pos="567"/>
          <w:tab w:val="clear" w:pos="1134"/>
          <w:tab w:val="clear" w:pos="1701"/>
          <w:tab w:val="clear" w:pos="2268"/>
          <w:tab w:val="clear" w:pos="2835"/>
        </w:tabs>
        <w:snapToGrid w:val="0"/>
        <w:spacing w:after="120"/>
        <w:jc w:val="both"/>
        <w:rPr>
          <w:szCs w:val="24"/>
        </w:rPr>
      </w:pPr>
      <w:r w:rsidRPr="00EE1126">
        <w:rPr>
          <w:szCs w:val="24"/>
        </w:rPr>
        <w:t xml:space="preserve">In order to develop visibility in the </w:t>
      </w:r>
      <w:r>
        <w:rPr>
          <w:szCs w:val="24"/>
        </w:rPr>
        <w:t>S</w:t>
      </w:r>
      <w:r w:rsidRPr="00EE1126">
        <w:rPr>
          <w:szCs w:val="24"/>
        </w:rPr>
        <w:t>pace Sector</w:t>
      </w:r>
      <w:r w:rsidRPr="00EE1126">
        <w:rPr>
          <w:spacing w:val="-2"/>
          <w:szCs w:val="24"/>
        </w:rPr>
        <w:t>, BR female engineers</w:t>
      </w:r>
      <w:r w:rsidRPr="00EE1126">
        <w:rPr>
          <w:szCs w:val="24"/>
        </w:rPr>
        <w:t xml:space="preserve"> continue to engage key stakeholders and delegates</w:t>
      </w:r>
      <w:r>
        <w:rPr>
          <w:szCs w:val="24"/>
        </w:rPr>
        <w:t xml:space="preserve"> while strengthening internal networks within ITU</w:t>
      </w:r>
      <w:r w:rsidRPr="00EE1126">
        <w:rPr>
          <w:szCs w:val="24"/>
        </w:rPr>
        <w:t>. In 201</w:t>
      </w:r>
      <w:r>
        <w:rPr>
          <w:szCs w:val="24"/>
        </w:rPr>
        <w:t>8,</w:t>
      </w:r>
      <w:r w:rsidRPr="00EE1126">
        <w:rPr>
          <w:szCs w:val="24"/>
        </w:rPr>
        <w:t xml:space="preserve"> </w:t>
      </w:r>
      <w:r w:rsidRPr="00A73015">
        <w:rPr>
          <w:szCs w:val="24"/>
        </w:rPr>
        <w:t xml:space="preserve">the network </w:t>
      </w:r>
      <w:r>
        <w:rPr>
          <w:szCs w:val="24"/>
        </w:rPr>
        <w:t>continued its</w:t>
      </w:r>
      <w:r w:rsidRPr="00A73015">
        <w:rPr>
          <w:szCs w:val="24"/>
        </w:rPr>
        <w:t xml:space="preserve"> participation </w:t>
      </w:r>
      <w:r>
        <w:rPr>
          <w:szCs w:val="24"/>
        </w:rPr>
        <w:t>in</w:t>
      </w:r>
      <w:r w:rsidRPr="00A73015">
        <w:rPr>
          <w:szCs w:val="24"/>
        </w:rPr>
        <w:t xml:space="preserve"> the Girls in ICT Day</w:t>
      </w:r>
      <w:r>
        <w:rPr>
          <w:szCs w:val="24"/>
        </w:rPr>
        <w:t xml:space="preserve"> with speed mentoring, presentations of Space activities outside ITU to liaise with organizations focused on Women in STEM, female entrepreneurs</w:t>
      </w:r>
      <w:r w:rsidR="000D1E22">
        <w:rPr>
          <w:szCs w:val="24"/>
        </w:rPr>
        <w:t>,</w:t>
      </w:r>
      <w:r w:rsidRPr="00A73015">
        <w:rPr>
          <w:szCs w:val="24"/>
        </w:rPr>
        <w:t xml:space="preserve"> </w:t>
      </w:r>
      <w:r w:rsidRPr="00A73015">
        <w:rPr>
          <w:szCs w:val="24"/>
        </w:rPr>
        <w:lastRenderedPageBreak/>
        <w:t xml:space="preserve">and meetings with key stakeholders in the </w:t>
      </w:r>
      <w:r>
        <w:rPr>
          <w:szCs w:val="24"/>
        </w:rPr>
        <w:t>S</w:t>
      </w:r>
      <w:r w:rsidRPr="00A73015">
        <w:rPr>
          <w:szCs w:val="24"/>
        </w:rPr>
        <w:t>ector</w:t>
      </w:r>
      <w:r>
        <w:rPr>
          <w:szCs w:val="24"/>
        </w:rPr>
        <w:t>.</w:t>
      </w:r>
      <w:r w:rsidRPr="00A73015">
        <w:rPr>
          <w:szCs w:val="24"/>
        </w:rPr>
        <w:t xml:space="preserve"> </w:t>
      </w:r>
      <w:r>
        <w:rPr>
          <w:szCs w:val="24"/>
        </w:rPr>
        <w:t>T</w:t>
      </w:r>
      <w:r w:rsidRPr="00EE1126">
        <w:rPr>
          <w:szCs w:val="24"/>
        </w:rPr>
        <w:t xml:space="preserve">he objective </w:t>
      </w:r>
      <w:r>
        <w:rPr>
          <w:szCs w:val="24"/>
        </w:rPr>
        <w:t xml:space="preserve">is to </w:t>
      </w:r>
      <w:r w:rsidRPr="00EE1126">
        <w:rPr>
          <w:szCs w:val="24"/>
        </w:rPr>
        <w:t>encourag</w:t>
      </w:r>
      <w:r>
        <w:rPr>
          <w:szCs w:val="24"/>
        </w:rPr>
        <w:t>e</w:t>
      </w:r>
      <w:r w:rsidRPr="00EE1126">
        <w:rPr>
          <w:szCs w:val="24"/>
        </w:rPr>
        <w:t xml:space="preserve"> and prepar</w:t>
      </w:r>
      <w:r>
        <w:rPr>
          <w:szCs w:val="24"/>
        </w:rPr>
        <w:t>e</w:t>
      </w:r>
      <w:r w:rsidRPr="00EE1126">
        <w:rPr>
          <w:szCs w:val="24"/>
        </w:rPr>
        <w:t xml:space="preserve"> for an equal and active participation at every level in the</w:t>
      </w:r>
      <w:r>
        <w:rPr>
          <w:szCs w:val="24"/>
        </w:rPr>
        <w:t xml:space="preserve"> Space</w:t>
      </w:r>
      <w:r w:rsidRPr="00EE1126">
        <w:rPr>
          <w:szCs w:val="24"/>
        </w:rPr>
        <w:t xml:space="preserve"> Sector.</w:t>
      </w:r>
    </w:p>
    <w:p w14:paraId="6552D9CF" w14:textId="68890662" w:rsidR="008047BE" w:rsidRPr="00EE1126" w:rsidRDefault="008047BE" w:rsidP="008047BE">
      <w:pPr>
        <w:pStyle w:val="Heading3"/>
        <w:keepNext w:val="0"/>
        <w:keepLines w:val="0"/>
        <w:tabs>
          <w:tab w:val="clear" w:pos="567"/>
          <w:tab w:val="clear" w:pos="1134"/>
          <w:tab w:val="clear" w:pos="1701"/>
          <w:tab w:val="clear" w:pos="2268"/>
          <w:tab w:val="clear" w:pos="2835"/>
        </w:tabs>
        <w:snapToGrid w:val="0"/>
        <w:spacing w:before="120" w:after="120"/>
        <w:ind w:left="0" w:firstLine="0"/>
        <w:rPr>
          <w:szCs w:val="24"/>
        </w:rPr>
      </w:pPr>
      <w:r w:rsidRPr="00EE1126">
        <w:rPr>
          <w:szCs w:val="24"/>
        </w:rPr>
        <w:t>5.</w:t>
      </w:r>
      <w:r w:rsidR="00F3185F">
        <w:rPr>
          <w:szCs w:val="24"/>
        </w:rPr>
        <w:t>4</w:t>
      </w:r>
      <w:r w:rsidRPr="00EE1126">
        <w:rPr>
          <w:szCs w:val="24"/>
        </w:rPr>
        <w:tab/>
        <w:t>UN-SWAP Reporting</w:t>
      </w:r>
    </w:p>
    <w:p w14:paraId="367AB4DD" w14:textId="3FB3CA35" w:rsidR="008047BE" w:rsidRDefault="0091534B">
      <w:pPr>
        <w:tabs>
          <w:tab w:val="clear" w:pos="567"/>
          <w:tab w:val="clear" w:pos="1134"/>
          <w:tab w:val="clear" w:pos="1701"/>
          <w:tab w:val="clear" w:pos="2268"/>
          <w:tab w:val="clear" w:pos="2835"/>
        </w:tabs>
        <w:snapToGrid w:val="0"/>
        <w:spacing w:after="120"/>
        <w:jc w:val="both"/>
        <w:rPr>
          <w:szCs w:val="24"/>
          <w:lang w:val="en-CA"/>
        </w:rPr>
      </w:pPr>
      <w:r>
        <w:rPr>
          <w:szCs w:val="24"/>
          <w:lang w:val="en-CA"/>
        </w:rPr>
        <w:t>The</w:t>
      </w:r>
      <w:r w:rsidR="008047BE">
        <w:rPr>
          <w:szCs w:val="24"/>
          <w:lang w:val="en-CA"/>
        </w:rPr>
        <w:t xml:space="preserve"> </w:t>
      </w:r>
      <w:r w:rsidR="008047BE" w:rsidRPr="0094246C">
        <w:rPr>
          <w:szCs w:val="24"/>
          <w:lang w:val="en-CA"/>
        </w:rPr>
        <w:t xml:space="preserve">United Nations </w:t>
      </w:r>
      <w:r w:rsidR="008047BE">
        <w:rPr>
          <w:szCs w:val="24"/>
          <w:lang w:val="en-CA"/>
        </w:rPr>
        <w:t>s</w:t>
      </w:r>
      <w:r w:rsidR="008047BE" w:rsidRPr="0094246C">
        <w:rPr>
          <w:szCs w:val="24"/>
          <w:lang w:val="en-CA"/>
        </w:rPr>
        <w:t xml:space="preserve">ystem-wide </w:t>
      </w:r>
      <w:r w:rsidR="008047BE">
        <w:rPr>
          <w:szCs w:val="24"/>
          <w:lang w:val="en-CA"/>
        </w:rPr>
        <w:t>a</w:t>
      </w:r>
      <w:r w:rsidR="008047BE" w:rsidRPr="0094246C">
        <w:rPr>
          <w:szCs w:val="24"/>
          <w:lang w:val="en-CA"/>
        </w:rPr>
        <w:t xml:space="preserve">ction </w:t>
      </w:r>
      <w:r w:rsidR="008047BE">
        <w:rPr>
          <w:szCs w:val="24"/>
          <w:lang w:val="en-CA"/>
        </w:rPr>
        <w:t>p</w:t>
      </w:r>
      <w:r w:rsidR="008047BE" w:rsidRPr="0094246C">
        <w:rPr>
          <w:szCs w:val="24"/>
          <w:lang w:val="en-CA"/>
        </w:rPr>
        <w:t xml:space="preserve">lan for </w:t>
      </w:r>
      <w:r w:rsidR="008047BE">
        <w:rPr>
          <w:szCs w:val="24"/>
          <w:lang w:val="en-CA"/>
        </w:rPr>
        <w:t>g</w:t>
      </w:r>
      <w:r w:rsidR="008047BE" w:rsidRPr="0094246C">
        <w:rPr>
          <w:szCs w:val="24"/>
          <w:lang w:val="en-CA"/>
        </w:rPr>
        <w:t xml:space="preserve">ender </w:t>
      </w:r>
      <w:r w:rsidR="008047BE">
        <w:rPr>
          <w:szCs w:val="24"/>
          <w:lang w:val="en-CA"/>
        </w:rPr>
        <w:t>e</w:t>
      </w:r>
      <w:r w:rsidR="008047BE" w:rsidRPr="0094246C">
        <w:rPr>
          <w:szCs w:val="24"/>
          <w:lang w:val="en-CA"/>
        </w:rPr>
        <w:t xml:space="preserve">quality and </w:t>
      </w:r>
      <w:r w:rsidR="00CE26C1">
        <w:t>ma</w:t>
      </w:r>
      <w:r w:rsidR="008047BE" w:rsidRPr="00184892">
        <w:t>instreaming</w:t>
      </w:r>
      <w:r>
        <w:rPr>
          <w:szCs w:val="24"/>
          <w:lang w:val="en-CA"/>
        </w:rPr>
        <w:t xml:space="preserve"> (UN-SWAP) is</w:t>
      </w:r>
      <w:r w:rsidR="008047BE">
        <w:rPr>
          <w:szCs w:val="24"/>
          <w:lang w:val="en-CA"/>
        </w:rPr>
        <w:t xml:space="preserve"> </w:t>
      </w:r>
      <w:r w:rsidR="00644E56">
        <w:rPr>
          <w:rStyle w:val="Hyperlink"/>
          <w:color w:val="auto"/>
          <w:szCs w:val="24"/>
          <w:u w:val="none"/>
          <w:lang w:val="en-CA"/>
        </w:rPr>
        <w:t>the</w:t>
      </w:r>
      <w:r w:rsidR="00644E56" w:rsidRPr="006C3F5C">
        <w:rPr>
          <w:rStyle w:val="Hyperlink"/>
          <w:color w:val="auto"/>
          <w:szCs w:val="24"/>
          <w:u w:val="none"/>
          <w:lang w:val="en-CA"/>
        </w:rPr>
        <w:t xml:space="preserve"> </w:t>
      </w:r>
      <w:r w:rsidR="008047BE" w:rsidRPr="006C3F5C">
        <w:rPr>
          <w:rStyle w:val="Hyperlink"/>
          <w:color w:val="auto"/>
          <w:szCs w:val="24"/>
          <w:u w:val="none"/>
          <w:lang w:val="en-CA"/>
        </w:rPr>
        <w:t xml:space="preserve">accountability framework applicable to all UN entities to measure, monitor and </w:t>
      </w:r>
      <w:r w:rsidR="004C6C96">
        <w:rPr>
          <w:rStyle w:val="Hyperlink"/>
          <w:color w:val="auto"/>
          <w:szCs w:val="24"/>
          <w:u w:val="none"/>
          <w:lang w:val="en-CA"/>
        </w:rPr>
        <w:t>advance</w:t>
      </w:r>
      <w:r w:rsidR="008047BE" w:rsidRPr="006C3F5C">
        <w:rPr>
          <w:rStyle w:val="Hyperlink"/>
          <w:color w:val="auto"/>
          <w:szCs w:val="24"/>
          <w:u w:val="none"/>
          <w:lang w:val="en-CA"/>
        </w:rPr>
        <w:t xml:space="preserve"> towards a common set of gender equality standards. </w:t>
      </w:r>
      <w:r w:rsidRPr="00EE1126">
        <w:rPr>
          <w:szCs w:val="24"/>
          <w:lang w:val="en-CA"/>
        </w:rPr>
        <w:t xml:space="preserve">ITU reports </w:t>
      </w:r>
      <w:r w:rsidR="00644E56">
        <w:rPr>
          <w:szCs w:val="24"/>
          <w:lang w:val="en-CA"/>
        </w:rPr>
        <w:t xml:space="preserve">are reviewed by UN Women and then formally </w:t>
      </w:r>
      <w:r>
        <w:rPr>
          <w:szCs w:val="24"/>
          <w:lang w:val="en-CA"/>
        </w:rPr>
        <w:t>acknowledged by</w:t>
      </w:r>
      <w:r w:rsidR="00644E56">
        <w:rPr>
          <w:szCs w:val="24"/>
          <w:lang w:val="en-CA"/>
        </w:rPr>
        <w:t xml:space="preserve"> </w:t>
      </w:r>
      <w:r>
        <w:rPr>
          <w:szCs w:val="24"/>
          <w:lang w:val="en-CA"/>
        </w:rPr>
        <w:t xml:space="preserve">letter </w:t>
      </w:r>
      <w:r w:rsidR="00644E56">
        <w:rPr>
          <w:szCs w:val="24"/>
          <w:lang w:val="en-CA"/>
        </w:rPr>
        <w:t>with an</w:t>
      </w:r>
      <w:r w:rsidR="00CC0EFF">
        <w:rPr>
          <w:szCs w:val="24"/>
          <w:lang w:val="en-CA"/>
        </w:rPr>
        <w:t xml:space="preserve"> </w:t>
      </w:r>
      <w:r w:rsidRPr="0094246C">
        <w:rPr>
          <w:szCs w:val="24"/>
          <w:lang w:val="en-CA"/>
        </w:rPr>
        <w:t xml:space="preserve">analytical </w:t>
      </w:r>
      <w:r w:rsidR="00CC0EFF">
        <w:rPr>
          <w:szCs w:val="24"/>
          <w:lang w:val="en-CA"/>
        </w:rPr>
        <w:t>review</w:t>
      </w:r>
      <w:r w:rsidRPr="0094246C">
        <w:rPr>
          <w:szCs w:val="24"/>
          <w:lang w:val="en-CA"/>
        </w:rPr>
        <w:t xml:space="preserve"> </w:t>
      </w:r>
      <w:r w:rsidR="00CC0EFF">
        <w:rPr>
          <w:szCs w:val="24"/>
          <w:lang w:val="en-CA"/>
        </w:rPr>
        <w:t>of</w:t>
      </w:r>
      <w:r w:rsidRPr="0094246C">
        <w:rPr>
          <w:szCs w:val="24"/>
          <w:lang w:val="en-CA"/>
        </w:rPr>
        <w:t xml:space="preserve"> </w:t>
      </w:r>
      <w:r>
        <w:rPr>
          <w:szCs w:val="24"/>
          <w:lang w:val="en-CA"/>
        </w:rPr>
        <w:t>ITU’s</w:t>
      </w:r>
      <w:r w:rsidRPr="0094246C">
        <w:rPr>
          <w:szCs w:val="24"/>
          <w:lang w:val="en-CA"/>
        </w:rPr>
        <w:t xml:space="preserve"> </w:t>
      </w:r>
      <w:r>
        <w:rPr>
          <w:szCs w:val="24"/>
          <w:lang w:val="en-CA"/>
        </w:rPr>
        <w:t>progress.</w:t>
      </w:r>
      <w:r w:rsidR="00B0198C">
        <w:rPr>
          <w:szCs w:val="24"/>
          <w:lang w:val="en-CA"/>
        </w:rPr>
        <w:t xml:space="preserve"> (</w:t>
      </w:r>
      <w:hyperlink r:id="rId49" w:history="1">
        <w:r w:rsidR="00B0198C" w:rsidRPr="006C3F5C">
          <w:rPr>
            <w:rStyle w:val="Hyperlink"/>
            <w:szCs w:val="24"/>
            <w:lang w:val="en-CA"/>
          </w:rPr>
          <w:t>C1</w:t>
        </w:r>
        <w:r w:rsidR="00B0198C">
          <w:rPr>
            <w:rStyle w:val="Hyperlink"/>
            <w:szCs w:val="24"/>
            <w:lang w:val="en-CA"/>
          </w:rPr>
          <w:t>9</w:t>
        </w:r>
        <w:r w:rsidR="00B0198C" w:rsidRPr="006C3F5C">
          <w:rPr>
            <w:rStyle w:val="Hyperlink"/>
            <w:szCs w:val="24"/>
            <w:lang w:val="en-CA"/>
          </w:rPr>
          <w:t>/INF/</w:t>
        </w:r>
        <w:r w:rsidR="00B0198C">
          <w:rPr>
            <w:rStyle w:val="Hyperlink"/>
            <w:szCs w:val="24"/>
            <w:lang w:val="en-CA"/>
          </w:rPr>
          <w:t>2</w:t>
        </w:r>
      </w:hyperlink>
      <w:r w:rsidR="00B0198C">
        <w:rPr>
          <w:rStyle w:val="Hyperlink"/>
          <w:szCs w:val="24"/>
          <w:lang w:val="en-CA"/>
        </w:rPr>
        <w:t>)</w:t>
      </w:r>
      <w:r>
        <w:rPr>
          <w:szCs w:val="24"/>
          <w:lang w:val="en-CA"/>
        </w:rPr>
        <w:t xml:space="preserve"> </w:t>
      </w:r>
      <w:r w:rsidR="00E81531">
        <w:rPr>
          <w:szCs w:val="24"/>
          <w:lang w:val="en-CA"/>
        </w:rPr>
        <w:t>Improvements were made</w:t>
      </w:r>
      <w:r w:rsidR="007133B9" w:rsidRPr="007133B9">
        <w:rPr>
          <w:szCs w:val="24"/>
          <w:lang w:val="en-CA"/>
        </w:rPr>
        <w:t xml:space="preserve"> across seven indicators and a total of 6 out of 15 indicators met or exceed</w:t>
      </w:r>
      <w:r w:rsidR="00B0198C">
        <w:rPr>
          <w:szCs w:val="24"/>
          <w:lang w:val="en-CA"/>
        </w:rPr>
        <w:t>ed</w:t>
      </w:r>
      <w:r w:rsidR="007133B9" w:rsidRPr="007133B9">
        <w:rPr>
          <w:szCs w:val="24"/>
          <w:lang w:val="en-CA"/>
        </w:rPr>
        <w:t xml:space="preserve"> requirements</w:t>
      </w:r>
      <w:r w:rsidR="00B0198C">
        <w:rPr>
          <w:szCs w:val="24"/>
          <w:lang w:val="en-CA"/>
        </w:rPr>
        <w:t>, reflecting a 40% compliance</w:t>
      </w:r>
      <w:r w:rsidR="00E81531">
        <w:rPr>
          <w:szCs w:val="24"/>
          <w:lang w:val="en-CA"/>
        </w:rPr>
        <w:t xml:space="preserve">. This concluded the first phase of UN-SWAP. Requirements have increased and reporting on UN-SWAP2.0 commenced this year. Greater detail is available in the </w:t>
      </w:r>
      <w:hyperlink r:id="rId50" w:history="1">
        <w:r w:rsidR="00E81531" w:rsidRPr="00E81531">
          <w:rPr>
            <w:rStyle w:val="Hyperlink"/>
            <w:szCs w:val="24"/>
            <w:lang w:val="en-CA"/>
          </w:rPr>
          <w:t>presentation to CWG-FHR.</w:t>
        </w:r>
      </w:hyperlink>
      <w:r w:rsidR="00E81531">
        <w:rPr>
          <w:szCs w:val="24"/>
          <w:lang w:val="en-CA"/>
        </w:rPr>
        <w:t xml:space="preserve"> </w:t>
      </w:r>
    </w:p>
    <w:p w14:paraId="4D854038" w14:textId="2EE730BC" w:rsidR="007C7EDC" w:rsidRPr="00EE1126" w:rsidRDefault="007C7EDC" w:rsidP="007C7EDC">
      <w:pPr>
        <w:pStyle w:val="Heading3"/>
        <w:keepNext w:val="0"/>
        <w:keepLines w:val="0"/>
        <w:tabs>
          <w:tab w:val="clear" w:pos="567"/>
          <w:tab w:val="clear" w:pos="1134"/>
          <w:tab w:val="clear" w:pos="1701"/>
          <w:tab w:val="clear" w:pos="2268"/>
          <w:tab w:val="clear" w:pos="2835"/>
        </w:tabs>
        <w:snapToGrid w:val="0"/>
        <w:spacing w:before="120" w:after="120"/>
        <w:ind w:left="0" w:firstLine="0"/>
        <w:rPr>
          <w:szCs w:val="24"/>
        </w:rPr>
      </w:pPr>
      <w:r w:rsidRPr="00EE1126">
        <w:rPr>
          <w:szCs w:val="24"/>
        </w:rPr>
        <w:t>5.</w:t>
      </w:r>
      <w:r w:rsidR="00F3185F">
        <w:rPr>
          <w:szCs w:val="24"/>
        </w:rPr>
        <w:t>5</w:t>
      </w:r>
      <w:r w:rsidRPr="00EE1126">
        <w:rPr>
          <w:szCs w:val="24"/>
        </w:rPr>
        <w:tab/>
      </w:r>
      <w:r>
        <w:rPr>
          <w:szCs w:val="24"/>
        </w:rPr>
        <w:t xml:space="preserve">Gender Equality and Mainstreaming </w:t>
      </w:r>
      <w:r w:rsidR="007543BC">
        <w:rPr>
          <w:szCs w:val="24"/>
        </w:rPr>
        <w:t xml:space="preserve">Planning </w:t>
      </w:r>
      <w:r>
        <w:rPr>
          <w:szCs w:val="24"/>
        </w:rPr>
        <w:t>across ITU</w:t>
      </w:r>
    </w:p>
    <w:p w14:paraId="2919B3E3" w14:textId="123FA359" w:rsidR="0048520B" w:rsidRDefault="00C17667" w:rsidP="007C7EDC">
      <w:pPr>
        <w:tabs>
          <w:tab w:val="clear" w:pos="567"/>
          <w:tab w:val="clear" w:pos="1134"/>
          <w:tab w:val="clear" w:pos="1701"/>
          <w:tab w:val="clear" w:pos="2268"/>
          <w:tab w:val="clear" w:pos="2835"/>
        </w:tabs>
        <w:snapToGrid w:val="0"/>
        <w:spacing w:after="120"/>
        <w:jc w:val="both"/>
        <w:rPr>
          <w:szCs w:val="24"/>
          <w:lang w:val="en-CA"/>
        </w:rPr>
      </w:pPr>
      <w:r>
        <w:rPr>
          <w:szCs w:val="24"/>
          <w:lang w:val="en-CA"/>
        </w:rPr>
        <w:t>ITU is working to e</w:t>
      </w:r>
      <w:r w:rsidR="00B0198C">
        <w:rPr>
          <w:szCs w:val="24"/>
          <w:lang w:val="en-CA"/>
        </w:rPr>
        <w:t>nsur</w:t>
      </w:r>
      <w:r w:rsidR="007543BC">
        <w:rPr>
          <w:szCs w:val="24"/>
          <w:lang w:val="en-CA"/>
        </w:rPr>
        <w:t>e</w:t>
      </w:r>
      <w:r w:rsidR="00B0198C">
        <w:rPr>
          <w:szCs w:val="24"/>
          <w:lang w:val="en-CA"/>
        </w:rPr>
        <w:t xml:space="preserve"> a gender perspective is incorporated in the work programmes, management approaches</w:t>
      </w:r>
      <w:r w:rsidR="000D1E22">
        <w:rPr>
          <w:szCs w:val="24"/>
          <w:lang w:val="en-CA"/>
        </w:rPr>
        <w:t>,</w:t>
      </w:r>
      <w:r w:rsidR="00B0198C">
        <w:rPr>
          <w:szCs w:val="24"/>
          <w:lang w:val="en-CA"/>
        </w:rPr>
        <w:t xml:space="preserve"> and human resource development</w:t>
      </w:r>
      <w:r w:rsidR="00537A8B">
        <w:rPr>
          <w:szCs w:val="24"/>
          <w:lang w:val="en-CA"/>
        </w:rPr>
        <w:t xml:space="preserve"> of the Union</w:t>
      </w:r>
      <w:r>
        <w:rPr>
          <w:szCs w:val="24"/>
          <w:lang w:val="en-CA"/>
        </w:rPr>
        <w:t xml:space="preserve">. This has been done in a stand-alone </w:t>
      </w:r>
      <w:r w:rsidR="008B047F">
        <w:rPr>
          <w:szCs w:val="24"/>
          <w:lang w:val="en-CA"/>
        </w:rPr>
        <w:t xml:space="preserve">annual </w:t>
      </w:r>
      <w:r>
        <w:rPr>
          <w:szCs w:val="24"/>
          <w:lang w:val="en-CA"/>
        </w:rPr>
        <w:t xml:space="preserve">GEM action plan for the last two years. In the true spirit of mainstreaming, this planning </w:t>
      </w:r>
      <w:r w:rsidR="00BF3617">
        <w:rPr>
          <w:szCs w:val="24"/>
          <w:lang w:val="en-CA"/>
        </w:rPr>
        <w:t xml:space="preserve">is </w:t>
      </w:r>
      <w:r>
        <w:rPr>
          <w:szCs w:val="24"/>
          <w:lang w:val="en-CA"/>
        </w:rPr>
        <w:t xml:space="preserve">now </w:t>
      </w:r>
      <w:r w:rsidR="00BF3617">
        <w:rPr>
          <w:szCs w:val="24"/>
          <w:lang w:val="en-CA"/>
        </w:rPr>
        <w:t>in the process of being</w:t>
      </w:r>
      <w:r>
        <w:rPr>
          <w:szCs w:val="24"/>
          <w:lang w:val="en-CA"/>
        </w:rPr>
        <w:t xml:space="preserve"> </w:t>
      </w:r>
      <w:r w:rsidR="008B047F">
        <w:rPr>
          <w:szCs w:val="24"/>
          <w:lang w:val="en-CA"/>
        </w:rPr>
        <w:t>addressed</w:t>
      </w:r>
      <w:r>
        <w:rPr>
          <w:szCs w:val="24"/>
          <w:lang w:val="en-CA"/>
        </w:rPr>
        <w:t xml:space="preserve"> in ITU’s </w:t>
      </w:r>
      <w:r w:rsidR="008B047F">
        <w:rPr>
          <w:szCs w:val="24"/>
          <w:lang w:val="en-CA"/>
        </w:rPr>
        <w:t>H</w:t>
      </w:r>
      <w:r w:rsidR="001C0B12">
        <w:rPr>
          <w:szCs w:val="24"/>
          <w:lang w:val="en-CA"/>
        </w:rPr>
        <w:t xml:space="preserve">uman </w:t>
      </w:r>
      <w:r w:rsidR="008B047F">
        <w:rPr>
          <w:szCs w:val="24"/>
          <w:lang w:val="en-CA"/>
        </w:rPr>
        <w:t>R</w:t>
      </w:r>
      <w:r w:rsidR="001C0B12">
        <w:rPr>
          <w:szCs w:val="24"/>
          <w:lang w:val="en-CA"/>
        </w:rPr>
        <w:t xml:space="preserve">esources </w:t>
      </w:r>
      <w:r w:rsidR="008B047F">
        <w:rPr>
          <w:szCs w:val="24"/>
          <w:lang w:val="en-CA"/>
        </w:rPr>
        <w:t>S</w:t>
      </w:r>
      <w:r w:rsidR="001C0B12">
        <w:rPr>
          <w:szCs w:val="24"/>
          <w:lang w:val="en-CA"/>
        </w:rPr>
        <w:t xml:space="preserve">trategic </w:t>
      </w:r>
      <w:r w:rsidR="008B047F">
        <w:rPr>
          <w:szCs w:val="24"/>
          <w:lang w:val="en-CA"/>
        </w:rPr>
        <w:t>P</w:t>
      </w:r>
      <w:r w:rsidR="001C0B12">
        <w:rPr>
          <w:szCs w:val="24"/>
          <w:lang w:val="en-CA"/>
        </w:rPr>
        <w:t xml:space="preserve">lan (HRSP) and </w:t>
      </w:r>
      <w:r w:rsidR="0051719F">
        <w:rPr>
          <w:szCs w:val="24"/>
          <w:lang w:val="en-CA"/>
        </w:rPr>
        <w:t xml:space="preserve">the </w:t>
      </w:r>
      <w:r w:rsidR="00761B25" w:rsidRPr="00761B25">
        <w:rPr>
          <w:szCs w:val="24"/>
          <w:lang w:val="en-CA"/>
        </w:rPr>
        <w:t>Operational Plans for the General Secretariat and the Sectors</w:t>
      </w:r>
      <w:r w:rsidR="008B047F">
        <w:rPr>
          <w:szCs w:val="24"/>
          <w:lang w:val="en-CA"/>
        </w:rPr>
        <w:t xml:space="preserve"> for the period 2020-2023. Pl</w:t>
      </w:r>
      <w:r w:rsidR="007543BC">
        <w:rPr>
          <w:szCs w:val="24"/>
          <w:lang w:val="en-CA"/>
        </w:rPr>
        <w:t xml:space="preserve">anning will align with the best practices established in </w:t>
      </w:r>
      <w:r w:rsidR="007543BC" w:rsidRPr="0091582B">
        <w:rPr>
          <w:szCs w:val="24"/>
          <w:lang w:val="en-CA"/>
        </w:rPr>
        <w:t>UN-SWAP framework</w:t>
      </w:r>
      <w:r w:rsidR="007543BC">
        <w:rPr>
          <w:szCs w:val="24"/>
          <w:lang w:val="en-CA"/>
        </w:rPr>
        <w:t xml:space="preserve"> </w:t>
      </w:r>
      <w:r w:rsidR="0091582B">
        <w:rPr>
          <w:szCs w:val="24"/>
          <w:lang w:val="en-CA"/>
        </w:rPr>
        <w:t>with the aim</w:t>
      </w:r>
      <w:r w:rsidR="008B047F">
        <w:rPr>
          <w:szCs w:val="24"/>
          <w:lang w:val="en-CA"/>
        </w:rPr>
        <w:t xml:space="preserve"> </w:t>
      </w:r>
      <w:r w:rsidR="0091582B">
        <w:rPr>
          <w:szCs w:val="24"/>
          <w:lang w:val="en-CA"/>
        </w:rPr>
        <w:t>of</w:t>
      </w:r>
      <w:r w:rsidR="008B047F">
        <w:rPr>
          <w:szCs w:val="24"/>
          <w:lang w:val="en-CA"/>
        </w:rPr>
        <w:t xml:space="preserve"> continually improv</w:t>
      </w:r>
      <w:r w:rsidR="0091582B">
        <w:rPr>
          <w:szCs w:val="24"/>
          <w:lang w:val="en-CA"/>
        </w:rPr>
        <w:t>ing</w:t>
      </w:r>
      <w:r w:rsidR="008B047F">
        <w:rPr>
          <w:szCs w:val="24"/>
          <w:lang w:val="en-CA"/>
        </w:rPr>
        <w:t xml:space="preserve"> ITU’s </w:t>
      </w:r>
      <w:r w:rsidR="007543BC">
        <w:rPr>
          <w:szCs w:val="24"/>
          <w:lang w:val="en-CA"/>
        </w:rPr>
        <w:t xml:space="preserve">UN-SWAP </w:t>
      </w:r>
      <w:r w:rsidR="008B047F">
        <w:rPr>
          <w:szCs w:val="24"/>
          <w:lang w:val="en-CA"/>
        </w:rPr>
        <w:t>compliance</w:t>
      </w:r>
      <w:r w:rsidR="007543BC">
        <w:rPr>
          <w:szCs w:val="24"/>
          <w:lang w:val="en-CA"/>
        </w:rPr>
        <w:t>.</w:t>
      </w:r>
      <w:r w:rsidR="008B047F">
        <w:rPr>
          <w:szCs w:val="24"/>
          <w:lang w:val="en-CA"/>
        </w:rPr>
        <w:t xml:space="preserve"> </w:t>
      </w:r>
      <w:r w:rsidR="0091582B">
        <w:rPr>
          <w:szCs w:val="24"/>
          <w:lang w:val="en-CA"/>
        </w:rPr>
        <w:t>The new planning framework will focus on the</w:t>
      </w:r>
      <w:r w:rsidR="005D1A9C">
        <w:rPr>
          <w:szCs w:val="24"/>
          <w:lang w:val="en-CA"/>
        </w:rPr>
        <w:t xml:space="preserve"> following</w:t>
      </w:r>
      <w:r w:rsidR="0091582B">
        <w:rPr>
          <w:szCs w:val="24"/>
          <w:lang w:val="en-CA"/>
        </w:rPr>
        <w:t xml:space="preserve">, </w:t>
      </w:r>
      <w:r w:rsidR="00537A8B">
        <w:rPr>
          <w:szCs w:val="24"/>
          <w:lang w:val="en-CA"/>
        </w:rPr>
        <w:t>with numbering aligned to the</w:t>
      </w:r>
      <w:r w:rsidR="0091582B">
        <w:rPr>
          <w:szCs w:val="24"/>
          <w:lang w:val="en-CA"/>
        </w:rPr>
        <w:t xml:space="preserve"> </w:t>
      </w:r>
      <w:hyperlink r:id="rId51" w:history="1">
        <w:r w:rsidR="0091582B" w:rsidRPr="0091582B">
          <w:rPr>
            <w:rStyle w:val="Hyperlink"/>
            <w:szCs w:val="24"/>
            <w:lang w:val="en-CA"/>
          </w:rPr>
          <w:t>UN-SWAP performance indicators</w:t>
        </w:r>
      </w:hyperlink>
      <w:r w:rsidR="0091582B">
        <w:rPr>
          <w:szCs w:val="24"/>
          <w:lang w:val="en-CA"/>
        </w:rPr>
        <w:t>.</w:t>
      </w:r>
    </w:p>
    <w:p w14:paraId="0AB38F46" w14:textId="78E285F3" w:rsidR="005D1A9C" w:rsidRPr="005D1A9C" w:rsidRDefault="005D1A9C" w:rsidP="005D1A9C">
      <w:pPr>
        <w:tabs>
          <w:tab w:val="clear" w:pos="567"/>
          <w:tab w:val="clear" w:pos="1134"/>
          <w:tab w:val="clear" w:pos="1701"/>
          <w:tab w:val="clear" w:pos="2268"/>
          <w:tab w:val="clear" w:pos="2835"/>
        </w:tabs>
        <w:snapToGrid w:val="0"/>
        <w:spacing w:before="0"/>
        <w:jc w:val="both"/>
        <w:rPr>
          <w:szCs w:val="24"/>
          <w:lang w:val="en-CA"/>
        </w:rPr>
      </w:pPr>
      <w:r>
        <w:rPr>
          <w:szCs w:val="24"/>
          <w:lang w:val="en-CA"/>
        </w:rPr>
        <w:t>2</w:t>
      </w:r>
      <w:r w:rsidRPr="005D1A9C">
        <w:rPr>
          <w:szCs w:val="24"/>
          <w:lang w:val="en-CA"/>
        </w:rPr>
        <w:t>.</w:t>
      </w:r>
      <w:r w:rsidRPr="005D1A9C">
        <w:rPr>
          <w:szCs w:val="24"/>
          <w:lang w:val="en-CA"/>
        </w:rPr>
        <w:tab/>
        <w:t>High-level reporting on gender and SDG 5</w:t>
      </w:r>
    </w:p>
    <w:p w14:paraId="64CD0D16" w14:textId="1FDF89D3" w:rsidR="008E67DA" w:rsidRDefault="005D1A9C" w:rsidP="008E67DA">
      <w:pPr>
        <w:tabs>
          <w:tab w:val="clear" w:pos="567"/>
          <w:tab w:val="clear" w:pos="1134"/>
          <w:tab w:val="clear" w:pos="1701"/>
          <w:tab w:val="clear" w:pos="2268"/>
          <w:tab w:val="clear" w:pos="2835"/>
        </w:tabs>
        <w:snapToGrid w:val="0"/>
        <w:spacing w:before="0"/>
        <w:jc w:val="both"/>
        <w:rPr>
          <w:szCs w:val="24"/>
          <w:lang w:val="en-CA"/>
        </w:rPr>
      </w:pPr>
      <w:r>
        <w:rPr>
          <w:szCs w:val="24"/>
          <w:lang w:val="en-CA"/>
        </w:rPr>
        <w:t>3</w:t>
      </w:r>
      <w:r w:rsidRPr="005D1A9C">
        <w:rPr>
          <w:szCs w:val="24"/>
          <w:lang w:val="en-CA"/>
        </w:rPr>
        <w:t>.</w:t>
      </w:r>
      <w:r w:rsidRPr="005D1A9C">
        <w:rPr>
          <w:szCs w:val="24"/>
          <w:lang w:val="en-CA"/>
        </w:rPr>
        <w:tab/>
        <w:t xml:space="preserve">GEM planning incorporated </w:t>
      </w:r>
      <w:r w:rsidR="00DC251C">
        <w:rPr>
          <w:szCs w:val="24"/>
          <w:lang w:val="en-CA"/>
        </w:rPr>
        <w:t>operational and HR strategic plans</w:t>
      </w:r>
      <w:r w:rsidR="008E67DA">
        <w:rPr>
          <w:szCs w:val="24"/>
          <w:lang w:val="en-CA"/>
        </w:rPr>
        <w:t>; incorporate gender analysis</w:t>
      </w:r>
    </w:p>
    <w:p w14:paraId="5FFE6FEB" w14:textId="640E4EC1" w:rsidR="005D1A9C" w:rsidRPr="005D1A9C" w:rsidRDefault="008E67DA" w:rsidP="005D1A9C">
      <w:pPr>
        <w:tabs>
          <w:tab w:val="clear" w:pos="567"/>
          <w:tab w:val="clear" w:pos="1134"/>
          <w:tab w:val="clear" w:pos="1701"/>
          <w:tab w:val="clear" w:pos="2268"/>
          <w:tab w:val="clear" w:pos="2835"/>
        </w:tabs>
        <w:snapToGrid w:val="0"/>
        <w:spacing w:before="0"/>
        <w:jc w:val="both"/>
        <w:rPr>
          <w:szCs w:val="24"/>
          <w:lang w:val="en-CA"/>
        </w:rPr>
      </w:pPr>
      <w:r>
        <w:rPr>
          <w:szCs w:val="24"/>
          <w:lang w:val="en-CA"/>
        </w:rPr>
        <w:t>6.</w:t>
      </w:r>
      <w:r>
        <w:rPr>
          <w:szCs w:val="24"/>
          <w:lang w:val="en-CA"/>
        </w:rPr>
        <w:tab/>
      </w:r>
      <w:r w:rsidR="005D1A9C" w:rsidRPr="005D1A9C">
        <w:rPr>
          <w:szCs w:val="24"/>
          <w:lang w:val="en-CA"/>
        </w:rPr>
        <w:t>Update</w:t>
      </w:r>
      <w:r w:rsidR="003E4A1A">
        <w:rPr>
          <w:szCs w:val="24"/>
          <w:lang w:val="en-CA"/>
        </w:rPr>
        <w:t>d</w:t>
      </w:r>
      <w:r w:rsidR="005D1A9C" w:rsidRPr="005D1A9C">
        <w:rPr>
          <w:szCs w:val="24"/>
          <w:lang w:val="en-CA"/>
        </w:rPr>
        <w:t xml:space="preserve"> ITU </w:t>
      </w:r>
      <w:r w:rsidR="003E4A1A">
        <w:rPr>
          <w:szCs w:val="24"/>
          <w:lang w:val="en-CA"/>
        </w:rPr>
        <w:t>gender equality and mainstreaming</w:t>
      </w:r>
      <w:r w:rsidR="005D1A9C" w:rsidRPr="005D1A9C">
        <w:rPr>
          <w:szCs w:val="24"/>
          <w:lang w:val="en-CA"/>
        </w:rPr>
        <w:t xml:space="preserve"> policy</w:t>
      </w:r>
    </w:p>
    <w:p w14:paraId="3F0D8819" w14:textId="426292BF" w:rsidR="00E6538A" w:rsidRPr="005D1A9C" w:rsidRDefault="00E6538A" w:rsidP="00E6538A">
      <w:pPr>
        <w:tabs>
          <w:tab w:val="clear" w:pos="567"/>
          <w:tab w:val="clear" w:pos="1134"/>
          <w:tab w:val="clear" w:pos="1701"/>
          <w:tab w:val="clear" w:pos="2268"/>
          <w:tab w:val="clear" w:pos="2835"/>
        </w:tabs>
        <w:snapToGrid w:val="0"/>
        <w:spacing w:before="0"/>
        <w:jc w:val="both"/>
        <w:rPr>
          <w:szCs w:val="24"/>
          <w:lang w:val="en-CA"/>
        </w:rPr>
      </w:pPr>
      <w:r w:rsidRPr="005D1A9C">
        <w:rPr>
          <w:szCs w:val="24"/>
          <w:lang w:val="en-CA"/>
        </w:rPr>
        <w:t>7.</w:t>
      </w:r>
      <w:r w:rsidRPr="005D1A9C">
        <w:rPr>
          <w:szCs w:val="24"/>
          <w:lang w:val="en-CA"/>
        </w:rPr>
        <w:tab/>
      </w:r>
      <w:r>
        <w:rPr>
          <w:szCs w:val="24"/>
          <w:lang w:val="en-CA"/>
        </w:rPr>
        <w:t>P</w:t>
      </w:r>
      <w:r w:rsidRPr="005D1A9C">
        <w:rPr>
          <w:szCs w:val="24"/>
          <w:lang w:val="en-CA"/>
        </w:rPr>
        <w:t>ublic and internal champion</w:t>
      </w:r>
      <w:r>
        <w:rPr>
          <w:szCs w:val="24"/>
          <w:lang w:val="en-CA"/>
        </w:rPr>
        <w:t>ing of gender equality from ITU’s leadership</w:t>
      </w:r>
      <w:r w:rsidRPr="005D1A9C">
        <w:rPr>
          <w:szCs w:val="24"/>
          <w:lang w:val="en-CA"/>
        </w:rPr>
        <w:t xml:space="preserve"> </w:t>
      </w:r>
    </w:p>
    <w:p w14:paraId="103B55D6" w14:textId="77777777" w:rsidR="005D1A9C" w:rsidRPr="005D1A9C" w:rsidRDefault="005D1A9C" w:rsidP="005D1A9C">
      <w:pPr>
        <w:tabs>
          <w:tab w:val="clear" w:pos="567"/>
          <w:tab w:val="clear" w:pos="1134"/>
          <w:tab w:val="clear" w:pos="1701"/>
          <w:tab w:val="clear" w:pos="2268"/>
          <w:tab w:val="clear" w:pos="2835"/>
        </w:tabs>
        <w:snapToGrid w:val="0"/>
        <w:spacing w:before="0"/>
        <w:jc w:val="both"/>
        <w:rPr>
          <w:szCs w:val="24"/>
          <w:lang w:val="en-CA"/>
        </w:rPr>
      </w:pPr>
      <w:r w:rsidRPr="005D1A9C">
        <w:rPr>
          <w:szCs w:val="24"/>
          <w:lang w:val="en-CA"/>
        </w:rPr>
        <w:t>8.</w:t>
      </w:r>
      <w:r w:rsidRPr="005D1A9C">
        <w:rPr>
          <w:szCs w:val="24"/>
          <w:lang w:val="en-CA"/>
        </w:rPr>
        <w:tab/>
        <w:t>Gender responsive performance management</w:t>
      </w:r>
    </w:p>
    <w:p w14:paraId="0E38A2A3" w14:textId="76079ECC" w:rsidR="005D1A9C" w:rsidRPr="005D1A9C" w:rsidRDefault="005D1A9C" w:rsidP="008A5A10">
      <w:pPr>
        <w:tabs>
          <w:tab w:val="clear" w:pos="567"/>
          <w:tab w:val="clear" w:pos="1134"/>
          <w:tab w:val="clear" w:pos="1701"/>
          <w:tab w:val="clear" w:pos="2268"/>
          <w:tab w:val="clear" w:pos="2835"/>
        </w:tabs>
        <w:snapToGrid w:val="0"/>
        <w:spacing w:before="0"/>
        <w:jc w:val="both"/>
        <w:rPr>
          <w:szCs w:val="24"/>
          <w:lang w:val="en-CA"/>
        </w:rPr>
      </w:pPr>
      <w:r w:rsidRPr="005D1A9C">
        <w:rPr>
          <w:szCs w:val="24"/>
          <w:lang w:val="en-CA"/>
        </w:rPr>
        <w:t>9.</w:t>
      </w:r>
      <w:r w:rsidRPr="005D1A9C">
        <w:rPr>
          <w:szCs w:val="24"/>
          <w:lang w:val="en-CA"/>
        </w:rPr>
        <w:tab/>
      </w:r>
      <w:r w:rsidR="00E6538A">
        <w:rPr>
          <w:szCs w:val="24"/>
          <w:lang w:val="en-CA"/>
        </w:rPr>
        <w:t xml:space="preserve">Guidelines </w:t>
      </w:r>
      <w:r w:rsidR="00DC251C">
        <w:rPr>
          <w:szCs w:val="24"/>
          <w:lang w:val="en-CA"/>
        </w:rPr>
        <w:t>for</w:t>
      </w:r>
      <w:r w:rsidRPr="005D1A9C">
        <w:rPr>
          <w:szCs w:val="24"/>
          <w:lang w:val="en-CA"/>
        </w:rPr>
        <w:t xml:space="preserve"> improve utility</w:t>
      </w:r>
      <w:r w:rsidR="00E6538A">
        <w:rPr>
          <w:szCs w:val="24"/>
          <w:lang w:val="en-CA"/>
        </w:rPr>
        <w:t xml:space="preserve"> and implementation</w:t>
      </w:r>
      <w:r w:rsidRPr="005D1A9C">
        <w:rPr>
          <w:szCs w:val="24"/>
          <w:lang w:val="en-CA"/>
        </w:rPr>
        <w:t xml:space="preserve"> of gender marker</w:t>
      </w:r>
    </w:p>
    <w:p w14:paraId="2DC3F526" w14:textId="1D63EFD9" w:rsidR="005D1A9C" w:rsidRPr="005D1A9C" w:rsidRDefault="005D1A9C" w:rsidP="008A5A10">
      <w:pPr>
        <w:tabs>
          <w:tab w:val="clear" w:pos="567"/>
          <w:tab w:val="clear" w:pos="1134"/>
          <w:tab w:val="clear" w:pos="1701"/>
          <w:tab w:val="clear" w:pos="2268"/>
          <w:tab w:val="clear" w:pos="2835"/>
        </w:tabs>
        <w:snapToGrid w:val="0"/>
        <w:spacing w:before="0"/>
        <w:jc w:val="both"/>
        <w:rPr>
          <w:szCs w:val="24"/>
          <w:lang w:val="en-CA"/>
        </w:rPr>
      </w:pPr>
      <w:r w:rsidRPr="005D1A9C">
        <w:rPr>
          <w:szCs w:val="24"/>
          <w:lang w:val="en-CA"/>
        </w:rPr>
        <w:t>10.</w:t>
      </w:r>
      <w:r w:rsidRPr="005D1A9C">
        <w:rPr>
          <w:szCs w:val="24"/>
          <w:lang w:val="en-CA"/>
        </w:rPr>
        <w:tab/>
        <w:t>Establish baseline financial target for GEM within ITU</w:t>
      </w:r>
    </w:p>
    <w:p w14:paraId="301DECEA" w14:textId="77BF3EB1" w:rsidR="005D1A9C" w:rsidRPr="005D1A9C" w:rsidRDefault="005D1A9C" w:rsidP="005D1A9C">
      <w:pPr>
        <w:tabs>
          <w:tab w:val="clear" w:pos="567"/>
          <w:tab w:val="clear" w:pos="1134"/>
          <w:tab w:val="clear" w:pos="1701"/>
          <w:tab w:val="clear" w:pos="2268"/>
          <w:tab w:val="clear" w:pos="2835"/>
        </w:tabs>
        <w:snapToGrid w:val="0"/>
        <w:spacing w:before="0"/>
        <w:jc w:val="both"/>
        <w:rPr>
          <w:szCs w:val="24"/>
          <w:lang w:val="en-CA"/>
        </w:rPr>
      </w:pPr>
      <w:r w:rsidRPr="005D1A9C">
        <w:rPr>
          <w:szCs w:val="24"/>
          <w:lang w:val="en-CA"/>
        </w:rPr>
        <w:t>11.</w:t>
      </w:r>
      <w:r w:rsidRPr="005D1A9C">
        <w:rPr>
          <w:szCs w:val="24"/>
          <w:lang w:val="en-CA"/>
        </w:rPr>
        <w:tab/>
        <w:t>Parity in statutory committees</w:t>
      </w:r>
    </w:p>
    <w:p w14:paraId="0716A0A2" w14:textId="1DB93767" w:rsidR="005D1A9C" w:rsidRPr="005D1A9C" w:rsidRDefault="005D1A9C" w:rsidP="005D1A9C">
      <w:pPr>
        <w:tabs>
          <w:tab w:val="clear" w:pos="567"/>
          <w:tab w:val="clear" w:pos="1134"/>
          <w:tab w:val="clear" w:pos="1701"/>
          <w:tab w:val="clear" w:pos="2268"/>
          <w:tab w:val="clear" w:pos="2835"/>
        </w:tabs>
        <w:snapToGrid w:val="0"/>
        <w:spacing w:before="0"/>
        <w:jc w:val="both"/>
        <w:rPr>
          <w:szCs w:val="24"/>
          <w:lang w:val="en-CA"/>
        </w:rPr>
      </w:pPr>
      <w:r w:rsidRPr="005D1A9C">
        <w:rPr>
          <w:szCs w:val="24"/>
          <w:lang w:val="en-CA"/>
        </w:rPr>
        <w:t xml:space="preserve">12. </w:t>
      </w:r>
      <w:r w:rsidR="00E6538A">
        <w:rPr>
          <w:szCs w:val="24"/>
          <w:lang w:val="en-CA"/>
        </w:rPr>
        <w:tab/>
        <w:t>E</w:t>
      </w:r>
      <w:r w:rsidRPr="005D1A9C">
        <w:rPr>
          <w:szCs w:val="24"/>
          <w:lang w:val="en-CA"/>
        </w:rPr>
        <w:t xml:space="preserve">stablish gender </w:t>
      </w:r>
      <w:r w:rsidR="00E6538A" w:rsidRPr="005D1A9C">
        <w:rPr>
          <w:szCs w:val="24"/>
          <w:lang w:val="en-CA"/>
        </w:rPr>
        <w:t>parity</w:t>
      </w:r>
      <w:r w:rsidRPr="005D1A9C">
        <w:rPr>
          <w:szCs w:val="24"/>
          <w:lang w:val="en-CA"/>
        </w:rPr>
        <w:t xml:space="preserve"> strategy within HR strategy</w:t>
      </w:r>
      <w:r w:rsidR="00E6538A">
        <w:rPr>
          <w:szCs w:val="24"/>
          <w:lang w:val="en-CA"/>
        </w:rPr>
        <w:t>, aligning with UN SG’s strategy</w:t>
      </w:r>
    </w:p>
    <w:p w14:paraId="0A1D0F3E" w14:textId="49630B8F" w:rsidR="005D1A9C" w:rsidRPr="005D1A9C" w:rsidRDefault="005D1A9C" w:rsidP="005D1A9C">
      <w:pPr>
        <w:tabs>
          <w:tab w:val="clear" w:pos="567"/>
          <w:tab w:val="clear" w:pos="1134"/>
          <w:tab w:val="clear" w:pos="1701"/>
          <w:tab w:val="clear" w:pos="2268"/>
          <w:tab w:val="clear" w:pos="2835"/>
        </w:tabs>
        <w:snapToGrid w:val="0"/>
        <w:spacing w:before="0"/>
        <w:jc w:val="both"/>
        <w:rPr>
          <w:szCs w:val="24"/>
          <w:lang w:val="en-CA"/>
        </w:rPr>
      </w:pPr>
      <w:r w:rsidRPr="005D1A9C">
        <w:rPr>
          <w:szCs w:val="24"/>
          <w:lang w:val="en-CA"/>
        </w:rPr>
        <w:t>13.</w:t>
      </w:r>
      <w:r w:rsidR="00E6538A">
        <w:rPr>
          <w:szCs w:val="24"/>
          <w:lang w:val="en-CA"/>
        </w:rPr>
        <w:t>1</w:t>
      </w:r>
      <w:r w:rsidRPr="005D1A9C">
        <w:rPr>
          <w:szCs w:val="24"/>
          <w:lang w:val="en-CA"/>
        </w:rPr>
        <w:tab/>
      </w:r>
      <w:r w:rsidR="00DC251C">
        <w:rPr>
          <w:szCs w:val="24"/>
          <w:lang w:val="en-CA"/>
        </w:rPr>
        <w:t>S</w:t>
      </w:r>
      <w:r w:rsidR="00E6538A">
        <w:rPr>
          <w:szCs w:val="24"/>
          <w:lang w:val="en-CA"/>
        </w:rPr>
        <w:t xml:space="preserve">afe and harmonious </w:t>
      </w:r>
      <w:r w:rsidR="00DC251C">
        <w:rPr>
          <w:szCs w:val="24"/>
          <w:lang w:val="en-CA"/>
        </w:rPr>
        <w:t xml:space="preserve">work </w:t>
      </w:r>
      <w:r w:rsidR="00E6538A">
        <w:rPr>
          <w:szCs w:val="24"/>
          <w:lang w:val="en-CA"/>
        </w:rPr>
        <w:t>environment, free of sexual harassment; includ</w:t>
      </w:r>
      <w:r w:rsidR="00DC251C">
        <w:rPr>
          <w:szCs w:val="24"/>
          <w:lang w:val="en-CA"/>
        </w:rPr>
        <w:t>ing</w:t>
      </w:r>
      <w:r w:rsidRPr="005D1A9C">
        <w:rPr>
          <w:szCs w:val="24"/>
          <w:lang w:val="en-CA"/>
        </w:rPr>
        <w:t xml:space="preserve"> CEB </w:t>
      </w:r>
      <w:r w:rsidR="00E6538A">
        <w:rPr>
          <w:szCs w:val="24"/>
          <w:lang w:val="en-CA"/>
        </w:rPr>
        <w:t>T</w:t>
      </w:r>
      <w:r w:rsidR="00DC251C">
        <w:rPr>
          <w:szCs w:val="24"/>
          <w:lang w:val="en-CA"/>
        </w:rPr>
        <w:t>ask Force</w:t>
      </w:r>
    </w:p>
    <w:p w14:paraId="17DE6D55" w14:textId="3A1B1D2C" w:rsidR="005D1A9C" w:rsidRPr="005D1A9C" w:rsidRDefault="005D1A9C" w:rsidP="005D1A9C">
      <w:pPr>
        <w:tabs>
          <w:tab w:val="clear" w:pos="567"/>
          <w:tab w:val="clear" w:pos="1134"/>
          <w:tab w:val="clear" w:pos="1701"/>
          <w:tab w:val="clear" w:pos="2268"/>
          <w:tab w:val="clear" w:pos="2835"/>
        </w:tabs>
        <w:snapToGrid w:val="0"/>
        <w:spacing w:before="0"/>
        <w:jc w:val="both"/>
        <w:rPr>
          <w:szCs w:val="24"/>
          <w:lang w:val="en-CA"/>
        </w:rPr>
      </w:pPr>
      <w:r w:rsidRPr="005D1A9C">
        <w:rPr>
          <w:szCs w:val="24"/>
          <w:lang w:val="en-CA"/>
        </w:rPr>
        <w:t>13.</w:t>
      </w:r>
      <w:r w:rsidR="00E6538A">
        <w:rPr>
          <w:szCs w:val="24"/>
          <w:lang w:val="en-CA"/>
        </w:rPr>
        <w:t>2</w:t>
      </w:r>
      <w:r w:rsidRPr="005D1A9C">
        <w:rPr>
          <w:szCs w:val="24"/>
          <w:lang w:val="en-CA"/>
        </w:rPr>
        <w:tab/>
      </w:r>
      <w:r w:rsidR="00E6538A">
        <w:rPr>
          <w:szCs w:val="24"/>
          <w:lang w:val="en-CA"/>
        </w:rPr>
        <w:t>G</w:t>
      </w:r>
      <w:r w:rsidRPr="005D1A9C">
        <w:rPr>
          <w:szCs w:val="24"/>
          <w:lang w:val="en-CA"/>
        </w:rPr>
        <w:t xml:space="preserve">ender-responsiveness work/life </w:t>
      </w:r>
      <w:r w:rsidR="00E6538A">
        <w:rPr>
          <w:szCs w:val="24"/>
          <w:lang w:val="en-CA"/>
        </w:rPr>
        <w:t>balance policy and implementation</w:t>
      </w:r>
    </w:p>
    <w:p w14:paraId="006E013C" w14:textId="19027004" w:rsidR="005D1A9C" w:rsidRPr="005D1A9C" w:rsidRDefault="005D1A9C" w:rsidP="005D1A9C">
      <w:pPr>
        <w:tabs>
          <w:tab w:val="clear" w:pos="567"/>
          <w:tab w:val="clear" w:pos="1134"/>
          <w:tab w:val="clear" w:pos="1701"/>
          <w:tab w:val="clear" w:pos="2268"/>
          <w:tab w:val="clear" w:pos="2835"/>
        </w:tabs>
        <w:snapToGrid w:val="0"/>
        <w:spacing w:before="0"/>
        <w:jc w:val="both"/>
        <w:rPr>
          <w:szCs w:val="24"/>
          <w:lang w:val="en-CA"/>
        </w:rPr>
      </w:pPr>
      <w:r w:rsidRPr="005D1A9C">
        <w:rPr>
          <w:szCs w:val="24"/>
          <w:lang w:val="en-CA"/>
        </w:rPr>
        <w:t>13.</w:t>
      </w:r>
      <w:r w:rsidR="00E6538A">
        <w:rPr>
          <w:szCs w:val="24"/>
          <w:lang w:val="en-CA"/>
        </w:rPr>
        <w:t>3</w:t>
      </w:r>
      <w:r w:rsidRPr="005D1A9C">
        <w:rPr>
          <w:szCs w:val="24"/>
          <w:lang w:val="en-CA"/>
        </w:rPr>
        <w:tab/>
      </w:r>
      <w:r w:rsidR="00DC251C">
        <w:rPr>
          <w:szCs w:val="24"/>
          <w:lang w:val="en-CA"/>
        </w:rPr>
        <w:t xml:space="preserve">Establish </w:t>
      </w:r>
      <w:r w:rsidR="0091582B">
        <w:rPr>
          <w:szCs w:val="24"/>
          <w:lang w:val="en-CA"/>
        </w:rPr>
        <w:t xml:space="preserve">organizational culture </w:t>
      </w:r>
      <w:r w:rsidR="00DC251C">
        <w:rPr>
          <w:szCs w:val="24"/>
          <w:lang w:val="en-CA"/>
        </w:rPr>
        <w:t>m</w:t>
      </w:r>
      <w:r w:rsidRPr="005D1A9C">
        <w:rPr>
          <w:szCs w:val="24"/>
          <w:lang w:val="en-CA"/>
        </w:rPr>
        <w:t>onitoring mechanism</w:t>
      </w:r>
      <w:r w:rsidR="00DC251C">
        <w:rPr>
          <w:szCs w:val="24"/>
          <w:lang w:val="en-CA"/>
        </w:rPr>
        <w:t>; staff survey</w:t>
      </w:r>
    </w:p>
    <w:p w14:paraId="173216AB" w14:textId="1F080BEC" w:rsidR="005D1A9C" w:rsidRPr="005D1A9C" w:rsidRDefault="005D1A9C" w:rsidP="005D1A9C">
      <w:pPr>
        <w:tabs>
          <w:tab w:val="clear" w:pos="567"/>
          <w:tab w:val="clear" w:pos="1134"/>
          <w:tab w:val="clear" w:pos="1701"/>
          <w:tab w:val="clear" w:pos="2268"/>
          <w:tab w:val="clear" w:pos="2835"/>
        </w:tabs>
        <w:snapToGrid w:val="0"/>
        <w:spacing w:before="0"/>
        <w:jc w:val="both"/>
        <w:rPr>
          <w:szCs w:val="24"/>
          <w:lang w:val="en-CA"/>
        </w:rPr>
      </w:pPr>
      <w:r w:rsidRPr="005D1A9C">
        <w:rPr>
          <w:szCs w:val="24"/>
          <w:lang w:val="en-CA"/>
        </w:rPr>
        <w:t>14.</w:t>
      </w:r>
      <w:r w:rsidRPr="005D1A9C">
        <w:rPr>
          <w:szCs w:val="24"/>
          <w:lang w:val="en-CA"/>
        </w:rPr>
        <w:tab/>
        <w:t xml:space="preserve">Gender </w:t>
      </w:r>
      <w:r w:rsidR="00E6538A">
        <w:rPr>
          <w:szCs w:val="24"/>
          <w:lang w:val="en-CA"/>
        </w:rPr>
        <w:t>e</w:t>
      </w:r>
      <w:r w:rsidRPr="005D1A9C">
        <w:rPr>
          <w:szCs w:val="24"/>
          <w:lang w:val="en-CA"/>
        </w:rPr>
        <w:t xml:space="preserve">quality </w:t>
      </w:r>
      <w:r w:rsidR="00E6538A">
        <w:rPr>
          <w:szCs w:val="24"/>
          <w:lang w:val="en-CA"/>
        </w:rPr>
        <w:t>c</w:t>
      </w:r>
      <w:r w:rsidRPr="005D1A9C">
        <w:rPr>
          <w:szCs w:val="24"/>
          <w:lang w:val="en-CA"/>
        </w:rPr>
        <w:t xml:space="preserve">apacity </w:t>
      </w:r>
      <w:r w:rsidR="00E6538A">
        <w:rPr>
          <w:szCs w:val="24"/>
          <w:lang w:val="en-CA"/>
        </w:rPr>
        <w:t>a</w:t>
      </w:r>
      <w:r w:rsidRPr="005D1A9C">
        <w:rPr>
          <w:szCs w:val="24"/>
          <w:lang w:val="en-CA"/>
        </w:rPr>
        <w:t>ssessment</w:t>
      </w:r>
      <w:r w:rsidRPr="005D1A9C">
        <w:rPr>
          <w:szCs w:val="24"/>
          <w:lang w:val="en-CA"/>
        </w:rPr>
        <w:tab/>
      </w:r>
    </w:p>
    <w:p w14:paraId="354B2733" w14:textId="32F35C23" w:rsidR="005D1A9C" w:rsidRPr="005D1A9C" w:rsidRDefault="005D1A9C" w:rsidP="005D1A9C">
      <w:pPr>
        <w:tabs>
          <w:tab w:val="clear" w:pos="567"/>
          <w:tab w:val="clear" w:pos="1134"/>
          <w:tab w:val="clear" w:pos="1701"/>
          <w:tab w:val="clear" w:pos="2268"/>
          <w:tab w:val="clear" w:pos="2835"/>
        </w:tabs>
        <w:snapToGrid w:val="0"/>
        <w:spacing w:before="0"/>
        <w:jc w:val="both"/>
        <w:rPr>
          <w:szCs w:val="24"/>
          <w:lang w:val="en-CA"/>
        </w:rPr>
      </w:pPr>
      <w:r w:rsidRPr="005D1A9C">
        <w:rPr>
          <w:szCs w:val="24"/>
          <w:lang w:val="en-CA"/>
        </w:rPr>
        <w:t>15.</w:t>
      </w:r>
      <w:r w:rsidRPr="005D1A9C">
        <w:rPr>
          <w:szCs w:val="24"/>
          <w:lang w:val="en-CA"/>
        </w:rPr>
        <w:tab/>
        <w:t xml:space="preserve">Training for GTF focal points </w:t>
      </w:r>
      <w:r w:rsidR="0091582B">
        <w:rPr>
          <w:szCs w:val="24"/>
          <w:lang w:val="en-CA"/>
        </w:rPr>
        <w:t>and gender elements included in induction training/booklet</w:t>
      </w:r>
    </w:p>
    <w:p w14:paraId="1F2B8F4B" w14:textId="3723C326" w:rsidR="005D1A9C" w:rsidRPr="005D1A9C" w:rsidRDefault="005D1A9C" w:rsidP="005D1A9C">
      <w:pPr>
        <w:tabs>
          <w:tab w:val="clear" w:pos="567"/>
          <w:tab w:val="clear" w:pos="1134"/>
          <w:tab w:val="clear" w:pos="1701"/>
          <w:tab w:val="clear" w:pos="2268"/>
          <w:tab w:val="clear" w:pos="2835"/>
        </w:tabs>
        <w:snapToGrid w:val="0"/>
        <w:spacing w:before="0"/>
        <w:jc w:val="both"/>
        <w:rPr>
          <w:szCs w:val="24"/>
          <w:lang w:val="en-CA"/>
        </w:rPr>
      </w:pPr>
      <w:r w:rsidRPr="005D1A9C">
        <w:rPr>
          <w:szCs w:val="24"/>
          <w:lang w:val="en-CA"/>
        </w:rPr>
        <w:t>16</w:t>
      </w:r>
      <w:r w:rsidR="00E6538A">
        <w:rPr>
          <w:szCs w:val="24"/>
          <w:lang w:val="en-CA"/>
        </w:rPr>
        <w:t>.</w:t>
      </w:r>
      <w:r w:rsidRPr="005D1A9C">
        <w:rPr>
          <w:szCs w:val="24"/>
          <w:lang w:val="en-CA"/>
        </w:rPr>
        <w:tab/>
        <w:t>Update</w:t>
      </w:r>
      <w:r w:rsidR="00E6538A">
        <w:rPr>
          <w:szCs w:val="24"/>
          <w:lang w:val="en-CA"/>
        </w:rPr>
        <w:t>d GEM communications; intranet</w:t>
      </w:r>
    </w:p>
    <w:p w14:paraId="60D52A06" w14:textId="72025501" w:rsidR="005D1A9C" w:rsidRPr="00EE1126" w:rsidRDefault="005D1A9C" w:rsidP="005D1A9C">
      <w:pPr>
        <w:tabs>
          <w:tab w:val="clear" w:pos="567"/>
          <w:tab w:val="clear" w:pos="1134"/>
          <w:tab w:val="clear" w:pos="1701"/>
          <w:tab w:val="clear" w:pos="2268"/>
          <w:tab w:val="clear" w:pos="2835"/>
        </w:tabs>
        <w:snapToGrid w:val="0"/>
        <w:spacing w:before="0"/>
        <w:jc w:val="both"/>
        <w:rPr>
          <w:szCs w:val="24"/>
          <w:lang w:val="en-CA"/>
        </w:rPr>
      </w:pPr>
      <w:r w:rsidRPr="005D1A9C">
        <w:rPr>
          <w:szCs w:val="24"/>
          <w:lang w:val="en-CA"/>
        </w:rPr>
        <w:t>17</w:t>
      </w:r>
      <w:r w:rsidR="00E6538A">
        <w:rPr>
          <w:szCs w:val="24"/>
          <w:lang w:val="en-CA"/>
        </w:rPr>
        <w:t>.</w:t>
      </w:r>
      <w:r w:rsidRPr="005D1A9C">
        <w:rPr>
          <w:szCs w:val="24"/>
          <w:lang w:val="en-CA"/>
        </w:rPr>
        <w:tab/>
        <w:t>UN-SWAP peer review of 2018 report</w:t>
      </w:r>
    </w:p>
    <w:p w14:paraId="3DD227E3" w14:textId="07FE2BB6" w:rsidR="00D06BF9" w:rsidRPr="00A73015" w:rsidRDefault="00D06BF9" w:rsidP="007543BC">
      <w:pPr>
        <w:tabs>
          <w:tab w:val="clear" w:pos="567"/>
          <w:tab w:val="clear" w:pos="1134"/>
          <w:tab w:val="clear" w:pos="1701"/>
          <w:tab w:val="clear" w:pos="2268"/>
          <w:tab w:val="clear" w:pos="2835"/>
          <w:tab w:val="left" w:pos="540"/>
          <w:tab w:val="right" w:pos="9540"/>
        </w:tabs>
        <w:snapToGrid w:val="0"/>
        <w:spacing w:before="0"/>
        <w:jc w:val="both"/>
        <w:rPr>
          <w:szCs w:val="24"/>
        </w:rPr>
      </w:pPr>
    </w:p>
    <w:p w14:paraId="0B88C6A9" w14:textId="77777777" w:rsidR="00264425" w:rsidRPr="002A2188" w:rsidRDefault="008047BE" w:rsidP="006C3F5C">
      <w:pPr>
        <w:spacing w:before="600"/>
        <w:jc w:val="center"/>
        <w:rPr>
          <w:lang w:val="en-US"/>
        </w:rPr>
      </w:pPr>
      <w:r w:rsidRPr="00EE1126">
        <w:t>_________</w:t>
      </w:r>
      <w:r>
        <w:t>______</w:t>
      </w:r>
    </w:p>
    <w:sectPr w:rsidR="00264425" w:rsidRPr="002A2188" w:rsidSect="004D1851">
      <w:headerReference w:type="default" r:id="rId52"/>
      <w:footerReference w:type="first" r:id="rId5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41FA7" w14:textId="77777777" w:rsidR="007C7EDC" w:rsidRDefault="007C7EDC">
      <w:r>
        <w:separator/>
      </w:r>
    </w:p>
  </w:endnote>
  <w:endnote w:type="continuationSeparator" w:id="0">
    <w:p w14:paraId="3DFAD52C" w14:textId="77777777" w:rsidR="007C7EDC" w:rsidRDefault="007C7EDC">
      <w:r>
        <w:continuationSeparator/>
      </w:r>
    </w:p>
  </w:endnote>
  <w:endnote w:type="continuationNotice" w:id="1">
    <w:p w14:paraId="17B91FE3" w14:textId="77777777" w:rsidR="007C7EDC" w:rsidRDefault="007C7ED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38A36" w14:textId="77777777" w:rsidR="007C7EDC" w:rsidRDefault="007C7EDC">
    <w:pPr>
      <w:spacing w:after="120"/>
      <w:jc w:val="center"/>
    </w:pPr>
    <w:r>
      <w:t xml:space="preserve">• </w:t>
    </w:r>
    <w:hyperlink r:id="rId1" w:history="1">
      <w:r>
        <w:rPr>
          <w:rStyle w:val="Hyperlink"/>
        </w:rPr>
        <w:t>http://www.itu.int/council</w:t>
      </w:r>
    </w:hyperlink>
    <w:r>
      <w:t xml:space="preserve"> •</w:t>
    </w:r>
  </w:p>
  <w:p w14:paraId="120A2C8F" w14:textId="77777777" w:rsidR="007C7EDC" w:rsidRDefault="007C7E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D944B" w14:textId="77777777" w:rsidR="007C7EDC" w:rsidRDefault="007C7EDC">
      <w:r>
        <w:t>____________________</w:t>
      </w:r>
    </w:p>
  </w:footnote>
  <w:footnote w:type="continuationSeparator" w:id="0">
    <w:p w14:paraId="244ECCBD" w14:textId="77777777" w:rsidR="007C7EDC" w:rsidRDefault="007C7EDC">
      <w:r>
        <w:continuationSeparator/>
      </w:r>
    </w:p>
  </w:footnote>
  <w:footnote w:type="continuationNotice" w:id="1">
    <w:p w14:paraId="75F500BE" w14:textId="77777777" w:rsidR="007C7EDC" w:rsidRDefault="007C7EDC">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D1998" w14:textId="08B75FDF" w:rsidR="007C7EDC" w:rsidRDefault="007C7EDC" w:rsidP="00CE433C">
    <w:pPr>
      <w:pStyle w:val="Header"/>
    </w:pPr>
    <w:r>
      <w:fldChar w:fldCharType="begin"/>
    </w:r>
    <w:r>
      <w:instrText>PAGE</w:instrText>
    </w:r>
    <w:r>
      <w:fldChar w:fldCharType="separate"/>
    </w:r>
    <w:r w:rsidR="00561BE6">
      <w:rPr>
        <w:noProof/>
      </w:rPr>
      <w:t>2</w:t>
    </w:r>
    <w:r>
      <w:rPr>
        <w:noProof/>
      </w:rPr>
      <w:fldChar w:fldCharType="end"/>
    </w:r>
  </w:p>
  <w:p w14:paraId="040B9BFD" w14:textId="776141C6" w:rsidR="007C7EDC" w:rsidRPr="00623AE3" w:rsidRDefault="00B20073" w:rsidP="006C3F5C">
    <w:pPr>
      <w:pStyle w:val="Header"/>
      <w:rPr>
        <w:bCs/>
      </w:rPr>
    </w:pPr>
    <w:r>
      <w:rPr>
        <w:bCs/>
      </w:rPr>
      <w:t>C19</w:t>
    </w:r>
    <w:r w:rsidR="007C7EDC" w:rsidRPr="00623AE3">
      <w:rPr>
        <w:bCs/>
      </w:rPr>
      <w:t>/</w:t>
    </w:r>
    <w:r w:rsidR="007C7EDC">
      <w:rPr>
        <w:bCs/>
      </w:rPr>
      <w:t>6</w:t>
    </w:r>
    <w:r w:rsidR="007C7EDC"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1E516A7"/>
    <w:multiLevelType w:val="multilevel"/>
    <w:tmpl w:val="7D8A8852"/>
    <w:lvl w:ilvl="0">
      <w:start w:val="4"/>
      <w:numFmt w:val="decimal"/>
      <w:lvlText w:val="%1"/>
      <w:lvlJc w:val="left"/>
      <w:pPr>
        <w:ind w:left="480" w:hanging="480"/>
      </w:pPr>
      <w:rPr>
        <w:rFonts w:hint="default"/>
        <w:b/>
      </w:rPr>
    </w:lvl>
    <w:lvl w:ilvl="1">
      <w:start w:val="3"/>
      <w:numFmt w:val="decimal"/>
      <w:lvlText w:val="%1.%2"/>
      <w:lvlJc w:val="left"/>
      <w:pPr>
        <w:ind w:left="763" w:hanging="48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2" w15:restartNumberingAfterBreak="0">
    <w:nsid w:val="3C984804"/>
    <w:multiLevelType w:val="hybridMultilevel"/>
    <w:tmpl w:val="FFB6748A"/>
    <w:lvl w:ilvl="0" w:tplc="0409000F">
      <w:start w:val="1"/>
      <w:numFmt w:val="decimal"/>
      <w:lvlText w:val="%1."/>
      <w:lvlJc w:val="left"/>
      <w:pPr>
        <w:ind w:left="-1058" w:hanging="360"/>
      </w:pPr>
    </w:lvl>
    <w:lvl w:ilvl="1" w:tplc="04090019" w:tentative="1">
      <w:start w:val="1"/>
      <w:numFmt w:val="lowerLetter"/>
      <w:lvlText w:val="%2."/>
      <w:lvlJc w:val="left"/>
      <w:pPr>
        <w:ind w:left="-338" w:hanging="360"/>
      </w:pPr>
    </w:lvl>
    <w:lvl w:ilvl="2" w:tplc="0409001B" w:tentative="1">
      <w:start w:val="1"/>
      <w:numFmt w:val="lowerRoman"/>
      <w:lvlText w:val="%3."/>
      <w:lvlJc w:val="right"/>
      <w:pPr>
        <w:ind w:left="382" w:hanging="180"/>
      </w:pPr>
    </w:lvl>
    <w:lvl w:ilvl="3" w:tplc="0409000F" w:tentative="1">
      <w:start w:val="1"/>
      <w:numFmt w:val="decimal"/>
      <w:lvlText w:val="%4."/>
      <w:lvlJc w:val="left"/>
      <w:pPr>
        <w:ind w:left="1102" w:hanging="360"/>
      </w:pPr>
    </w:lvl>
    <w:lvl w:ilvl="4" w:tplc="04090019" w:tentative="1">
      <w:start w:val="1"/>
      <w:numFmt w:val="lowerLetter"/>
      <w:lvlText w:val="%5."/>
      <w:lvlJc w:val="left"/>
      <w:pPr>
        <w:ind w:left="1822" w:hanging="360"/>
      </w:pPr>
    </w:lvl>
    <w:lvl w:ilvl="5" w:tplc="0409001B" w:tentative="1">
      <w:start w:val="1"/>
      <w:numFmt w:val="lowerRoman"/>
      <w:lvlText w:val="%6."/>
      <w:lvlJc w:val="right"/>
      <w:pPr>
        <w:ind w:left="2542" w:hanging="180"/>
      </w:pPr>
    </w:lvl>
    <w:lvl w:ilvl="6" w:tplc="0409000F" w:tentative="1">
      <w:start w:val="1"/>
      <w:numFmt w:val="decimal"/>
      <w:lvlText w:val="%7."/>
      <w:lvlJc w:val="left"/>
      <w:pPr>
        <w:ind w:left="3262" w:hanging="360"/>
      </w:pPr>
    </w:lvl>
    <w:lvl w:ilvl="7" w:tplc="04090019" w:tentative="1">
      <w:start w:val="1"/>
      <w:numFmt w:val="lowerLetter"/>
      <w:lvlText w:val="%8."/>
      <w:lvlJc w:val="left"/>
      <w:pPr>
        <w:ind w:left="3982" w:hanging="360"/>
      </w:pPr>
    </w:lvl>
    <w:lvl w:ilvl="8" w:tplc="0409001B" w:tentative="1">
      <w:start w:val="1"/>
      <w:numFmt w:val="lowerRoman"/>
      <w:lvlText w:val="%9."/>
      <w:lvlJc w:val="right"/>
      <w:pPr>
        <w:ind w:left="4702"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210D4"/>
    <w:rsid w:val="0002412B"/>
    <w:rsid w:val="00031DA7"/>
    <w:rsid w:val="00047B0E"/>
    <w:rsid w:val="00063016"/>
    <w:rsid w:val="00066795"/>
    <w:rsid w:val="00076AF6"/>
    <w:rsid w:val="00085CF2"/>
    <w:rsid w:val="00095FFE"/>
    <w:rsid w:val="00096DB1"/>
    <w:rsid w:val="000B1705"/>
    <w:rsid w:val="000C55F1"/>
    <w:rsid w:val="000D1A83"/>
    <w:rsid w:val="000D1E22"/>
    <w:rsid w:val="000D75B2"/>
    <w:rsid w:val="000F49CE"/>
    <w:rsid w:val="00102BD8"/>
    <w:rsid w:val="001121F5"/>
    <w:rsid w:val="00121F97"/>
    <w:rsid w:val="001236E9"/>
    <w:rsid w:val="00130C54"/>
    <w:rsid w:val="001344AA"/>
    <w:rsid w:val="00136C27"/>
    <w:rsid w:val="001400DC"/>
    <w:rsid w:val="00140CE1"/>
    <w:rsid w:val="001422CD"/>
    <w:rsid w:val="001569D3"/>
    <w:rsid w:val="00166F89"/>
    <w:rsid w:val="0017539C"/>
    <w:rsid w:val="00175AC2"/>
    <w:rsid w:val="0017609F"/>
    <w:rsid w:val="001828C4"/>
    <w:rsid w:val="001859E0"/>
    <w:rsid w:val="001A03B1"/>
    <w:rsid w:val="001A404F"/>
    <w:rsid w:val="001B09CB"/>
    <w:rsid w:val="001C0B12"/>
    <w:rsid w:val="001C628E"/>
    <w:rsid w:val="001D4D6F"/>
    <w:rsid w:val="001E0F7B"/>
    <w:rsid w:val="001F3BAF"/>
    <w:rsid w:val="0020315E"/>
    <w:rsid w:val="002113AA"/>
    <w:rsid w:val="002119FD"/>
    <w:rsid w:val="002130E0"/>
    <w:rsid w:val="0022125B"/>
    <w:rsid w:val="002240EA"/>
    <w:rsid w:val="0022478A"/>
    <w:rsid w:val="002270D8"/>
    <w:rsid w:val="00236A42"/>
    <w:rsid w:val="002466DB"/>
    <w:rsid w:val="00254F6E"/>
    <w:rsid w:val="00264425"/>
    <w:rsid w:val="00264CF5"/>
    <w:rsid w:val="00265875"/>
    <w:rsid w:val="0027303B"/>
    <w:rsid w:val="0028109B"/>
    <w:rsid w:val="002874A2"/>
    <w:rsid w:val="00291564"/>
    <w:rsid w:val="002A2188"/>
    <w:rsid w:val="002A3899"/>
    <w:rsid w:val="002B1F58"/>
    <w:rsid w:val="002C1C7A"/>
    <w:rsid w:val="002F2218"/>
    <w:rsid w:val="0030160F"/>
    <w:rsid w:val="003026F8"/>
    <w:rsid w:val="00316B74"/>
    <w:rsid w:val="00322D0D"/>
    <w:rsid w:val="003273CC"/>
    <w:rsid w:val="003942D4"/>
    <w:rsid w:val="00394DFF"/>
    <w:rsid w:val="003958A8"/>
    <w:rsid w:val="003A5C98"/>
    <w:rsid w:val="003B1693"/>
    <w:rsid w:val="003C2533"/>
    <w:rsid w:val="003C7F03"/>
    <w:rsid w:val="003D59CA"/>
    <w:rsid w:val="003E4A1A"/>
    <w:rsid w:val="003F4E70"/>
    <w:rsid w:val="00400EEE"/>
    <w:rsid w:val="004034FF"/>
    <w:rsid w:val="0040435A"/>
    <w:rsid w:val="004158A9"/>
    <w:rsid w:val="00416A24"/>
    <w:rsid w:val="00423667"/>
    <w:rsid w:val="004303F1"/>
    <w:rsid w:val="00431D9E"/>
    <w:rsid w:val="00433CE8"/>
    <w:rsid w:val="00434A5C"/>
    <w:rsid w:val="00436005"/>
    <w:rsid w:val="004544D9"/>
    <w:rsid w:val="0048335F"/>
    <w:rsid w:val="0048520B"/>
    <w:rsid w:val="00490E72"/>
    <w:rsid w:val="00491157"/>
    <w:rsid w:val="004921C8"/>
    <w:rsid w:val="004B57DE"/>
    <w:rsid w:val="004C6C96"/>
    <w:rsid w:val="004D1851"/>
    <w:rsid w:val="004D599D"/>
    <w:rsid w:val="004E2EA5"/>
    <w:rsid w:val="004E3AEB"/>
    <w:rsid w:val="00501558"/>
    <w:rsid w:val="0050223C"/>
    <w:rsid w:val="005073A8"/>
    <w:rsid w:val="00507D0F"/>
    <w:rsid w:val="0051641A"/>
    <w:rsid w:val="0051719F"/>
    <w:rsid w:val="005243FF"/>
    <w:rsid w:val="00527796"/>
    <w:rsid w:val="00531E39"/>
    <w:rsid w:val="00536AA3"/>
    <w:rsid w:val="00537A8B"/>
    <w:rsid w:val="00544804"/>
    <w:rsid w:val="00561BE6"/>
    <w:rsid w:val="00564FBC"/>
    <w:rsid w:val="00577A79"/>
    <w:rsid w:val="00582442"/>
    <w:rsid w:val="005917B5"/>
    <w:rsid w:val="005A549C"/>
    <w:rsid w:val="005B7D4F"/>
    <w:rsid w:val="005C648E"/>
    <w:rsid w:val="005D1A9C"/>
    <w:rsid w:val="005E567C"/>
    <w:rsid w:val="005F3269"/>
    <w:rsid w:val="00623AE3"/>
    <w:rsid w:val="00625937"/>
    <w:rsid w:val="00632727"/>
    <w:rsid w:val="00644E56"/>
    <w:rsid w:val="0064737F"/>
    <w:rsid w:val="006535F1"/>
    <w:rsid w:val="0065557D"/>
    <w:rsid w:val="00662984"/>
    <w:rsid w:val="00670942"/>
    <w:rsid w:val="006716BB"/>
    <w:rsid w:val="0068460D"/>
    <w:rsid w:val="0068598A"/>
    <w:rsid w:val="006A0F90"/>
    <w:rsid w:val="006B6680"/>
    <w:rsid w:val="006B6DCC"/>
    <w:rsid w:val="006C3F5C"/>
    <w:rsid w:val="006C5098"/>
    <w:rsid w:val="006C620F"/>
    <w:rsid w:val="006D3606"/>
    <w:rsid w:val="006D3927"/>
    <w:rsid w:val="006E1272"/>
    <w:rsid w:val="006E6447"/>
    <w:rsid w:val="00700045"/>
    <w:rsid w:val="00702DEF"/>
    <w:rsid w:val="0070606F"/>
    <w:rsid w:val="00706861"/>
    <w:rsid w:val="007133B9"/>
    <w:rsid w:val="00721C3F"/>
    <w:rsid w:val="0075051B"/>
    <w:rsid w:val="007543BC"/>
    <w:rsid w:val="007606E1"/>
    <w:rsid w:val="00761B25"/>
    <w:rsid w:val="00785FD2"/>
    <w:rsid w:val="00793188"/>
    <w:rsid w:val="00794D34"/>
    <w:rsid w:val="007B5040"/>
    <w:rsid w:val="007C0D38"/>
    <w:rsid w:val="007C4416"/>
    <w:rsid w:val="007C7EDC"/>
    <w:rsid w:val="008047BE"/>
    <w:rsid w:val="00813E5E"/>
    <w:rsid w:val="0082281A"/>
    <w:rsid w:val="0083581B"/>
    <w:rsid w:val="00864AFF"/>
    <w:rsid w:val="008659A5"/>
    <w:rsid w:val="0087203D"/>
    <w:rsid w:val="00873000"/>
    <w:rsid w:val="00894573"/>
    <w:rsid w:val="008A5A10"/>
    <w:rsid w:val="008B047F"/>
    <w:rsid w:val="008B4A6A"/>
    <w:rsid w:val="008C32A4"/>
    <w:rsid w:val="008C7E27"/>
    <w:rsid w:val="008E67DA"/>
    <w:rsid w:val="00914491"/>
    <w:rsid w:val="0091534B"/>
    <w:rsid w:val="0091582B"/>
    <w:rsid w:val="009162D6"/>
    <w:rsid w:val="0091695A"/>
    <w:rsid w:val="009173EF"/>
    <w:rsid w:val="009174BF"/>
    <w:rsid w:val="00932906"/>
    <w:rsid w:val="0094052B"/>
    <w:rsid w:val="00945F67"/>
    <w:rsid w:val="00952E54"/>
    <w:rsid w:val="00960A35"/>
    <w:rsid w:val="00961B0B"/>
    <w:rsid w:val="009727FD"/>
    <w:rsid w:val="009A37F8"/>
    <w:rsid w:val="009B38C3"/>
    <w:rsid w:val="009D4049"/>
    <w:rsid w:val="009E07C7"/>
    <w:rsid w:val="009E17BD"/>
    <w:rsid w:val="009E485A"/>
    <w:rsid w:val="00A02B0B"/>
    <w:rsid w:val="00A04CEC"/>
    <w:rsid w:val="00A27F92"/>
    <w:rsid w:val="00A32257"/>
    <w:rsid w:val="00A36D20"/>
    <w:rsid w:val="00A459CC"/>
    <w:rsid w:val="00A55622"/>
    <w:rsid w:val="00A64CEB"/>
    <w:rsid w:val="00A66117"/>
    <w:rsid w:val="00A70F2E"/>
    <w:rsid w:val="00A7761C"/>
    <w:rsid w:val="00A83502"/>
    <w:rsid w:val="00AB0553"/>
    <w:rsid w:val="00AB4764"/>
    <w:rsid w:val="00AB7E69"/>
    <w:rsid w:val="00AC033F"/>
    <w:rsid w:val="00AD15B3"/>
    <w:rsid w:val="00AD180F"/>
    <w:rsid w:val="00AD756F"/>
    <w:rsid w:val="00AF6E49"/>
    <w:rsid w:val="00AF76C8"/>
    <w:rsid w:val="00B0198C"/>
    <w:rsid w:val="00B04A67"/>
    <w:rsid w:val="00B0583C"/>
    <w:rsid w:val="00B20073"/>
    <w:rsid w:val="00B40A81"/>
    <w:rsid w:val="00B44910"/>
    <w:rsid w:val="00B46D06"/>
    <w:rsid w:val="00B72267"/>
    <w:rsid w:val="00B74DF2"/>
    <w:rsid w:val="00B76EB6"/>
    <w:rsid w:val="00B7737B"/>
    <w:rsid w:val="00B824C8"/>
    <w:rsid w:val="00B93984"/>
    <w:rsid w:val="00B958E7"/>
    <w:rsid w:val="00BB389A"/>
    <w:rsid w:val="00BC251A"/>
    <w:rsid w:val="00BC6783"/>
    <w:rsid w:val="00BD032B"/>
    <w:rsid w:val="00BE2640"/>
    <w:rsid w:val="00BF3617"/>
    <w:rsid w:val="00C01189"/>
    <w:rsid w:val="00C067B6"/>
    <w:rsid w:val="00C14992"/>
    <w:rsid w:val="00C17667"/>
    <w:rsid w:val="00C374DE"/>
    <w:rsid w:val="00C47AD4"/>
    <w:rsid w:val="00C52D81"/>
    <w:rsid w:val="00C55198"/>
    <w:rsid w:val="00C72BE8"/>
    <w:rsid w:val="00C77A5F"/>
    <w:rsid w:val="00C86927"/>
    <w:rsid w:val="00C92E3F"/>
    <w:rsid w:val="00CA6393"/>
    <w:rsid w:val="00CB18FF"/>
    <w:rsid w:val="00CC0EFF"/>
    <w:rsid w:val="00CD0C08"/>
    <w:rsid w:val="00CE03FB"/>
    <w:rsid w:val="00CE26C1"/>
    <w:rsid w:val="00CE433C"/>
    <w:rsid w:val="00CF33F3"/>
    <w:rsid w:val="00D04E39"/>
    <w:rsid w:val="00D06183"/>
    <w:rsid w:val="00D06BF9"/>
    <w:rsid w:val="00D22C42"/>
    <w:rsid w:val="00D30DF8"/>
    <w:rsid w:val="00D31FED"/>
    <w:rsid w:val="00D33CBC"/>
    <w:rsid w:val="00D42582"/>
    <w:rsid w:val="00D65041"/>
    <w:rsid w:val="00D714F1"/>
    <w:rsid w:val="00D769FB"/>
    <w:rsid w:val="00DB384B"/>
    <w:rsid w:val="00DB7C5A"/>
    <w:rsid w:val="00DC251C"/>
    <w:rsid w:val="00DD7935"/>
    <w:rsid w:val="00DE6372"/>
    <w:rsid w:val="00E10E80"/>
    <w:rsid w:val="00E124F0"/>
    <w:rsid w:val="00E37148"/>
    <w:rsid w:val="00E379F1"/>
    <w:rsid w:val="00E60F04"/>
    <w:rsid w:val="00E645FA"/>
    <w:rsid w:val="00E6538A"/>
    <w:rsid w:val="00E81531"/>
    <w:rsid w:val="00E854E4"/>
    <w:rsid w:val="00EB0D6F"/>
    <w:rsid w:val="00EB2232"/>
    <w:rsid w:val="00EC5337"/>
    <w:rsid w:val="00EC6678"/>
    <w:rsid w:val="00EE5AB0"/>
    <w:rsid w:val="00F2150A"/>
    <w:rsid w:val="00F231D8"/>
    <w:rsid w:val="00F3185F"/>
    <w:rsid w:val="00F44FBA"/>
    <w:rsid w:val="00F46C5F"/>
    <w:rsid w:val="00F52905"/>
    <w:rsid w:val="00F536FA"/>
    <w:rsid w:val="00F76C5D"/>
    <w:rsid w:val="00F76E9D"/>
    <w:rsid w:val="00F83A50"/>
    <w:rsid w:val="00F94637"/>
    <w:rsid w:val="00F94A63"/>
    <w:rsid w:val="00FA1C28"/>
    <w:rsid w:val="00FB7596"/>
    <w:rsid w:val="00FC0D24"/>
    <w:rsid w:val="00FC795C"/>
    <w:rsid w:val="00FE18CC"/>
    <w:rsid w:val="00FE4077"/>
    <w:rsid w:val="00FE61D1"/>
    <w:rsid w:val="00FE77D2"/>
    <w:rsid w:val="00FF0A2C"/>
    <w:rsid w:val="00FF1A96"/>
    <w:rsid w:val="00FF78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35171FB"/>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link w:val="Heading3Char"/>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Heading1Char">
    <w:name w:val="Heading 1 Char"/>
    <w:basedOn w:val="DefaultParagraphFont"/>
    <w:link w:val="Heading1"/>
    <w:rsid w:val="008047BE"/>
    <w:rPr>
      <w:rFonts w:ascii="Calibri" w:hAnsi="Calibri"/>
      <w:b/>
      <w:sz w:val="28"/>
      <w:lang w:val="en-GB" w:eastAsia="en-US"/>
    </w:rPr>
  </w:style>
  <w:style w:type="character" w:customStyle="1" w:styleId="Heading3Char">
    <w:name w:val="Heading 3 Char"/>
    <w:basedOn w:val="DefaultParagraphFont"/>
    <w:link w:val="Heading3"/>
    <w:rsid w:val="008047BE"/>
    <w:rPr>
      <w:rFonts w:ascii="Calibri" w:hAnsi="Calibri"/>
      <w:b/>
      <w:sz w:val="24"/>
      <w:lang w:val="en-GB" w:eastAsia="en-US"/>
    </w:rPr>
  </w:style>
  <w:style w:type="paragraph" w:styleId="ListParagraph">
    <w:name w:val="List Paragraph"/>
    <w:basedOn w:val="Normal"/>
    <w:link w:val="ListParagraphChar"/>
    <w:uiPriority w:val="34"/>
    <w:qFormat/>
    <w:rsid w:val="008047BE"/>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200" w:line="276" w:lineRule="auto"/>
      <w:ind w:left="720"/>
      <w:contextualSpacing/>
      <w:textAlignment w:val="auto"/>
    </w:pPr>
    <w:rPr>
      <w:rFonts w:ascii="Times New Roman" w:eastAsiaTheme="minorEastAsia" w:hAnsi="Times New Roman" w:cstheme="minorBidi"/>
      <w:sz w:val="22"/>
      <w:szCs w:val="22"/>
      <w:lang w:val="fr-CH" w:eastAsia="zh-CN"/>
    </w:rPr>
  </w:style>
  <w:style w:type="character" w:customStyle="1" w:styleId="ListParagraphChar">
    <w:name w:val="List Paragraph Char"/>
    <w:link w:val="ListParagraph"/>
    <w:uiPriority w:val="34"/>
    <w:locked/>
    <w:rsid w:val="008047BE"/>
    <w:rPr>
      <w:rFonts w:ascii="Times New Roman" w:eastAsiaTheme="minorEastAsia" w:hAnsi="Times New Roman" w:cstheme="minorBidi"/>
      <w:sz w:val="22"/>
      <w:szCs w:val="22"/>
      <w:lang w:val="fr-CH"/>
    </w:rPr>
  </w:style>
  <w:style w:type="paragraph" w:styleId="BalloonText">
    <w:name w:val="Balloon Text"/>
    <w:basedOn w:val="Normal"/>
    <w:link w:val="BalloonTextChar"/>
    <w:semiHidden/>
    <w:unhideWhenUsed/>
    <w:rsid w:val="00FE61D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E61D1"/>
    <w:rPr>
      <w:rFonts w:ascii="Segoe UI" w:hAnsi="Segoe UI" w:cs="Segoe UI"/>
      <w:sz w:val="18"/>
      <w:szCs w:val="18"/>
      <w:lang w:val="en-GB" w:eastAsia="en-US"/>
    </w:rPr>
  </w:style>
  <w:style w:type="paragraph" w:styleId="Revision">
    <w:name w:val="Revision"/>
    <w:hidden/>
    <w:uiPriority w:val="99"/>
    <w:semiHidden/>
    <w:rsid w:val="00531E39"/>
    <w:rPr>
      <w:rFonts w:ascii="Calibri" w:hAnsi="Calibri"/>
      <w:sz w:val="24"/>
      <w:lang w:val="en-GB" w:eastAsia="en-US"/>
    </w:rPr>
  </w:style>
  <w:style w:type="character" w:styleId="CommentReference">
    <w:name w:val="annotation reference"/>
    <w:basedOn w:val="DefaultParagraphFont"/>
    <w:semiHidden/>
    <w:unhideWhenUsed/>
    <w:rsid w:val="00FF786C"/>
    <w:rPr>
      <w:sz w:val="16"/>
      <w:szCs w:val="16"/>
    </w:rPr>
  </w:style>
  <w:style w:type="paragraph" w:styleId="CommentText">
    <w:name w:val="annotation text"/>
    <w:basedOn w:val="Normal"/>
    <w:link w:val="CommentTextChar"/>
    <w:unhideWhenUsed/>
    <w:rsid w:val="00FF786C"/>
    <w:rPr>
      <w:sz w:val="20"/>
    </w:rPr>
  </w:style>
  <w:style w:type="character" w:customStyle="1" w:styleId="CommentTextChar">
    <w:name w:val="Comment Text Char"/>
    <w:basedOn w:val="DefaultParagraphFont"/>
    <w:link w:val="CommentText"/>
    <w:rsid w:val="00FF786C"/>
    <w:rPr>
      <w:rFonts w:ascii="Calibri" w:hAnsi="Calibri"/>
      <w:lang w:val="en-GB" w:eastAsia="en-US"/>
    </w:rPr>
  </w:style>
  <w:style w:type="paragraph" w:styleId="CommentSubject">
    <w:name w:val="annotation subject"/>
    <w:basedOn w:val="CommentText"/>
    <w:next w:val="CommentText"/>
    <w:link w:val="CommentSubjectChar"/>
    <w:semiHidden/>
    <w:unhideWhenUsed/>
    <w:rsid w:val="00FF786C"/>
    <w:rPr>
      <w:b/>
      <w:bCs/>
    </w:rPr>
  </w:style>
  <w:style w:type="character" w:customStyle="1" w:styleId="CommentSubjectChar">
    <w:name w:val="Comment Subject Char"/>
    <w:basedOn w:val="CommentTextChar"/>
    <w:link w:val="CommentSubject"/>
    <w:semiHidden/>
    <w:rsid w:val="00FF786C"/>
    <w:rPr>
      <w:rFonts w:ascii="Calibri" w:hAnsi="Calibri"/>
      <w:b/>
      <w:bCs/>
      <w:lang w:val="en-GB" w:eastAsia="en-US"/>
    </w:rPr>
  </w:style>
  <w:style w:type="paragraph" w:styleId="NormalWeb">
    <w:name w:val="Normal (Web)"/>
    <w:basedOn w:val="Normal"/>
    <w:uiPriority w:val="99"/>
    <w:semiHidden/>
    <w:unhideWhenUsed/>
    <w:rsid w:val="001A404F"/>
    <w:pPr>
      <w:tabs>
        <w:tab w:val="clear" w:pos="567"/>
        <w:tab w:val="clear" w:pos="1134"/>
        <w:tab w:val="clear" w:pos="1701"/>
        <w:tab w:val="clear" w:pos="2268"/>
        <w:tab w:val="clear" w:pos="2835"/>
      </w:tabs>
      <w:overflowPunct/>
      <w:autoSpaceDE/>
      <w:autoSpaceDN/>
      <w:adjustRightInd/>
      <w:spacing w:before="0"/>
      <w:textAlignment w:val="auto"/>
    </w:pPr>
    <w:rPr>
      <w:rFonts w:ascii="Times New Roman" w:eastAsiaTheme="minorHAnsi" w:hAnsi="Times New Roman"/>
      <w:szCs w:val="24"/>
      <w:lang w:eastAsia="en-GB"/>
    </w:rPr>
  </w:style>
  <w:style w:type="character" w:customStyle="1" w:styleId="UnresolvedMention1">
    <w:name w:val="Unresolved Mention1"/>
    <w:basedOn w:val="DefaultParagraphFont"/>
    <w:uiPriority w:val="99"/>
    <w:semiHidden/>
    <w:unhideWhenUsed/>
    <w:rsid w:val="00AB7E69"/>
    <w:rPr>
      <w:color w:val="605E5C"/>
      <w:shd w:val="clear" w:color="auto" w:fill="E1DFDD"/>
    </w:rPr>
  </w:style>
  <w:style w:type="character" w:customStyle="1" w:styleId="UnresolvedMention">
    <w:name w:val="Unresolved Mention"/>
    <w:basedOn w:val="DefaultParagraphFont"/>
    <w:uiPriority w:val="99"/>
    <w:semiHidden/>
    <w:unhideWhenUsed/>
    <w:rsid w:val="00C869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499906">
      <w:bodyDiv w:val="1"/>
      <w:marLeft w:val="0"/>
      <w:marRight w:val="0"/>
      <w:marTop w:val="0"/>
      <w:marBottom w:val="0"/>
      <w:divBdr>
        <w:top w:val="none" w:sz="0" w:space="0" w:color="auto"/>
        <w:left w:val="none" w:sz="0" w:space="0" w:color="auto"/>
        <w:bottom w:val="none" w:sz="0" w:space="0" w:color="auto"/>
        <w:right w:val="none" w:sz="0" w:space="0" w:color="auto"/>
      </w:divBdr>
    </w:div>
    <w:div w:id="147895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5-CL-C-0006/en" TargetMode="External"/><Relationship Id="rId18" Type="http://schemas.openxmlformats.org/officeDocument/2006/relationships/hyperlink" Target="https://www.itu.int/md/S19-CL-INF-0002/en" TargetMode="External"/><Relationship Id="rId26" Type="http://schemas.openxmlformats.org/officeDocument/2006/relationships/hyperlink" Target="http://www.un.org/en/sections/observances/international-days/index.html" TargetMode="External"/><Relationship Id="rId39" Type="http://schemas.openxmlformats.org/officeDocument/2006/relationships/hyperlink" Target="http://www.itu.int/go/NOW4WRC19" TargetMode="External"/><Relationship Id="rId21" Type="http://schemas.openxmlformats.org/officeDocument/2006/relationships/hyperlink" Target="https://www.itu.int/genderdashboard" TargetMode="External"/><Relationship Id="rId34" Type="http://schemas.openxmlformats.org/officeDocument/2006/relationships/hyperlink" Target="http://www.itu.int/en/action/gender-equality/Documents/raising-womens-voices.pdf" TargetMode="External"/><Relationship Id="rId42" Type="http://schemas.openxmlformats.org/officeDocument/2006/relationships/hyperlink" Target="http://www.itu.int/en/ITU-R/conferences/wrc" TargetMode="External"/><Relationship Id="rId47" Type="http://schemas.openxmlformats.org/officeDocument/2006/relationships/hyperlink" Target="https://www.itu.int/en/delegates-corner/Documents/ITU%20code%20of%20conduct.pdf" TargetMode="External"/><Relationship Id="rId50" Type="http://schemas.openxmlformats.org/officeDocument/2006/relationships/hyperlink" Target="https://www.itu.int/md/S19-CLCWGFHR09-INF-0001/en"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md/S14-CL-C-0006/en" TargetMode="External"/><Relationship Id="rId17" Type="http://schemas.openxmlformats.org/officeDocument/2006/relationships/hyperlink" Target="https://www.itu.int/md/S18-CL-INF-0003/en" TargetMode="External"/><Relationship Id="rId25" Type="http://schemas.openxmlformats.org/officeDocument/2006/relationships/hyperlink" Target="https://www.itu.int/en/ITU-D/Digital-Inclusion/Women-and-Girls/Girls-in-ICT-Portal/Pages/Portal.aspx" TargetMode="External"/><Relationship Id="rId33" Type="http://schemas.openxmlformats.org/officeDocument/2006/relationships/hyperlink" Target="https://www.equals.org/" TargetMode="External"/><Relationship Id="rId38" Type="http://schemas.openxmlformats.org/officeDocument/2006/relationships/hyperlink" Target="http://www.itu.int/en/ITU-R/conferences/wrc/2019/Pages/default.aspx" TargetMode="External"/><Relationship Id="rId46" Type="http://schemas.openxmlformats.org/officeDocument/2006/relationships/hyperlink" Target="http://international-telecommunication-union.instantmagazine.com/itu/say-no-to-sexism/en/" TargetMode="External"/><Relationship Id="rId2" Type="http://schemas.openxmlformats.org/officeDocument/2006/relationships/numbering" Target="numbering.xml"/><Relationship Id="rId16" Type="http://schemas.openxmlformats.org/officeDocument/2006/relationships/hyperlink" Target="http://www.itu.int/md/S18-CL-C-0006/en" TargetMode="External"/><Relationship Id="rId20" Type="http://schemas.openxmlformats.org/officeDocument/2006/relationships/hyperlink" Target="http://www.itu.int/en/action/gender-equality/Pages/default.aspx" TargetMode="External"/><Relationship Id="rId29" Type="http://schemas.openxmlformats.org/officeDocument/2006/relationships/hyperlink" Target="https://www.equals.org/single-post/2018/12/23/Money-matters-Tackling-the-gender-gap-in-technology-investment" TargetMode="External"/><Relationship Id="rId41" Type="http://schemas.openxmlformats.org/officeDocument/2006/relationships/hyperlink" Target="https://www.itu.int/en/ITU-R/study-groups/rsg4/rwp4a/NOW4WRC19/SiteAssets/WSIS2018NOW4WRCMindMapDiscussion.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3-CL-C-0039/en" TargetMode="External"/><Relationship Id="rId24" Type="http://schemas.openxmlformats.org/officeDocument/2006/relationships/hyperlink" Target="http://www.wsis.org/forum" TargetMode="External"/><Relationship Id="rId32" Type="http://schemas.openxmlformats.org/officeDocument/2006/relationships/hyperlink" Target="https://www.broadbandcommission.org/Documents/publications/DigitalGenderDivideProgressReport2018.pdf" TargetMode="External"/><Relationship Id="rId37" Type="http://schemas.openxmlformats.org/officeDocument/2006/relationships/hyperlink" Target="http://www.itu.int/go/NOW4WRC19" TargetMode="External"/><Relationship Id="rId40" Type="http://schemas.openxmlformats.org/officeDocument/2006/relationships/hyperlink" Target="https://www.itu.int/net4/wsis/forum/2018/Pages/Agenda/Session/113" TargetMode="External"/><Relationship Id="rId45" Type="http://schemas.openxmlformats.org/officeDocument/2006/relationships/hyperlink" Target="https://genderchampions.com/champions/houlin-zhao"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md/S17-CL-C-0006/en" TargetMode="External"/><Relationship Id="rId23" Type="http://schemas.openxmlformats.org/officeDocument/2006/relationships/hyperlink" Target="http://www.itu.int/net/wsis/documents/HLE.html" TargetMode="External"/><Relationship Id="rId28" Type="http://schemas.openxmlformats.org/officeDocument/2006/relationships/hyperlink" Target="https://www.equals.org/awards" TargetMode="External"/><Relationship Id="rId36" Type="http://schemas.openxmlformats.org/officeDocument/2006/relationships/hyperlink" Target="https://www.itu.int/en/ITU-R/seminars/wrs/2016/Pages/default.aspx" TargetMode="External"/><Relationship Id="rId49" Type="http://schemas.openxmlformats.org/officeDocument/2006/relationships/hyperlink" Target="https://www.itu.int/md/S18-CL-INF-0003/en" TargetMode="External"/><Relationship Id="rId10" Type="http://schemas.openxmlformats.org/officeDocument/2006/relationships/hyperlink" Target="http://www.itu.int/md/S13-CL-INF-0011/en" TargetMode="External"/><Relationship Id="rId19" Type="http://schemas.openxmlformats.org/officeDocument/2006/relationships/hyperlink" Target="http://www.itu.int/md/S19-CL-C-0024/en" TargetMode="External"/><Relationship Id="rId31" Type="http://schemas.openxmlformats.org/officeDocument/2006/relationships/hyperlink" Target="https://www.broadbandcommission.org/workinggroups/Pages/digital-gender-divide.aspx" TargetMode="External"/><Relationship Id="rId44" Type="http://schemas.openxmlformats.org/officeDocument/2006/relationships/hyperlink" Target="https://genderchampions.com/"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en/council/Documents/basic-texts/RES-070-E.pdf" TargetMode="External"/><Relationship Id="rId14" Type="http://schemas.openxmlformats.org/officeDocument/2006/relationships/hyperlink" Target="http://www.itu.int/md/S16-CL-C-0006/en" TargetMode="External"/><Relationship Id="rId22" Type="http://schemas.openxmlformats.org/officeDocument/2006/relationships/hyperlink" Target="https://www.itu.int/md/S19-CL-C-0024/en" TargetMode="External"/><Relationship Id="rId27" Type="http://schemas.openxmlformats.org/officeDocument/2006/relationships/hyperlink" Target="http://equals.org/" TargetMode="External"/><Relationship Id="rId30" Type="http://schemas.openxmlformats.org/officeDocument/2006/relationships/hyperlink" Target="https://www.equals.org/single-post/2019/01/08/25-Ways-to-Be-a-More-Inclusive-Engineer" TargetMode="External"/><Relationship Id="rId35" Type="http://schemas.openxmlformats.org/officeDocument/2006/relationships/hyperlink" Target="http://www.itu.int/genderdashboard" TargetMode="External"/><Relationship Id="rId43" Type="http://schemas.openxmlformats.org/officeDocument/2006/relationships/hyperlink" Target="http://www.itu.int/go/NOW4WRC19" TargetMode="External"/><Relationship Id="rId48" Type="http://schemas.openxmlformats.org/officeDocument/2006/relationships/hyperlink" Target="https://www.itu.int/en/delegates-corner/Pages/default.aspx" TargetMode="External"/><Relationship Id="rId8" Type="http://schemas.openxmlformats.org/officeDocument/2006/relationships/image" Target="media/image1.png"/><Relationship Id="rId51" Type="http://schemas.openxmlformats.org/officeDocument/2006/relationships/hyperlink" Target="http://www.unwomen.org/-/media/headquarters/attachments/sections/how%20we%20work/unsystemcoordination/un-swap/un-swap-2-framework-and-technical-guidance-en.pdf?la=en&amp;vs=1406"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FFB7C-0CB7-4A7C-BB17-FC24332A6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2303</Words>
  <Characters>15972</Characters>
  <Application>Microsoft Office Word</Application>
  <DocSecurity>0</DocSecurity>
  <Lines>133</Lines>
  <Paragraphs>36</Paragraphs>
  <ScaleCrop>false</ScaleCrop>
  <HeadingPairs>
    <vt:vector size="2" baseType="variant">
      <vt:variant>
        <vt:lpstr>Title</vt:lpstr>
      </vt:variant>
      <vt:variant>
        <vt:i4>1</vt:i4>
      </vt:variant>
    </vt:vector>
  </HeadingPairs>
  <TitlesOfParts>
    <vt:vector size="1" baseType="lpstr">
      <vt:lpstr>ITU's activities related to Resolution 70</vt:lpstr>
    </vt:vector>
  </TitlesOfParts>
  <Manager>General Secretariat - Pool</Manager>
  <Company>International Telecommunication Union (ITU)</Company>
  <LinksUpToDate>false</LinksUpToDate>
  <CharactersWithSpaces>18239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ITU's activities related to Resolution 70</dc:title>
  <dc:subject>Council 2018</dc:subject>
  <dc:creator>Brouard, Ricarda</dc:creator>
  <cp:keywords>C2019/C19</cp:keywords>
  <dc:description/>
  <cp:lastModifiedBy>Brouard, Ricarda</cp:lastModifiedBy>
  <cp:revision>2</cp:revision>
  <cp:lastPrinted>2019-03-05T16:04:00Z</cp:lastPrinted>
  <dcterms:created xsi:type="dcterms:W3CDTF">2019-05-10T13:37:00Z</dcterms:created>
  <dcterms:modified xsi:type="dcterms:W3CDTF">2019-05-10T13:37:00Z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