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030256">
            <w:pPr>
              <w:spacing w:before="360"/>
              <w:rPr>
                <w:lang w:val="fr-CH"/>
              </w:rPr>
            </w:pPr>
            <w:bookmarkStart w:id="0" w:name="dc06"/>
            <w:bookmarkEnd w:id="0"/>
            <w:r w:rsidRPr="00520F36">
              <w:rPr>
                <w:b/>
                <w:bCs/>
                <w:sz w:val="30"/>
                <w:szCs w:val="30"/>
                <w:lang w:val="fr-CH"/>
              </w:rPr>
              <w:t>Conseil 201</w:t>
            </w:r>
            <w:r w:rsidR="00106B19">
              <w:rPr>
                <w:b/>
                <w:bCs/>
                <w:sz w:val="30"/>
                <w:szCs w:val="30"/>
                <w:lang w:val="fr-CH"/>
              </w:rPr>
              <w:t>9</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xml:space="preserve">, </w:t>
            </w:r>
            <w:r w:rsidR="00106B19">
              <w:rPr>
                <w:b/>
                <w:bCs/>
                <w:szCs w:val="24"/>
                <w:lang w:val="fr-CH"/>
              </w:rPr>
              <w:t>10</w:t>
            </w:r>
            <w:r w:rsidRPr="00520F36">
              <w:rPr>
                <w:b/>
                <w:bCs/>
                <w:szCs w:val="24"/>
                <w:lang w:val="fr-CH"/>
              </w:rPr>
              <w:t>-</w:t>
            </w:r>
            <w:r w:rsidR="00106B19">
              <w:rPr>
                <w:b/>
                <w:bCs/>
                <w:szCs w:val="24"/>
                <w:lang w:val="fr-CH"/>
              </w:rPr>
              <w:t>20 juin</w:t>
            </w:r>
            <w:r w:rsidRPr="00520F36">
              <w:rPr>
                <w:b/>
                <w:bCs/>
                <w:szCs w:val="24"/>
                <w:lang w:val="fr-CH"/>
              </w:rPr>
              <w:t xml:space="preserve"> 201</w:t>
            </w:r>
            <w:r w:rsidR="00106B19">
              <w:rPr>
                <w:b/>
                <w:bCs/>
                <w:szCs w:val="24"/>
                <w:lang w:val="fr-CH"/>
              </w:rPr>
              <w:t>9</w:t>
            </w:r>
          </w:p>
        </w:tc>
        <w:tc>
          <w:tcPr>
            <w:tcW w:w="3261" w:type="dxa"/>
          </w:tcPr>
          <w:p w:rsidR="00520F36" w:rsidRPr="0092392D" w:rsidRDefault="00520F36" w:rsidP="00030256">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030256">
            <w:pPr>
              <w:spacing w:before="0"/>
              <w:rPr>
                <w:b/>
                <w:bCs/>
                <w:sz w:val="26"/>
                <w:szCs w:val="26"/>
                <w:lang w:val="fr-CH"/>
              </w:rPr>
            </w:pPr>
          </w:p>
        </w:tc>
        <w:tc>
          <w:tcPr>
            <w:tcW w:w="3261" w:type="dxa"/>
            <w:tcBorders>
              <w:bottom w:val="single" w:sz="12" w:space="0" w:color="auto"/>
            </w:tcBorders>
          </w:tcPr>
          <w:p w:rsidR="00520F36" w:rsidRPr="0092392D" w:rsidRDefault="00520F36" w:rsidP="00030256">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030256">
            <w:pPr>
              <w:spacing w:before="0"/>
              <w:rPr>
                <w:smallCaps/>
                <w:sz w:val="22"/>
                <w:lang w:val="fr-CH"/>
              </w:rPr>
            </w:pPr>
          </w:p>
        </w:tc>
        <w:tc>
          <w:tcPr>
            <w:tcW w:w="3261" w:type="dxa"/>
            <w:tcBorders>
              <w:top w:val="single" w:sz="12" w:space="0" w:color="auto"/>
            </w:tcBorders>
          </w:tcPr>
          <w:p w:rsidR="00520F36" w:rsidRPr="0092392D" w:rsidRDefault="00520F36" w:rsidP="00030256">
            <w:pPr>
              <w:spacing w:before="0"/>
              <w:rPr>
                <w:b/>
                <w:bCs/>
              </w:rPr>
            </w:pPr>
          </w:p>
        </w:tc>
      </w:tr>
      <w:tr w:rsidR="00520F36" w:rsidRPr="0092392D">
        <w:trPr>
          <w:cantSplit/>
          <w:trHeight w:val="20"/>
        </w:trPr>
        <w:tc>
          <w:tcPr>
            <w:tcW w:w="6912" w:type="dxa"/>
            <w:vMerge w:val="restart"/>
          </w:tcPr>
          <w:p w:rsidR="00520F36" w:rsidRPr="00520F36" w:rsidRDefault="00C02432" w:rsidP="00030256">
            <w:pPr>
              <w:spacing w:before="0"/>
              <w:rPr>
                <w:rFonts w:cs="Times"/>
                <w:b/>
                <w:bCs/>
                <w:szCs w:val="24"/>
                <w:lang w:val="fr-CH"/>
              </w:rPr>
            </w:pPr>
            <w:bookmarkStart w:id="2" w:name="dnum" w:colFirst="1" w:colLast="1"/>
            <w:bookmarkStart w:id="3" w:name="dmeeting" w:colFirst="0" w:colLast="0"/>
            <w:r>
              <w:rPr>
                <w:rFonts w:cs="Times"/>
                <w:b/>
                <w:bCs/>
                <w:szCs w:val="24"/>
                <w:lang w:val="fr-CH"/>
              </w:rPr>
              <w:t>Point de l'ordre du jour: ADM 18</w:t>
            </w:r>
          </w:p>
        </w:tc>
        <w:tc>
          <w:tcPr>
            <w:tcW w:w="3261" w:type="dxa"/>
          </w:tcPr>
          <w:p w:rsidR="00520F36" w:rsidRPr="00520F36" w:rsidRDefault="00C02432" w:rsidP="00030256">
            <w:pPr>
              <w:spacing w:before="0"/>
              <w:rPr>
                <w:b/>
                <w:bCs/>
              </w:rPr>
            </w:pPr>
            <w:r>
              <w:rPr>
                <w:b/>
                <w:bCs/>
              </w:rPr>
              <w:t>Document C19/7-F</w:t>
            </w:r>
          </w:p>
        </w:tc>
      </w:tr>
      <w:tr w:rsidR="00520F36" w:rsidRPr="0092392D">
        <w:trPr>
          <w:cantSplit/>
          <w:trHeight w:val="20"/>
        </w:trPr>
        <w:tc>
          <w:tcPr>
            <w:tcW w:w="6912" w:type="dxa"/>
            <w:vMerge/>
          </w:tcPr>
          <w:p w:rsidR="00520F36" w:rsidRPr="0092392D" w:rsidRDefault="00520F36" w:rsidP="00030256">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C02432" w:rsidP="00030256">
            <w:pPr>
              <w:spacing w:before="0"/>
              <w:rPr>
                <w:b/>
                <w:bCs/>
              </w:rPr>
            </w:pPr>
            <w:r>
              <w:rPr>
                <w:b/>
                <w:bCs/>
              </w:rPr>
              <w:t>18 avril 2019</w:t>
            </w:r>
          </w:p>
        </w:tc>
      </w:tr>
      <w:tr w:rsidR="00520F36" w:rsidRPr="0092392D">
        <w:trPr>
          <w:cantSplit/>
          <w:trHeight w:val="20"/>
        </w:trPr>
        <w:tc>
          <w:tcPr>
            <w:tcW w:w="6912" w:type="dxa"/>
            <w:vMerge/>
          </w:tcPr>
          <w:p w:rsidR="00520F36" w:rsidRPr="0092392D" w:rsidRDefault="00520F36" w:rsidP="00030256">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030256">
            <w:pPr>
              <w:spacing w:before="0"/>
              <w:rPr>
                <w:b/>
                <w:bCs/>
              </w:rPr>
            </w:pPr>
            <w:r>
              <w:rPr>
                <w:b/>
                <w:bCs/>
              </w:rPr>
              <w:t>Original: anglais</w:t>
            </w:r>
          </w:p>
        </w:tc>
      </w:tr>
      <w:tr w:rsidR="00520F36" w:rsidRPr="0092392D">
        <w:trPr>
          <w:cantSplit/>
        </w:trPr>
        <w:tc>
          <w:tcPr>
            <w:tcW w:w="10173" w:type="dxa"/>
            <w:gridSpan w:val="2"/>
          </w:tcPr>
          <w:p w:rsidR="00520F36" w:rsidRPr="0092392D" w:rsidRDefault="00C02432" w:rsidP="00030256">
            <w:pPr>
              <w:pStyle w:val="Source"/>
            </w:pPr>
            <w:bookmarkStart w:id="6" w:name="dsource" w:colFirst="0" w:colLast="0"/>
            <w:bookmarkEnd w:id="5"/>
            <w:r w:rsidRPr="00420F9F">
              <w:rPr>
                <w:lang w:val="fr-CH"/>
              </w:rPr>
              <w:t>Rapport du Secré</w:t>
            </w:r>
            <w:bookmarkStart w:id="7" w:name="_GoBack"/>
            <w:bookmarkEnd w:id="7"/>
            <w:r w:rsidRPr="00420F9F">
              <w:rPr>
                <w:lang w:val="fr-CH"/>
              </w:rPr>
              <w:t>taire général</w:t>
            </w:r>
          </w:p>
        </w:tc>
      </w:tr>
      <w:tr w:rsidR="00520F36" w:rsidRPr="0092392D">
        <w:trPr>
          <w:cantSplit/>
        </w:trPr>
        <w:tc>
          <w:tcPr>
            <w:tcW w:w="10173" w:type="dxa"/>
            <w:gridSpan w:val="2"/>
          </w:tcPr>
          <w:p w:rsidR="00520F36" w:rsidRPr="0092392D" w:rsidRDefault="00C02432" w:rsidP="00030256">
            <w:pPr>
              <w:pStyle w:val="Title1"/>
            </w:pPr>
            <w:bookmarkStart w:id="8" w:name="dtitle1" w:colFirst="0" w:colLast="0"/>
            <w:bookmarkEnd w:id="6"/>
            <w:r w:rsidRPr="00420F9F">
              <w:rPr>
                <w:lang w:val="fr-CH"/>
              </w:rPr>
              <w:t>rapport sur l'avancement du projet de locaux du siège de l'union</w:t>
            </w:r>
          </w:p>
        </w:tc>
      </w:tr>
      <w:bookmarkEnd w:id="8"/>
    </w:tbl>
    <w:p w:rsidR="00520F36" w:rsidRPr="0092392D" w:rsidRDefault="00520F36" w:rsidP="00030256">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92392D" w:rsidRDefault="00520F36" w:rsidP="00030256">
            <w:pPr>
              <w:pStyle w:val="Headingb"/>
              <w:rPr>
                <w:lang w:val="fr-CH"/>
              </w:rPr>
            </w:pPr>
            <w:r w:rsidRPr="0092392D">
              <w:rPr>
                <w:lang w:val="fr-CH"/>
              </w:rPr>
              <w:t>Résumé</w:t>
            </w:r>
          </w:p>
          <w:p w:rsidR="00520F36" w:rsidRPr="0092392D" w:rsidRDefault="00C02432" w:rsidP="00030256">
            <w:pPr>
              <w:rPr>
                <w:lang w:val="fr-CH"/>
              </w:rPr>
            </w:pPr>
            <w:r w:rsidRPr="00D74238">
              <w:rPr>
                <w:lang w:val="fr-CH"/>
              </w:rPr>
              <w:t>On trouvera dans le présent document des informations actualisées sur le projet de locaux du siège de l'UIT. Ce document précise les progrès qui ont été accomplis depuis la</w:t>
            </w:r>
            <w:r>
              <w:rPr>
                <w:lang w:val="fr-CH"/>
              </w:rPr>
              <w:t xml:space="preserve"> </w:t>
            </w:r>
            <w:r w:rsidRPr="00D74238">
              <w:rPr>
                <w:lang w:val="fr-CH"/>
              </w:rPr>
              <w:t>séance finale de la session de 2018 du Conseil</w:t>
            </w:r>
            <w:r w:rsidR="00A56EDB">
              <w:rPr>
                <w:lang w:val="fr-CH"/>
              </w:rPr>
              <w:t>, qui s'est tenue à Dubaï</w:t>
            </w:r>
            <w:r>
              <w:rPr>
                <w:lang w:val="fr-CH"/>
              </w:rPr>
              <w:t>.</w:t>
            </w:r>
          </w:p>
          <w:p w:rsidR="00520F36" w:rsidRPr="0092392D" w:rsidRDefault="00520F36" w:rsidP="00030256">
            <w:pPr>
              <w:pStyle w:val="Headingb"/>
              <w:rPr>
                <w:lang w:val="fr-CH"/>
              </w:rPr>
            </w:pPr>
            <w:r w:rsidRPr="0092392D">
              <w:rPr>
                <w:lang w:val="fr-CH"/>
              </w:rPr>
              <w:t>Suite à donner</w:t>
            </w:r>
          </w:p>
          <w:p w:rsidR="00520F36" w:rsidRPr="0092392D" w:rsidRDefault="00C02432" w:rsidP="00030256">
            <w:pPr>
              <w:rPr>
                <w:lang w:val="fr-CH"/>
              </w:rPr>
            </w:pPr>
            <w:r>
              <w:rPr>
                <w:lang w:val="fr-CH"/>
              </w:rPr>
              <w:t xml:space="preserve">Le Conseil est invité à </w:t>
            </w:r>
            <w:r>
              <w:rPr>
                <w:b/>
                <w:bCs/>
                <w:lang w:val="fr-CH"/>
              </w:rPr>
              <w:t>approuver</w:t>
            </w:r>
            <w:r>
              <w:rPr>
                <w:lang w:val="fr-CH"/>
              </w:rPr>
              <w:t xml:space="preserve"> le présent rapport et à </w:t>
            </w:r>
            <w:r w:rsidRPr="00D74238">
              <w:rPr>
                <w:b/>
                <w:bCs/>
                <w:lang w:val="fr-CH"/>
              </w:rPr>
              <w:t>formuler toute orientation supplémentaire</w:t>
            </w:r>
            <w:r>
              <w:t xml:space="preserve"> </w:t>
            </w:r>
            <w:r>
              <w:rPr>
                <w:lang w:val="fr-CH"/>
              </w:rPr>
              <w:t>qu'il jugera nécessaire.</w:t>
            </w:r>
          </w:p>
          <w:p w:rsidR="00520F36" w:rsidRPr="0092392D" w:rsidRDefault="00520F36" w:rsidP="00030256">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520F36" w:rsidRPr="0092392D" w:rsidRDefault="00520F36" w:rsidP="00030256">
            <w:pPr>
              <w:pStyle w:val="Headingb"/>
              <w:rPr>
                <w:lang w:val="fr-CH"/>
              </w:rPr>
            </w:pPr>
            <w:r w:rsidRPr="0092392D">
              <w:rPr>
                <w:lang w:val="fr-CH"/>
              </w:rPr>
              <w:t>Références</w:t>
            </w:r>
          </w:p>
          <w:p w:rsidR="00520F36" w:rsidRPr="0092392D" w:rsidRDefault="00B823F1" w:rsidP="00030256">
            <w:pPr>
              <w:spacing w:after="120"/>
              <w:rPr>
                <w:i/>
                <w:iCs/>
                <w:lang w:val="fr-CH"/>
              </w:rPr>
            </w:pPr>
            <w:hyperlink r:id="rId9" w:history="1">
              <w:r w:rsidR="00C02432" w:rsidRPr="009F039C">
                <w:rPr>
                  <w:rStyle w:val="Hyperlink"/>
                  <w:rFonts w:asciiTheme="minorHAnsi" w:hAnsiTheme="minorHAnsi"/>
                  <w:i/>
                  <w:iCs/>
                </w:rPr>
                <w:t>D</w:t>
              </w:r>
              <w:r w:rsidR="00C02432">
                <w:rPr>
                  <w:rStyle w:val="Hyperlink"/>
                  <w:rFonts w:asciiTheme="minorHAnsi" w:hAnsiTheme="minorHAnsi"/>
                  <w:i/>
                  <w:iCs/>
                </w:rPr>
                <w:t>é</w:t>
              </w:r>
              <w:r w:rsidR="00C02432" w:rsidRPr="009F039C">
                <w:rPr>
                  <w:rStyle w:val="Hyperlink"/>
                  <w:rFonts w:asciiTheme="minorHAnsi" w:hAnsiTheme="minorHAnsi"/>
                  <w:i/>
                  <w:iCs/>
                </w:rPr>
                <w:t>cision 588</w:t>
              </w:r>
            </w:hyperlink>
            <w:r w:rsidR="00C02432">
              <w:rPr>
                <w:rStyle w:val="Hyperlink"/>
                <w:rFonts w:asciiTheme="minorHAnsi" w:hAnsiTheme="minorHAnsi"/>
                <w:i/>
                <w:iCs/>
              </w:rPr>
              <w:t xml:space="preserve"> du Conseil</w:t>
            </w:r>
            <w:r w:rsidR="00C02432" w:rsidRPr="009F039C">
              <w:rPr>
                <w:i/>
                <w:iCs/>
              </w:rPr>
              <w:t xml:space="preserve">; </w:t>
            </w:r>
            <w:hyperlink r:id="rId10" w:history="1">
              <w:r w:rsidR="00C02432" w:rsidRPr="009F039C">
                <w:rPr>
                  <w:rStyle w:val="Hyperlink"/>
                  <w:i/>
                  <w:iCs/>
                </w:rPr>
                <w:t>R</w:t>
              </w:r>
              <w:r w:rsidR="00C02432">
                <w:rPr>
                  <w:rStyle w:val="Hyperlink"/>
                  <w:i/>
                  <w:iCs/>
                </w:rPr>
                <w:t>é</w:t>
              </w:r>
              <w:r w:rsidR="00C02432" w:rsidRPr="009F039C">
                <w:rPr>
                  <w:rStyle w:val="Hyperlink"/>
                  <w:i/>
                  <w:iCs/>
                </w:rPr>
                <w:t>solution 212 (Duba</w:t>
              </w:r>
              <w:r w:rsidR="00C02432">
                <w:rPr>
                  <w:rStyle w:val="Hyperlink"/>
                  <w:i/>
                  <w:iCs/>
                </w:rPr>
                <w:t>ï</w:t>
              </w:r>
              <w:r w:rsidR="00C02432" w:rsidRPr="009F039C">
                <w:rPr>
                  <w:rStyle w:val="Hyperlink"/>
                  <w:i/>
                  <w:iCs/>
                </w:rPr>
                <w:t>, 2018)</w:t>
              </w:r>
            </w:hyperlink>
            <w:r w:rsidR="00C02432">
              <w:rPr>
                <w:rStyle w:val="Hyperlink"/>
                <w:i/>
                <w:iCs/>
              </w:rPr>
              <w:t xml:space="preserve"> de la Conférence de plénipotentiaires</w:t>
            </w:r>
            <w:r w:rsidR="00C02432" w:rsidRPr="009F039C">
              <w:rPr>
                <w:i/>
                <w:iCs/>
              </w:rPr>
              <w:t xml:space="preserve">; </w:t>
            </w:r>
            <w:hyperlink r:id="rId11" w:history="1">
              <w:r w:rsidR="00C02432" w:rsidRPr="009F039C">
                <w:rPr>
                  <w:rStyle w:val="Hyperlink"/>
                  <w:i/>
                  <w:iCs/>
                </w:rPr>
                <w:t>C18/123+Add 1</w:t>
              </w:r>
            </w:hyperlink>
          </w:p>
        </w:tc>
      </w:tr>
    </w:tbl>
    <w:p w:rsidR="00C02432" w:rsidRDefault="00C02432" w:rsidP="00030256"/>
    <w:p w:rsidR="00C02432" w:rsidRDefault="00C02432" w:rsidP="00030256">
      <w:pPr>
        <w:tabs>
          <w:tab w:val="clear" w:pos="567"/>
          <w:tab w:val="clear" w:pos="1134"/>
          <w:tab w:val="clear" w:pos="1701"/>
          <w:tab w:val="clear" w:pos="2268"/>
          <w:tab w:val="clear" w:pos="2835"/>
        </w:tabs>
        <w:overflowPunct/>
        <w:autoSpaceDE/>
        <w:autoSpaceDN/>
        <w:adjustRightInd/>
        <w:spacing w:before="0"/>
        <w:textAlignment w:val="auto"/>
      </w:pPr>
      <w:r>
        <w:br w:type="page"/>
      </w:r>
    </w:p>
    <w:p w:rsidR="00C02432" w:rsidRPr="00420F9F" w:rsidRDefault="00C02432" w:rsidP="00030256">
      <w:pPr>
        <w:pStyle w:val="Heading1"/>
        <w:rPr>
          <w:lang w:val="fr-CH"/>
        </w:rPr>
      </w:pPr>
      <w:r w:rsidRPr="00420F9F">
        <w:rPr>
          <w:lang w:val="fr-CH"/>
        </w:rPr>
        <w:lastRenderedPageBreak/>
        <w:t>1</w:t>
      </w:r>
      <w:r w:rsidRPr="00420F9F">
        <w:rPr>
          <w:lang w:val="fr-CH"/>
        </w:rPr>
        <w:tab/>
        <w:t>Rappel</w:t>
      </w:r>
    </w:p>
    <w:p w:rsidR="00C02432" w:rsidRPr="00420F9F" w:rsidRDefault="00C02432" w:rsidP="00030256">
      <w:pPr>
        <w:rPr>
          <w:lang w:val="fr-CH"/>
        </w:rPr>
      </w:pPr>
      <w:r>
        <w:rPr>
          <w:lang w:val="fr-CH"/>
        </w:rPr>
        <w:t>1.1</w:t>
      </w:r>
      <w:r w:rsidRPr="00420F9F">
        <w:rPr>
          <w:lang w:val="fr-CH"/>
        </w:rPr>
        <w:tab/>
        <w:t xml:space="preserve">Par </w:t>
      </w:r>
      <w:r w:rsidRPr="00A56EDB">
        <w:t xml:space="preserve">sa </w:t>
      </w:r>
      <w:hyperlink r:id="rId12" w:history="1">
        <w:r w:rsidRPr="00A56EDB">
          <w:t>Décision 588</w:t>
        </w:r>
      </w:hyperlink>
      <w:r w:rsidRPr="00420F9F">
        <w:rPr>
          <w:lang w:val="fr-CH"/>
        </w:rPr>
        <w:t>, le Conseil à sa session de 2016 a décidé de remplacer le bâtiment Varembé par une nouvelle construction qui inclura aussi les bureaux et les installations de la Tour.</w:t>
      </w:r>
    </w:p>
    <w:p w:rsidR="00C02432" w:rsidRDefault="00C02432" w:rsidP="00030256">
      <w:r>
        <w:t>1.2</w:t>
      </w:r>
      <w:r>
        <w:tab/>
        <w:t xml:space="preserve">A sa session de 2018, le Conseil a approuvé la création d'un </w:t>
      </w:r>
      <w:r w:rsidRPr="00727083">
        <w:t xml:space="preserve">fonds provisoire </w:t>
      </w:r>
      <w:r>
        <w:t>(</w:t>
      </w:r>
      <w:r w:rsidR="008F496F">
        <w:t xml:space="preserve">le </w:t>
      </w:r>
      <w:r>
        <w:t>"Fonds pour le projet de</w:t>
      </w:r>
      <w:r w:rsidRPr="00727083">
        <w:t xml:space="preserve"> nouveau bâtiment</w:t>
      </w:r>
      <w:r>
        <w:t>")</w:t>
      </w:r>
      <w:r w:rsidRPr="00727083">
        <w:t xml:space="preserve"> </w:t>
      </w:r>
      <w:r>
        <w:t>pour permettre le financement du nouveau bâtiment</w:t>
      </w:r>
      <w:r w:rsidRPr="00727083">
        <w:t xml:space="preserve"> à l'aide des excédents liés à l'exécution du budget et de dons</w:t>
      </w:r>
      <w:r>
        <w:t>.</w:t>
      </w:r>
    </w:p>
    <w:p w:rsidR="00C02432" w:rsidRDefault="00C02432" w:rsidP="00030256">
      <w:r>
        <w:t>1.3</w:t>
      </w:r>
      <w:r>
        <w:tab/>
        <w:t>Par sa Résolution 212 (Dubaï, 2018), la Conférence de plénipotentiaires a décidé que le Fonds susmentionné ainsi que tout parrainage et don reçu pourraient compléter l'enveloppe financière du projet, tandis que la Décision 588 du Conseil restait en vigueur.</w:t>
      </w:r>
    </w:p>
    <w:p w:rsidR="00C02432" w:rsidRPr="00420F9F" w:rsidRDefault="00C02432" w:rsidP="00030256">
      <w:pPr>
        <w:pStyle w:val="Heading1"/>
        <w:rPr>
          <w:lang w:val="fr-CH"/>
        </w:rPr>
      </w:pPr>
      <w:r>
        <w:rPr>
          <w:lang w:val="fr-CH"/>
        </w:rPr>
        <w:t>2</w:t>
      </w:r>
      <w:r w:rsidRPr="00420F9F">
        <w:rPr>
          <w:lang w:val="fr-CH"/>
        </w:rPr>
        <w:tab/>
      </w:r>
      <w:r>
        <w:rPr>
          <w:lang w:val="fr-CH"/>
        </w:rPr>
        <w:t>Parti architectural</w:t>
      </w:r>
    </w:p>
    <w:p w:rsidR="00C02432" w:rsidRDefault="00C02432" w:rsidP="00030256">
      <w:r>
        <w:t>2.1</w:t>
      </w:r>
      <w:r>
        <w:tab/>
        <w:t>Le second message à l'intention du pays hôte suppose, entre autres choses, l'élaborat</w:t>
      </w:r>
      <w:r w:rsidR="008F496F">
        <w:t>ion d'un parti architectural pour permettre</w:t>
      </w:r>
      <w:r>
        <w:t xml:space="preserve"> une évaluation fonctionnelle du projet au regard du programme, une évaluation détaillée des coûts et une approbation des plans détaillés.</w:t>
      </w:r>
    </w:p>
    <w:p w:rsidR="00C02432" w:rsidRDefault="00C02432" w:rsidP="00030256">
      <w:pPr>
        <w:rPr>
          <w:lang w:val="fr-CH"/>
        </w:rPr>
      </w:pPr>
      <w:r>
        <w:t>2.2</w:t>
      </w:r>
      <w:r>
        <w:tab/>
      </w:r>
      <w:r w:rsidRPr="00490012">
        <w:t>L'architecte continue d'optimiser les coûts du parti architectural initial qui a été présenté en octobre 2018.</w:t>
      </w:r>
      <w:r w:rsidRPr="00490012">
        <w:rPr>
          <w:lang w:val="fr-CH"/>
        </w:rPr>
        <w:t xml:space="preserve"> </w:t>
      </w:r>
      <w:r>
        <w:rPr>
          <w:lang w:val="fr-CH"/>
        </w:rPr>
        <w:t>La version finale proposée a été présentée le 1</w:t>
      </w:r>
      <w:r w:rsidRPr="00A56EDB">
        <w:rPr>
          <w:lang w:val="fr-CH"/>
        </w:rPr>
        <w:t>er</w:t>
      </w:r>
      <w:r>
        <w:rPr>
          <w:lang w:val="fr-CH"/>
        </w:rPr>
        <w:t xml:space="preserve"> avril 2019.</w:t>
      </w:r>
    </w:p>
    <w:p w:rsidR="00C02432" w:rsidRDefault="00C02432" w:rsidP="00030256">
      <w:pPr>
        <w:rPr>
          <w:lang w:val="fr-CH"/>
        </w:rPr>
      </w:pPr>
      <w:r>
        <w:rPr>
          <w:lang w:val="fr-CH"/>
        </w:rPr>
        <w:t>2.3</w:t>
      </w:r>
      <w:r>
        <w:rPr>
          <w:lang w:val="fr-CH"/>
        </w:rPr>
        <w:tab/>
        <w:t>Cette version compte au total dix étages</w:t>
      </w:r>
      <w:r w:rsidR="004560FB">
        <w:rPr>
          <w:lang w:val="fr-CH"/>
        </w:rPr>
        <w:t>:</w:t>
      </w:r>
      <w:r>
        <w:rPr>
          <w:lang w:val="fr-CH"/>
        </w:rPr>
        <w:t xml:space="preserve"> </w:t>
      </w:r>
      <w:r w:rsidR="008F496F">
        <w:rPr>
          <w:lang w:val="fr-CH"/>
        </w:rPr>
        <w:t xml:space="preserve">un </w:t>
      </w:r>
      <w:r>
        <w:rPr>
          <w:lang w:val="fr-CH"/>
        </w:rPr>
        <w:t xml:space="preserve">sous-sol, </w:t>
      </w:r>
      <w:r w:rsidR="008F496F">
        <w:rPr>
          <w:lang w:val="fr-CH"/>
        </w:rPr>
        <w:t xml:space="preserve">un </w:t>
      </w:r>
      <w:r>
        <w:rPr>
          <w:lang w:val="fr-CH"/>
        </w:rPr>
        <w:t xml:space="preserve">rez inférieur (côté rue de Varembé), </w:t>
      </w:r>
      <w:r w:rsidR="008F496F">
        <w:rPr>
          <w:lang w:val="fr-CH"/>
        </w:rPr>
        <w:t xml:space="preserve">un </w:t>
      </w:r>
      <w:r>
        <w:rPr>
          <w:lang w:val="fr-CH"/>
        </w:rPr>
        <w:t xml:space="preserve">rez supérieur (côté avenue Giuseppe Motta), </w:t>
      </w:r>
      <w:r w:rsidR="003145AB">
        <w:rPr>
          <w:lang w:val="fr-CH"/>
        </w:rPr>
        <w:t xml:space="preserve">un </w:t>
      </w:r>
      <w:r>
        <w:rPr>
          <w:lang w:val="fr-CH"/>
        </w:rPr>
        <w:t xml:space="preserve">niveau technique, </w:t>
      </w:r>
      <w:r w:rsidR="003145AB">
        <w:rPr>
          <w:lang w:val="fr-CH"/>
        </w:rPr>
        <w:t xml:space="preserve">un </w:t>
      </w:r>
      <w:r>
        <w:rPr>
          <w:lang w:val="fr-CH"/>
        </w:rPr>
        <w:t>jardin intérieur et cinq étages de bureaux supérieurs.</w:t>
      </w:r>
    </w:p>
    <w:p w:rsidR="00C02432" w:rsidRDefault="008F496F" w:rsidP="00487895">
      <w:pPr>
        <w:rPr>
          <w:lang w:val="fr-CH"/>
        </w:rPr>
      </w:pPr>
      <w:r>
        <w:rPr>
          <w:lang w:val="fr-CH"/>
        </w:rPr>
        <w:t>2.4</w:t>
      </w:r>
      <w:r>
        <w:rPr>
          <w:lang w:val="fr-CH"/>
        </w:rPr>
        <w:tab/>
        <w:t>Du fait de la suppression d'u</w:t>
      </w:r>
      <w:r w:rsidR="00C02432">
        <w:rPr>
          <w:lang w:val="fr-CH"/>
        </w:rPr>
        <w:t>n étage de bureau</w:t>
      </w:r>
      <w:r>
        <w:rPr>
          <w:lang w:val="fr-CH"/>
        </w:rPr>
        <w:t>x</w:t>
      </w:r>
      <w:r w:rsidR="00C02432">
        <w:rPr>
          <w:lang w:val="fr-CH"/>
        </w:rPr>
        <w:t xml:space="preserve"> par rapport au projet lauréat, la hauteur du bâtiment est ramenée à 37,1 mètres. </w:t>
      </w:r>
      <w:r w:rsidR="00C02432" w:rsidRPr="002200E9">
        <w:rPr>
          <w:lang w:val="fr-CH"/>
        </w:rPr>
        <w:t>L'UIT a reçu la confirmation du Conseil d'</w:t>
      </w:r>
      <w:r w:rsidR="00C02432">
        <w:rPr>
          <w:lang w:val="fr-CH"/>
        </w:rPr>
        <w:t>É</w:t>
      </w:r>
      <w:r w:rsidR="00C02432" w:rsidRPr="002200E9">
        <w:rPr>
          <w:lang w:val="fr-CH"/>
        </w:rPr>
        <w:t xml:space="preserve">tat de la République et </w:t>
      </w:r>
      <w:r w:rsidR="00487895">
        <w:rPr>
          <w:lang w:val="fr-CH"/>
        </w:rPr>
        <w:t>canton de Genève qu'il ne sera</w:t>
      </w:r>
      <w:r w:rsidR="00C02432" w:rsidRPr="002200E9">
        <w:rPr>
          <w:lang w:val="fr-CH"/>
        </w:rPr>
        <w:t xml:space="preserve"> pas nécessaire de réviser le plan d'aménagement local </w:t>
      </w:r>
      <w:r w:rsidR="00487895">
        <w:rPr>
          <w:lang w:val="fr-CH"/>
        </w:rPr>
        <w:t xml:space="preserve">pour </w:t>
      </w:r>
      <w:r w:rsidR="00C02432" w:rsidRPr="002200E9">
        <w:rPr>
          <w:lang w:val="fr-CH"/>
        </w:rPr>
        <w:t xml:space="preserve">cette hauteur et que l'examen de </w:t>
      </w:r>
      <w:r w:rsidR="00487895">
        <w:rPr>
          <w:lang w:val="fr-CH"/>
        </w:rPr>
        <w:t>l'approbation des plans suivra</w:t>
      </w:r>
      <w:r w:rsidR="00C02432" w:rsidRPr="002200E9">
        <w:rPr>
          <w:lang w:val="fr-CH"/>
        </w:rPr>
        <w:t xml:space="preserve"> la procédure ordinaire</w:t>
      </w:r>
      <w:r w:rsidR="00C02432">
        <w:rPr>
          <w:lang w:val="fr-CH"/>
        </w:rPr>
        <w:t>.</w:t>
      </w:r>
    </w:p>
    <w:p w:rsidR="00C02432" w:rsidRDefault="00C02432" w:rsidP="00BD16EB">
      <w:r>
        <w:rPr>
          <w:lang w:val="fr-CH"/>
        </w:rPr>
        <w:t>2.5</w:t>
      </w:r>
      <w:r>
        <w:rPr>
          <w:lang w:val="fr-CH"/>
        </w:rPr>
        <w:tab/>
        <w:t>Le nouv</w:t>
      </w:r>
      <w:r w:rsidR="007F6173">
        <w:rPr>
          <w:lang w:val="fr-CH"/>
        </w:rPr>
        <w:t>eau bâtiment doit être conforme</w:t>
      </w:r>
      <w:r>
        <w:rPr>
          <w:lang w:val="fr-CH"/>
        </w:rPr>
        <w:t xml:space="preserve"> aux </w:t>
      </w:r>
      <w:r w:rsidRPr="002200E9">
        <w:rPr>
          <w:lang w:val="fr-CH"/>
        </w:rPr>
        <w:t>normes minimales de sécurité opérationnelle en vigueur dans le système des Nations Unies (UN</w:t>
      </w:r>
      <w:r w:rsidRPr="002200E9">
        <w:rPr>
          <w:lang w:val="fr-CH"/>
        </w:rPr>
        <w:noBreakHyphen/>
        <w:t>MOSS) qui s'appliquent à tous les bâtiments des organisations du système des Nations Unies nouveaux ou modernisés</w:t>
      </w:r>
      <w:r>
        <w:rPr>
          <w:lang w:val="fr-CH"/>
        </w:rPr>
        <w:t xml:space="preserve"> partout dans le monde. Conformément à la recommandation formulée par le Conseil à sa session de 2017, l'UIT a pris contact avec les autorités du pays hôte pour discuter des menaces et des mesures d'atténuation adéquates pour le nouveau bâtiment. Une réunion sur l'évaluation des menaces et les mécanismes de sécurité, rassemblant des représentants de l'UIT, du </w:t>
      </w:r>
      <w:r>
        <w:t xml:space="preserve">Département de la sûreté et de la sécurité de l'ONU (UNDSS), du cabinet d'architectes (CDTK) et des autorités du pays hôte (DFAE/FEDPOL), a été organisée afin de connaître les différents points de vue et de se pencher sur les préoccupations </w:t>
      </w:r>
      <w:r w:rsidR="00BD16EB">
        <w:t>relatives aux</w:t>
      </w:r>
      <w:r>
        <w:t xml:space="preserve"> questions de sécurité. </w:t>
      </w:r>
    </w:p>
    <w:p w:rsidR="00C02432" w:rsidRDefault="00C02432" w:rsidP="00BD16EB">
      <w:r>
        <w:t>2.6</w:t>
      </w:r>
      <w:r>
        <w:tab/>
        <w:t xml:space="preserve">En décembre 2018 et février 2019, un </w:t>
      </w:r>
      <w:r w:rsidRPr="002200E9">
        <w:rPr>
          <w:lang w:val="fr-CH"/>
        </w:rPr>
        <w:t>architecte du Département</w:t>
      </w:r>
      <w:r>
        <w:rPr>
          <w:lang w:val="fr-CH"/>
        </w:rPr>
        <w:t xml:space="preserve"> UNDSS </w:t>
      </w:r>
      <w:r w:rsidRPr="002200E9">
        <w:rPr>
          <w:lang w:val="fr-CH"/>
        </w:rPr>
        <w:t xml:space="preserve">et un expert en atténuation des effets des explosions du Groupe de la sécurité des personnes de New York ont entrepris une évaluation de la sécurité physique et une inspection du projet et de la conception du nouveau bâtiment en tenant compte de mesures de sécurité prescrites par les normes </w:t>
      </w:r>
      <w:r w:rsidR="00BD16EB">
        <w:rPr>
          <w:lang w:val="fr-CH"/>
        </w:rPr>
        <w:t>UN-MOSS</w:t>
      </w:r>
      <w:r w:rsidRPr="002200E9">
        <w:rPr>
          <w:lang w:val="fr-CH"/>
        </w:rPr>
        <w:t>.</w:t>
      </w:r>
      <w:r w:rsidRPr="00EB72DA">
        <w:rPr>
          <w:lang w:val="fr-CH"/>
        </w:rPr>
        <w:t xml:space="preserve"> </w:t>
      </w:r>
      <w:r w:rsidRPr="002200E9">
        <w:rPr>
          <w:lang w:val="fr-CH"/>
        </w:rPr>
        <w:t xml:space="preserve">Le rapport d'évaluation préliminaire a relevé les mêmes préoccupations/difficultés pour le nouveau bâtiment que celles reconnues par le </w:t>
      </w:r>
      <w:r w:rsidR="00A56EDB" w:rsidRPr="002200E9">
        <w:rPr>
          <w:lang w:val="fr-CH"/>
        </w:rPr>
        <w:t>S</w:t>
      </w:r>
      <w:r w:rsidRPr="002200E9">
        <w:rPr>
          <w:lang w:val="fr-CH"/>
        </w:rPr>
        <w:t>ecrétariat de l'UIT</w:t>
      </w:r>
      <w:r w:rsidR="00BD16EB">
        <w:rPr>
          <w:lang w:val="fr-CH"/>
        </w:rPr>
        <w:t>, lesquelles</w:t>
      </w:r>
      <w:r>
        <w:rPr>
          <w:lang w:val="fr-CH"/>
        </w:rPr>
        <w:t xml:space="preserve"> entraînent des risques </w:t>
      </w:r>
      <w:r>
        <w:t xml:space="preserve">inacceptables au regard des normes </w:t>
      </w:r>
      <w:r w:rsidR="00BD16EB">
        <w:t>UN-MOSS</w:t>
      </w:r>
      <w:r>
        <w:t>:</w:t>
      </w:r>
    </w:p>
    <w:p w:rsidR="00C02432" w:rsidRDefault="00170356" w:rsidP="00170356">
      <w:pPr>
        <w:pStyle w:val="enumlev1"/>
      </w:pPr>
      <w:r>
        <w:t>–</w:t>
      </w:r>
      <w:r>
        <w:tab/>
        <w:t>d</w:t>
      </w:r>
      <w:r w:rsidR="00C02432">
        <w:t>istance</w:t>
      </w:r>
      <w:r>
        <w:t>s</w:t>
      </w:r>
      <w:r w:rsidR="00C02432">
        <w:t xml:space="preserve"> de sécurité </w:t>
      </w:r>
      <w:r>
        <w:t xml:space="preserve">insuffisantes </w:t>
      </w:r>
      <w:r w:rsidR="00C02432">
        <w:t>par rapport aux véhicules sur la rue de Varembé;</w:t>
      </w:r>
    </w:p>
    <w:p w:rsidR="00C02432" w:rsidRDefault="00BC0324" w:rsidP="00170356">
      <w:pPr>
        <w:pStyle w:val="enumlev1"/>
      </w:pPr>
      <w:r>
        <w:lastRenderedPageBreak/>
        <w:t>–</w:t>
      </w:r>
      <w:r>
        <w:tab/>
        <w:t>v</w:t>
      </w:r>
      <w:r w:rsidR="00C02432">
        <w:t>oies d'entrée et de sortie du parking public du côté de la rue de Varembé passant sous le bâtiment.</w:t>
      </w:r>
    </w:p>
    <w:p w:rsidR="00C02432" w:rsidRDefault="00C02432" w:rsidP="00A56EDB">
      <w:r>
        <w:t>2.7</w:t>
      </w:r>
      <w:r>
        <w:tab/>
      </w:r>
      <w:r w:rsidRPr="00D5069B">
        <w:t xml:space="preserve">Le rapport </w:t>
      </w:r>
      <w:r>
        <w:t>officiel demandé par l'Union</w:t>
      </w:r>
      <w:r w:rsidRPr="00D5069B">
        <w:t xml:space="preserve"> </w:t>
      </w:r>
      <w:r w:rsidRPr="00D5069B">
        <w:rPr>
          <w:i/>
          <w:iCs/>
        </w:rPr>
        <w:t>rejoint</w:t>
      </w:r>
      <w:r w:rsidRPr="00D5069B">
        <w:t xml:space="preserve"> </w:t>
      </w:r>
      <w:r w:rsidRPr="00D5069B">
        <w:rPr>
          <w:i/>
          <w:iCs/>
        </w:rPr>
        <w:t>le concept stratégique initial de bonne pratique de sécurité</w:t>
      </w:r>
      <w:r w:rsidRPr="00D5069B">
        <w:t xml:space="preserve"> qui avait été conçu par l'UIT et l'architecte, à savoir la création de deux couches séparées de clôtures d'enceinte, c'est-à-dire des clôtures anti-véhicules installées autour de la parcelle le plus loin possible du bâtiment pour gagner le maximum de distance de séparation et une clôture empêchant l'intrusion de piétons installée pour canaliser les personnes non accréditées vers un pavillon de contrôle/accréditation (pour les visiteurs et les délégués non accrédités) qui sera situé à la nouvelle entrée du côté de l'avenue Giuseppe Motta. </w:t>
      </w:r>
      <w:r w:rsidR="00FB016D">
        <w:t>C</w:t>
      </w:r>
      <w:r w:rsidRPr="00D5069B">
        <w:t xml:space="preserve">e rapport </w:t>
      </w:r>
      <w:r>
        <w:t>a été</w:t>
      </w:r>
      <w:r w:rsidRPr="00D5069B">
        <w:t xml:space="preserve"> transmis au </w:t>
      </w:r>
      <w:r w:rsidR="00A56EDB">
        <w:t>G</w:t>
      </w:r>
      <w:r w:rsidRPr="00D5069B">
        <w:t xml:space="preserve">roupe de travail </w:t>
      </w:r>
      <w:r w:rsidR="00FB016D">
        <w:t xml:space="preserve">sur la sécurité </w:t>
      </w:r>
      <w:r w:rsidRPr="00D5069B">
        <w:t>du Comité de liaison</w:t>
      </w:r>
      <w:r>
        <w:t xml:space="preserve"> et au Groupe </w:t>
      </w:r>
      <w:r w:rsidR="00FB016D">
        <w:t>consultatif d'États Membres (</w:t>
      </w:r>
      <w:r>
        <w:t>MSAG</w:t>
      </w:r>
      <w:r w:rsidR="00FB016D">
        <w:t>)</w:t>
      </w:r>
      <w:r w:rsidRPr="00D5069B">
        <w:t>.</w:t>
      </w:r>
      <w:r>
        <w:t xml:space="preserve"> Le Vice-Secrétaire général a écrit à l'Ambassadeur de la Suisse pour poursuivre les discussions avec les autorités du pays hôte concernant l'intégration de mesures adéquates d'atténuation des risques telles que celles exposées dans le rapport officiel.</w:t>
      </w:r>
    </w:p>
    <w:p w:rsidR="00C02432" w:rsidRDefault="00C02432" w:rsidP="00030256">
      <w:r>
        <w:t>2.8</w:t>
      </w:r>
      <w:r>
        <w:tab/>
        <w:t>Les discussions qui ont suivi, dans le cadre du Comité de liaison, avec la Mission suisse auprès des organisations internationales à Genève et avec la FIPOI montrent que la Suisse c</w:t>
      </w:r>
      <w:r w:rsidR="00FB016D">
        <w:t>omprend les problèmes que pose</w:t>
      </w:r>
      <w:r>
        <w:t xml:space="preserve"> en termes de collaboration, d'incidences financières et d'accès, l'intégration d'un bâtiment conforme aux exigences de sécurités UN-MOSS dans un tissu urbain dense et qu'elle étudie actuellement les meilleurs solutions pour parvenir au résultat souhaité.</w:t>
      </w:r>
    </w:p>
    <w:p w:rsidR="00C02432" w:rsidRPr="00420F9F" w:rsidRDefault="00C02432" w:rsidP="00030256">
      <w:pPr>
        <w:pStyle w:val="Heading1"/>
        <w:rPr>
          <w:lang w:val="fr-CH"/>
        </w:rPr>
      </w:pPr>
      <w:r>
        <w:rPr>
          <w:lang w:val="fr-CH"/>
        </w:rPr>
        <w:t>3</w:t>
      </w:r>
      <w:r w:rsidRPr="00420F9F">
        <w:rPr>
          <w:lang w:val="fr-CH"/>
        </w:rPr>
        <w:tab/>
      </w:r>
      <w:r>
        <w:rPr>
          <w:lang w:val="fr-CH"/>
        </w:rPr>
        <w:t>Gestion et gouvernance</w:t>
      </w:r>
    </w:p>
    <w:p w:rsidR="00C02432" w:rsidRDefault="00C02432" w:rsidP="007F18A3">
      <w:r>
        <w:t>3.1</w:t>
      </w:r>
      <w:r>
        <w:tab/>
        <w:t>La gouvernance du projet est clarifiée et l'équipe renforcée à mesure que les travaux progressent, l'objectif étant d'éviter les doublons, de garantir une visibilité suffisante pour toutes les parties prenantes et de réduire au</w:t>
      </w:r>
      <w:r w:rsidR="007F18A3">
        <w:t>tant que faire se peut</w:t>
      </w:r>
      <w:r>
        <w:t xml:space="preserve"> les dépenses directes tout en continuant d'assurer </w:t>
      </w:r>
      <w:r w:rsidR="00BC0324">
        <w:t>une gestion des risques</w:t>
      </w:r>
      <w:r w:rsidR="007F18A3">
        <w:t xml:space="preserve"> satisfaisante</w:t>
      </w:r>
      <w:r w:rsidR="00BC0324">
        <w:t>. À</w:t>
      </w:r>
      <w:r>
        <w:t xml:space="preserve"> cet égard, le Groupe MSAG, le CCIG et le pays hôte ont fourni des avis précieux.</w:t>
      </w:r>
    </w:p>
    <w:p w:rsidR="00C65704" w:rsidRDefault="00C02432" w:rsidP="00C65704">
      <w:r>
        <w:t>3.2</w:t>
      </w:r>
      <w:r>
        <w:tab/>
        <w:t>On trouvera dans l'</w:t>
      </w:r>
      <w:hyperlink w:anchor="Annex1" w:history="1">
        <w:r w:rsidRPr="009C1C4E">
          <w:rPr>
            <w:rStyle w:val="Hyperlink"/>
          </w:rPr>
          <w:t>Annexe 1</w:t>
        </w:r>
      </w:hyperlink>
      <w:r>
        <w:t xml:space="preserve"> un organigramme mis à jour.</w:t>
      </w:r>
    </w:p>
    <w:p w:rsidR="00C65704" w:rsidRDefault="00C65704" w:rsidP="007F18A3">
      <w:pPr>
        <w:pStyle w:val="enumlev1"/>
      </w:pPr>
      <w:r>
        <w:t>–</w:t>
      </w:r>
      <w:r>
        <w:tab/>
        <w:t>L</w:t>
      </w:r>
      <w:r w:rsidR="007F18A3">
        <w:t xml:space="preserve">a Commission de direction </w:t>
      </w:r>
      <w:r w:rsidR="00C02432">
        <w:t>est composé</w:t>
      </w:r>
      <w:r w:rsidR="007F18A3">
        <w:t>e</w:t>
      </w:r>
      <w:r w:rsidR="00C02432">
        <w:t xml:space="preserve"> des fonctionnair</w:t>
      </w:r>
      <w:r>
        <w:t>es élus de l'UIT.</w:t>
      </w:r>
    </w:p>
    <w:p w:rsidR="00C65704" w:rsidRDefault="00C65704" w:rsidP="00BC0324">
      <w:pPr>
        <w:pStyle w:val="enumlev1"/>
      </w:pPr>
      <w:r>
        <w:t>–</w:t>
      </w:r>
      <w:r>
        <w:tab/>
      </w:r>
      <w:r w:rsidR="00C02432">
        <w:t>Le Comité de liaison et ses groupes de travail assure</w:t>
      </w:r>
      <w:r>
        <w:t>nt la liaison avec le pays hôte.</w:t>
      </w:r>
    </w:p>
    <w:p w:rsidR="00C02432" w:rsidRDefault="00C65704" w:rsidP="00BC0324">
      <w:pPr>
        <w:pStyle w:val="enumlev1"/>
      </w:pPr>
      <w:r>
        <w:t>–</w:t>
      </w:r>
      <w:r>
        <w:tab/>
      </w:r>
      <w:r w:rsidR="00C02432">
        <w:t>Le Groupe chargé des spécifications du nouveau bâtiment rassemble les coordonnateurs des unités opérationnelles de l'UIT.</w:t>
      </w:r>
    </w:p>
    <w:p w:rsidR="00C02432" w:rsidRPr="00420F9F" w:rsidRDefault="00C02432" w:rsidP="00030256">
      <w:pPr>
        <w:pStyle w:val="Heading1"/>
        <w:rPr>
          <w:lang w:val="fr-CH"/>
        </w:rPr>
      </w:pPr>
      <w:r>
        <w:rPr>
          <w:lang w:val="fr-CH"/>
        </w:rPr>
        <w:t>4</w:t>
      </w:r>
      <w:r w:rsidRPr="00420F9F">
        <w:rPr>
          <w:lang w:val="fr-CH"/>
        </w:rPr>
        <w:tab/>
      </w:r>
      <w:r>
        <w:rPr>
          <w:lang w:val="fr-CH"/>
        </w:rPr>
        <w:t>Financement: Résolution 212 (Dubaï, 2018) et Décision 5 (Rév. Dubaï, 2018) de la Conférence de plénipotentiaires</w:t>
      </w:r>
    </w:p>
    <w:p w:rsidR="00C02432" w:rsidRDefault="00C02432" w:rsidP="00030256">
      <w:r>
        <w:t>4.1</w:t>
      </w:r>
      <w:r>
        <w:tab/>
        <w:t>La Conférence de plénipotentiaires de 2018 a adopté sa Résolution 212 (Dubaï, 2018) relative aux locaux futurs du siège, qui remplace la Résolution 194 (Busan, 2014).</w:t>
      </w:r>
    </w:p>
    <w:p w:rsidR="00C02432" w:rsidRDefault="00C02432" w:rsidP="00030256">
      <w:r>
        <w:t>4.2</w:t>
      </w:r>
      <w:r>
        <w:tab/>
        <w:t>Par cette Résolution, la Conférence a décidé:</w:t>
      </w:r>
    </w:p>
    <w:p w:rsidR="00C02432" w:rsidRDefault="00BC0324" w:rsidP="007F18A3">
      <w:pPr>
        <w:pStyle w:val="enumlev1"/>
      </w:pPr>
      <w:r>
        <w:t>–</w:t>
      </w:r>
      <w:r>
        <w:tab/>
      </w:r>
      <w:r w:rsidR="00C02432">
        <w:t>que la Décision 588 (2016) et les autres décisi</w:t>
      </w:r>
      <w:r w:rsidR="007F18A3">
        <w:t>ons pertinentes du Conseil devraie</w:t>
      </w:r>
      <w:r w:rsidR="00C02432">
        <w:t>nt être respectées;</w:t>
      </w:r>
    </w:p>
    <w:p w:rsidR="00C02432" w:rsidRPr="001C5BC3" w:rsidRDefault="00BC0324" w:rsidP="00BC0324">
      <w:pPr>
        <w:pStyle w:val="enumlev1"/>
      </w:pPr>
      <w:r w:rsidRPr="00BC0324">
        <w:rPr>
          <w:lang w:val="fr-CH"/>
        </w:rPr>
        <w:t>–</w:t>
      </w:r>
      <w:r>
        <w:rPr>
          <w:lang w:val="fr-CH"/>
        </w:rPr>
        <w:tab/>
      </w:r>
      <w:r w:rsidR="00C02432" w:rsidRPr="002200E9">
        <w:rPr>
          <w:lang w:val="fr-CH"/>
        </w:rPr>
        <w:t xml:space="preserve">que le financement devrait provenir principalement d'un prêt sans intérêt sur 50 ans de la Confédération </w:t>
      </w:r>
      <w:r w:rsidR="00C02432" w:rsidRPr="00BC0324">
        <w:t>suisse</w:t>
      </w:r>
      <w:r w:rsidR="00C02432" w:rsidRPr="002200E9">
        <w:rPr>
          <w:lang w:val="fr-CH"/>
        </w:rPr>
        <w:t xml:space="preserve"> qui ne devrait pas dépasser 150 millions CHF, qui peut être complété par des parrainages et des dons ainsi que par le fonds</w:t>
      </w:r>
      <w:r w:rsidR="00C02432">
        <w:rPr>
          <w:lang w:val="fr-CH"/>
        </w:rPr>
        <w:t xml:space="preserve"> temporaire</w:t>
      </w:r>
      <w:r w:rsidR="00C02432" w:rsidRPr="002200E9">
        <w:rPr>
          <w:lang w:val="fr-CH"/>
        </w:rPr>
        <w:t xml:space="preserve"> créé</w:t>
      </w:r>
      <w:r w:rsidR="00C02432">
        <w:rPr>
          <w:lang w:val="fr-CH"/>
        </w:rPr>
        <w:t xml:space="preserve"> par le Conseil à sa session </w:t>
      </w:r>
      <w:r w:rsidR="007F18A3">
        <w:rPr>
          <w:lang w:val="fr-CH"/>
        </w:rPr>
        <w:t xml:space="preserve">ordinaire </w:t>
      </w:r>
      <w:r w:rsidR="00C02432">
        <w:rPr>
          <w:lang w:val="fr-CH"/>
        </w:rPr>
        <w:t>de </w:t>
      </w:r>
      <w:r w:rsidR="00C02432" w:rsidRPr="002200E9">
        <w:rPr>
          <w:lang w:val="fr-CH"/>
        </w:rPr>
        <w:t>2018</w:t>
      </w:r>
      <w:r w:rsidR="00C02432">
        <w:rPr>
          <w:lang w:val="fr-CH"/>
        </w:rPr>
        <w:t>;</w:t>
      </w:r>
    </w:p>
    <w:p w:rsidR="00C02432" w:rsidRPr="001C5BC3" w:rsidRDefault="00BC0324" w:rsidP="00D440A1">
      <w:pPr>
        <w:pStyle w:val="enumlev1"/>
      </w:pPr>
      <w:r w:rsidRPr="00BC0324">
        <w:rPr>
          <w:lang w:val="fr-CH"/>
        </w:rPr>
        <w:lastRenderedPageBreak/>
        <w:t>–</w:t>
      </w:r>
      <w:r>
        <w:rPr>
          <w:lang w:val="fr-CH"/>
        </w:rPr>
        <w:tab/>
      </w:r>
      <w:r w:rsidR="00C02432">
        <w:rPr>
          <w:lang w:val="fr-CH"/>
        </w:rPr>
        <w:t xml:space="preserve">que le Groupe </w:t>
      </w:r>
      <w:r w:rsidR="00C02432" w:rsidRPr="002200E9">
        <w:rPr>
          <w:lang w:val="fr-CH"/>
        </w:rPr>
        <w:t xml:space="preserve">MSAG continuerait de se réunir en général tous les </w:t>
      </w:r>
      <w:r w:rsidR="00C02432" w:rsidRPr="00BC0324">
        <w:t>trimestres</w:t>
      </w:r>
      <w:r w:rsidR="00C02432" w:rsidRPr="002200E9">
        <w:rPr>
          <w:lang w:val="fr-CH"/>
        </w:rPr>
        <w:t xml:space="preserve"> pour examiner les progrès réalisés et donner des orientations, et que les représentants </w:t>
      </w:r>
      <w:r w:rsidR="00C02432" w:rsidRPr="00BC0324">
        <w:t>des</w:t>
      </w:r>
      <w:r w:rsidR="00C02432" w:rsidRPr="002200E9">
        <w:rPr>
          <w:lang w:val="fr-CH"/>
        </w:rPr>
        <w:t xml:space="preserve"> missions permanentes à Genève seraient tenus au courant de l'évolution du projet lors de réunions d'information organisées au moins deux fois par an</w:t>
      </w:r>
      <w:r w:rsidR="00C02432">
        <w:rPr>
          <w:lang w:val="fr-CH"/>
        </w:rPr>
        <w:t>.</w:t>
      </w:r>
    </w:p>
    <w:p w:rsidR="00C02432" w:rsidRDefault="00C02432" w:rsidP="00030256">
      <w:r>
        <w:t>4.3</w:t>
      </w:r>
      <w:r>
        <w:tab/>
        <w:t>De plus, aux termes de la Décision 5 (Rév. Dubaï, 2018) de la Conférence de plénipotentiaires, le Conseil est chargé:</w:t>
      </w:r>
    </w:p>
    <w:p w:rsidR="00C02432" w:rsidRPr="002200E9" w:rsidRDefault="00C02432" w:rsidP="00A56EDB">
      <w:pPr>
        <w:ind w:left="567"/>
        <w:rPr>
          <w:i/>
          <w:lang w:val="fr-CH"/>
        </w:rPr>
      </w:pPr>
      <w:r w:rsidRPr="00CF0EEC">
        <w:rPr>
          <w:iCs/>
          <w:lang w:val="fr-CH"/>
        </w:rPr>
        <w:t>"</w:t>
      </w:r>
      <w:r w:rsidRPr="002200E9">
        <w:rPr>
          <w:i/>
          <w:lang w:val="fr-CH"/>
        </w:rPr>
        <w:t xml:space="preserve">d'autoriser le Secrétaire général, dans le cas où un excédent est enregistré dans le cadre de la mise en </w:t>
      </w:r>
      <w:r w:rsidR="004F130B" w:rsidRPr="002200E9">
        <w:rPr>
          <w:i/>
          <w:lang w:val="fr-CH"/>
        </w:rPr>
        <w:t>œuvre</w:t>
      </w:r>
      <w:r w:rsidRPr="002200E9">
        <w:rPr>
          <w:i/>
          <w:lang w:val="fr-CH"/>
        </w:rPr>
        <w:t xml:space="preserve"> du budget, à affecter un montant approprié au Fonds pour le projet de nouveau bâtiment, afin de financer les coûts qui ne peuvent pas être financés, d'un point de vue juridique, par le prêt consenti par le pays hôte;</w:t>
      </w:r>
      <w:r w:rsidRPr="00CF0EEC">
        <w:rPr>
          <w:iCs/>
          <w:lang w:val="fr-CH"/>
        </w:rPr>
        <w:t>"</w:t>
      </w:r>
      <w:r>
        <w:rPr>
          <w:iCs/>
          <w:lang w:val="fr-CH"/>
        </w:rPr>
        <w:t>.</w:t>
      </w:r>
    </w:p>
    <w:p w:rsidR="00C02432" w:rsidRPr="002200E9" w:rsidRDefault="00C02432" w:rsidP="00030256">
      <w:pPr>
        <w:rPr>
          <w:lang w:val="fr-CH"/>
        </w:rPr>
      </w:pPr>
      <w:r w:rsidRPr="002200E9">
        <w:rPr>
          <w:lang w:val="fr-CH"/>
        </w:rPr>
        <w:t>4.4</w:t>
      </w:r>
      <w:r w:rsidRPr="002200E9">
        <w:rPr>
          <w:lang w:val="fr-CH"/>
        </w:rPr>
        <w:tab/>
        <w:t xml:space="preserve">Cela signifie que les sources de financement suivantes existent aujourd'hui: </w:t>
      </w:r>
    </w:p>
    <w:p w:rsidR="00C02432" w:rsidRPr="001C5BC3" w:rsidRDefault="00BC0324" w:rsidP="00BC0324">
      <w:pPr>
        <w:pStyle w:val="enumlev1"/>
      </w:pPr>
      <w:r w:rsidRPr="00BC0324">
        <w:rPr>
          <w:lang w:val="fr-CH"/>
        </w:rPr>
        <w:t>–</w:t>
      </w:r>
      <w:r>
        <w:rPr>
          <w:lang w:val="fr-CH"/>
        </w:rPr>
        <w:tab/>
        <w:t>l</w:t>
      </w:r>
      <w:r w:rsidR="00C02432" w:rsidRPr="002200E9">
        <w:rPr>
          <w:lang w:val="fr-CH"/>
        </w:rPr>
        <w:t xml:space="preserve">e prêt </w:t>
      </w:r>
      <w:r w:rsidR="00C02432" w:rsidRPr="00BC0324">
        <w:t>du</w:t>
      </w:r>
      <w:r w:rsidR="00C02432" w:rsidRPr="002200E9">
        <w:rPr>
          <w:lang w:val="fr-CH"/>
        </w:rPr>
        <w:t xml:space="preserve"> pays hôte (pour les éléments qui peuvent être inclus d'un point de vue juridique)</w:t>
      </w:r>
      <w:r>
        <w:rPr>
          <w:lang w:val="fr-CH"/>
        </w:rPr>
        <w:t>;</w:t>
      </w:r>
    </w:p>
    <w:p w:rsidR="00C02432" w:rsidRPr="001C5BC3" w:rsidRDefault="00BC0324" w:rsidP="00BC0324">
      <w:pPr>
        <w:pStyle w:val="enumlev1"/>
      </w:pPr>
      <w:r w:rsidRPr="00BC0324">
        <w:rPr>
          <w:lang w:val="fr-CH"/>
        </w:rPr>
        <w:t>–</w:t>
      </w:r>
      <w:r>
        <w:rPr>
          <w:lang w:val="fr-CH"/>
        </w:rPr>
        <w:tab/>
        <w:t>d</w:t>
      </w:r>
      <w:r w:rsidR="00C02432" w:rsidRPr="002200E9">
        <w:rPr>
          <w:lang w:val="fr-CH"/>
        </w:rPr>
        <w:t xml:space="preserve">es </w:t>
      </w:r>
      <w:r w:rsidR="00C02432" w:rsidRPr="00BC0324">
        <w:t>parrainages</w:t>
      </w:r>
      <w:r>
        <w:rPr>
          <w:lang w:val="fr-CH"/>
        </w:rPr>
        <w:t>;</w:t>
      </w:r>
    </w:p>
    <w:p w:rsidR="00C02432" w:rsidRPr="001C5BC3" w:rsidRDefault="00BC0324" w:rsidP="00BC0324">
      <w:pPr>
        <w:pStyle w:val="enumlev1"/>
      </w:pPr>
      <w:r w:rsidRPr="00BC0324">
        <w:rPr>
          <w:lang w:val="fr-CH"/>
        </w:rPr>
        <w:t>–</w:t>
      </w:r>
      <w:r>
        <w:rPr>
          <w:lang w:val="fr-CH"/>
        </w:rPr>
        <w:tab/>
        <w:t>d</w:t>
      </w:r>
      <w:r w:rsidR="00C02432" w:rsidRPr="002200E9">
        <w:rPr>
          <w:lang w:val="fr-CH"/>
        </w:rPr>
        <w:t xml:space="preserve">es </w:t>
      </w:r>
      <w:r w:rsidR="00C02432" w:rsidRPr="00BC0324">
        <w:t>dons</w:t>
      </w:r>
      <w:r>
        <w:rPr>
          <w:lang w:val="fr-CH"/>
        </w:rPr>
        <w:t>;</w:t>
      </w:r>
    </w:p>
    <w:p w:rsidR="00C02432" w:rsidRPr="001C5BC3" w:rsidRDefault="00BC0324" w:rsidP="00D440A1">
      <w:pPr>
        <w:pStyle w:val="enumlev1"/>
      </w:pPr>
      <w:r w:rsidRPr="00BC0324">
        <w:rPr>
          <w:lang w:val="fr-CH"/>
        </w:rPr>
        <w:t>–</w:t>
      </w:r>
      <w:r>
        <w:rPr>
          <w:lang w:val="fr-CH"/>
        </w:rPr>
        <w:tab/>
        <w:t>l</w:t>
      </w:r>
      <w:r w:rsidR="00C02432" w:rsidRPr="002200E9">
        <w:rPr>
          <w:lang w:val="fr-CH"/>
        </w:rPr>
        <w:t xml:space="preserve">e </w:t>
      </w:r>
      <w:r w:rsidR="00D440A1">
        <w:rPr>
          <w:lang w:val="fr-CH"/>
        </w:rPr>
        <w:t>F</w:t>
      </w:r>
      <w:r w:rsidR="00C02432" w:rsidRPr="00BC0324">
        <w:t>onds</w:t>
      </w:r>
      <w:r w:rsidR="00D440A1">
        <w:t xml:space="preserve"> pour le projet de nouveau bâtiment</w:t>
      </w:r>
      <w:r w:rsidR="00C02432" w:rsidRPr="002200E9">
        <w:rPr>
          <w:lang w:val="fr-CH"/>
        </w:rPr>
        <w:t xml:space="preserve"> créé par le Conseil à sa session de 2018 (pour les éléments qui ne peuvent être financés par le prêt d'un point de vue juridique).</w:t>
      </w:r>
    </w:p>
    <w:p w:rsidR="00C02432" w:rsidRDefault="00C02432" w:rsidP="00F26F7C">
      <w:r>
        <w:t>4.5</w:t>
      </w:r>
      <w:r>
        <w:tab/>
        <w:t xml:space="preserve">Il est proposé </w:t>
      </w:r>
      <w:r w:rsidR="00F26F7C">
        <w:t xml:space="preserve">de </w:t>
      </w:r>
      <w:r>
        <w:t xml:space="preserve">verser </w:t>
      </w:r>
      <w:r w:rsidR="00F26F7C">
        <w:t>sur le</w:t>
      </w:r>
      <w:r>
        <w:t xml:space="preserve"> Fonds pour le projet de nouveau bâtiment susmentionné</w:t>
      </w:r>
      <w:r w:rsidR="00F26F7C">
        <w:t xml:space="preserve"> 6 millions CHF provenant d'économies réalisées en 2018</w:t>
      </w:r>
      <w:r>
        <w:t>. On trouvera dans l'Annexe 2 une description du financement, avec ce versement.</w:t>
      </w:r>
    </w:p>
    <w:p w:rsidR="00C02432" w:rsidRPr="00420F9F" w:rsidRDefault="00C02432" w:rsidP="003471BB">
      <w:pPr>
        <w:pStyle w:val="Heading1"/>
        <w:rPr>
          <w:lang w:val="fr-CH"/>
        </w:rPr>
      </w:pPr>
      <w:r>
        <w:rPr>
          <w:lang w:val="fr-CH"/>
        </w:rPr>
        <w:t>5</w:t>
      </w:r>
      <w:r w:rsidRPr="00420F9F">
        <w:rPr>
          <w:lang w:val="fr-CH"/>
        </w:rPr>
        <w:tab/>
      </w:r>
      <w:r>
        <w:rPr>
          <w:lang w:val="fr-CH"/>
        </w:rPr>
        <w:t>Parrainages et dons</w:t>
      </w:r>
    </w:p>
    <w:p w:rsidR="00C02432" w:rsidRDefault="00C02432" w:rsidP="00F26F7C">
      <w:r>
        <w:t>5.1</w:t>
      </w:r>
      <w:r>
        <w:tab/>
        <w:t xml:space="preserve">En avril 2019, </w:t>
      </w:r>
      <w:r w:rsidRPr="00D40A8E">
        <w:t xml:space="preserve">l'Arabie saoudite et les </w:t>
      </w:r>
      <w:r>
        <w:t>É</w:t>
      </w:r>
      <w:r w:rsidRPr="00D40A8E">
        <w:t xml:space="preserve">mirats arabes unis s'étaient généreusement engagés à apporter respectivement un financement de 10 millions CHF et 5 millions CHF et </w:t>
      </w:r>
      <w:r>
        <w:t>des</w:t>
      </w:r>
      <w:r w:rsidRPr="00D40A8E">
        <w:t xml:space="preserve"> don</w:t>
      </w:r>
      <w:r>
        <w:t>s</w:t>
      </w:r>
      <w:r w:rsidR="002D70B3">
        <w:t xml:space="preserve"> de 100 </w:t>
      </w:r>
      <w:r w:rsidRPr="00D40A8E">
        <w:t>000 USD</w:t>
      </w:r>
      <w:r>
        <w:t xml:space="preserve"> et de 40 000 CHF</w:t>
      </w:r>
      <w:r w:rsidRPr="00D40A8E">
        <w:t xml:space="preserve"> avai</w:t>
      </w:r>
      <w:r>
        <w:t>en</w:t>
      </w:r>
      <w:r w:rsidRPr="00D40A8E">
        <w:t>t généreusement été versé</w:t>
      </w:r>
      <w:r>
        <w:t>s</w:t>
      </w:r>
      <w:r w:rsidRPr="00D40A8E">
        <w:t xml:space="preserve"> par la République tchèque</w:t>
      </w:r>
      <w:r>
        <w:t xml:space="preserve"> et le Ghana.</w:t>
      </w:r>
    </w:p>
    <w:p w:rsidR="00C02432" w:rsidRDefault="00C02432" w:rsidP="00F26F7C">
      <w:pPr>
        <w:rPr>
          <w:lang w:val="fr-CH"/>
        </w:rPr>
      </w:pPr>
      <w:r>
        <w:t>5.2</w:t>
      </w:r>
      <w:r>
        <w:tab/>
        <w:t xml:space="preserve">D'autres États Membres ont fait part de leur souhait </w:t>
      </w:r>
      <w:r w:rsidR="00F26F7C">
        <w:t>d'apporter</w:t>
      </w:r>
      <w:r>
        <w:t xml:space="preserve"> un parrainage et leurs propositions sont actuellement à l'étude. </w:t>
      </w:r>
      <w:r>
        <w:rPr>
          <w:lang w:val="fr-CH"/>
        </w:rPr>
        <w:t>Les É</w:t>
      </w:r>
      <w:r w:rsidRPr="002200E9">
        <w:rPr>
          <w:lang w:val="fr-CH"/>
        </w:rPr>
        <w:t xml:space="preserve">tats Membres et les Membres de Secteur sont </w:t>
      </w:r>
      <w:r w:rsidR="00F26F7C">
        <w:rPr>
          <w:lang w:val="fr-CH"/>
        </w:rPr>
        <w:t xml:space="preserve">en outre </w:t>
      </w:r>
      <w:r w:rsidRPr="002200E9">
        <w:rPr>
          <w:lang w:val="fr-CH"/>
        </w:rPr>
        <w:t>encouragés à apporter des parrainages et/ou à faire des dons et à demander des précisions au Vice-Secrétaire général s'ils sont intéressés.</w:t>
      </w:r>
    </w:p>
    <w:p w:rsidR="00C02432" w:rsidRPr="00420F9F" w:rsidRDefault="00C02432" w:rsidP="004D1490">
      <w:pPr>
        <w:pStyle w:val="Heading1"/>
        <w:rPr>
          <w:lang w:val="fr-CH"/>
        </w:rPr>
      </w:pPr>
      <w:r>
        <w:rPr>
          <w:lang w:val="fr-CH"/>
        </w:rPr>
        <w:t>6</w:t>
      </w:r>
      <w:r w:rsidRPr="00420F9F">
        <w:rPr>
          <w:lang w:val="fr-CH"/>
        </w:rPr>
        <w:tab/>
      </w:r>
      <w:r>
        <w:rPr>
          <w:lang w:val="fr-CH"/>
        </w:rPr>
        <w:t xml:space="preserve">Fonctionnaires et ressources </w:t>
      </w:r>
      <w:r w:rsidR="004F130B">
        <w:rPr>
          <w:lang w:val="fr-CH"/>
        </w:rPr>
        <w:t>externes</w:t>
      </w:r>
    </w:p>
    <w:p w:rsidR="00C02432" w:rsidRDefault="00C02432" w:rsidP="002D70B3">
      <w:r>
        <w:t>6.1</w:t>
      </w:r>
      <w:r>
        <w:tab/>
        <w:t xml:space="preserve">Outre la Conseillère principale pour le projet de construction (P5) recrutée à plein temps en tant que responsable du projet et le Responsable principal des achats (P4) déjà en poste, une division a été créée au sein du Bureau du Secrétaire général, comprenant deux personnes </w:t>
      </w:r>
      <w:r w:rsidR="002D70B3">
        <w:t xml:space="preserve">qui </w:t>
      </w:r>
      <w:r>
        <w:t>ont été détachées à 100%</w:t>
      </w:r>
      <w:r w:rsidR="002D70B3">
        <w:t>, à savoir</w:t>
      </w:r>
      <w:r>
        <w:t xml:space="preserve"> un coordonnateur chargé de l'architecture et de l'ingénierie (P3) et un assistant principal (G6).</w:t>
      </w:r>
      <w:r w:rsidR="002D70B3">
        <w:t xml:space="preserve"> D'autres fonctionnaires s'acquitt</w:t>
      </w:r>
      <w:r>
        <w:t>ent de tâches liées au projet dans le cadre de leurs responsabilités existantes.</w:t>
      </w:r>
    </w:p>
    <w:p w:rsidR="00C02432" w:rsidRDefault="00C02432" w:rsidP="007F27FB">
      <w:pPr>
        <w:keepNext/>
        <w:keepLines/>
        <w:rPr>
          <w:lang w:val="fr-CH"/>
        </w:rPr>
      </w:pPr>
      <w:r>
        <w:lastRenderedPageBreak/>
        <w:t>6.2</w:t>
      </w:r>
      <w:r>
        <w:tab/>
      </w:r>
      <w:r w:rsidRPr="002200E9">
        <w:rPr>
          <w:lang w:val="fr-CH"/>
        </w:rPr>
        <w:t xml:space="preserve">KPMG a été </w:t>
      </w:r>
      <w:r w:rsidR="002D70B3">
        <w:rPr>
          <w:lang w:val="fr-CH"/>
        </w:rPr>
        <w:t xml:space="preserve">recruté </w:t>
      </w:r>
      <w:r>
        <w:rPr>
          <w:lang w:val="fr-CH"/>
        </w:rPr>
        <w:t>pour fournir des services de conseil concernant l'</w:t>
      </w:r>
      <w:r w:rsidRPr="002200E9">
        <w:rPr>
          <w:lang w:val="fr-CH"/>
        </w:rPr>
        <w:t xml:space="preserve">appui technique jusqu'en avril 2019. Un appel d'offres international a été lancé en novembre 2018 pour </w:t>
      </w:r>
      <w:r w:rsidR="002D70B3">
        <w:rPr>
          <w:lang w:val="fr-CH"/>
        </w:rPr>
        <w:t>la fourniture, à compter d'avril 2019, de services de</w:t>
      </w:r>
      <w:r w:rsidRPr="002200E9">
        <w:rPr>
          <w:lang w:val="fr-CH"/>
        </w:rPr>
        <w:t xml:space="preserve"> gestion du projet</w:t>
      </w:r>
      <w:r w:rsidR="00A10FE4">
        <w:rPr>
          <w:lang w:val="fr-CH"/>
        </w:rPr>
        <w:t>, d'appui technique et d</w:t>
      </w:r>
      <w:r w:rsidR="006612B3">
        <w:rPr>
          <w:lang w:val="fr-CH"/>
        </w:rPr>
        <w:t>'appui à la gestion des risques</w:t>
      </w:r>
      <w:r w:rsidR="00A10FE4">
        <w:rPr>
          <w:lang w:val="fr-CH"/>
        </w:rPr>
        <w:t xml:space="preserve"> à long terme; l'appel d'offres </w:t>
      </w:r>
      <w:r>
        <w:rPr>
          <w:lang w:val="fr-CH"/>
        </w:rPr>
        <w:t>a débouché sur une recommandation qui a été acceptée par le Secrétaire général</w:t>
      </w:r>
      <w:r w:rsidRPr="002200E9">
        <w:rPr>
          <w:lang w:val="fr-CH"/>
        </w:rPr>
        <w:t xml:space="preserve">. </w:t>
      </w:r>
      <w:r>
        <w:rPr>
          <w:lang w:val="fr-CH"/>
        </w:rPr>
        <w:t xml:space="preserve">Un contrat est en cours de négociation avec un fournisseur de renommée internationale qui </w:t>
      </w:r>
      <w:r w:rsidR="007F27FB">
        <w:rPr>
          <w:lang w:val="fr-CH"/>
        </w:rPr>
        <w:t xml:space="preserve">assistera </w:t>
      </w:r>
      <w:r w:rsidRPr="002200E9">
        <w:rPr>
          <w:lang w:val="fr-CH"/>
        </w:rPr>
        <w:t>aux réunions du Comité de dire</w:t>
      </w:r>
      <w:r>
        <w:rPr>
          <w:lang w:val="fr-CH"/>
        </w:rPr>
        <w:t>ction et en particulier du sous</w:t>
      </w:r>
      <w:r>
        <w:rPr>
          <w:lang w:val="fr-CH"/>
        </w:rPr>
        <w:noBreakHyphen/>
      </w:r>
      <w:r w:rsidRPr="002200E9">
        <w:rPr>
          <w:lang w:val="fr-CH"/>
        </w:rPr>
        <w:t xml:space="preserve">groupe sur les </w:t>
      </w:r>
      <w:r>
        <w:rPr>
          <w:lang w:val="fr-CH"/>
        </w:rPr>
        <w:t>spécifications</w:t>
      </w:r>
      <w:r w:rsidRPr="002200E9">
        <w:rPr>
          <w:lang w:val="fr-CH"/>
        </w:rPr>
        <w:t>.</w:t>
      </w:r>
    </w:p>
    <w:p w:rsidR="00C02432" w:rsidRPr="00420F9F" w:rsidRDefault="00C02432" w:rsidP="00030256">
      <w:pPr>
        <w:pStyle w:val="Heading1"/>
        <w:rPr>
          <w:lang w:val="fr-CH"/>
        </w:rPr>
      </w:pPr>
      <w:r>
        <w:rPr>
          <w:lang w:val="fr-CH"/>
        </w:rPr>
        <w:t>7</w:t>
      </w:r>
      <w:r w:rsidRPr="00420F9F">
        <w:rPr>
          <w:lang w:val="fr-CH"/>
        </w:rPr>
        <w:tab/>
      </w:r>
      <w:r>
        <w:rPr>
          <w:lang w:val="fr-CH"/>
        </w:rPr>
        <w:t>Continuité des activités pendant les phases de démolition et de construction</w:t>
      </w:r>
    </w:p>
    <w:p w:rsidR="00C02432" w:rsidRDefault="00C02432" w:rsidP="005C2005">
      <w:pPr>
        <w:rPr>
          <w:lang w:val="fr-CH"/>
        </w:rPr>
      </w:pPr>
      <w:r>
        <w:t>7.1</w:t>
      </w:r>
      <w:r>
        <w:tab/>
        <w:t xml:space="preserve">Le </w:t>
      </w:r>
      <w:r w:rsidR="00A56EDB">
        <w:t>S</w:t>
      </w:r>
      <w:r>
        <w:t xml:space="preserve">ecrétariat de l'UIT travaille afin d'éviter de devoir </w:t>
      </w:r>
      <w:r w:rsidRPr="002200E9">
        <w:rPr>
          <w:lang w:val="fr-CH"/>
        </w:rPr>
        <w:t xml:space="preserve">louer des bureaux temporaires pendant la période de transition (entre le départ du bâtiment Varembé et l'installation dans le nouveau bâtiment) en </w:t>
      </w:r>
      <w:r w:rsidR="00987239">
        <w:rPr>
          <w:lang w:val="fr-CH"/>
        </w:rPr>
        <w:t xml:space="preserve">utilisant plus efficacement </w:t>
      </w:r>
      <w:r w:rsidRPr="002200E9">
        <w:rPr>
          <w:lang w:val="fr-CH"/>
        </w:rPr>
        <w:t xml:space="preserve">l'espace disponible dans la Tour et le bâtiment Montbrillant et en </w:t>
      </w:r>
      <w:r>
        <w:rPr>
          <w:lang w:val="fr-CH"/>
        </w:rPr>
        <w:t>mettant en place des méthodes de travail souples</w:t>
      </w:r>
      <w:r w:rsidRPr="002200E9">
        <w:rPr>
          <w:lang w:val="fr-CH"/>
        </w:rPr>
        <w:t>.</w:t>
      </w:r>
    </w:p>
    <w:p w:rsidR="00C02432" w:rsidRDefault="00C02432" w:rsidP="00167252">
      <w:pPr>
        <w:rPr>
          <w:lang w:val="fr-CH"/>
        </w:rPr>
      </w:pPr>
      <w:r>
        <w:t>7.2</w:t>
      </w:r>
      <w:r>
        <w:tab/>
        <w:t xml:space="preserve">Le </w:t>
      </w:r>
      <w:r w:rsidR="00A56EDB">
        <w:t>S</w:t>
      </w:r>
      <w:r>
        <w:t xml:space="preserve">ecrétariat </w:t>
      </w:r>
      <w:r w:rsidR="00167252">
        <w:t xml:space="preserve">de l'UIT </w:t>
      </w:r>
      <w:r>
        <w:t xml:space="preserve">examine les solutions possibles pour éviter de devoir </w:t>
      </w:r>
      <w:r w:rsidRPr="002200E9">
        <w:rPr>
          <w:lang w:val="fr-CH"/>
        </w:rPr>
        <w:t xml:space="preserve">louer des salles de réunion pendant la période où les salles de </w:t>
      </w:r>
      <w:r w:rsidR="00167252">
        <w:rPr>
          <w:lang w:val="fr-CH"/>
        </w:rPr>
        <w:t xml:space="preserve">réunion de </w:t>
      </w:r>
      <w:r w:rsidRPr="002200E9">
        <w:rPr>
          <w:lang w:val="fr-CH"/>
        </w:rPr>
        <w:t xml:space="preserve">la Tour et de Montbrillant ne seront pas utilisables en raison des perturbations </w:t>
      </w:r>
      <w:r w:rsidR="00167252">
        <w:rPr>
          <w:lang w:val="fr-CH"/>
        </w:rPr>
        <w:t xml:space="preserve">dues à la réalisation du gros </w:t>
      </w:r>
      <w:r w:rsidR="004F130B">
        <w:rPr>
          <w:lang w:val="fr-CH"/>
        </w:rPr>
        <w:t>œuvre</w:t>
      </w:r>
      <w:r w:rsidR="00167252">
        <w:rPr>
          <w:lang w:val="fr-CH"/>
        </w:rPr>
        <w:t xml:space="preserve"> </w:t>
      </w:r>
      <w:r w:rsidRPr="002200E9">
        <w:rPr>
          <w:lang w:val="fr-CH"/>
        </w:rPr>
        <w:t>(en</w:t>
      </w:r>
      <w:r>
        <w:rPr>
          <w:lang w:val="fr-CH"/>
        </w:rPr>
        <w:t> </w:t>
      </w:r>
      <w:r w:rsidRPr="002200E9">
        <w:rPr>
          <w:lang w:val="fr-CH"/>
        </w:rPr>
        <w:t>2022</w:t>
      </w:r>
      <w:r w:rsidRPr="002200E9">
        <w:rPr>
          <w:lang w:val="fr-CH"/>
        </w:rPr>
        <w:noBreakHyphen/>
        <w:t>2023)</w:t>
      </w:r>
      <w:r>
        <w:rPr>
          <w:lang w:val="fr-CH"/>
        </w:rPr>
        <w:t xml:space="preserve"> grâce aux propositions faites par les États Membres </w:t>
      </w:r>
      <w:r w:rsidRPr="002200E9">
        <w:rPr>
          <w:lang w:val="fr-CH"/>
        </w:rPr>
        <w:t xml:space="preserve">d'accueillir </w:t>
      </w:r>
      <w:r>
        <w:rPr>
          <w:lang w:val="fr-CH"/>
        </w:rPr>
        <w:t>les</w:t>
      </w:r>
      <w:r w:rsidRPr="002200E9">
        <w:rPr>
          <w:lang w:val="fr-CH"/>
        </w:rPr>
        <w:t xml:space="preserve"> réunions </w:t>
      </w:r>
      <w:r>
        <w:rPr>
          <w:lang w:val="fr-CH"/>
        </w:rPr>
        <w:t>selon les</w:t>
      </w:r>
      <w:r w:rsidRPr="002200E9">
        <w:rPr>
          <w:lang w:val="fr-CH"/>
        </w:rPr>
        <w:t xml:space="preserve"> conditions habituelles (en couvrant les coûts de voyage et de subsistance du personnel d'appui de l'UIT</w:t>
      </w:r>
      <w:r>
        <w:rPr>
          <w:lang w:val="fr-CH"/>
        </w:rPr>
        <w:t>)</w:t>
      </w:r>
      <w:r w:rsidRPr="002200E9">
        <w:rPr>
          <w:lang w:val="fr-CH"/>
        </w:rPr>
        <w:t>.</w:t>
      </w:r>
    </w:p>
    <w:p w:rsidR="00C02432" w:rsidRPr="00420F9F" w:rsidRDefault="00C02432" w:rsidP="00030256">
      <w:pPr>
        <w:pStyle w:val="Heading1"/>
        <w:rPr>
          <w:lang w:val="fr-CH"/>
        </w:rPr>
      </w:pPr>
      <w:r>
        <w:rPr>
          <w:lang w:val="fr-CH"/>
        </w:rPr>
        <w:t>8</w:t>
      </w:r>
      <w:r w:rsidRPr="00420F9F">
        <w:rPr>
          <w:lang w:val="fr-CH"/>
        </w:rPr>
        <w:tab/>
      </w:r>
      <w:r>
        <w:rPr>
          <w:lang w:val="fr-CH"/>
        </w:rPr>
        <w:t>Calendrier</w:t>
      </w:r>
    </w:p>
    <w:p w:rsidR="00C02432" w:rsidRDefault="00C02432" w:rsidP="00030256">
      <w:r>
        <w:t>8.1</w:t>
      </w:r>
      <w:r>
        <w:tab/>
        <w:t>On trouvera dans l'</w:t>
      </w:r>
      <w:hyperlink w:anchor="Annex3" w:history="1">
        <w:r w:rsidRPr="009C1C4E">
          <w:rPr>
            <w:rStyle w:val="Hyperlink"/>
          </w:rPr>
          <w:t>Annexe 3</w:t>
        </w:r>
      </w:hyperlink>
      <w:r>
        <w:t xml:space="preserve"> un récapitulatif du calendrier du projet avec les grandes étapes.</w:t>
      </w:r>
    </w:p>
    <w:p w:rsidR="00C71A9F" w:rsidRDefault="00C71A9F">
      <w:pPr>
        <w:tabs>
          <w:tab w:val="clear" w:pos="567"/>
          <w:tab w:val="clear" w:pos="1134"/>
          <w:tab w:val="clear" w:pos="1701"/>
          <w:tab w:val="clear" w:pos="2268"/>
          <w:tab w:val="clear" w:pos="2835"/>
        </w:tabs>
        <w:overflowPunct/>
        <w:autoSpaceDE/>
        <w:autoSpaceDN/>
        <w:adjustRightInd/>
        <w:spacing w:before="0"/>
        <w:textAlignment w:val="auto"/>
      </w:pPr>
      <w:r>
        <w:br w:type="page"/>
      </w:r>
    </w:p>
    <w:p w:rsidR="00520F36" w:rsidRDefault="00C71A9F" w:rsidP="00AE505A">
      <w:pPr>
        <w:pStyle w:val="AnnexNo"/>
      </w:pPr>
      <w:bookmarkStart w:id="9" w:name="Annex1"/>
      <w:r>
        <w:lastRenderedPageBreak/>
        <w:t>Annexe 1</w:t>
      </w:r>
    </w:p>
    <w:bookmarkEnd w:id="9"/>
    <w:p w:rsidR="00C71A9F" w:rsidRDefault="00C71A9F" w:rsidP="00C71A9F">
      <w:pPr>
        <w:jc w:val="center"/>
        <w:rPr>
          <w:b/>
          <w:bCs/>
        </w:rPr>
      </w:pPr>
    </w:p>
    <w:p w:rsidR="00D31EFE" w:rsidRDefault="0094615C" w:rsidP="00D31EFE">
      <w:pPr>
        <w:jc w:val="center"/>
        <w:rPr>
          <w:b/>
          <w:bCs/>
        </w:rPr>
      </w:pPr>
      <w:r>
        <w:rPr>
          <w:b/>
          <w:bCs/>
        </w:rPr>
        <w:object w:dxaOrig="7155" w:dyaOrig="5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8pt;height:370.3pt" o:ole="">
            <v:imagedata r:id="rId13" o:title=""/>
          </v:shape>
          <o:OLEObject Type="Embed" ProgID="PowerPoint.Slide.12" ShapeID="_x0000_i1025" DrawAspect="Content" ObjectID="_1618902090" r:id="rId14"/>
        </w:object>
      </w:r>
    </w:p>
    <w:p w:rsidR="00AE505A" w:rsidRDefault="00AE505A" w:rsidP="00F6425E">
      <w:pPr>
        <w:rPr>
          <w:caps/>
          <w:sz w:val="28"/>
        </w:rPr>
      </w:pPr>
      <w:r>
        <w:br w:type="page"/>
      </w:r>
    </w:p>
    <w:p w:rsidR="00C71A9F" w:rsidRDefault="00AE505A" w:rsidP="00AE505A">
      <w:pPr>
        <w:pStyle w:val="AnnexNo"/>
      </w:pPr>
      <w:r>
        <w:lastRenderedPageBreak/>
        <w:t>Annexe 2</w:t>
      </w:r>
    </w:p>
    <w:p w:rsidR="00AE505A" w:rsidRPr="00AE505A" w:rsidRDefault="00AE505A" w:rsidP="00AE505A">
      <w:pPr>
        <w:pStyle w:val="Annextitle"/>
      </w:pPr>
      <w:r w:rsidRPr="00AE505A">
        <w:rPr>
          <w:bCs/>
        </w:rPr>
        <w:t>Informations financières sur le budget</w:t>
      </w:r>
    </w:p>
    <w:p w:rsidR="00C71A9F" w:rsidRPr="00FE7787" w:rsidRDefault="00C71A9F" w:rsidP="00FE7787">
      <w:pPr>
        <w:pStyle w:val="Headingb"/>
        <w:rPr>
          <w:i/>
          <w:iCs/>
        </w:rPr>
      </w:pPr>
      <w:r w:rsidRPr="00FE7787">
        <w:rPr>
          <w:i/>
          <w:iCs/>
        </w:rPr>
        <w:t>Notes relatives au tableau des coûts budgétaires</w:t>
      </w:r>
    </w:p>
    <w:p w:rsidR="00C71A9F" w:rsidRDefault="000D411A" w:rsidP="0094615C">
      <w:pPr>
        <w:pStyle w:val="ListParagraph"/>
        <w:numPr>
          <w:ilvl w:val="0"/>
          <w:numId w:val="5"/>
        </w:numPr>
        <w:tabs>
          <w:tab w:val="clear" w:pos="567"/>
        </w:tabs>
        <w:snapToGrid w:val="0"/>
        <w:spacing w:after="120"/>
        <w:ind w:left="721" w:hanging="437"/>
        <w:contextualSpacing w:val="0"/>
      </w:pPr>
      <w:r>
        <w:t>Fonctionnaires déployés</w:t>
      </w:r>
      <w:r w:rsidR="00C71A9F">
        <w:t xml:space="preserve"> en interne pour les principales fonctions interne</w:t>
      </w:r>
      <w:r w:rsidR="00256D29">
        <w:t>s</w:t>
      </w:r>
      <w:r w:rsidR="00C71A9F">
        <w:t xml:space="preserve">: les postes de conseillère principale pour le projet de construction (P5), de coordonnateur chargé de l'architecture et de l'ingénierie (P3) et d'assistant de projet (G6) sont financés grâce au budget ordinaire. </w:t>
      </w:r>
      <w:r w:rsidR="00256D29">
        <w:t>Indépendamment</w:t>
      </w:r>
      <w:r w:rsidR="00C71A9F">
        <w:t xml:space="preserve"> du projet de </w:t>
      </w:r>
      <w:r w:rsidR="00256D29">
        <w:t xml:space="preserve">nouveaux </w:t>
      </w:r>
      <w:r w:rsidR="00C71A9F">
        <w:t xml:space="preserve">locaux, le travail visant à faire évoluer la culture institutionnelle est financé grâce au budget </w:t>
      </w:r>
      <w:r w:rsidR="00256D29">
        <w:t>ordinaire</w:t>
      </w:r>
      <w:r w:rsidR="00C71A9F">
        <w:t xml:space="preserve">. </w:t>
      </w:r>
    </w:p>
    <w:p w:rsidR="00C71A9F" w:rsidRDefault="00C71A9F" w:rsidP="0094615C">
      <w:pPr>
        <w:pStyle w:val="ListParagraph"/>
        <w:numPr>
          <w:ilvl w:val="0"/>
          <w:numId w:val="5"/>
        </w:numPr>
        <w:tabs>
          <w:tab w:val="clear" w:pos="567"/>
        </w:tabs>
        <w:snapToGrid w:val="0"/>
        <w:spacing w:after="120"/>
        <w:ind w:left="721" w:hanging="437"/>
        <w:contextualSpacing w:val="0"/>
      </w:pPr>
      <w:r>
        <w:t xml:space="preserve">"pouvant être financé par le prêt" </w:t>
      </w:r>
      <w:r w:rsidR="00E6457C">
        <w:t>indique que</w:t>
      </w:r>
      <w:r w:rsidR="009F6E50">
        <w:t>,</w:t>
      </w:r>
      <w:r w:rsidR="00E6457C">
        <w:t xml:space="preserve"> d'un point de vue juridique</w:t>
      </w:r>
      <w:r w:rsidR="006E7BC9">
        <w:t>,</w:t>
      </w:r>
      <w:r w:rsidR="00E6457C">
        <w:t xml:space="preserve"> </w:t>
      </w:r>
      <w:r>
        <w:t>les éléments peuvent être financés par le prêt et non que le montant du prêt est garanti.</w:t>
      </w:r>
    </w:p>
    <w:p w:rsidR="00C71A9F" w:rsidRDefault="00C71A9F" w:rsidP="0094615C">
      <w:pPr>
        <w:pStyle w:val="ListParagraph"/>
        <w:numPr>
          <w:ilvl w:val="0"/>
          <w:numId w:val="5"/>
        </w:numPr>
        <w:tabs>
          <w:tab w:val="clear" w:pos="567"/>
        </w:tabs>
        <w:snapToGrid w:val="0"/>
        <w:spacing w:after="120"/>
        <w:ind w:left="721" w:hanging="437"/>
        <w:contextualSpacing w:val="0"/>
      </w:pPr>
      <w:r>
        <w:t>Le fonds de réserve additionnel de 7 millions CHF est compris.</w:t>
      </w:r>
    </w:p>
    <w:p w:rsidR="00C71A9F" w:rsidRDefault="00C71A9F" w:rsidP="0094615C">
      <w:pPr>
        <w:pStyle w:val="ListParagraph"/>
        <w:numPr>
          <w:ilvl w:val="0"/>
          <w:numId w:val="5"/>
        </w:numPr>
        <w:tabs>
          <w:tab w:val="clear" w:pos="567"/>
        </w:tabs>
        <w:snapToGrid w:val="0"/>
        <w:spacing w:after="120"/>
        <w:ind w:left="721" w:hanging="437"/>
        <w:contextualSpacing w:val="0"/>
      </w:pPr>
      <w:r>
        <w:t>Les parrainages et dons, s'élevant à 15 140 000 CHF</w:t>
      </w:r>
      <w:r w:rsidR="00E6457C">
        <w:t>,</w:t>
      </w:r>
      <w:r>
        <w:t xml:space="preserve"> sont compris. D'autres parrainages et dons sont attendus.</w:t>
      </w:r>
    </w:p>
    <w:p w:rsidR="00C71A9F" w:rsidRDefault="00C71A9F" w:rsidP="0094615C">
      <w:pPr>
        <w:pStyle w:val="ListParagraph"/>
        <w:numPr>
          <w:ilvl w:val="0"/>
          <w:numId w:val="5"/>
        </w:numPr>
        <w:tabs>
          <w:tab w:val="clear" w:pos="567"/>
        </w:tabs>
        <w:snapToGrid w:val="0"/>
        <w:spacing w:after="120"/>
        <w:ind w:left="721" w:hanging="437"/>
        <w:contextualSpacing w:val="0"/>
      </w:pPr>
      <w:r>
        <w:t xml:space="preserve">Il est proposé de verser sur le Fonds pour le </w:t>
      </w:r>
      <w:r w:rsidR="00E6457C">
        <w:t xml:space="preserve">projet de </w:t>
      </w:r>
      <w:r>
        <w:t>nouveau bâtim</w:t>
      </w:r>
      <w:r w:rsidR="00E6457C">
        <w:t xml:space="preserve">ent 6 millions CHF provenant de l'excédent enregistré dans le cadre de la mise en </w:t>
      </w:r>
      <w:r w:rsidR="004F130B">
        <w:t>œuvre</w:t>
      </w:r>
      <w:r w:rsidR="00E6457C">
        <w:t xml:space="preserve"> </w:t>
      </w:r>
      <w:r w:rsidR="00437F0C">
        <w:t>du budget ordinaire en </w:t>
      </w:r>
      <w:r>
        <w:t>2018. À sa session de 2019, le Conseil est invité à approuver cette proposition. Des économies seront peut-être réalisées au cours des années suivantes, mais ne sont pas garanties.</w:t>
      </w:r>
    </w:p>
    <w:p w:rsidR="00C71A9F" w:rsidRDefault="00C71A9F" w:rsidP="0094615C">
      <w:pPr>
        <w:pStyle w:val="ListParagraph"/>
        <w:numPr>
          <w:ilvl w:val="0"/>
          <w:numId w:val="5"/>
        </w:numPr>
        <w:tabs>
          <w:tab w:val="clear" w:pos="567"/>
        </w:tabs>
        <w:snapToGrid w:val="0"/>
        <w:spacing w:after="120"/>
        <w:ind w:left="721" w:hanging="437"/>
        <w:contextualSpacing w:val="0"/>
      </w:pPr>
      <w:r>
        <w:t xml:space="preserve">Si l'on part du principe que la totalité du fonds de réserve additionnel (7 millions CHF) est utilisée, </w:t>
      </w:r>
      <w:r w:rsidR="00E6457C">
        <w:t xml:space="preserve">que </w:t>
      </w:r>
      <w:r>
        <w:t xml:space="preserve">le surcoût maximum estimé de la conformité aux normes UN-MOSS (6 millions </w:t>
      </w:r>
      <w:r w:rsidR="00E6457C">
        <w:t>CHF) doit être assumé par l'UIT</w:t>
      </w:r>
      <w:r>
        <w:t xml:space="preserve"> et que le Fonds pour le projet de nouveau bâtiment n'est financé que par l'excédent de 6 millions CHF dégagé en 2018, alors il faudra trouver 26 442 000 CHF </w:t>
      </w:r>
      <w:r w:rsidR="00E6457C">
        <w:t xml:space="preserve">moyennant </w:t>
      </w:r>
      <w:r>
        <w:t>de nouvelles optimisations, de nouveaux versements sur le Fonds pour le projet de nouveau bâ</w:t>
      </w:r>
      <w:r w:rsidR="00E6457C">
        <w:t xml:space="preserve">timent, des parrainages et </w:t>
      </w:r>
      <w:r>
        <w:t>des dons.</w:t>
      </w:r>
    </w:p>
    <w:p w:rsidR="00C71A9F" w:rsidRDefault="00C71A9F" w:rsidP="0094615C">
      <w:pPr>
        <w:pStyle w:val="ListParagraph"/>
        <w:numPr>
          <w:ilvl w:val="0"/>
          <w:numId w:val="5"/>
        </w:numPr>
        <w:tabs>
          <w:tab w:val="clear" w:pos="567"/>
        </w:tabs>
        <w:snapToGrid w:val="0"/>
        <w:spacing w:after="120"/>
        <w:ind w:left="721" w:hanging="437"/>
        <w:contextualSpacing w:val="0"/>
      </w:pPr>
      <w:r>
        <w:t>De nouvelles optimisations sont encore recherchées.</w:t>
      </w:r>
    </w:p>
    <w:p w:rsidR="00C71A9F" w:rsidRDefault="00C71A9F" w:rsidP="00256D29">
      <w:pPr>
        <w:tabs>
          <w:tab w:val="clear" w:pos="567"/>
          <w:tab w:val="clear" w:pos="1134"/>
          <w:tab w:val="clear" w:pos="1701"/>
          <w:tab w:val="clear" w:pos="2268"/>
          <w:tab w:val="clear" w:pos="2835"/>
        </w:tabs>
        <w:overflowPunct/>
        <w:autoSpaceDE/>
        <w:autoSpaceDN/>
        <w:adjustRightInd/>
        <w:spacing w:before="0"/>
        <w:textAlignment w:val="auto"/>
      </w:pPr>
      <w:r>
        <w:br w:type="page"/>
      </w:r>
    </w:p>
    <w:p w:rsidR="00C71A9F" w:rsidRPr="00471EAD" w:rsidRDefault="00C71A9F" w:rsidP="00F45B6E">
      <w:pPr>
        <w:pStyle w:val="Tabletitle"/>
      </w:pPr>
      <w:r w:rsidRPr="00471EAD">
        <w:lastRenderedPageBreak/>
        <w:t>Tableau</w:t>
      </w:r>
      <w:r w:rsidR="00F45B6E">
        <w:t xml:space="preserve"> –</w:t>
      </w:r>
      <w:r w:rsidRPr="00471EAD">
        <w:t xml:space="preserve"> </w:t>
      </w:r>
      <w:r w:rsidR="005B572A" w:rsidRPr="00471EAD">
        <w:t>I</w:t>
      </w:r>
      <w:r w:rsidRPr="00471EAD">
        <w:t>nformations financières, catégories CFC</w:t>
      </w:r>
      <w:r w:rsidR="004F130B">
        <w:t>:</w:t>
      </w:r>
      <w:r w:rsidRPr="00471EAD">
        <w:t xml:space="preserve"> en milliers de CHF (avril 2019)</w:t>
      </w:r>
    </w:p>
    <w:tbl>
      <w:tblPr>
        <w:tblStyle w:val="TableGrid"/>
        <w:tblW w:w="9209" w:type="dxa"/>
        <w:tblLayout w:type="fixed"/>
        <w:tblLook w:val="04A0" w:firstRow="1" w:lastRow="0" w:firstColumn="1" w:lastColumn="0" w:noHBand="0" w:noVBand="1"/>
      </w:tblPr>
      <w:tblGrid>
        <w:gridCol w:w="5382"/>
        <w:gridCol w:w="2311"/>
        <w:gridCol w:w="1516"/>
      </w:tblGrid>
      <w:tr w:rsidR="00C71A9F" w:rsidRPr="00084B74" w:rsidTr="00084B74">
        <w:tc>
          <w:tcPr>
            <w:tcW w:w="5382" w:type="dxa"/>
          </w:tcPr>
          <w:p w:rsidR="00C71A9F" w:rsidRPr="00084B74" w:rsidRDefault="00C71A9F" w:rsidP="00FF29E9">
            <w:pPr>
              <w:pStyle w:val="Tablehead"/>
              <w:spacing w:before="0" w:after="0"/>
              <w:rPr>
                <w:szCs w:val="22"/>
              </w:rPr>
            </w:pPr>
            <w:r w:rsidRPr="00084B74">
              <w:rPr>
                <w:szCs w:val="22"/>
              </w:rPr>
              <w:t>Élément</w:t>
            </w:r>
          </w:p>
        </w:tc>
        <w:tc>
          <w:tcPr>
            <w:tcW w:w="2311" w:type="dxa"/>
          </w:tcPr>
          <w:p w:rsidR="00C71A9F" w:rsidRPr="00084B74" w:rsidRDefault="00C71A9F" w:rsidP="00FF29E9">
            <w:pPr>
              <w:pStyle w:val="Tablehead"/>
              <w:spacing w:before="0" w:after="0"/>
              <w:rPr>
                <w:szCs w:val="22"/>
              </w:rPr>
            </w:pPr>
            <w:r w:rsidRPr="00084B74">
              <w:rPr>
                <w:szCs w:val="22"/>
              </w:rPr>
              <w:t>Coût (fourchette)</w:t>
            </w:r>
          </w:p>
        </w:tc>
        <w:tc>
          <w:tcPr>
            <w:tcW w:w="1516" w:type="dxa"/>
          </w:tcPr>
          <w:p w:rsidR="00C71A9F" w:rsidRPr="00084B74" w:rsidRDefault="00C71A9F" w:rsidP="00FF29E9">
            <w:pPr>
              <w:pStyle w:val="Tablehead"/>
              <w:spacing w:before="0" w:after="0"/>
              <w:rPr>
                <w:szCs w:val="22"/>
              </w:rPr>
            </w:pPr>
            <w:r w:rsidRPr="00084B74">
              <w:rPr>
                <w:szCs w:val="22"/>
              </w:rPr>
              <w:t>Financement</w:t>
            </w:r>
          </w:p>
        </w:tc>
      </w:tr>
      <w:tr w:rsidR="00C71A9F" w:rsidRPr="00084B74" w:rsidTr="00084B74">
        <w:tc>
          <w:tcPr>
            <w:tcW w:w="5382" w:type="dxa"/>
          </w:tcPr>
          <w:p w:rsidR="00C71A9F" w:rsidRPr="00084B74" w:rsidRDefault="00C71A9F" w:rsidP="00FF29E9">
            <w:pPr>
              <w:pStyle w:val="Tabletext"/>
              <w:spacing w:before="0" w:after="0"/>
              <w:rPr>
                <w:szCs w:val="22"/>
              </w:rPr>
            </w:pPr>
            <w:r w:rsidRPr="00084B74">
              <w:rPr>
                <w:szCs w:val="22"/>
              </w:rPr>
              <w:t xml:space="preserve">Traitements des fonctionnaires de grade P5, P3, G6 financés grâce au budget </w:t>
            </w:r>
            <w:r w:rsidR="005B572A" w:rsidRPr="00084B74">
              <w:rPr>
                <w:szCs w:val="22"/>
              </w:rPr>
              <w:t>de l'UIT</w:t>
            </w:r>
          </w:p>
        </w:tc>
        <w:tc>
          <w:tcPr>
            <w:tcW w:w="2311" w:type="dxa"/>
          </w:tcPr>
          <w:p w:rsidR="00C71A9F" w:rsidRPr="00084B74" w:rsidRDefault="00C71A9F" w:rsidP="00FF29E9">
            <w:pPr>
              <w:pStyle w:val="Tabletext"/>
              <w:spacing w:before="0" w:after="0"/>
              <w:jc w:val="right"/>
              <w:rPr>
                <w:szCs w:val="22"/>
              </w:rPr>
            </w:pPr>
            <w:r w:rsidRPr="00084B74">
              <w:rPr>
                <w:szCs w:val="22"/>
              </w:rPr>
              <w:t>4 840</w:t>
            </w:r>
          </w:p>
        </w:tc>
        <w:tc>
          <w:tcPr>
            <w:tcW w:w="1516" w:type="dxa"/>
          </w:tcPr>
          <w:p w:rsidR="00C71A9F" w:rsidRPr="00084B74" w:rsidRDefault="00C71A9F" w:rsidP="00EB3414">
            <w:pPr>
              <w:pStyle w:val="Tabletext"/>
              <w:spacing w:before="0" w:after="0"/>
              <w:jc w:val="right"/>
              <w:rPr>
                <w:b/>
                <w:szCs w:val="22"/>
              </w:rPr>
            </w:pPr>
            <w:r w:rsidRPr="00084B74">
              <w:rPr>
                <w:b/>
                <w:szCs w:val="22"/>
              </w:rPr>
              <w:t>4 840</w:t>
            </w:r>
          </w:p>
        </w:tc>
      </w:tr>
    </w:tbl>
    <w:p w:rsidR="00C71A9F" w:rsidRPr="00084B74" w:rsidRDefault="00C71A9F" w:rsidP="001A69F1">
      <w:pPr>
        <w:spacing w:before="0"/>
        <w:rPr>
          <w:sz w:val="22"/>
          <w:szCs w:val="22"/>
        </w:rPr>
      </w:pPr>
    </w:p>
    <w:tbl>
      <w:tblPr>
        <w:tblStyle w:val="TableGrid"/>
        <w:tblW w:w="9206" w:type="dxa"/>
        <w:tblLayout w:type="fixed"/>
        <w:tblLook w:val="04A0" w:firstRow="1" w:lastRow="0" w:firstColumn="1" w:lastColumn="0" w:noHBand="0" w:noVBand="1"/>
      </w:tblPr>
      <w:tblGrid>
        <w:gridCol w:w="5357"/>
        <w:gridCol w:w="2351"/>
        <w:gridCol w:w="1498"/>
      </w:tblGrid>
      <w:tr w:rsidR="00C71A9F" w:rsidRPr="00084B74" w:rsidTr="00FF29E9">
        <w:tc>
          <w:tcPr>
            <w:tcW w:w="5357" w:type="dxa"/>
          </w:tcPr>
          <w:p w:rsidR="00C71A9F" w:rsidRPr="00084B74" w:rsidRDefault="00C71A9F" w:rsidP="00FF29E9">
            <w:pPr>
              <w:pStyle w:val="Tablehead"/>
              <w:jc w:val="left"/>
              <w:rPr>
                <w:szCs w:val="22"/>
              </w:rPr>
            </w:pPr>
            <w:r w:rsidRPr="00084B74">
              <w:rPr>
                <w:szCs w:val="22"/>
              </w:rPr>
              <w:t xml:space="preserve">Éléments pouvant être financés par le prêt </w:t>
            </w:r>
            <w:r w:rsidR="00FF29E9" w:rsidRPr="00084B74">
              <w:rPr>
                <w:szCs w:val="22"/>
              </w:rPr>
              <w:t>accordé</w:t>
            </w:r>
            <w:r w:rsidR="00FF29E9" w:rsidRPr="00084B74">
              <w:rPr>
                <w:szCs w:val="22"/>
              </w:rPr>
              <w:br/>
            </w:r>
            <w:r w:rsidR="00CE22A4" w:rsidRPr="00084B74">
              <w:rPr>
                <w:szCs w:val="22"/>
              </w:rPr>
              <w:t>par le</w:t>
            </w:r>
            <w:r w:rsidRPr="00084B74">
              <w:rPr>
                <w:szCs w:val="22"/>
              </w:rPr>
              <w:t xml:space="preserve"> pays hôte</w:t>
            </w:r>
          </w:p>
        </w:tc>
        <w:tc>
          <w:tcPr>
            <w:tcW w:w="2351" w:type="dxa"/>
          </w:tcPr>
          <w:p w:rsidR="00C71A9F" w:rsidRPr="00084B74" w:rsidRDefault="00C71A9F" w:rsidP="00E04A4B">
            <w:pPr>
              <w:pStyle w:val="Tablehead"/>
              <w:rPr>
                <w:szCs w:val="22"/>
              </w:rPr>
            </w:pPr>
          </w:p>
        </w:tc>
        <w:tc>
          <w:tcPr>
            <w:tcW w:w="1498" w:type="dxa"/>
          </w:tcPr>
          <w:p w:rsidR="00C71A9F" w:rsidRPr="00084B74" w:rsidRDefault="00C71A9F" w:rsidP="00E04A4B">
            <w:pPr>
              <w:pStyle w:val="Tablehead"/>
              <w:rPr>
                <w:szCs w:val="22"/>
              </w:rPr>
            </w:pPr>
          </w:p>
        </w:tc>
      </w:tr>
      <w:tr w:rsidR="00C71A9F" w:rsidRPr="00084B74" w:rsidTr="00FF29E9">
        <w:tc>
          <w:tcPr>
            <w:tcW w:w="5357" w:type="dxa"/>
          </w:tcPr>
          <w:p w:rsidR="00C71A9F" w:rsidRPr="00084B74" w:rsidRDefault="00C71A9F" w:rsidP="00FF29E9">
            <w:pPr>
              <w:pStyle w:val="Tabletext"/>
              <w:spacing w:before="0" w:after="0"/>
              <w:rPr>
                <w:szCs w:val="22"/>
              </w:rPr>
            </w:pPr>
            <w:r w:rsidRPr="00084B74">
              <w:rPr>
                <w:szCs w:val="22"/>
              </w:rPr>
              <w:t>CFC 1-4 Construction</w:t>
            </w:r>
          </w:p>
        </w:tc>
        <w:tc>
          <w:tcPr>
            <w:tcW w:w="2351" w:type="dxa"/>
          </w:tcPr>
          <w:p w:rsidR="00C71A9F" w:rsidRPr="00084B74" w:rsidRDefault="00C71A9F" w:rsidP="00FF29E9">
            <w:pPr>
              <w:spacing w:before="0"/>
              <w:jc w:val="right"/>
              <w:rPr>
                <w:rFonts w:asciiTheme="minorHAnsi" w:hAnsiTheme="minorHAnsi" w:cstheme="minorHAnsi"/>
                <w:sz w:val="22"/>
                <w:szCs w:val="22"/>
              </w:rPr>
            </w:pPr>
            <w:r w:rsidRPr="00084B74">
              <w:rPr>
                <w:rFonts w:asciiTheme="minorHAnsi" w:hAnsiTheme="minorHAnsi" w:cstheme="minorHAnsi"/>
                <w:sz w:val="22"/>
                <w:szCs w:val="22"/>
              </w:rPr>
              <w:t>124 780</w:t>
            </w:r>
          </w:p>
        </w:tc>
        <w:tc>
          <w:tcPr>
            <w:tcW w:w="1498" w:type="dxa"/>
          </w:tcPr>
          <w:p w:rsidR="00C71A9F" w:rsidRPr="00084B74" w:rsidRDefault="00C71A9F" w:rsidP="00FF29E9">
            <w:pPr>
              <w:spacing w:before="0"/>
              <w:jc w:val="right"/>
              <w:rPr>
                <w:rFonts w:asciiTheme="minorHAnsi" w:hAnsiTheme="minorHAnsi" w:cstheme="minorHAnsi"/>
                <w:sz w:val="22"/>
                <w:szCs w:val="22"/>
              </w:rPr>
            </w:pPr>
          </w:p>
        </w:tc>
      </w:tr>
      <w:tr w:rsidR="00C71A9F" w:rsidRPr="00084B74" w:rsidTr="00FF29E9">
        <w:tc>
          <w:tcPr>
            <w:tcW w:w="5357" w:type="dxa"/>
          </w:tcPr>
          <w:p w:rsidR="00C71A9F" w:rsidRPr="00084B74" w:rsidRDefault="00C71A9F" w:rsidP="00FF29E9">
            <w:pPr>
              <w:pStyle w:val="Tabletext"/>
              <w:spacing w:before="0" w:after="0"/>
              <w:rPr>
                <w:szCs w:val="22"/>
              </w:rPr>
            </w:pPr>
            <w:r w:rsidRPr="00084B74">
              <w:rPr>
                <w:szCs w:val="22"/>
              </w:rPr>
              <w:t>CFC</w:t>
            </w:r>
            <w:r w:rsidR="001A69F1" w:rsidRPr="00084B74">
              <w:rPr>
                <w:szCs w:val="22"/>
              </w:rPr>
              <w:t xml:space="preserve"> </w:t>
            </w:r>
            <w:r w:rsidRPr="00084B74">
              <w:rPr>
                <w:szCs w:val="22"/>
              </w:rPr>
              <w:t>4 Mesures de sûreté et de sécurité supplémentaires conformément aux normes UN-MOSS</w:t>
            </w:r>
          </w:p>
        </w:tc>
        <w:tc>
          <w:tcPr>
            <w:tcW w:w="2351" w:type="dxa"/>
          </w:tcPr>
          <w:p w:rsidR="00C71A9F" w:rsidRPr="00084B74" w:rsidRDefault="00C71A9F" w:rsidP="00FF29E9">
            <w:pPr>
              <w:spacing w:before="0"/>
              <w:jc w:val="right"/>
              <w:rPr>
                <w:rFonts w:asciiTheme="minorHAnsi" w:hAnsiTheme="minorHAnsi" w:cstheme="minorHAnsi"/>
                <w:sz w:val="22"/>
                <w:szCs w:val="22"/>
              </w:rPr>
            </w:pPr>
            <w:r w:rsidRPr="00084B74">
              <w:rPr>
                <w:rFonts w:asciiTheme="minorHAnsi" w:hAnsiTheme="minorHAnsi" w:cstheme="minorHAnsi"/>
                <w:sz w:val="22"/>
                <w:szCs w:val="22"/>
              </w:rPr>
              <w:t>de 3 000 à 6 000</w:t>
            </w:r>
          </w:p>
        </w:tc>
        <w:tc>
          <w:tcPr>
            <w:tcW w:w="1498" w:type="dxa"/>
          </w:tcPr>
          <w:p w:rsidR="00C71A9F" w:rsidRPr="00084B74" w:rsidRDefault="00C71A9F" w:rsidP="00FF29E9">
            <w:pPr>
              <w:spacing w:before="0"/>
              <w:jc w:val="right"/>
              <w:rPr>
                <w:rFonts w:asciiTheme="minorHAnsi" w:hAnsiTheme="minorHAnsi" w:cstheme="minorHAnsi"/>
                <w:sz w:val="22"/>
                <w:szCs w:val="22"/>
              </w:rPr>
            </w:pPr>
          </w:p>
        </w:tc>
      </w:tr>
      <w:tr w:rsidR="00C71A9F" w:rsidRPr="00084B74" w:rsidTr="00FF29E9">
        <w:tc>
          <w:tcPr>
            <w:tcW w:w="5357" w:type="dxa"/>
          </w:tcPr>
          <w:p w:rsidR="00C71A9F" w:rsidRPr="00084B74" w:rsidRDefault="00C71A9F" w:rsidP="00FF29E9">
            <w:pPr>
              <w:pStyle w:val="Tabletext"/>
              <w:spacing w:before="0" w:after="0"/>
              <w:rPr>
                <w:szCs w:val="22"/>
              </w:rPr>
            </w:pPr>
            <w:r w:rsidRPr="00084B74">
              <w:rPr>
                <w:szCs w:val="22"/>
              </w:rPr>
              <w:t>CFC 5 Permis de construire, taxes et assurances</w:t>
            </w:r>
          </w:p>
        </w:tc>
        <w:tc>
          <w:tcPr>
            <w:tcW w:w="2351" w:type="dxa"/>
          </w:tcPr>
          <w:p w:rsidR="00C71A9F" w:rsidRPr="00084B74" w:rsidRDefault="00C71A9F" w:rsidP="00FF29E9">
            <w:pPr>
              <w:spacing w:before="0"/>
              <w:jc w:val="right"/>
              <w:rPr>
                <w:rFonts w:asciiTheme="minorHAnsi" w:hAnsiTheme="minorHAnsi" w:cstheme="minorHAnsi"/>
                <w:sz w:val="22"/>
                <w:szCs w:val="22"/>
              </w:rPr>
            </w:pPr>
            <w:r w:rsidRPr="00084B74">
              <w:rPr>
                <w:rFonts w:asciiTheme="minorHAnsi" w:hAnsiTheme="minorHAnsi" w:cstheme="minorHAnsi"/>
                <w:sz w:val="22"/>
                <w:szCs w:val="22"/>
              </w:rPr>
              <w:t>1 280</w:t>
            </w:r>
          </w:p>
        </w:tc>
        <w:tc>
          <w:tcPr>
            <w:tcW w:w="1498" w:type="dxa"/>
          </w:tcPr>
          <w:p w:rsidR="00C71A9F" w:rsidRPr="00084B74" w:rsidRDefault="00C71A9F" w:rsidP="00FF29E9">
            <w:pPr>
              <w:spacing w:before="0"/>
              <w:jc w:val="right"/>
              <w:rPr>
                <w:rFonts w:asciiTheme="minorHAnsi" w:hAnsiTheme="minorHAnsi" w:cstheme="minorHAnsi"/>
                <w:sz w:val="22"/>
                <w:szCs w:val="22"/>
              </w:rPr>
            </w:pPr>
          </w:p>
        </w:tc>
      </w:tr>
      <w:tr w:rsidR="00C71A9F" w:rsidRPr="00084B74" w:rsidTr="00FF29E9">
        <w:tc>
          <w:tcPr>
            <w:tcW w:w="5357" w:type="dxa"/>
          </w:tcPr>
          <w:p w:rsidR="00C71A9F" w:rsidRPr="00084B74" w:rsidRDefault="00C71A9F" w:rsidP="00FF29E9">
            <w:pPr>
              <w:pStyle w:val="Tabletext"/>
              <w:spacing w:before="0" w:after="0"/>
              <w:rPr>
                <w:szCs w:val="22"/>
              </w:rPr>
            </w:pPr>
            <w:r w:rsidRPr="00084B74">
              <w:rPr>
                <w:szCs w:val="22"/>
              </w:rPr>
              <w:t>CFC 5 Concours d'architecture</w:t>
            </w:r>
          </w:p>
        </w:tc>
        <w:tc>
          <w:tcPr>
            <w:tcW w:w="2351" w:type="dxa"/>
          </w:tcPr>
          <w:p w:rsidR="00C71A9F" w:rsidRPr="00084B74" w:rsidRDefault="00C71A9F" w:rsidP="00FF29E9">
            <w:pPr>
              <w:spacing w:before="0"/>
              <w:jc w:val="right"/>
              <w:rPr>
                <w:rFonts w:asciiTheme="minorHAnsi" w:hAnsiTheme="minorHAnsi" w:cstheme="minorHAnsi"/>
                <w:sz w:val="22"/>
                <w:szCs w:val="22"/>
              </w:rPr>
            </w:pPr>
            <w:r w:rsidRPr="00084B74">
              <w:rPr>
                <w:rFonts w:asciiTheme="minorHAnsi" w:hAnsiTheme="minorHAnsi" w:cstheme="minorHAnsi"/>
                <w:sz w:val="22"/>
                <w:szCs w:val="22"/>
              </w:rPr>
              <w:t>722</w:t>
            </w:r>
          </w:p>
        </w:tc>
        <w:tc>
          <w:tcPr>
            <w:tcW w:w="1498" w:type="dxa"/>
          </w:tcPr>
          <w:p w:rsidR="00C71A9F" w:rsidRPr="00084B74" w:rsidRDefault="00C71A9F" w:rsidP="00FF29E9">
            <w:pPr>
              <w:spacing w:before="0"/>
              <w:jc w:val="right"/>
              <w:rPr>
                <w:rFonts w:asciiTheme="minorHAnsi" w:hAnsiTheme="minorHAnsi" w:cstheme="minorHAnsi"/>
                <w:sz w:val="22"/>
                <w:szCs w:val="22"/>
              </w:rPr>
            </w:pPr>
          </w:p>
        </w:tc>
      </w:tr>
      <w:tr w:rsidR="00C71A9F" w:rsidRPr="00084B74" w:rsidTr="00FF29E9">
        <w:tc>
          <w:tcPr>
            <w:tcW w:w="5357" w:type="dxa"/>
          </w:tcPr>
          <w:p w:rsidR="00C71A9F" w:rsidRPr="00084B74" w:rsidRDefault="00C71A9F" w:rsidP="00FF29E9">
            <w:pPr>
              <w:pStyle w:val="Tabletext"/>
              <w:spacing w:before="0" w:after="0"/>
              <w:rPr>
                <w:szCs w:val="22"/>
              </w:rPr>
            </w:pPr>
            <w:r w:rsidRPr="00084B74">
              <w:rPr>
                <w:szCs w:val="22"/>
              </w:rPr>
              <w:t>CFC 5 Services d'appui extérieurs</w:t>
            </w:r>
          </w:p>
        </w:tc>
        <w:tc>
          <w:tcPr>
            <w:tcW w:w="2351" w:type="dxa"/>
          </w:tcPr>
          <w:p w:rsidR="00C71A9F" w:rsidRPr="00084B74" w:rsidRDefault="00C71A9F" w:rsidP="00FF29E9">
            <w:pPr>
              <w:spacing w:before="0"/>
              <w:jc w:val="right"/>
              <w:rPr>
                <w:rFonts w:asciiTheme="minorHAnsi" w:hAnsiTheme="minorHAnsi" w:cstheme="minorHAnsi"/>
                <w:sz w:val="22"/>
                <w:szCs w:val="22"/>
              </w:rPr>
            </w:pPr>
            <w:r w:rsidRPr="00084B74">
              <w:rPr>
                <w:rFonts w:asciiTheme="minorHAnsi" w:hAnsiTheme="minorHAnsi" w:cstheme="minorHAnsi"/>
                <w:sz w:val="22"/>
                <w:szCs w:val="22"/>
              </w:rPr>
              <w:t>5 700</w:t>
            </w:r>
          </w:p>
        </w:tc>
        <w:tc>
          <w:tcPr>
            <w:tcW w:w="1498" w:type="dxa"/>
          </w:tcPr>
          <w:p w:rsidR="00C71A9F" w:rsidRPr="00084B74" w:rsidRDefault="00C71A9F" w:rsidP="00FF29E9">
            <w:pPr>
              <w:spacing w:before="0"/>
              <w:jc w:val="right"/>
              <w:rPr>
                <w:rFonts w:asciiTheme="minorHAnsi" w:hAnsiTheme="minorHAnsi" w:cstheme="minorHAnsi"/>
                <w:sz w:val="22"/>
                <w:szCs w:val="22"/>
              </w:rPr>
            </w:pPr>
          </w:p>
        </w:tc>
      </w:tr>
      <w:tr w:rsidR="00C71A9F" w:rsidRPr="00084B74" w:rsidTr="00FF29E9">
        <w:trPr>
          <w:trHeight w:val="449"/>
        </w:trPr>
        <w:tc>
          <w:tcPr>
            <w:tcW w:w="5357" w:type="dxa"/>
          </w:tcPr>
          <w:p w:rsidR="00C71A9F" w:rsidRPr="00084B74" w:rsidRDefault="00C71A9F" w:rsidP="00FF29E9">
            <w:pPr>
              <w:pStyle w:val="Tabletext"/>
              <w:spacing w:before="0" w:after="0"/>
              <w:rPr>
                <w:szCs w:val="22"/>
              </w:rPr>
            </w:pPr>
            <w:r w:rsidRPr="00084B74">
              <w:rPr>
                <w:szCs w:val="22"/>
              </w:rPr>
              <w:t xml:space="preserve">CFC 5 Honoraires de CDTK </w:t>
            </w:r>
          </w:p>
        </w:tc>
        <w:tc>
          <w:tcPr>
            <w:tcW w:w="2351" w:type="dxa"/>
          </w:tcPr>
          <w:p w:rsidR="00C71A9F" w:rsidRPr="00084B74" w:rsidRDefault="00C71A9F" w:rsidP="00FF29E9">
            <w:pPr>
              <w:spacing w:before="0"/>
              <w:jc w:val="right"/>
              <w:rPr>
                <w:rFonts w:asciiTheme="minorHAnsi" w:hAnsiTheme="minorHAnsi" w:cstheme="minorHAnsi"/>
                <w:sz w:val="22"/>
                <w:szCs w:val="22"/>
              </w:rPr>
            </w:pPr>
            <w:r w:rsidRPr="00084B74">
              <w:rPr>
                <w:rFonts w:asciiTheme="minorHAnsi" w:hAnsiTheme="minorHAnsi" w:cstheme="minorHAnsi"/>
                <w:sz w:val="22"/>
                <w:szCs w:val="22"/>
              </w:rPr>
              <w:t>26 000</w:t>
            </w:r>
          </w:p>
        </w:tc>
        <w:tc>
          <w:tcPr>
            <w:tcW w:w="1498" w:type="dxa"/>
          </w:tcPr>
          <w:p w:rsidR="00C71A9F" w:rsidRPr="00084B74" w:rsidRDefault="00C71A9F" w:rsidP="00FF29E9">
            <w:pPr>
              <w:spacing w:before="0"/>
              <w:jc w:val="right"/>
              <w:rPr>
                <w:rFonts w:asciiTheme="minorHAnsi" w:hAnsiTheme="minorHAnsi" w:cstheme="minorHAnsi"/>
                <w:sz w:val="22"/>
                <w:szCs w:val="22"/>
              </w:rPr>
            </w:pPr>
          </w:p>
        </w:tc>
      </w:tr>
      <w:tr w:rsidR="00C71A9F" w:rsidRPr="00084B74" w:rsidTr="00FF29E9">
        <w:tc>
          <w:tcPr>
            <w:tcW w:w="5357" w:type="dxa"/>
          </w:tcPr>
          <w:p w:rsidR="00C71A9F" w:rsidRPr="00084B74" w:rsidRDefault="00C71A9F" w:rsidP="00FF29E9">
            <w:pPr>
              <w:pStyle w:val="Tabletext"/>
              <w:spacing w:before="0" w:after="0"/>
              <w:rPr>
                <w:szCs w:val="22"/>
              </w:rPr>
            </w:pPr>
            <w:r w:rsidRPr="00084B74">
              <w:rPr>
                <w:szCs w:val="22"/>
              </w:rPr>
              <w:t>CFC 5 Honoraires de l'entreprise générale</w:t>
            </w:r>
          </w:p>
        </w:tc>
        <w:tc>
          <w:tcPr>
            <w:tcW w:w="2351" w:type="dxa"/>
          </w:tcPr>
          <w:p w:rsidR="00C71A9F" w:rsidRPr="00084B74" w:rsidRDefault="00C71A9F" w:rsidP="00FF29E9">
            <w:pPr>
              <w:tabs>
                <w:tab w:val="left" w:pos="1335"/>
              </w:tabs>
              <w:spacing w:before="0"/>
              <w:jc w:val="right"/>
              <w:rPr>
                <w:rFonts w:asciiTheme="minorHAnsi" w:hAnsiTheme="minorHAnsi" w:cstheme="minorHAnsi"/>
                <w:sz w:val="22"/>
                <w:szCs w:val="22"/>
              </w:rPr>
            </w:pPr>
            <w:r w:rsidRPr="00084B74">
              <w:rPr>
                <w:rFonts w:asciiTheme="minorHAnsi" w:hAnsiTheme="minorHAnsi" w:cstheme="minorHAnsi"/>
                <w:sz w:val="22"/>
                <w:szCs w:val="22"/>
              </w:rPr>
              <w:t>4 600</w:t>
            </w:r>
          </w:p>
        </w:tc>
        <w:tc>
          <w:tcPr>
            <w:tcW w:w="1498" w:type="dxa"/>
          </w:tcPr>
          <w:p w:rsidR="00C71A9F" w:rsidRPr="00084B74" w:rsidRDefault="00C71A9F" w:rsidP="00FF29E9">
            <w:pPr>
              <w:spacing w:before="0"/>
              <w:jc w:val="right"/>
              <w:rPr>
                <w:rFonts w:asciiTheme="minorHAnsi" w:hAnsiTheme="minorHAnsi" w:cstheme="minorHAnsi"/>
                <w:sz w:val="22"/>
                <w:szCs w:val="22"/>
              </w:rPr>
            </w:pPr>
          </w:p>
        </w:tc>
      </w:tr>
      <w:tr w:rsidR="00C71A9F" w:rsidRPr="00084B74" w:rsidTr="00FF29E9">
        <w:tc>
          <w:tcPr>
            <w:tcW w:w="5357" w:type="dxa"/>
          </w:tcPr>
          <w:p w:rsidR="00C71A9F" w:rsidRPr="00084B74" w:rsidRDefault="00C71A9F" w:rsidP="00FF29E9">
            <w:pPr>
              <w:pStyle w:val="Tabletext"/>
              <w:spacing w:before="0" w:after="0"/>
              <w:rPr>
                <w:szCs w:val="22"/>
              </w:rPr>
            </w:pPr>
            <w:r w:rsidRPr="00084B74">
              <w:rPr>
                <w:szCs w:val="22"/>
              </w:rPr>
              <w:t>CFC 8 Relogement du personnel</w:t>
            </w:r>
          </w:p>
        </w:tc>
        <w:tc>
          <w:tcPr>
            <w:tcW w:w="2351" w:type="dxa"/>
          </w:tcPr>
          <w:p w:rsidR="00C71A9F" w:rsidRPr="00084B74" w:rsidRDefault="00C71A9F" w:rsidP="00FF29E9">
            <w:pPr>
              <w:spacing w:before="0"/>
              <w:jc w:val="right"/>
              <w:rPr>
                <w:rFonts w:asciiTheme="minorHAnsi" w:hAnsiTheme="minorHAnsi" w:cstheme="minorHAnsi"/>
                <w:sz w:val="22"/>
                <w:szCs w:val="22"/>
              </w:rPr>
            </w:pPr>
            <w:r w:rsidRPr="00084B74">
              <w:rPr>
                <w:rFonts w:asciiTheme="minorHAnsi" w:hAnsiTheme="minorHAnsi" w:cstheme="minorHAnsi"/>
                <w:sz w:val="22"/>
                <w:szCs w:val="22"/>
              </w:rPr>
              <w:t>11 000</w:t>
            </w:r>
          </w:p>
        </w:tc>
        <w:tc>
          <w:tcPr>
            <w:tcW w:w="1498" w:type="dxa"/>
          </w:tcPr>
          <w:p w:rsidR="00C71A9F" w:rsidRPr="00084B74" w:rsidRDefault="00C71A9F" w:rsidP="00FF29E9">
            <w:pPr>
              <w:spacing w:before="0"/>
              <w:jc w:val="right"/>
              <w:rPr>
                <w:rFonts w:asciiTheme="minorHAnsi" w:hAnsiTheme="minorHAnsi" w:cstheme="minorHAnsi"/>
                <w:sz w:val="22"/>
                <w:szCs w:val="22"/>
              </w:rPr>
            </w:pPr>
          </w:p>
        </w:tc>
      </w:tr>
      <w:tr w:rsidR="00C71A9F" w:rsidRPr="00084B74" w:rsidTr="00FF29E9">
        <w:tc>
          <w:tcPr>
            <w:tcW w:w="5357" w:type="dxa"/>
          </w:tcPr>
          <w:p w:rsidR="00C71A9F" w:rsidRPr="00084B74" w:rsidRDefault="00C71A9F" w:rsidP="00256D29">
            <w:pPr>
              <w:rPr>
                <w:rFonts w:asciiTheme="minorHAnsi" w:hAnsiTheme="minorHAnsi" w:cstheme="minorHAnsi"/>
                <w:b/>
                <w:sz w:val="22"/>
                <w:szCs w:val="22"/>
              </w:rPr>
            </w:pPr>
            <w:r w:rsidRPr="00084B74">
              <w:rPr>
                <w:rFonts w:asciiTheme="minorHAnsi" w:hAnsiTheme="minorHAnsi" w:cstheme="minorHAnsi"/>
                <w:b/>
                <w:sz w:val="22"/>
                <w:szCs w:val="22"/>
              </w:rPr>
              <w:t xml:space="preserve">Total </w:t>
            </w:r>
          </w:p>
        </w:tc>
        <w:tc>
          <w:tcPr>
            <w:tcW w:w="2351" w:type="dxa"/>
          </w:tcPr>
          <w:p w:rsidR="00C71A9F" w:rsidRPr="00084B74" w:rsidRDefault="00CE22A4" w:rsidP="00CE22A4">
            <w:pPr>
              <w:jc w:val="right"/>
              <w:rPr>
                <w:rFonts w:asciiTheme="minorHAnsi" w:hAnsiTheme="minorHAnsi" w:cstheme="minorHAnsi"/>
                <w:b/>
                <w:sz w:val="22"/>
                <w:szCs w:val="22"/>
              </w:rPr>
            </w:pPr>
            <w:r w:rsidRPr="00084B74">
              <w:rPr>
                <w:rFonts w:asciiTheme="minorHAnsi" w:hAnsiTheme="minorHAnsi" w:cstheme="minorHAnsi"/>
                <w:b/>
                <w:sz w:val="22"/>
                <w:szCs w:val="22"/>
              </w:rPr>
              <w:t xml:space="preserve">de </w:t>
            </w:r>
            <w:r w:rsidR="00C71A9F" w:rsidRPr="00084B74">
              <w:rPr>
                <w:rFonts w:asciiTheme="minorHAnsi" w:hAnsiTheme="minorHAnsi" w:cstheme="minorHAnsi"/>
                <w:b/>
                <w:sz w:val="22"/>
                <w:szCs w:val="22"/>
              </w:rPr>
              <w:t xml:space="preserve">177 082 </w:t>
            </w:r>
            <w:r w:rsidRPr="00084B74">
              <w:rPr>
                <w:rFonts w:asciiTheme="minorHAnsi" w:hAnsiTheme="minorHAnsi" w:cstheme="minorHAnsi"/>
                <w:b/>
                <w:sz w:val="22"/>
                <w:szCs w:val="22"/>
              </w:rPr>
              <w:t>à</w:t>
            </w:r>
            <w:r w:rsidR="00C71A9F" w:rsidRPr="00084B74">
              <w:rPr>
                <w:rFonts w:asciiTheme="minorHAnsi" w:hAnsiTheme="minorHAnsi" w:cstheme="minorHAnsi"/>
                <w:b/>
                <w:sz w:val="22"/>
                <w:szCs w:val="22"/>
              </w:rPr>
              <w:t xml:space="preserve"> 180 082</w:t>
            </w:r>
          </w:p>
        </w:tc>
        <w:tc>
          <w:tcPr>
            <w:tcW w:w="1498" w:type="dxa"/>
          </w:tcPr>
          <w:p w:rsidR="00C71A9F" w:rsidRPr="00084B74" w:rsidRDefault="00C71A9F" w:rsidP="00256D29">
            <w:pPr>
              <w:jc w:val="right"/>
              <w:rPr>
                <w:rFonts w:asciiTheme="minorHAnsi" w:hAnsiTheme="minorHAnsi" w:cstheme="minorHAnsi"/>
                <w:sz w:val="22"/>
                <w:szCs w:val="22"/>
              </w:rPr>
            </w:pPr>
          </w:p>
        </w:tc>
      </w:tr>
      <w:tr w:rsidR="00C71A9F" w:rsidRPr="00084B74" w:rsidTr="00FF29E9">
        <w:tc>
          <w:tcPr>
            <w:tcW w:w="5357" w:type="dxa"/>
          </w:tcPr>
          <w:p w:rsidR="00C71A9F" w:rsidRPr="00084B74" w:rsidRDefault="00C71A9F" w:rsidP="00256D29">
            <w:pPr>
              <w:jc w:val="right"/>
              <w:rPr>
                <w:rFonts w:asciiTheme="minorHAnsi" w:hAnsiTheme="minorHAnsi" w:cstheme="minorHAnsi"/>
                <w:b/>
                <w:sz w:val="22"/>
                <w:szCs w:val="22"/>
              </w:rPr>
            </w:pPr>
            <w:r w:rsidRPr="00084B74">
              <w:rPr>
                <w:rFonts w:asciiTheme="minorHAnsi" w:hAnsiTheme="minorHAnsi" w:cstheme="minorHAnsi"/>
                <w:b/>
                <w:sz w:val="22"/>
                <w:szCs w:val="22"/>
              </w:rPr>
              <w:t>Prêt accordé par le pays hôte</w:t>
            </w:r>
          </w:p>
        </w:tc>
        <w:tc>
          <w:tcPr>
            <w:tcW w:w="2351" w:type="dxa"/>
          </w:tcPr>
          <w:p w:rsidR="00C71A9F" w:rsidRPr="00084B74" w:rsidRDefault="00C71A9F" w:rsidP="00256D29">
            <w:pPr>
              <w:jc w:val="right"/>
              <w:rPr>
                <w:rFonts w:asciiTheme="minorHAnsi" w:hAnsiTheme="minorHAnsi" w:cstheme="minorHAnsi"/>
                <w:b/>
                <w:sz w:val="22"/>
                <w:szCs w:val="22"/>
              </w:rPr>
            </w:pPr>
          </w:p>
        </w:tc>
        <w:tc>
          <w:tcPr>
            <w:tcW w:w="1498" w:type="dxa"/>
          </w:tcPr>
          <w:p w:rsidR="00C71A9F" w:rsidRPr="00084B74" w:rsidRDefault="00C71A9F" w:rsidP="00256D29">
            <w:pPr>
              <w:jc w:val="right"/>
              <w:rPr>
                <w:rFonts w:asciiTheme="minorHAnsi" w:hAnsiTheme="minorHAnsi" w:cstheme="minorHAnsi"/>
                <w:sz w:val="22"/>
                <w:szCs w:val="22"/>
              </w:rPr>
            </w:pPr>
            <w:r w:rsidRPr="00084B74">
              <w:rPr>
                <w:rFonts w:asciiTheme="minorHAnsi" w:hAnsiTheme="minorHAnsi" w:cstheme="minorHAnsi"/>
                <w:b/>
                <w:sz w:val="22"/>
                <w:szCs w:val="22"/>
              </w:rPr>
              <w:t>147 000</w:t>
            </w:r>
          </w:p>
        </w:tc>
      </w:tr>
      <w:tr w:rsidR="00C71A9F" w:rsidRPr="00084B74" w:rsidTr="00FF29E9">
        <w:tc>
          <w:tcPr>
            <w:tcW w:w="5357" w:type="dxa"/>
          </w:tcPr>
          <w:p w:rsidR="00C71A9F" w:rsidRPr="00084B74" w:rsidRDefault="00C71A9F" w:rsidP="00084B74">
            <w:pPr>
              <w:jc w:val="right"/>
              <w:rPr>
                <w:rFonts w:asciiTheme="minorHAnsi" w:hAnsiTheme="minorHAnsi" w:cstheme="minorHAnsi"/>
                <w:sz w:val="22"/>
                <w:szCs w:val="22"/>
              </w:rPr>
            </w:pPr>
            <w:r w:rsidRPr="00084B74">
              <w:rPr>
                <w:rFonts w:asciiTheme="minorHAnsi" w:hAnsiTheme="minorHAnsi" w:cstheme="minorHAnsi"/>
                <w:b/>
                <w:sz w:val="22"/>
                <w:szCs w:val="22"/>
              </w:rPr>
              <w:t>Reste des</w:t>
            </w:r>
            <w:r w:rsidR="00E04A4B" w:rsidRPr="00084B74">
              <w:rPr>
                <w:rFonts w:asciiTheme="minorHAnsi" w:hAnsiTheme="minorHAnsi" w:cstheme="minorHAnsi"/>
                <w:b/>
                <w:sz w:val="22"/>
                <w:szCs w:val="22"/>
              </w:rPr>
              <w:t xml:space="preserve"> éléments pouvant être couverts</w:t>
            </w:r>
            <w:r w:rsidR="00084B74" w:rsidRPr="00084B74">
              <w:rPr>
                <w:rFonts w:asciiTheme="minorHAnsi" w:hAnsiTheme="minorHAnsi" w:cstheme="minorHAnsi"/>
                <w:b/>
                <w:sz w:val="22"/>
                <w:szCs w:val="22"/>
              </w:rPr>
              <w:t xml:space="preserve"> </w:t>
            </w:r>
            <w:r w:rsidRPr="00084B74">
              <w:rPr>
                <w:rFonts w:asciiTheme="minorHAnsi" w:hAnsiTheme="minorHAnsi" w:cstheme="minorHAnsi"/>
                <w:b/>
                <w:sz w:val="22"/>
                <w:szCs w:val="22"/>
              </w:rPr>
              <w:t xml:space="preserve">par </w:t>
            </w:r>
            <w:r w:rsidR="00084B74">
              <w:rPr>
                <w:rFonts w:asciiTheme="minorHAnsi" w:hAnsiTheme="minorHAnsi" w:cstheme="minorHAnsi"/>
                <w:b/>
                <w:sz w:val="22"/>
                <w:szCs w:val="22"/>
              </w:rPr>
              <w:br/>
            </w:r>
            <w:r w:rsidRPr="00084B74">
              <w:rPr>
                <w:rFonts w:asciiTheme="minorHAnsi" w:hAnsiTheme="minorHAnsi" w:cstheme="minorHAnsi"/>
                <w:b/>
                <w:sz w:val="22"/>
                <w:szCs w:val="22"/>
              </w:rPr>
              <w:t>le prêt à financer</w:t>
            </w:r>
          </w:p>
        </w:tc>
        <w:tc>
          <w:tcPr>
            <w:tcW w:w="2351" w:type="dxa"/>
          </w:tcPr>
          <w:p w:rsidR="00C71A9F" w:rsidRPr="00084B74" w:rsidRDefault="00C71A9F" w:rsidP="00256D29">
            <w:pPr>
              <w:jc w:val="right"/>
              <w:rPr>
                <w:rFonts w:asciiTheme="minorHAnsi" w:hAnsiTheme="minorHAnsi" w:cstheme="minorHAnsi"/>
                <w:b/>
                <w:sz w:val="22"/>
                <w:szCs w:val="22"/>
              </w:rPr>
            </w:pPr>
            <w:r w:rsidRPr="00084B74">
              <w:rPr>
                <w:rFonts w:asciiTheme="minorHAnsi" w:hAnsiTheme="minorHAnsi" w:cstheme="minorHAnsi"/>
                <w:b/>
                <w:sz w:val="22"/>
                <w:szCs w:val="22"/>
              </w:rPr>
              <w:t>de 30 082 à 33 082</w:t>
            </w:r>
          </w:p>
        </w:tc>
        <w:tc>
          <w:tcPr>
            <w:tcW w:w="1498" w:type="dxa"/>
          </w:tcPr>
          <w:p w:rsidR="00C71A9F" w:rsidRPr="00084B74" w:rsidRDefault="00C71A9F" w:rsidP="00256D29">
            <w:pPr>
              <w:jc w:val="right"/>
              <w:rPr>
                <w:rFonts w:asciiTheme="minorHAnsi" w:hAnsiTheme="minorHAnsi" w:cstheme="minorHAnsi"/>
                <w:sz w:val="22"/>
                <w:szCs w:val="22"/>
              </w:rPr>
            </w:pPr>
          </w:p>
        </w:tc>
      </w:tr>
    </w:tbl>
    <w:p w:rsidR="00C71A9F" w:rsidRPr="00084B74" w:rsidRDefault="00C71A9F" w:rsidP="001A69F1">
      <w:pPr>
        <w:spacing w:before="0"/>
        <w:rPr>
          <w:sz w:val="22"/>
          <w:szCs w:val="22"/>
        </w:rPr>
      </w:pPr>
    </w:p>
    <w:tbl>
      <w:tblPr>
        <w:tblStyle w:val="TableGrid"/>
        <w:tblW w:w="9206" w:type="dxa"/>
        <w:tblLayout w:type="fixed"/>
        <w:tblLook w:val="04A0" w:firstRow="1" w:lastRow="0" w:firstColumn="1" w:lastColumn="0" w:noHBand="0" w:noVBand="1"/>
      </w:tblPr>
      <w:tblGrid>
        <w:gridCol w:w="5357"/>
        <w:gridCol w:w="2351"/>
        <w:gridCol w:w="1498"/>
      </w:tblGrid>
      <w:tr w:rsidR="00C71A9F" w:rsidRPr="00084B74" w:rsidTr="00FF29E9">
        <w:tc>
          <w:tcPr>
            <w:tcW w:w="5357" w:type="dxa"/>
          </w:tcPr>
          <w:p w:rsidR="00C71A9F" w:rsidRPr="00084B74" w:rsidRDefault="00C71A9F" w:rsidP="00FF29E9">
            <w:pPr>
              <w:pStyle w:val="Tablehead"/>
              <w:jc w:val="left"/>
              <w:rPr>
                <w:szCs w:val="22"/>
              </w:rPr>
            </w:pPr>
            <w:r w:rsidRPr="00084B74">
              <w:rPr>
                <w:szCs w:val="22"/>
              </w:rPr>
              <w:t>Autres éléments ne pouvant être financés par le prêt</w:t>
            </w:r>
          </w:p>
        </w:tc>
        <w:tc>
          <w:tcPr>
            <w:tcW w:w="2351" w:type="dxa"/>
          </w:tcPr>
          <w:p w:rsidR="00C71A9F" w:rsidRPr="00084B74" w:rsidRDefault="00C71A9F" w:rsidP="00E04A4B">
            <w:pPr>
              <w:pStyle w:val="Tablehead"/>
              <w:rPr>
                <w:szCs w:val="22"/>
              </w:rPr>
            </w:pPr>
          </w:p>
        </w:tc>
        <w:tc>
          <w:tcPr>
            <w:tcW w:w="1498" w:type="dxa"/>
          </w:tcPr>
          <w:p w:rsidR="00C71A9F" w:rsidRPr="00084B74" w:rsidRDefault="00C71A9F" w:rsidP="00E04A4B">
            <w:pPr>
              <w:pStyle w:val="Tablehead"/>
              <w:rPr>
                <w:szCs w:val="22"/>
              </w:rPr>
            </w:pPr>
          </w:p>
        </w:tc>
      </w:tr>
      <w:tr w:rsidR="00C71A9F" w:rsidRPr="00084B74" w:rsidTr="00FF29E9">
        <w:tc>
          <w:tcPr>
            <w:tcW w:w="5357" w:type="dxa"/>
          </w:tcPr>
          <w:p w:rsidR="00C71A9F" w:rsidRPr="00084B74" w:rsidRDefault="00C71A9F" w:rsidP="00FF29E9">
            <w:pPr>
              <w:pStyle w:val="Tabletext"/>
              <w:spacing w:before="0" w:after="0"/>
              <w:rPr>
                <w:szCs w:val="22"/>
              </w:rPr>
            </w:pPr>
            <w:r w:rsidRPr="00084B74">
              <w:rPr>
                <w:szCs w:val="22"/>
              </w:rPr>
              <w:t>CFC 8 Location de salles de conférence et de réunion</w:t>
            </w:r>
          </w:p>
        </w:tc>
        <w:tc>
          <w:tcPr>
            <w:tcW w:w="2351" w:type="dxa"/>
          </w:tcPr>
          <w:p w:rsidR="00C71A9F" w:rsidRPr="00084B74" w:rsidRDefault="00C71A9F" w:rsidP="00FF29E9">
            <w:pPr>
              <w:spacing w:before="0"/>
              <w:jc w:val="right"/>
              <w:rPr>
                <w:rFonts w:asciiTheme="minorHAnsi" w:hAnsiTheme="minorHAnsi" w:cstheme="minorHAnsi"/>
                <w:sz w:val="22"/>
                <w:szCs w:val="22"/>
              </w:rPr>
            </w:pPr>
            <w:r w:rsidRPr="00084B74">
              <w:rPr>
                <w:rFonts w:asciiTheme="minorHAnsi" w:hAnsiTheme="minorHAnsi" w:cstheme="minorHAnsi"/>
                <w:sz w:val="22"/>
                <w:szCs w:val="22"/>
              </w:rPr>
              <w:t>2 500</w:t>
            </w:r>
          </w:p>
        </w:tc>
        <w:tc>
          <w:tcPr>
            <w:tcW w:w="1498" w:type="dxa"/>
          </w:tcPr>
          <w:p w:rsidR="00C71A9F" w:rsidRPr="00084B74" w:rsidRDefault="00C71A9F" w:rsidP="00FF29E9">
            <w:pPr>
              <w:spacing w:before="0"/>
              <w:jc w:val="right"/>
              <w:rPr>
                <w:rFonts w:asciiTheme="minorHAnsi" w:hAnsiTheme="minorHAnsi" w:cstheme="minorHAnsi"/>
                <w:sz w:val="22"/>
                <w:szCs w:val="22"/>
              </w:rPr>
            </w:pPr>
          </w:p>
        </w:tc>
      </w:tr>
      <w:tr w:rsidR="00C71A9F" w:rsidRPr="00084B74" w:rsidTr="00FF29E9">
        <w:tc>
          <w:tcPr>
            <w:tcW w:w="5357" w:type="dxa"/>
          </w:tcPr>
          <w:p w:rsidR="00C71A9F" w:rsidRPr="00084B74" w:rsidRDefault="00C71A9F" w:rsidP="00FF29E9">
            <w:pPr>
              <w:pStyle w:val="Tabletext"/>
              <w:spacing w:before="0" w:after="0"/>
              <w:rPr>
                <w:szCs w:val="22"/>
              </w:rPr>
            </w:pPr>
            <w:r w:rsidRPr="00084B74">
              <w:rPr>
                <w:szCs w:val="22"/>
              </w:rPr>
              <w:t>CFC 9 Mobilier amovible</w:t>
            </w:r>
          </w:p>
        </w:tc>
        <w:tc>
          <w:tcPr>
            <w:tcW w:w="2351" w:type="dxa"/>
          </w:tcPr>
          <w:p w:rsidR="00C71A9F" w:rsidRPr="00084B74" w:rsidRDefault="00C71A9F" w:rsidP="00FF29E9">
            <w:pPr>
              <w:spacing w:before="0"/>
              <w:jc w:val="right"/>
              <w:rPr>
                <w:rFonts w:asciiTheme="minorHAnsi" w:hAnsiTheme="minorHAnsi" w:cstheme="minorHAnsi"/>
                <w:sz w:val="22"/>
                <w:szCs w:val="22"/>
              </w:rPr>
            </w:pPr>
            <w:r w:rsidRPr="00084B74">
              <w:rPr>
                <w:rFonts w:asciiTheme="minorHAnsi" w:hAnsiTheme="minorHAnsi" w:cstheme="minorHAnsi"/>
                <w:sz w:val="22"/>
                <w:szCs w:val="22"/>
              </w:rPr>
              <w:t>5 000</w:t>
            </w:r>
          </w:p>
        </w:tc>
        <w:tc>
          <w:tcPr>
            <w:tcW w:w="1498" w:type="dxa"/>
          </w:tcPr>
          <w:p w:rsidR="00C71A9F" w:rsidRPr="00084B74" w:rsidRDefault="00C71A9F" w:rsidP="00FF29E9">
            <w:pPr>
              <w:spacing w:before="0"/>
              <w:jc w:val="right"/>
              <w:rPr>
                <w:rFonts w:asciiTheme="minorHAnsi" w:hAnsiTheme="minorHAnsi" w:cstheme="minorHAnsi"/>
                <w:sz w:val="22"/>
                <w:szCs w:val="22"/>
              </w:rPr>
            </w:pPr>
          </w:p>
        </w:tc>
      </w:tr>
      <w:tr w:rsidR="00C71A9F" w:rsidRPr="00084B74" w:rsidTr="00FF29E9">
        <w:tc>
          <w:tcPr>
            <w:tcW w:w="5357" w:type="dxa"/>
          </w:tcPr>
          <w:p w:rsidR="00C71A9F" w:rsidRPr="00084B74" w:rsidRDefault="00C71A9F" w:rsidP="00FF29E9">
            <w:pPr>
              <w:pStyle w:val="Tabletext"/>
              <w:spacing w:before="0" w:after="0"/>
              <w:rPr>
                <w:szCs w:val="22"/>
              </w:rPr>
            </w:pPr>
            <w:r w:rsidRPr="00084B74">
              <w:rPr>
                <w:szCs w:val="22"/>
              </w:rPr>
              <w:t>CFC 9 Équipements TIC actifs</w:t>
            </w:r>
          </w:p>
        </w:tc>
        <w:tc>
          <w:tcPr>
            <w:tcW w:w="2351" w:type="dxa"/>
          </w:tcPr>
          <w:p w:rsidR="00C71A9F" w:rsidRPr="00084B74" w:rsidRDefault="00C71A9F" w:rsidP="00FF29E9">
            <w:pPr>
              <w:spacing w:before="0"/>
              <w:jc w:val="right"/>
              <w:rPr>
                <w:rFonts w:asciiTheme="minorHAnsi" w:hAnsiTheme="minorHAnsi" w:cstheme="minorHAnsi"/>
                <w:sz w:val="22"/>
                <w:szCs w:val="22"/>
              </w:rPr>
            </w:pPr>
            <w:r w:rsidRPr="00084B74">
              <w:rPr>
                <w:rFonts w:asciiTheme="minorHAnsi" w:hAnsiTheme="minorHAnsi" w:cstheme="minorHAnsi"/>
                <w:sz w:val="22"/>
                <w:szCs w:val="22"/>
              </w:rPr>
              <w:t>7 000</w:t>
            </w:r>
          </w:p>
        </w:tc>
        <w:tc>
          <w:tcPr>
            <w:tcW w:w="1498" w:type="dxa"/>
          </w:tcPr>
          <w:p w:rsidR="00C71A9F" w:rsidRPr="00084B74" w:rsidRDefault="00C71A9F" w:rsidP="00FF29E9">
            <w:pPr>
              <w:spacing w:before="0"/>
              <w:jc w:val="right"/>
              <w:rPr>
                <w:rFonts w:asciiTheme="minorHAnsi" w:hAnsiTheme="minorHAnsi" w:cstheme="minorHAnsi"/>
                <w:sz w:val="22"/>
                <w:szCs w:val="22"/>
              </w:rPr>
            </w:pPr>
          </w:p>
        </w:tc>
      </w:tr>
      <w:tr w:rsidR="00C71A9F" w:rsidRPr="00084B74" w:rsidTr="00FF29E9">
        <w:tc>
          <w:tcPr>
            <w:tcW w:w="5357" w:type="dxa"/>
          </w:tcPr>
          <w:p w:rsidR="00C71A9F" w:rsidRPr="00084B74" w:rsidRDefault="00C71A9F" w:rsidP="00256D29">
            <w:pPr>
              <w:rPr>
                <w:rFonts w:asciiTheme="minorHAnsi" w:hAnsiTheme="minorHAnsi" w:cstheme="minorHAnsi"/>
                <w:b/>
                <w:sz w:val="22"/>
                <w:szCs w:val="22"/>
              </w:rPr>
            </w:pPr>
            <w:r w:rsidRPr="00084B74">
              <w:rPr>
                <w:rFonts w:asciiTheme="minorHAnsi" w:hAnsiTheme="minorHAnsi" w:cstheme="minorHAnsi"/>
                <w:b/>
                <w:sz w:val="22"/>
                <w:szCs w:val="22"/>
              </w:rPr>
              <w:t>Total à financer sans avoir recours au prêt avant optimisation</w:t>
            </w:r>
          </w:p>
        </w:tc>
        <w:tc>
          <w:tcPr>
            <w:tcW w:w="2351" w:type="dxa"/>
          </w:tcPr>
          <w:p w:rsidR="00C71A9F" w:rsidRPr="00084B74" w:rsidRDefault="00C71A9F" w:rsidP="00256D29">
            <w:pPr>
              <w:jc w:val="right"/>
              <w:rPr>
                <w:rFonts w:asciiTheme="minorHAnsi" w:hAnsiTheme="minorHAnsi" w:cstheme="minorHAnsi"/>
                <w:b/>
                <w:sz w:val="22"/>
                <w:szCs w:val="22"/>
              </w:rPr>
            </w:pPr>
            <w:r w:rsidRPr="00084B74">
              <w:rPr>
                <w:rFonts w:asciiTheme="minorHAnsi" w:hAnsiTheme="minorHAnsi" w:cstheme="minorHAnsi"/>
                <w:b/>
                <w:sz w:val="22"/>
                <w:szCs w:val="22"/>
              </w:rPr>
              <w:t>de 44 582 à 47 582</w:t>
            </w:r>
          </w:p>
        </w:tc>
        <w:tc>
          <w:tcPr>
            <w:tcW w:w="1498" w:type="dxa"/>
          </w:tcPr>
          <w:p w:rsidR="00C71A9F" w:rsidRPr="00084B74" w:rsidRDefault="00C71A9F" w:rsidP="00256D29">
            <w:pPr>
              <w:jc w:val="right"/>
              <w:rPr>
                <w:rFonts w:asciiTheme="minorHAnsi" w:hAnsiTheme="minorHAnsi" w:cstheme="minorHAnsi"/>
                <w:b/>
                <w:sz w:val="22"/>
                <w:szCs w:val="22"/>
              </w:rPr>
            </w:pPr>
          </w:p>
        </w:tc>
      </w:tr>
    </w:tbl>
    <w:p w:rsidR="00C71A9F" w:rsidRPr="00084B74" w:rsidRDefault="00C71A9F" w:rsidP="001A69F1">
      <w:pPr>
        <w:spacing w:before="0"/>
        <w:rPr>
          <w:sz w:val="22"/>
          <w:szCs w:val="22"/>
        </w:rPr>
      </w:pPr>
    </w:p>
    <w:tbl>
      <w:tblPr>
        <w:tblStyle w:val="TableGrid"/>
        <w:tblW w:w="9220" w:type="dxa"/>
        <w:tblLayout w:type="fixed"/>
        <w:tblLook w:val="04A0" w:firstRow="1" w:lastRow="0" w:firstColumn="1" w:lastColumn="0" w:noHBand="0" w:noVBand="1"/>
      </w:tblPr>
      <w:tblGrid>
        <w:gridCol w:w="5357"/>
        <w:gridCol w:w="2351"/>
        <w:gridCol w:w="1512"/>
      </w:tblGrid>
      <w:tr w:rsidR="00C71A9F" w:rsidRPr="00084B74" w:rsidTr="00FF29E9">
        <w:tc>
          <w:tcPr>
            <w:tcW w:w="5357" w:type="dxa"/>
          </w:tcPr>
          <w:p w:rsidR="00C71A9F" w:rsidRPr="00084B74" w:rsidRDefault="00C71A9F" w:rsidP="00FF29E9">
            <w:pPr>
              <w:pStyle w:val="Tablehead"/>
              <w:jc w:val="left"/>
              <w:rPr>
                <w:szCs w:val="22"/>
              </w:rPr>
            </w:pPr>
            <w:r w:rsidRPr="00084B74">
              <w:rPr>
                <w:szCs w:val="22"/>
              </w:rPr>
              <w:t>Autres financements</w:t>
            </w:r>
          </w:p>
        </w:tc>
        <w:tc>
          <w:tcPr>
            <w:tcW w:w="2351" w:type="dxa"/>
          </w:tcPr>
          <w:p w:rsidR="00C71A9F" w:rsidRPr="00084B74" w:rsidRDefault="00C71A9F" w:rsidP="00E04A4B">
            <w:pPr>
              <w:pStyle w:val="Tablehead"/>
              <w:rPr>
                <w:szCs w:val="22"/>
              </w:rPr>
            </w:pPr>
          </w:p>
        </w:tc>
        <w:tc>
          <w:tcPr>
            <w:tcW w:w="1512" w:type="dxa"/>
          </w:tcPr>
          <w:p w:rsidR="00C71A9F" w:rsidRPr="00084B74" w:rsidRDefault="00C71A9F" w:rsidP="00E04A4B">
            <w:pPr>
              <w:pStyle w:val="Tablehead"/>
              <w:rPr>
                <w:szCs w:val="22"/>
              </w:rPr>
            </w:pPr>
          </w:p>
        </w:tc>
      </w:tr>
      <w:tr w:rsidR="00C71A9F" w:rsidRPr="00084B74" w:rsidTr="00FF29E9">
        <w:tc>
          <w:tcPr>
            <w:tcW w:w="5357" w:type="dxa"/>
          </w:tcPr>
          <w:p w:rsidR="00C71A9F" w:rsidRPr="00084B74" w:rsidRDefault="00C71A9F" w:rsidP="00FF29E9">
            <w:pPr>
              <w:pStyle w:val="Tabletext"/>
              <w:spacing w:before="0" w:after="0"/>
              <w:rPr>
                <w:szCs w:val="22"/>
              </w:rPr>
            </w:pPr>
            <w:r w:rsidRPr="00084B74">
              <w:rPr>
                <w:szCs w:val="22"/>
              </w:rPr>
              <w:t>Dons et parrainages acceptés</w:t>
            </w:r>
          </w:p>
        </w:tc>
        <w:tc>
          <w:tcPr>
            <w:tcW w:w="2351" w:type="dxa"/>
          </w:tcPr>
          <w:p w:rsidR="00C71A9F" w:rsidRPr="00084B74" w:rsidRDefault="00C71A9F" w:rsidP="00FF29E9">
            <w:pPr>
              <w:spacing w:before="0"/>
              <w:jc w:val="right"/>
              <w:rPr>
                <w:rFonts w:asciiTheme="minorHAnsi" w:hAnsiTheme="minorHAnsi" w:cstheme="minorHAnsi"/>
                <w:sz w:val="22"/>
                <w:szCs w:val="22"/>
              </w:rPr>
            </w:pPr>
          </w:p>
        </w:tc>
        <w:tc>
          <w:tcPr>
            <w:tcW w:w="1512" w:type="dxa"/>
          </w:tcPr>
          <w:p w:rsidR="00C71A9F" w:rsidRPr="00084B74" w:rsidRDefault="00C71A9F" w:rsidP="00FF29E9">
            <w:pPr>
              <w:spacing w:before="0"/>
              <w:jc w:val="right"/>
              <w:rPr>
                <w:rFonts w:asciiTheme="minorHAnsi" w:hAnsiTheme="minorHAnsi" w:cstheme="minorHAnsi"/>
                <w:b/>
                <w:sz w:val="22"/>
                <w:szCs w:val="22"/>
              </w:rPr>
            </w:pPr>
            <w:r w:rsidRPr="00084B74">
              <w:rPr>
                <w:rFonts w:asciiTheme="minorHAnsi" w:hAnsiTheme="minorHAnsi" w:cstheme="minorHAnsi"/>
                <w:b/>
                <w:sz w:val="22"/>
                <w:szCs w:val="22"/>
              </w:rPr>
              <w:t>15 140</w:t>
            </w:r>
          </w:p>
        </w:tc>
      </w:tr>
      <w:tr w:rsidR="00C71A9F" w:rsidRPr="00084B74" w:rsidTr="00FF29E9">
        <w:tc>
          <w:tcPr>
            <w:tcW w:w="5357" w:type="dxa"/>
          </w:tcPr>
          <w:p w:rsidR="00C71A9F" w:rsidRPr="00084B74" w:rsidRDefault="00C71A9F" w:rsidP="008949DB">
            <w:pPr>
              <w:pStyle w:val="Tabletext"/>
              <w:spacing w:before="0" w:after="0"/>
              <w:rPr>
                <w:szCs w:val="22"/>
              </w:rPr>
            </w:pPr>
            <w:r w:rsidRPr="00084B74">
              <w:rPr>
                <w:szCs w:val="22"/>
              </w:rPr>
              <w:t xml:space="preserve">Fonds dédiés: </w:t>
            </w:r>
            <w:r w:rsidR="008949DB" w:rsidRPr="00084B74">
              <w:rPr>
                <w:szCs w:val="22"/>
              </w:rPr>
              <w:t>e</w:t>
            </w:r>
            <w:r w:rsidRPr="00084B74">
              <w:rPr>
                <w:szCs w:val="22"/>
              </w:rPr>
              <w:t>xcédent budgétaire 2018</w:t>
            </w:r>
            <w:r w:rsidR="001A69F1" w:rsidRPr="00084B74">
              <w:rPr>
                <w:rStyle w:val="FootnoteReference"/>
                <w:sz w:val="22"/>
                <w:szCs w:val="22"/>
              </w:rPr>
              <w:footnoteReference w:id="1"/>
            </w:r>
          </w:p>
        </w:tc>
        <w:tc>
          <w:tcPr>
            <w:tcW w:w="2351" w:type="dxa"/>
          </w:tcPr>
          <w:p w:rsidR="00C71A9F" w:rsidRPr="00084B74" w:rsidRDefault="00C71A9F" w:rsidP="00FF29E9">
            <w:pPr>
              <w:spacing w:before="0"/>
              <w:jc w:val="right"/>
              <w:rPr>
                <w:rFonts w:asciiTheme="minorHAnsi" w:hAnsiTheme="minorHAnsi" w:cstheme="minorHAnsi"/>
                <w:sz w:val="22"/>
                <w:szCs w:val="22"/>
              </w:rPr>
            </w:pPr>
          </w:p>
        </w:tc>
        <w:tc>
          <w:tcPr>
            <w:tcW w:w="1512" w:type="dxa"/>
          </w:tcPr>
          <w:p w:rsidR="00C71A9F" w:rsidRPr="00084B74" w:rsidRDefault="00C71A9F" w:rsidP="00FF29E9">
            <w:pPr>
              <w:spacing w:before="0"/>
              <w:jc w:val="right"/>
              <w:rPr>
                <w:rFonts w:asciiTheme="minorHAnsi" w:hAnsiTheme="minorHAnsi" w:cstheme="minorHAnsi"/>
                <w:b/>
                <w:sz w:val="22"/>
                <w:szCs w:val="22"/>
              </w:rPr>
            </w:pPr>
            <w:r w:rsidRPr="00084B74">
              <w:rPr>
                <w:rFonts w:asciiTheme="minorHAnsi" w:hAnsiTheme="minorHAnsi" w:cstheme="minorHAnsi"/>
                <w:b/>
                <w:sz w:val="22"/>
                <w:szCs w:val="22"/>
              </w:rPr>
              <w:t>6 000</w:t>
            </w:r>
          </w:p>
        </w:tc>
      </w:tr>
      <w:tr w:rsidR="00C71A9F" w:rsidRPr="00084B74" w:rsidTr="00FF29E9">
        <w:tc>
          <w:tcPr>
            <w:tcW w:w="5357" w:type="dxa"/>
          </w:tcPr>
          <w:p w:rsidR="00C71A9F" w:rsidRPr="00084B74" w:rsidRDefault="00CE22A4" w:rsidP="005108F6">
            <w:pPr>
              <w:pStyle w:val="Tabletext"/>
              <w:spacing w:before="0" w:after="0"/>
              <w:rPr>
                <w:b/>
                <w:bCs/>
                <w:szCs w:val="22"/>
              </w:rPr>
            </w:pPr>
            <w:r w:rsidRPr="00084B74">
              <w:rPr>
                <w:b/>
                <w:bCs/>
                <w:szCs w:val="22"/>
              </w:rPr>
              <w:t>Reste des f</w:t>
            </w:r>
            <w:r w:rsidR="00C71A9F" w:rsidRPr="00084B74">
              <w:rPr>
                <w:b/>
                <w:bCs/>
                <w:szCs w:val="22"/>
              </w:rPr>
              <w:t>inancement</w:t>
            </w:r>
            <w:r w:rsidRPr="00084B74">
              <w:rPr>
                <w:b/>
                <w:bCs/>
                <w:szCs w:val="22"/>
              </w:rPr>
              <w:t>s</w:t>
            </w:r>
            <w:r w:rsidR="00C71A9F" w:rsidRPr="00084B74">
              <w:rPr>
                <w:b/>
                <w:bCs/>
                <w:szCs w:val="22"/>
              </w:rPr>
              <w:t xml:space="preserve"> </w:t>
            </w:r>
            <w:r w:rsidRPr="00084B74">
              <w:rPr>
                <w:b/>
                <w:bCs/>
                <w:szCs w:val="22"/>
              </w:rPr>
              <w:t>nécessaires</w:t>
            </w:r>
            <w:r w:rsidR="00C71A9F" w:rsidRPr="00084B74">
              <w:rPr>
                <w:b/>
                <w:bCs/>
                <w:szCs w:val="22"/>
              </w:rPr>
              <w:t xml:space="preserve">: </w:t>
            </w:r>
            <w:r w:rsidRPr="00084B74">
              <w:rPr>
                <w:b/>
                <w:bCs/>
                <w:szCs w:val="22"/>
              </w:rPr>
              <w:t xml:space="preserve">moyennant des </w:t>
            </w:r>
            <w:r w:rsidR="00C71A9F" w:rsidRPr="00084B74">
              <w:rPr>
                <w:b/>
                <w:bCs/>
                <w:szCs w:val="22"/>
              </w:rPr>
              <w:t xml:space="preserve">optimisations supplémentaires, </w:t>
            </w:r>
            <w:r w:rsidRPr="00084B74">
              <w:rPr>
                <w:b/>
                <w:bCs/>
                <w:szCs w:val="22"/>
              </w:rPr>
              <w:t xml:space="preserve">de </w:t>
            </w:r>
            <w:r w:rsidR="00C71A9F" w:rsidRPr="00084B74">
              <w:rPr>
                <w:b/>
                <w:bCs/>
                <w:szCs w:val="22"/>
              </w:rPr>
              <w:t xml:space="preserve">nouveaux versements sur le </w:t>
            </w:r>
            <w:r w:rsidR="005108F6" w:rsidRPr="00084B74">
              <w:rPr>
                <w:b/>
                <w:bCs/>
                <w:szCs w:val="22"/>
              </w:rPr>
              <w:t>F</w:t>
            </w:r>
            <w:r w:rsidR="00C71A9F" w:rsidRPr="00084B74">
              <w:rPr>
                <w:b/>
                <w:bCs/>
                <w:szCs w:val="22"/>
              </w:rPr>
              <w:t xml:space="preserve">onds pour le projet de nouveau bâtiment provenant des excédents budgétaires </w:t>
            </w:r>
            <w:r w:rsidRPr="00084B74">
              <w:rPr>
                <w:b/>
                <w:bCs/>
                <w:szCs w:val="22"/>
              </w:rPr>
              <w:t xml:space="preserve">enregistrés pour les années 2019 à </w:t>
            </w:r>
            <w:r w:rsidR="00C71A9F" w:rsidRPr="00084B74">
              <w:rPr>
                <w:b/>
                <w:bCs/>
                <w:szCs w:val="22"/>
              </w:rPr>
              <w:t xml:space="preserve">2025, </w:t>
            </w:r>
            <w:r w:rsidRPr="00084B74">
              <w:rPr>
                <w:b/>
                <w:bCs/>
                <w:szCs w:val="22"/>
              </w:rPr>
              <w:t xml:space="preserve">des </w:t>
            </w:r>
            <w:r w:rsidR="00C71A9F" w:rsidRPr="00084B74">
              <w:rPr>
                <w:b/>
                <w:bCs/>
                <w:szCs w:val="22"/>
              </w:rPr>
              <w:t xml:space="preserve">parrainages et </w:t>
            </w:r>
            <w:r w:rsidRPr="00084B74">
              <w:rPr>
                <w:b/>
                <w:bCs/>
                <w:szCs w:val="22"/>
              </w:rPr>
              <w:t xml:space="preserve">des </w:t>
            </w:r>
            <w:r w:rsidR="00C71A9F" w:rsidRPr="00084B74">
              <w:rPr>
                <w:b/>
                <w:bCs/>
                <w:szCs w:val="22"/>
              </w:rPr>
              <w:t>dons</w:t>
            </w:r>
            <w:r w:rsidR="00084B74" w:rsidRPr="00084B74">
              <w:rPr>
                <w:b/>
                <w:bCs/>
                <w:szCs w:val="22"/>
              </w:rPr>
              <w:t>.</w:t>
            </w:r>
          </w:p>
        </w:tc>
        <w:tc>
          <w:tcPr>
            <w:tcW w:w="2351" w:type="dxa"/>
          </w:tcPr>
          <w:p w:rsidR="00C71A9F" w:rsidRPr="00084B74" w:rsidRDefault="00C71A9F" w:rsidP="005108F6">
            <w:pPr>
              <w:pStyle w:val="Tabletext"/>
              <w:spacing w:before="0" w:after="0"/>
              <w:jc w:val="right"/>
              <w:rPr>
                <w:rFonts w:asciiTheme="minorHAnsi" w:hAnsiTheme="minorHAnsi" w:cstheme="minorHAnsi"/>
                <w:szCs w:val="22"/>
              </w:rPr>
            </w:pPr>
            <w:r w:rsidRPr="00084B74">
              <w:rPr>
                <w:rFonts w:asciiTheme="minorHAnsi" w:hAnsiTheme="minorHAnsi" w:cstheme="minorHAnsi"/>
                <w:b/>
                <w:szCs w:val="22"/>
              </w:rPr>
              <w:t>de 23 442 à 26 442</w:t>
            </w:r>
          </w:p>
        </w:tc>
        <w:tc>
          <w:tcPr>
            <w:tcW w:w="1512" w:type="dxa"/>
          </w:tcPr>
          <w:p w:rsidR="00C71A9F" w:rsidRPr="00084B74" w:rsidRDefault="00C71A9F" w:rsidP="00FF29E9">
            <w:pPr>
              <w:pStyle w:val="Tabletext"/>
              <w:spacing w:before="0" w:after="0"/>
              <w:rPr>
                <w:b/>
                <w:bCs/>
                <w:szCs w:val="22"/>
              </w:rPr>
            </w:pPr>
          </w:p>
        </w:tc>
      </w:tr>
    </w:tbl>
    <w:p w:rsidR="00C71A9F" w:rsidRDefault="00C71A9F" w:rsidP="00256D29">
      <w:pPr>
        <w:tabs>
          <w:tab w:val="clear" w:pos="567"/>
          <w:tab w:val="clear" w:pos="1134"/>
          <w:tab w:val="clear" w:pos="1701"/>
          <w:tab w:val="clear" w:pos="2268"/>
          <w:tab w:val="clear" w:pos="2835"/>
        </w:tabs>
        <w:overflowPunct/>
        <w:autoSpaceDE/>
        <w:autoSpaceDN/>
        <w:adjustRightInd/>
        <w:spacing w:before="0"/>
        <w:textAlignment w:val="auto"/>
      </w:pPr>
      <w:r>
        <w:br w:type="page"/>
      </w:r>
    </w:p>
    <w:p w:rsidR="00AE505A" w:rsidRPr="00AE505A" w:rsidRDefault="00226F45" w:rsidP="008949DB">
      <w:pPr>
        <w:pStyle w:val="AnnexNo"/>
      </w:pPr>
      <w:bookmarkStart w:id="10" w:name="Annex3"/>
      <w:r>
        <w:lastRenderedPageBreak/>
        <w:t>Annexe 3</w:t>
      </w:r>
    </w:p>
    <w:bookmarkEnd w:id="10"/>
    <w:p w:rsidR="00AE505A" w:rsidRPr="00AE505A" w:rsidRDefault="00AE505A" w:rsidP="008949DB">
      <w:pPr>
        <w:pStyle w:val="Annextitle"/>
      </w:pPr>
      <w:r>
        <w:t>C</w:t>
      </w:r>
      <w:r w:rsidRPr="00AE505A">
        <w:t>alendrier du projet de locaux du siège</w:t>
      </w:r>
    </w:p>
    <w:p w:rsidR="00226F45" w:rsidRDefault="00226F45" w:rsidP="008949DB">
      <w:pPr>
        <w:spacing w:after="120"/>
        <w:jc w:val="center"/>
        <w:rPr>
          <w:i/>
          <w:iCs/>
        </w:rPr>
      </w:pPr>
      <w:r>
        <w:rPr>
          <w:i/>
          <w:iCs/>
        </w:rPr>
        <w:t>(Ce calendrier repose sur les éléments transmis par l'architecte au 1</w:t>
      </w:r>
      <w:r w:rsidRPr="008949DB">
        <w:rPr>
          <w:i/>
          <w:iCs/>
        </w:rPr>
        <w:t>er</w:t>
      </w:r>
      <w:r>
        <w:rPr>
          <w:i/>
          <w:iCs/>
        </w:rPr>
        <w:t xml:space="preserve"> avril 2019)</w:t>
      </w:r>
    </w:p>
    <w:p w:rsidR="00226F45" w:rsidRPr="00B842C4" w:rsidRDefault="00226F45" w:rsidP="008949DB">
      <w:pPr>
        <w:tabs>
          <w:tab w:val="left" w:pos="7088"/>
        </w:tabs>
        <w:spacing w:before="360" w:after="240"/>
        <w:rPr>
          <w:rFonts w:asciiTheme="minorHAnsi" w:hAnsiTheme="minorHAnsi"/>
          <w:szCs w:val="24"/>
        </w:rPr>
      </w:pPr>
      <w:r>
        <w:rPr>
          <w:rFonts w:asciiTheme="minorHAnsi" w:hAnsiTheme="minorHAnsi"/>
          <w:szCs w:val="24"/>
        </w:rPr>
        <w:t>Livraison définitive de l'avant-projet</w:t>
      </w:r>
      <w:r w:rsidRPr="00B842C4">
        <w:rPr>
          <w:rFonts w:asciiTheme="minorHAnsi" w:hAnsiTheme="minorHAnsi"/>
          <w:szCs w:val="24"/>
        </w:rPr>
        <w:tab/>
        <w:t>Ma</w:t>
      </w:r>
      <w:r>
        <w:rPr>
          <w:rFonts w:asciiTheme="minorHAnsi" w:hAnsiTheme="minorHAnsi"/>
          <w:szCs w:val="24"/>
        </w:rPr>
        <w:t>i</w:t>
      </w:r>
      <w:r w:rsidRPr="00B842C4">
        <w:rPr>
          <w:rFonts w:asciiTheme="minorHAnsi" w:hAnsiTheme="minorHAnsi"/>
          <w:szCs w:val="24"/>
        </w:rPr>
        <w:t xml:space="preserve"> 2019</w:t>
      </w:r>
    </w:p>
    <w:p w:rsidR="00226F45" w:rsidRDefault="00226F45" w:rsidP="008949DB">
      <w:pPr>
        <w:tabs>
          <w:tab w:val="left" w:pos="7088"/>
        </w:tabs>
        <w:spacing w:after="240"/>
        <w:rPr>
          <w:rFonts w:asciiTheme="minorHAnsi" w:hAnsiTheme="minorHAnsi"/>
          <w:szCs w:val="24"/>
        </w:rPr>
      </w:pPr>
      <w:r>
        <w:rPr>
          <w:rFonts w:asciiTheme="minorHAnsi" w:hAnsiTheme="minorHAnsi"/>
          <w:szCs w:val="24"/>
        </w:rPr>
        <w:t>Envoi de la proposition de second message à la</w:t>
      </w:r>
      <w:r w:rsidRPr="00B842C4">
        <w:rPr>
          <w:rFonts w:asciiTheme="minorHAnsi" w:hAnsiTheme="minorHAnsi"/>
          <w:szCs w:val="24"/>
        </w:rPr>
        <w:t xml:space="preserve"> FIPOI</w:t>
      </w:r>
      <w:r w:rsidRPr="00B842C4">
        <w:rPr>
          <w:rFonts w:asciiTheme="minorHAnsi" w:hAnsiTheme="minorHAnsi"/>
          <w:szCs w:val="24"/>
        </w:rPr>
        <w:tab/>
        <w:t>Ju</w:t>
      </w:r>
      <w:r>
        <w:rPr>
          <w:rFonts w:asciiTheme="minorHAnsi" w:hAnsiTheme="minorHAnsi"/>
          <w:szCs w:val="24"/>
        </w:rPr>
        <w:t>i</w:t>
      </w:r>
      <w:r w:rsidRPr="00B842C4">
        <w:rPr>
          <w:rFonts w:asciiTheme="minorHAnsi" w:hAnsiTheme="minorHAnsi"/>
          <w:szCs w:val="24"/>
        </w:rPr>
        <w:t>n 2019</w:t>
      </w:r>
    </w:p>
    <w:p w:rsidR="00226F45" w:rsidRDefault="00226F45" w:rsidP="0094615C">
      <w:pPr>
        <w:tabs>
          <w:tab w:val="clear" w:pos="567"/>
          <w:tab w:val="clear" w:pos="1134"/>
          <w:tab w:val="clear" w:pos="1701"/>
          <w:tab w:val="clear" w:pos="2268"/>
          <w:tab w:val="clear" w:pos="2835"/>
          <w:tab w:val="left" w:pos="7088"/>
        </w:tabs>
        <w:spacing w:after="240"/>
        <w:rPr>
          <w:rFonts w:asciiTheme="minorHAnsi" w:hAnsiTheme="minorHAnsi"/>
          <w:szCs w:val="24"/>
        </w:rPr>
      </w:pPr>
      <w:r>
        <w:rPr>
          <w:rFonts w:asciiTheme="minorHAnsi" w:hAnsiTheme="minorHAnsi"/>
          <w:szCs w:val="24"/>
        </w:rPr>
        <w:t>Envoi du second message aux Chambres fédérales</w:t>
      </w:r>
      <w:r w:rsidRPr="00B842C4">
        <w:rPr>
          <w:rFonts w:asciiTheme="minorHAnsi" w:hAnsiTheme="minorHAnsi"/>
          <w:szCs w:val="24"/>
        </w:rPr>
        <w:tab/>
        <w:t>A</w:t>
      </w:r>
      <w:r>
        <w:rPr>
          <w:rFonts w:asciiTheme="minorHAnsi" w:hAnsiTheme="minorHAnsi"/>
          <w:szCs w:val="24"/>
        </w:rPr>
        <w:t>oût</w:t>
      </w:r>
      <w:r w:rsidRPr="00B842C4">
        <w:rPr>
          <w:rFonts w:asciiTheme="minorHAnsi" w:hAnsiTheme="minorHAnsi"/>
          <w:szCs w:val="24"/>
        </w:rPr>
        <w:t xml:space="preserve"> 2019</w:t>
      </w:r>
      <w:r w:rsidRPr="00B842C4">
        <w:rPr>
          <w:rFonts w:asciiTheme="minorHAnsi" w:hAnsiTheme="minorHAnsi"/>
          <w:szCs w:val="24"/>
        </w:rPr>
        <w:br/>
      </w:r>
      <w:r>
        <w:rPr>
          <w:rFonts w:asciiTheme="minorHAnsi" w:hAnsiTheme="minorHAnsi"/>
          <w:szCs w:val="24"/>
        </w:rPr>
        <w:t>Dossier complet</w:t>
      </w:r>
      <w:r w:rsidR="0094615C">
        <w:rPr>
          <w:rFonts w:asciiTheme="minorHAnsi" w:hAnsiTheme="minorHAnsi"/>
          <w:szCs w:val="24"/>
        </w:rPr>
        <w:tab/>
      </w:r>
      <w:r w:rsidRPr="00B842C4">
        <w:rPr>
          <w:rFonts w:asciiTheme="minorHAnsi" w:hAnsiTheme="minorHAnsi"/>
          <w:szCs w:val="24"/>
        </w:rPr>
        <w:t>Novemb</w:t>
      </w:r>
      <w:r>
        <w:rPr>
          <w:rFonts w:asciiTheme="minorHAnsi" w:hAnsiTheme="minorHAnsi"/>
          <w:szCs w:val="24"/>
        </w:rPr>
        <w:t>re</w:t>
      </w:r>
      <w:r w:rsidRPr="00B842C4">
        <w:rPr>
          <w:rFonts w:asciiTheme="minorHAnsi" w:hAnsiTheme="minorHAnsi"/>
          <w:szCs w:val="24"/>
        </w:rPr>
        <w:t xml:space="preserve"> 2019</w:t>
      </w:r>
    </w:p>
    <w:p w:rsidR="00226F45" w:rsidRDefault="00226F45" w:rsidP="008949DB">
      <w:pPr>
        <w:tabs>
          <w:tab w:val="left" w:pos="7088"/>
        </w:tabs>
        <w:spacing w:after="240"/>
        <w:rPr>
          <w:rFonts w:asciiTheme="minorHAnsi" w:hAnsiTheme="minorHAnsi"/>
          <w:szCs w:val="24"/>
        </w:rPr>
      </w:pPr>
      <w:r>
        <w:rPr>
          <w:rFonts w:asciiTheme="minorHAnsi" w:hAnsiTheme="minorHAnsi"/>
          <w:szCs w:val="24"/>
        </w:rPr>
        <w:t>Dépôt des demandes d'autorisation</w:t>
      </w:r>
      <w:r>
        <w:rPr>
          <w:rFonts w:asciiTheme="minorHAnsi" w:hAnsiTheme="minorHAnsi"/>
          <w:szCs w:val="24"/>
        </w:rPr>
        <w:tab/>
      </w:r>
      <w:r w:rsidRPr="00B842C4">
        <w:rPr>
          <w:rFonts w:asciiTheme="minorHAnsi" w:hAnsiTheme="minorHAnsi"/>
          <w:szCs w:val="24"/>
        </w:rPr>
        <w:t>A</w:t>
      </w:r>
      <w:r>
        <w:rPr>
          <w:rFonts w:asciiTheme="minorHAnsi" w:hAnsiTheme="minorHAnsi"/>
          <w:szCs w:val="24"/>
        </w:rPr>
        <w:t>oût</w:t>
      </w:r>
      <w:r w:rsidRPr="00B842C4">
        <w:rPr>
          <w:rFonts w:asciiTheme="minorHAnsi" w:hAnsiTheme="minorHAnsi"/>
          <w:szCs w:val="24"/>
        </w:rPr>
        <w:t xml:space="preserve"> 2020</w:t>
      </w:r>
      <w:r w:rsidRPr="00B842C4">
        <w:rPr>
          <w:rFonts w:asciiTheme="minorHAnsi" w:hAnsiTheme="minorHAnsi"/>
          <w:szCs w:val="24"/>
        </w:rPr>
        <w:br/>
      </w:r>
      <w:r>
        <w:rPr>
          <w:rFonts w:asciiTheme="minorHAnsi" w:hAnsiTheme="minorHAnsi"/>
          <w:szCs w:val="24"/>
        </w:rPr>
        <w:t>Fin de la procédure d'obtention des autorisations</w:t>
      </w:r>
      <w:r w:rsidRPr="00B842C4">
        <w:rPr>
          <w:rFonts w:asciiTheme="minorHAnsi" w:hAnsiTheme="minorHAnsi"/>
          <w:szCs w:val="24"/>
        </w:rPr>
        <w:tab/>
      </w:r>
      <w:r>
        <w:rPr>
          <w:rFonts w:asciiTheme="minorHAnsi" w:hAnsiTheme="minorHAnsi"/>
          <w:szCs w:val="24"/>
        </w:rPr>
        <w:t>Février</w:t>
      </w:r>
      <w:r w:rsidRPr="00B842C4">
        <w:rPr>
          <w:rFonts w:asciiTheme="minorHAnsi" w:hAnsiTheme="minorHAnsi"/>
          <w:szCs w:val="24"/>
        </w:rPr>
        <w:t xml:space="preserve"> 2021</w:t>
      </w:r>
    </w:p>
    <w:p w:rsidR="00226F45" w:rsidRDefault="00226F45" w:rsidP="008949DB">
      <w:pPr>
        <w:tabs>
          <w:tab w:val="left" w:pos="7088"/>
        </w:tabs>
        <w:spacing w:after="240"/>
        <w:rPr>
          <w:rFonts w:asciiTheme="minorHAnsi" w:hAnsiTheme="minorHAnsi"/>
          <w:szCs w:val="24"/>
        </w:rPr>
      </w:pPr>
      <w:r>
        <w:rPr>
          <w:rFonts w:asciiTheme="minorHAnsi" w:hAnsiTheme="minorHAnsi"/>
          <w:szCs w:val="24"/>
        </w:rPr>
        <w:t>Publication de l'appel à déclaration d'intérêt</w:t>
      </w:r>
      <w:r w:rsidRPr="00B842C4">
        <w:rPr>
          <w:rFonts w:asciiTheme="minorHAnsi" w:hAnsiTheme="minorHAnsi"/>
          <w:szCs w:val="24"/>
        </w:rPr>
        <w:tab/>
      </w:r>
      <w:r>
        <w:rPr>
          <w:rFonts w:asciiTheme="minorHAnsi" w:hAnsiTheme="minorHAnsi"/>
          <w:szCs w:val="24"/>
        </w:rPr>
        <w:t>Janvier</w:t>
      </w:r>
      <w:r w:rsidRPr="00B842C4">
        <w:rPr>
          <w:rFonts w:asciiTheme="minorHAnsi" w:hAnsiTheme="minorHAnsi"/>
          <w:szCs w:val="24"/>
        </w:rPr>
        <w:t xml:space="preserve"> 2021</w:t>
      </w:r>
      <w:r w:rsidRPr="00B842C4">
        <w:rPr>
          <w:rFonts w:asciiTheme="minorHAnsi" w:hAnsiTheme="minorHAnsi"/>
          <w:szCs w:val="24"/>
        </w:rPr>
        <w:br/>
      </w:r>
      <w:r>
        <w:rPr>
          <w:rFonts w:asciiTheme="minorHAnsi" w:hAnsiTheme="minorHAnsi"/>
          <w:szCs w:val="24"/>
        </w:rPr>
        <w:t>Élaboration de la liste restreinte</w:t>
      </w:r>
      <w:r w:rsidRPr="00B842C4">
        <w:rPr>
          <w:rFonts w:asciiTheme="minorHAnsi" w:hAnsiTheme="minorHAnsi"/>
          <w:szCs w:val="24"/>
        </w:rPr>
        <w:tab/>
        <w:t>Ma</w:t>
      </w:r>
      <w:r>
        <w:rPr>
          <w:rFonts w:asciiTheme="minorHAnsi" w:hAnsiTheme="minorHAnsi"/>
          <w:szCs w:val="24"/>
        </w:rPr>
        <w:t>i</w:t>
      </w:r>
      <w:r w:rsidRPr="00B842C4">
        <w:rPr>
          <w:rFonts w:asciiTheme="minorHAnsi" w:hAnsiTheme="minorHAnsi"/>
          <w:szCs w:val="24"/>
        </w:rPr>
        <w:t xml:space="preserve"> 2021</w:t>
      </w:r>
    </w:p>
    <w:p w:rsidR="00226F45" w:rsidRDefault="00226F45" w:rsidP="008949DB">
      <w:pPr>
        <w:tabs>
          <w:tab w:val="left" w:pos="7088"/>
        </w:tabs>
        <w:spacing w:after="240"/>
        <w:rPr>
          <w:rFonts w:asciiTheme="minorHAnsi" w:hAnsiTheme="minorHAnsi"/>
          <w:szCs w:val="24"/>
        </w:rPr>
      </w:pPr>
      <w:r>
        <w:rPr>
          <w:rFonts w:asciiTheme="minorHAnsi" w:hAnsiTheme="minorHAnsi"/>
          <w:szCs w:val="24"/>
        </w:rPr>
        <w:t>Mise à disposition de la seconde tranche du prêt</w:t>
      </w:r>
      <w:r w:rsidRPr="00B842C4">
        <w:rPr>
          <w:rFonts w:asciiTheme="minorHAnsi" w:hAnsiTheme="minorHAnsi"/>
          <w:szCs w:val="24"/>
        </w:rPr>
        <w:tab/>
      </w:r>
      <w:r>
        <w:rPr>
          <w:rFonts w:asciiTheme="minorHAnsi" w:hAnsiTheme="minorHAnsi"/>
          <w:szCs w:val="24"/>
        </w:rPr>
        <w:t xml:space="preserve">Mars </w:t>
      </w:r>
      <w:r w:rsidRPr="00B842C4">
        <w:rPr>
          <w:rFonts w:asciiTheme="minorHAnsi" w:hAnsiTheme="minorHAnsi"/>
          <w:szCs w:val="24"/>
        </w:rPr>
        <w:t>2021</w:t>
      </w:r>
    </w:p>
    <w:p w:rsidR="00226F45" w:rsidRDefault="00226F45" w:rsidP="008949DB">
      <w:pPr>
        <w:tabs>
          <w:tab w:val="left" w:pos="7088"/>
        </w:tabs>
        <w:spacing w:after="240"/>
        <w:rPr>
          <w:rFonts w:asciiTheme="minorHAnsi" w:hAnsiTheme="minorHAnsi"/>
          <w:szCs w:val="24"/>
        </w:rPr>
      </w:pPr>
      <w:r>
        <w:rPr>
          <w:rFonts w:asciiTheme="minorHAnsi" w:hAnsiTheme="minorHAnsi"/>
          <w:szCs w:val="24"/>
        </w:rPr>
        <w:t>Élaboration du dossier définitif détaillé pour l'appel d'offres</w:t>
      </w:r>
      <w:r w:rsidRPr="00B842C4">
        <w:rPr>
          <w:rFonts w:asciiTheme="minorHAnsi" w:hAnsiTheme="minorHAnsi"/>
          <w:szCs w:val="24"/>
        </w:rPr>
        <w:t xml:space="preserve"> </w:t>
      </w:r>
      <w:r w:rsidRPr="00B842C4">
        <w:rPr>
          <w:rFonts w:asciiTheme="minorHAnsi" w:hAnsiTheme="minorHAnsi"/>
          <w:szCs w:val="24"/>
        </w:rPr>
        <w:br/>
      </w:r>
      <w:r>
        <w:rPr>
          <w:rFonts w:asciiTheme="minorHAnsi" w:hAnsiTheme="minorHAnsi"/>
          <w:szCs w:val="24"/>
        </w:rPr>
        <w:t>Publication de l'appel d'offres</w:t>
      </w:r>
      <w:r w:rsidRPr="00B842C4">
        <w:rPr>
          <w:rFonts w:asciiTheme="minorHAnsi" w:hAnsiTheme="minorHAnsi"/>
          <w:szCs w:val="24"/>
        </w:rPr>
        <w:tab/>
        <w:t>Octob</w:t>
      </w:r>
      <w:r>
        <w:rPr>
          <w:rFonts w:asciiTheme="minorHAnsi" w:hAnsiTheme="minorHAnsi"/>
          <w:szCs w:val="24"/>
        </w:rPr>
        <w:t>re</w:t>
      </w:r>
      <w:r w:rsidRPr="00B842C4">
        <w:rPr>
          <w:rFonts w:asciiTheme="minorHAnsi" w:hAnsiTheme="minorHAnsi"/>
          <w:szCs w:val="24"/>
        </w:rPr>
        <w:t xml:space="preserve"> 2021</w:t>
      </w:r>
      <w:r w:rsidRPr="00B842C4">
        <w:rPr>
          <w:rFonts w:asciiTheme="minorHAnsi" w:hAnsiTheme="minorHAnsi"/>
          <w:szCs w:val="24"/>
        </w:rPr>
        <w:br/>
        <w:t xml:space="preserve">Validation </w:t>
      </w:r>
      <w:r>
        <w:rPr>
          <w:rFonts w:asciiTheme="minorHAnsi" w:hAnsiTheme="minorHAnsi"/>
          <w:szCs w:val="24"/>
        </w:rPr>
        <w:t>de la décision</w:t>
      </w:r>
      <w:r w:rsidRPr="00B842C4">
        <w:rPr>
          <w:rFonts w:asciiTheme="minorHAnsi" w:hAnsiTheme="minorHAnsi"/>
          <w:szCs w:val="24"/>
        </w:rPr>
        <w:tab/>
      </w:r>
      <w:r w:rsidRPr="00B842C4">
        <w:rPr>
          <w:rFonts w:asciiTheme="minorHAnsi" w:hAnsiTheme="minorHAnsi"/>
          <w:szCs w:val="24"/>
        </w:rPr>
        <w:tab/>
        <w:t>Ma</w:t>
      </w:r>
      <w:r>
        <w:rPr>
          <w:rFonts w:asciiTheme="minorHAnsi" w:hAnsiTheme="minorHAnsi"/>
          <w:szCs w:val="24"/>
        </w:rPr>
        <w:t>i</w:t>
      </w:r>
      <w:r w:rsidRPr="00B842C4">
        <w:rPr>
          <w:rFonts w:asciiTheme="minorHAnsi" w:hAnsiTheme="minorHAnsi"/>
          <w:szCs w:val="24"/>
        </w:rPr>
        <w:t xml:space="preserve"> 2022</w:t>
      </w:r>
      <w:r>
        <w:rPr>
          <w:rFonts w:asciiTheme="minorHAnsi" w:hAnsiTheme="minorHAnsi"/>
          <w:szCs w:val="24"/>
        </w:rPr>
        <w:br/>
        <w:t>Conclusion du contrat avec l'entreprise générale</w:t>
      </w:r>
      <w:r w:rsidRPr="00B842C4">
        <w:rPr>
          <w:rFonts w:asciiTheme="minorHAnsi" w:hAnsiTheme="minorHAnsi"/>
          <w:szCs w:val="24"/>
        </w:rPr>
        <w:tab/>
        <w:t>Ju</w:t>
      </w:r>
      <w:r>
        <w:rPr>
          <w:rFonts w:asciiTheme="minorHAnsi" w:hAnsiTheme="minorHAnsi"/>
          <w:szCs w:val="24"/>
        </w:rPr>
        <w:t>in</w:t>
      </w:r>
      <w:r w:rsidRPr="00B842C4">
        <w:rPr>
          <w:rFonts w:asciiTheme="minorHAnsi" w:hAnsiTheme="minorHAnsi"/>
          <w:szCs w:val="24"/>
        </w:rPr>
        <w:t xml:space="preserve"> 2022</w:t>
      </w:r>
    </w:p>
    <w:p w:rsidR="00C71A9F" w:rsidRDefault="00226F45" w:rsidP="0094615C">
      <w:pPr>
        <w:tabs>
          <w:tab w:val="clear" w:pos="567"/>
          <w:tab w:val="clear" w:pos="1134"/>
          <w:tab w:val="clear" w:pos="1701"/>
          <w:tab w:val="clear" w:pos="2268"/>
          <w:tab w:val="clear" w:pos="2835"/>
          <w:tab w:val="left" w:pos="7088"/>
        </w:tabs>
        <w:spacing w:after="240"/>
        <w:rPr>
          <w:rFonts w:asciiTheme="minorHAnsi" w:hAnsiTheme="minorHAnsi"/>
          <w:szCs w:val="24"/>
        </w:rPr>
      </w:pPr>
      <w:r>
        <w:rPr>
          <w:rFonts w:asciiTheme="minorHAnsi" w:hAnsiTheme="minorHAnsi"/>
          <w:szCs w:val="24"/>
        </w:rPr>
        <w:t>Début des travaux</w:t>
      </w:r>
      <w:r w:rsidRPr="00B842C4">
        <w:rPr>
          <w:rFonts w:asciiTheme="minorHAnsi" w:hAnsiTheme="minorHAnsi"/>
          <w:szCs w:val="24"/>
        </w:rPr>
        <w:tab/>
      </w:r>
      <w:r>
        <w:rPr>
          <w:rFonts w:asciiTheme="minorHAnsi" w:hAnsiTheme="minorHAnsi"/>
          <w:szCs w:val="24"/>
        </w:rPr>
        <w:t>Juillet</w:t>
      </w:r>
      <w:r w:rsidRPr="00B842C4">
        <w:rPr>
          <w:rFonts w:asciiTheme="minorHAnsi" w:hAnsiTheme="minorHAnsi"/>
          <w:szCs w:val="24"/>
        </w:rPr>
        <w:t xml:space="preserve"> 2022</w:t>
      </w:r>
      <w:r w:rsidRPr="00B842C4">
        <w:rPr>
          <w:rFonts w:asciiTheme="minorHAnsi" w:hAnsiTheme="minorHAnsi"/>
          <w:szCs w:val="24"/>
        </w:rPr>
        <w:br/>
      </w:r>
      <w:r>
        <w:rPr>
          <w:rFonts w:asciiTheme="minorHAnsi" w:hAnsiTheme="minorHAnsi"/>
          <w:szCs w:val="24"/>
        </w:rPr>
        <w:t>Début de la démolition du bâtiment Varembé</w:t>
      </w:r>
      <w:r w:rsidRPr="00B842C4">
        <w:rPr>
          <w:rFonts w:asciiTheme="minorHAnsi" w:hAnsiTheme="minorHAnsi"/>
          <w:szCs w:val="24"/>
        </w:rPr>
        <w:tab/>
        <w:t>Novemb</w:t>
      </w:r>
      <w:r>
        <w:rPr>
          <w:rFonts w:asciiTheme="minorHAnsi" w:hAnsiTheme="minorHAnsi"/>
          <w:szCs w:val="24"/>
        </w:rPr>
        <w:t>re</w:t>
      </w:r>
      <w:r w:rsidRPr="00B842C4">
        <w:rPr>
          <w:rFonts w:asciiTheme="minorHAnsi" w:hAnsiTheme="minorHAnsi"/>
          <w:szCs w:val="24"/>
        </w:rPr>
        <w:t xml:space="preserve"> 2022</w:t>
      </w:r>
      <w:r w:rsidRPr="00B842C4">
        <w:rPr>
          <w:rFonts w:asciiTheme="minorHAnsi" w:hAnsiTheme="minorHAnsi"/>
          <w:szCs w:val="24"/>
        </w:rPr>
        <w:br/>
      </w:r>
      <w:r>
        <w:rPr>
          <w:rFonts w:asciiTheme="minorHAnsi" w:hAnsiTheme="minorHAnsi"/>
          <w:szCs w:val="24"/>
        </w:rPr>
        <w:t xml:space="preserve">Fin du gros </w:t>
      </w:r>
      <w:r w:rsidR="004F130B">
        <w:rPr>
          <w:rFonts w:asciiTheme="minorHAnsi" w:hAnsiTheme="minorHAnsi"/>
          <w:szCs w:val="24"/>
        </w:rPr>
        <w:t>œuvre</w:t>
      </w:r>
      <w:r w:rsidR="0094615C">
        <w:rPr>
          <w:rFonts w:asciiTheme="minorHAnsi" w:hAnsiTheme="minorHAnsi"/>
          <w:szCs w:val="24"/>
        </w:rPr>
        <w:tab/>
      </w:r>
      <w:r w:rsidRPr="00B842C4">
        <w:rPr>
          <w:rFonts w:asciiTheme="minorHAnsi" w:hAnsiTheme="minorHAnsi"/>
          <w:szCs w:val="24"/>
        </w:rPr>
        <w:t>Septemb</w:t>
      </w:r>
      <w:r>
        <w:rPr>
          <w:rFonts w:asciiTheme="minorHAnsi" w:hAnsiTheme="minorHAnsi"/>
          <w:szCs w:val="24"/>
        </w:rPr>
        <w:t>re</w:t>
      </w:r>
      <w:r w:rsidRPr="00B842C4">
        <w:rPr>
          <w:rFonts w:asciiTheme="minorHAnsi" w:hAnsiTheme="minorHAnsi"/>
          <w:szCs w:val="24"/>
        </w:rPr>
        <w:t xml:space="preserve"> 2024</w:t>
      </w:r>
      <w:r w:rsidRPr="00B842C4">
        <w:rPr>
          <w:rFonts w:asciiTheme="minorHAnsi" w:hAnsiTheme="minorHAnsi"/>
          <w:szCs w:val="24"/>
        </w:rPr>
        <w:br/>
        <w:t>R</w:t>
      </w:r>
      <w:r>
        <w:rPr>
          <w:rFonts w:asciiTheme="minorHAnsi" w:hAnsiTheme="minorHAnsi"/>
          <w:szCs w:val="24"/>
        </w:rPr>
        <w:t>é</w:t>
      </w:r>
      <w:r w:rsidRPr="00B842C4">
        <w:rPr>
          <w:rFonts w:asciiTheme="minorHAnsi" w:hAnsiTheme="minorHAnsi"/>
          <w:szCs w:val="24"/>
        </w:rPr>
        <w:t xml:space="preserve">ception </w:t>
      </w:r>
      <w:r>
        <w:rPr>
          <w:rFonts w:asciiTheme="minorHAnsi" w:hAnsiTheme="minorHAnsi"/>
          <w:szCs w:val="24"/>
        </w:rPr>
        <w:t>du bâtiment</w:t>
      </w:r>
      <w:r>
        <w:rPr>
          <w:rFonts w:asciiTheme="minorHAnsi" w:hAnsiTheme="minorHAnsi"/>
          <w:szCs w:val="24"/>
        </w:rPr>
        <w:tab/>
        <w:t>Juin</w:t>
      </w:r>
      <w:r w:rsidRPr="00B842C4">
        <w:rPr>
          <w:rFonts w:asciiTheme="minorHAnsi" w:hAnsiTheme="minorHAnsi"/>
          <w:szCs w:val="24"/>
        </w:rPr>
        <w:t xml:space="preserve"> 2026</w:t>
      </w:r>
    </w:p>
    <w:p w:rsidR="00226F45" w:rsidRPr="00226F45" w:rsidRDefault="00226F45" w:rsidP="0094615C">
      <w:pPr>
        <w:spacing w:before="840"/>
        <w:jc w:val="center"/>
      </w:pPr>
      <w:r>
        <w:t>______________</w:t>
      </w:r>
    </w:p>
    <w:sectPr w:rsidR="00226F45" w:rsidRPr="00226F45" w:rsidSect="005C3890">
      <w:headerReference w:type="even" r:id="rId15"/>
      <w:headerReference w:type="default" r:id="rId16"/>
      <w:footerReference w:type="even" r:id="rId17"/>
      <w:footerReference w:type="default" r:id="rId18"/>
      <w:footerReference w:type="first" r:id="rId19"/>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3F1" w:rsidRDefault="00B823F1">
      <w:r>
        <w:separator/>
      </w:r>
    </w:p>
  </w:endnote>
  <w:endnote w:type="continuationSeparator" w:id="0">
    <w:p w:rsidR="00B823F1" w:rsidRDefault="00B8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B823F1">
    <w:pPr>
      <w:pStyle w:val="Footer"/>
    </w:pPr>
    <w:r>
      <w:fldChar w:fldCharType="begin"/>
    </w:r>
    <w:r>
      <w:instrText xml:space="preserve"> FILENAME \p \* MERGEFORMAT </w:instrText>
    </w:r>
    <w:r>
      <w:fldChar w:fldCharType="separate"/>
    </w:r>
    <w:r w:rsidR="002E1A64">
      <w:t>P:\FRA\SG\CONSEIL\C19\000\007F.docx</w:t>
    </w:r>
    <w:r>
      <w:fldChar w:fldCharType="end"/>
    </w:r>
    <w:r w:rsidR="00732045">
      <w:tab/>
    </w:r>
    <w:r w:rsidR="002F1B76">
      <w:fldChar w:fldCharType="begin"/>
    </w:r>
    <w:r w:rsidR="00732045">
      <w:instrText xml:space="preserve"> savedate \@ dd.MM.yy </w:instrText>
    </w:r>
    <w:r w:rsidR="002F1B76">
      <w:fldChar w:fldCharType="separate"/>
    </w:r>
    <w:r w:rsidR="009C1C4E">
      <w:t>09.05.19</w:t>
    </w:r>
    <w:r w:rsidR="002F1B76">
      <w:fldChar w:fldCharType="end"/>
    </w:r>
    <w:r w:rsidR="00732045">
      <w:tab/>
    </w:r>
    <w:r w:rsidR="002F1B76">
      <w:fldChar w:fldCharType="begin"/>
    </w:r>
    <w:r w:rsidR="00732045">
      <w:instrText xml:space="preserve"> printdate \@ dd.MM.yy </w:instrText>
    </w:r>
    <w:r w:rsidR="002F1B76">
      <w:fldChar w:fldCharType="separate"/>
    </w:r>
    <w:r w:rsidR="002E1A64">
      <w:t>08.05.19</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EED" w:rsidRDefault="00B823F1" w:rsidP="00594EED">
    <w:pPr>
      <w:pStyle w:val="Footer"/>
    </w:pPr>
    <w:r>
      <w:fldChar w:fldCharType="begin"/>
    </w:r>
    <w:r>
      <w:instrText xml:space="preserve"> FILENAME \p  \* MERGEFORMAT </w:instrText>
    </w:r>
    <w:r>
      <w:fldChar w:fldCharType="separate"/>
    </w:r>
    <w:r w:rsidR="002E1A64">
      <w:t>P:\FRA\SG\CONSEIL\C19\000\007F.docx</w:t>
    </w:r>
    <w:r>
      <w:fldChar w:fldCharType="end"/>
    </w:r>
    <w:r w:rsidR="00594EED">
      <w:t xml:space="preserve"> (450216)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3F1" w:rsidRDefault="00B823F1">
      <w:r>
        <w:t>____________________</w:t>
      </w:r>
    </w:p>
  </w:footnote>
  <w:footnote w:type="continuationSeparator" w:id="0">
    <w:p w:rsidR="00B823F1" w:rsidRDefault="00B823F1">
      <w:r>
        <w:continuationSeparator/>
      </w:r>
    </w:p>
  </w:footnote>
  <w:footnote w:id="1">
    <w:p w:rsidR="001A69F1" w:rsidRPr="001A69F1" w:rsidRDefault="001A69F1">
      <w:pPr>
        <w:pStyle w:val="FootnoteText"/>
        <w:rPr>
          <w:lang w:val="fr-CH"/>
        </w:rPr>
      </w:pPr>
      <w:r>
        <w:rPr>
          <w:rStyle w:val="FootnoteReference"/>
        </w:rPr>
        <w:footnoteRef/>
      </w:r>
      <w:r>
        <w:t xml:space="preserve"> </w:t>
      </w:r>
      <w:r>
        <w:rPr>
          <w:lang w:val="fr-CH"/>
        </w:rPr>
        <w:tab/>
      </w:r>
      <w:r>
        <w:rPr>
          <w:rFonts w:asciiTheme="minorHAnsi" w:hAnsiTheme="minorHAnsi" w:cstheme="minorHAnsi"/>
          <w:sz w:val="22"/>
          <w:szCs w:val="22"/>
        </w:rPr>
        <w:t>Sous réserve de l'approbation du Conseil à sa session de</w:t>
      </w:r>
      <w:r w:rsidRPr="002C44E3">
        <w:rPr>
          <w:rFonts w:asciiTheme="minorHAnsi" w:hAnsiTheme="minorHAnsi" w:cstheme="minorHAnsi"/>
          <w:sz w:val="22"/>
          <w:szCs w:val="22"/>
        </w:rPr>
        <w:t xml:space="preserve"> 2019</w:t>
      </w:r>
      <w:r>
        <w:rPr>
          <w:rFonts w:asciiTheme="minorHAnsi" w:hAnsiTheme="minorHAnsi" w:cstheme="minorHAns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94615C">
      <w:rPr>
        <w:noProof/>
      </w:rPr>
      <w:t>2</w:t>
    </w:r>
    <w:r>
      <w:rPr>
        <w:noProof/>
      </w:rPr>
      <w:fldChar w:fldCharType="end"/>
    </w:r>
  </w:p>
  <w:p w:rsidR="00732045" w:rsidRDefault="00732045" w:rsidP="00106B19">
    <w:pPr>
      <w:pStyle w:val="Header"/>
    </w:pPr>
    <w:r>
      <w:t>C1</w:t>
    </w:r>
    <w:r w:rsidR="00106B19">
      <w:t>9</w:t>
    </w:r>
    <w:r w:rsidR="00C02432">
      <w:t>/7</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D3B9E"/>
    <w:multiLevelType w:val="hybridMultilevel"/>
    <w:tmpl w:val="AD146C04"/>
    <w:lvl w:ilvl="0" w:tplc="8FD8B642">
      <w:start w:val="6"/>
      <w:numFmt w:val="bullet"/>
      <w:lvlText w:val="-"/>
      <w:lvlJc w:val="left"/>
      <w:pPr>
        <w:ind w:left="770" w:hanging="360"/>
      </w:pPr>
      <w:rPr>
        <w:rFonts w:ascii="Calibri" w:eastAsiaTheme="minorHAnsi" w:hAnsi="Calibri" w:cs="Calibri" w:hint="default"/>
      </w:rPr>
    </w:lvl>
    <w:lvl w:ilvl="1" w:tplc="100C0003" w:tentative="1">
      <w:start w:val="1"/>
      <w:numFmt w:val="bullet"/>
      <w:lvlText w:val="o"/>
      <w:lvlJc w:val="left"/>
      <w:pPr>
        <w:ind w:left="1490" w:hanging="360"/>
      </w:pPr>
      <w:rPr>
        <w:rFonts w:ascii="Courier New" w:hAnsi="Courier New" w:cs="Courier New" w:hint="default"/>
      </w:rPr>
    </w:lvl>
    <w:lvl w:ilvl="2" w:tplc="100C0005" w:tentative="1">
      <w:start w:val="1"/>
      <w:numFmt w:val="bullet"/>
      <w:lvlText w:val=""/>
      <w:lvlJc w:val="left"/>
      <w:pPr>
        <w:ind w:left="2210" w:hanging="360"/>
      </w:pPr>
      <w:rPr>
        <w:rFonts w:ascii="Wingdings" w:hAnsi="Wingdings" w:hint="default"/>
      </w:rPr>
    </w:lvl>
    <w:lvl w:ilvl="3" w:tplc="100C0001" w:tentative="1">
      <w:start w:val="1"/>
      <w:numFmt w:val="bullet"/>
      <w:lvlText w:val=""/>
      <w:lvlJc w:val="left"/>
      <w:pPr>
        <w:ind w:left="2930" w:hanging="360"/>
      </w:pPr>
      <w:rPr>
        <w:rFonts w:ascii="Symbol" w:hAnsi="Symbol" w:hint="default"/>
      </w:rPr>
    </w:lvl>
    <w:lvl w:ilvl="4" w:tplc="100C0003" w:tentative="1">
      <w:start w:val="1"/>
      <w:numFmt w:val="bullet"/>
      <w:lvlText w:val="o"/>
      <w:lvlJc w:val="left"/>
      <w:pPr>
        <w:ind w:left="3650" w:hanging="360"/>
      </w:pPr>
      <w:rPr>
        <w:rFonts w:ascii="Courier New" w:hAnsi="Courier New" w:cs="Courier New" w:hint="default"/>
      </w:rPr>
    </w:lvl>
    <w:lvl w:ilvl="5" w:tplc="100C0005" w:tentative="1">
      <w:start w:val="1"/>
      <w:numFmt w:val="bullet"/>
      <w:lvlText w:val=""/>
      <w:lvlJc w:val="left"/>
      <w:pPr>
        <w:ind w:left="4370" w:hanging="360"/>
      </w:pPr>
      <w:rPr>
        <w:rFonts w:ascii="Wingdings" w:hAnsi="Wingdings" w:hint="default"/>
      </w:rPr>
    </w:lvl>
    <w:lvl w:ilvl="6" w:tplc="100C0001" w:tentative="1">
      <w:start w:val="1"/>
      <w:numFmt w:val="bullet"/>
      <w:lvlText w:val=""/>
      <w:lvlJc w:val="left"/>
      <w:pPr>
        <w:ind w:left="5090" w:hanging="360"/>
      </w:pPr>
      <w:rPr>
        <w:rFonts w:ascii="Symbol" w:hAnsi="Symbol" w:hint="default"/>
      </w:rPr>
    </w:lvl>
    <w:lvl w:ilvl="7" w:tplc="100C0003" w:tentative="1">
      <w:start w:val="1"/>
      <w:numFmt w:val="bullet"/>
      <w:lvlText w:val="o"/>
      <w:lvlJc w:val="left"/>
      <w:pPr>
        <w:ind w:left="5810" w:hanging="360"/>
      </w:pPr>
      <w:rPr>
        <w:rFonts w:ascii="Courier New" w:hAnsi="Courier New" w:cs="Courier New" w:hint="default"/>
      </w:rPr>
    </w:lvl>
    <w:lvl w:ilvl="8" w:tplc="100C0005" w:tentative="1">
      <w:start w:val="1"/>
      <w:numFmt w:val="bullet"/>
      <w:lvlText w:val=""/>
      <w:lvlJc w:val="left"/>
      <w:pPr>
        <w:ind w:left="6530" w:hanging="360"/>
      </w:pPr>
      <w:rPr>
        <w:rFonts w:ascii="Wingdings" w:hAnsi="Wingdings" w:hint="default"/>
      </w:rPr>
    </w:lvl>
  </w:abstractNum>
  <w:abstractNum w:abstractNumId="1" w15:restartNumberingAfterBreak="0">
    <w:nsid w:val="3B0911C8"/>
    <w:multiLevelType w:val="hybridMultilevel"/>
    <w:tmpl w:val="C010B922"/>
    <w:lvl w:ilvl="0" w:tplc="8FD8B642">
      <w:start w:val="6"/>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5D5305E2"/>
    <w:multiLevelType w:val="hybridMultilevel"/>
    <w:tmpl w:val="B4DE423C"/>
    <w:lvl w:ilvl="0" w:tplc="8FD8B642">
      <w:start w:val="6"/>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611108B0"/>
    <w:multiLevelType w:val="hybridMultilevel"/>
    <w:tmpl w:val="17C8C99A"/>
    <w:lvl w:ilvl="0" w:tplc="8FD8B642">
      <w:start w:val="6"/>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613044C7"/>
    <w:multiLevelType w:val="hybridMultilevel"/>
    <w:tmpl w:val="E4C641C8"/>
    <w:lvl w:ilvl="0" w:tplc="75C43A96">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537706"/>
    <w:multiLevelType w:val="hybridMultilevel"/>
    <w:tmpl w:val="D2208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4E5"/>
    <w:rsid w:val="00030256"/>
    <w:rsid w:val="00084B74"/>
    <w:rsid w:val="000D0D0A"/>
    <w:rsid w:val="000D411A"/>
    <w:rsid w:val="00103163"/>
    <w:rsid w:val="00106B19"/>
    <w:rsid w:val="00115D93"/>
    <w:rsid w:val="001247A8"/>
    <w:rsid w:val="001378C0"/>
    <w:rsid w:val="00167252"/>
    <w:rsid w:val="00170356"/>
    <w:rsid w:val="0018694A"/>
    <w:rsid w:val="001A3287"/>
    <w:rsid w:val="001A6508"/>
    <w:rsid w:val="001A69F1"/>
    <w:rsid w:val="001D4C31"/>
    <w:rsid w:val="001E4D21"/>
    <w:rsid w:val="00207CD1"/>
    <w:rsid w:val="00226F45"/>
    <w:rsid w:val="002477A2"/>
    <w:rsid w:val="00256D29"/>
    <w:rsid w:val="00263A51"/>
    <w:rsid w:val="00267E02"/>
    <w:rsid w:val="002A5D44"/>
    <w:rsid w:val="002C3DD7"/>
    <w:rsid w:val="002D70B3"/>
    <w:rsid w:val="002E0BC4"/>
    <w:rsid w:val="002E1A64"/>
    <w:rsid w:val="002F1B76"/>
    <w:rsid w:val="003145AB"/>
    <w:rsid w:val="0033568E"/>
    <w:rsid w:val="003471BB"/>
    <w:rsid w:val="00355FF5"/>
    <w:rsid w:val="00361350"/>
    <w:rsid w:val="003B384C"/>
    <w:rsid w:val="003C3FAE"/>
    <w:rsid w:val="004038CB"/>
    <w:rsid w:val="0040546F"/>
    <w:rsid w:val="0042404A"/>
    <w:rsid w:val="00437F0C"/>
    <w:rsid w:val="0044618F"/>
    <w:rsid w:val="004560FB"/>
    <w:rsid w:val="0046769A"/>
    <w:rsid w:val="00475FB3"/>
    <w:rsid w:val="00487895"/>
    <w:rsid w:val="004C37A9"/>
    <w:rsid w:val="004D1490"/>
    <w:rsid w:val="004F130B"/>
    <w:rsid w:val="004F259E"/>
    <w:rsid w:val="004F2619"/>
    <w:rsid w:val="005108F6"/>
    <w:rsid w:val="00511F1D"/>
    <w:rsid w:val="00520F36"/>
    <w:rsid w:val="00540615"/>
    <w:rsid w:val="00540A6D"/>
    <w:rsid w:val="00571EEA"/>
    <w:rsid w:val="00574E51"/>
    <w:rsid w:val="00575417"/>
    <w:rsid w:val="005768E1"/>
    <w:rsid w:val="00594EED"/>
    <w:rsid w:val="005B1938"/>
    <w:rsid w:val="005B572A"/>
    <w:rsid w:val="005C2005"/>
    <w:rsid w:val="005C3890"/>
    <w:rsid w:val="005F7BFE"/>
    <w:rsid w:val="00600017"/>
    <w:rsid w:val="006235CA"/>
    <w:rsid w:val="006612B3"/>
    <w:rsid w:val="006643AB"/>
    <w:rsid w:val="006671B7"/>
    <w:rsid w:val="006E7BC9"/>
    <w:rsid w:val="007210CD"/>
    <w:rsid w:val="00726531"/>
    <w:rsid w:val="00732045"/>
    <w:rsid w:val="007369DB"/>
    <w:rsid w:val="007956C2"/>
    <w:rsid w:val="007A187E"/>
    <w:rsid w:val="007B51B2"/>
    <w:rsid w:val="007C72C2"/>
    <w:rsid w:val="007D4436"/>
    <w:rsid w:val="007F18A3"/>
    <w:rsid w:val="007F257A"/>
    <w:rsid w:val="007F27FB"/>
    <w:rsid w:val="007F3665"/>
    <w:rsid w:val="007F6173"/>
    <w:rsid w:val="00800037"/>
    <w:rsid w:val="0082273B"/>
    <w:rsid w:val="00861D73"/>
    <w:rsid w:val="008949DB"/>
    <w:rsid w:val="008A4E87"/>
    <w:rsid w:val="008D76E6"/>
    <w:rsid w:val="008F496F"/>
    <w:rsid w:val="0092392D"/>
    <w:rsid w:val="0093234A"/>
    <w:rsid w:val="0094615C"/>
    <w:rsid w:val="0094707A"/>
    <w:rsid w:val="00987239"/>
    <w:rsid w:val="009C1C4E"/>
    <w:rsid w:val="009C307F"/>
    <w:rsid w:val="009E538F"/>
    <w:rsid w:val="009F6E50"/>
    <w:rsid w:val="00A10FE4"/>
    <w:rsid w:val="00A2113E"/>
    <w:rsid w:val="00A23A51"/>
    <w:rsid w:val="00A24607"/>
    <w:rsid w:val="00A25CD3"/>
    <w:rsid w:val="00A2764C"/>
    <w:rsid w:val="00A56EDB"/>
    <w:rsid w:val="00A82767"/>
    <w:rsid w:val="00AA332F"/>
    <w:rsid w:val="00AA7BBB"/>
    <w:rsid w:val="00AB54DE"/>
    <w:rsid w:val="00AB64A8"/>
    <w:rsid w:val="00AC0266"/>
    <w:rsid w:val="00AD24EC"/>
    <w:rsid w:val="00AE505A"/>
    <w:rsid w:val="00AE5E1C"/>
    <w:rsid w:val="00B309F9"/>
    <w:rsid w:val="00B32B60"/>
    <w:rsid w:val="00B61619"/>
    <w:rsid w:val="00B823F1"/>
    <w:rsid w:val="00BB4545"/>
    <w:rsid w:val="00BC0324"/>
    <w:rsid w:val="00BD16EB"/>
    <w:rsid w:val="00BD5873"/>
    <w:rsid w:val="00C02432"/>
    <w:rsid w:val="00C04BE3"/>
    <w:rsid w:val="00C1640C"/>
    <w:rsid w:val="00C25D29"/>
    <w:rsid w:val="00C27A7C"/>
    <w:rsid w:val="00C463ED"/>
    <w:rsid w:val="00C65704"/>
    <w:rsid w:val="00C71A9F"/>
    <w:rsid w:val="00CA08ED"/>
    <w:rsid w:val="00CE22A4"/>
    <w:rsid w:val="00CF183B"/>
    <w:rsid w:val="00D31EFE"/>
    <w:rsid w:val="00D375CD"/>
    <w:rsid w:val="00D440A1"/>
    <w:rsid w:val="00D553A2"/>
    <w:rsid w:val="00D774D3"/>
    <w:rsid w:val="00D904E8"/>
    <w:rsid w:val="00DA08C3"/>
    <w:rsid w:val="00DB5A3E"/>
    <w:rsid w:val="00DC22AA"/>
    <w:rsid w:val="00DF74DD"/>
    <w:rsid w:val="00E04A4B"/>
    <w:rsid w:val="00E25AD0"/>
    <w:rsid w:val="00E6457C"/>
    <w:rsid w:val="00EB3414"/>
    <w:rsid w:val="00EB6350"/>
    <w:rsid w:val="00F034E5"/>
    <w:rsid w:val="00F15B57"/>
    <w:rsid w:val="00F26F7C"/>
    <w:rsid w:val="00F427DB"/>
    <w:rsid w:val="00F45B6E"/>
    <w:rsid w:val="00F6425E"/>
    <w:rsid w:val="00F8096A"/>
    <w:rsid w:val="00FA5EB1"/>
    <w:rsid w:val="00FA7439"/>
    <w:rsid w:val="00FB016D"/>
    <w:rsid w:val="00FB61AD"/>
    <w:rsid w:val="00FC4EC0"/>
    <w:rsid w:val="00FE7787"/>
    <w:rsid w:val="00FF0181"/>
    <w:rsid w:val="00FF29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558518-6DA0-4BB1-92B7-107529E4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uiPriority w:val="34"/>
    <w:qFormat/>
    <w:rsid w:val="00C02432"/>
    <w:pPr>
      <w:ind w:left="720"/>
      <w:contextualSpacing/>
    </w:pPr>
  </w:style>
  <w:style w:type="table" w:styleId="TableGrid">
    <w:name w:val="Table Grid"/>
    <w:basedOn w:val="TableNormal"/>
    <w:uiPriority w:val="39"/>
    <w:rsid w:val="00C71A9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locked/>
    <w:rsid w:val="00C71A9F"/>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16-CL-C-0124/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0123/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council/Documents/basic-texts/RES-212-F.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md/S16-CL-C-0124/en" TargetMode="External"/><Relationship Id="rId14" Type="http://schemas.openxmlformats.org/officeDocument/2006/relationships/package" Target="embeddings/Microsoft_PowerPoint_Slide1.sldx"/></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y\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1E74B-EF8A-4988-9168-B17A8A419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PF_C19.dotx</Template>
  <TotalTime>8</TotalTime>
  <Pages>9</Pages>
  <Words>2410</Words>
  <Characters>13739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16117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l'avancement du projet de locaux du siège de l'Union</dc:title>
  <dc:subject>Conseil 2019</dc:subject>
  <dc:creator>Lamy, Sylvie</dc:creator>
  <cp:keywords>C2019, C19</cp:keywords>
  <dc:description/>
  <cp:lastModifiedBy>Brouard, Ricarda</cp:lastModifiedBy>
  <cp:revision>3</cp:revision>
  <cp:lastPrinted>2019-05-08T10:12:00Z</cp:lastPrinted>
  <dcterms:created xsi:type="dcterms:W3CDTF">2019-05-09T08:08:00Z</dcterms:created>
  <dcterms:modified xsi:type="dcterms:W3CDTF">2019-05-09T08:15:00Z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