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5747B">
        <w:trPr>
          <w:cantSplit/>
        </w:trPr>
        <w:tc>
          <w:tcPr>
            <w:tcW w:w="6911" w:type="dxa"/>
          </w:tcPr>
          <w:p w:rsidR="00BC7BC0" w:rsidRPr="0055747B" w:rsidRDefault="000569B4" w:rsidP="0062201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5747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5747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55747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55747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5747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5747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55747B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55747B">
              <w:rPr>
                <w:b/>
                <w:bCs/>
                <w:lang w:val="ru-RU"/>
              </w:rPr>
              <w:t xml:space="preserve"> </w:t>
            </w:r>
            <w:r w:rsidR="00225368" w:rsidRPr="0055747B">
              <w:rPr>
                <w:b/>
                <w:bCs/>
                <w:lang w:val="ru-RU"/>
              </w:rPr>
              <w:t>201</w:t>
            </w:r>
            <w:r w:rsidR="005B3DEC" w:rsidRPr="0055747B">
              <w:rPr>
                <w:b/>
                <w:bCs/>
                <w:lang w:val="ru-RU"/>
              </w:rPr>
              <w:t>9</w:t>
            </w:r>
            <w:r w:rsidR="00225368" w:rsidRPr="0055747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5747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5747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5747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5747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5747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5747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5747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5747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5747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5747B" w:rsidRDefault="00BC7BC0" w:rsidP="0062201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5747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5747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2201E" w:rsidRPr="0055747B">
              <w:rPr>
                <w:b/>
                <w:bCs/>
                <w:caps/>
                <w:color w:val="000000"/>
                <w:szCs w:val="22"/>
                <w:lang w:val="ru-RU"/>
              </w:rPr>
              <w:t>ADM 18</w:t>
            </w:r>
          </w:p>
        </w:tc>
        <w:tc>
          <w:tcPr>
            <w:tcW w:w="3120" w:type="dxa"/>
          </w:tcPr>
          <w:p w:rsidR="00BC7BC0" w:rsidRPr="0055747B" w:rsidRDefault="00BC7BC0" w:rsidP="006220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5747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5747B">
              <w:rPr>
                <w:b/>
                <w:bCs/>
                <w:szCs w:val="22"/>
                <w:lang w:val="ru-RU"/>
              </w:rPr>
              <w:t>1</w:t>
            </w:r>
            <w:r w:rsidR="005B3DEC" w:rsidRPr="0055747B">
              <w:rPr>
                <w:b/>
                <w:bCs/>
                <w:szCs w:val="22"/>
                <w:lang w:val="ru-RU"/>
              </w:rPr>
              <w:t>9</w:t>
            </w:r>
            <w:r w:rsidRPr="0055747B">
              <w:rPr>
                <w:b/>
                <w:bCs/>
                <w:szCs w:val="22"/>
                <w:lang w:val="ru-RU"/>
              </w:rPr>
              <w:t>/</w:t>
            </w:r>
            <w:r w:rsidR="0062201E" w:rsidRPr="0055747B">
              <w:rPr>
                <w:b/>
                <w:bCs/>
                <w:szCs w:val="22"/>
                <w:lang w:val="ru-RU"/>
              </w:rPr>
              <w:t>7</w:t>
            </w:r>
            <w:r w:rsidRPr="0055747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5747B">
        <w:trPr>
          <w:cantSplit/>
          <w:trHeight w:val="23"/>
        </w:trPr>
        <w:tc>
          <w:tcPr>
            <w:tcW w:w="6911" w:type="dxa"/>
            <w:vMerge/>
          </w:tcPr>
          <w:p w:rsidR="00BC7BC0" w:rsidRPr="0055747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5747B" w:rsidRDefault="0062201E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5747B">
              <w:rPr>
                <w:b/>
                <w:bCs/>
                <w:szCs w:val="22"/>
                <w:lang w:val="ru-RU"/>
              </w:rPr>
              <w:t>18 апреля</w:t>
            </w:r>
            <w:r w:rsidR="00EB4FCB" w:rsidRPr="0055747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5747B">
              <w:rPr>
                <w:b/>
                <w:bCs/>
                <w:szCs w:val="22"/>
                <w:lang w:val="ru-RU"/>
              </w:rPr>
              <w:t>20</w:t>
            </w:r>
            <w:r w:rsidR="003F099E" w:rsidRPr="0055747B">
              <w:rPr>
                <w:b/>
                <w:bCs/>
                <w:szCs w:val="22"/>
                <w:lang w:val="ru-RU"/>
              </w:rPr>
              <w:t>1</w:t>
            </w:r>
            <w:r w:rsidR="005B3DEC" w:rsidRPr="0055747B">
              <w:rPr>
                <w:b/>
                <w:bCs/>
                <w:szCs w:val="22"/>
                <w:lang w:val="ru-RU"/>
              </w:rPr>
              <w:t>9</w:t>
            </w:r>
            <w:r w:rsidR="00BC7BC0" w:rsidRPr="0055747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5747B">
        <w:trPr>
          <w:cantSplit/>
          <w:trHeight w:val="23"/>
        </w:trPr>
        <w:tc>
          <w:tcPr>
            <w:tcW w:w="6911" w:type="dxa"/>
            <w:vMerge/>
          </w:tcPr>
          <w:p w:rsidR="00BC7BC0" w:rsidRPr="0055747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5747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5747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5747B">
        <w:trPr>
          <w:cantSplit/>
        </w:trPr>
        <w:tc>
          <w:tcPr>
            <w:tcW w:w="10031" w:type="dxa"/>
            <w:gridSpan w:val="2"/>
          </w:tcPr>
          <w:p w:rsidR="00BC7BC0" w:rsidRPr="0055747B" w:rsidRDefault="0062201E" w:rsidP="0062201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5747B">
              <w:rPr>
                <w:lang w:val="ru-RU"/>
              </w:rPr>
              <w:t>Отчет</w:t>
            </w:r>
            <w:r w:rsidR="00BC7BC0" w:rsidRPr="0055747B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852A0C">
        <w:trPr>
          <w:cantSplit/>
        </w:trPr>
        <w:tc>
          <w:tcPr>
            <w:tcW w:w="10031" w:type="dxa"/>
            <w:gridSpan w:val="2"/>
          </w:tcPr>
          <w:p w:rsidR="00BC7BC0" w:rsidRPr="0055747B" w:rsidRDefault="0062201E" w:rsidP="0062201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5747B">
              <w:rPr>
                <w:lang w:val="ru-RU"/>
              </w:rPr>
              <w:t xml:space="preserve">отчет о ХОДЕ ОСУЩЕСТВЛЕНИЯ проектА ПО помещениЯМ </w:t>
            </w:r>
            <w:r w:rsidRPr="0055747B">
              <w:rPr>
                <w:lang w:val="ru-RU"/>
              </w:rPr>
              <w:br/>
              <w:t>штаб-квартиры союза</w:t>
            </w:r>
          </w:p>
        </w:tc>
      </w:tr>
      <w:bookmarkEnd w:id="2"/>
    </w:tbl>
    <w:p w:rsidR="002D2F57" w:rsidRPr="0055747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52A0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55747B" w:rsidRDefault="002D2F57">
            <w:pPr>
              <w:pStyle w:val="Headingb"/>
              <w:rPr>
                <w:szCs w:val="22"/>
                <w:lang w:val="ru-RU"/>
              </w:rPr>
            </w:pPr>
            <w:r w:rsidRPr="0055747B">
              <w:rPr>
                <w:szCs w:val="22"/>
                <w:lang w:val="ru-RU"/>
              </w:rPr>
              <w:t>Резюме</w:t>
            </w:r>
          </w:p>
          <w:p w:rsidR="002D2F57" w:rsidRPr="0055747B" w:rsidRDefault="0062201E" w:rsidP="0062201E">
            <w:pPr>
              <w:rPr>
                <w:szCs w:val="22"/>
                <w:lang w:val="ru-RU"/>
              </w:rPr>
            </w:pPr>
            <w:r w:rsidRPr="0055747B">
              <w:rPr>
                <w:rFonts w:asciiTheme="minorHAnsi" w:hAnsiTheme="minorHAnsi"/>
                <w:szCs w:val="22"/>
                <w:lang w:val="ru-RU"/>
              </w:rPr>
              <w:t>В настоящем документе представлена обновленная информация в отношении проекта по помещениям штаб-квартиры МСЭ. В нем подробно описан ход осуществления проекта после заключительной сессии Совета 2018 года в Дубае</w:t>
            </w:r>
            <w:r w:rsidR="002D2F57" w:rsidRPr="0055747B">
              <w:rPr>
                <w:szCs w:val="22"/>
                <w:lang w:val="ru-RU"/>
              </w:rPr>
              <w:t>.</w:t>
            </w:r>
          </w:p>
          <w:p w:rsidR="002D2F57" w:rsidRPr="0055747B" w:rsidRDefault="002D2F57" w:rsidP="00E55121">
            <w:pPr>
              <w:pStyle w:val="Headingb"/>
              <w:rPr>
                <w:lang w:val="ru-RU"/>
              </w:rPr>
            </w:pPr>
            <w:r w:rsidRPr="0055747B">
              <w:rPr>
                <w:lang w:val="ru-RU"/>
              </w:rPr>
              <w:t xml:space="preserve">Необходимые </w:t>
            </w:r>
            <w:r w:rsidR="00F5225B" w:rsidRPr="0055747B">
              <w:rPr>
                <w:lang w:val="ru-RU"/>
              </w:rPr>
              <w:t>действия</w:t>
            </w:r>
          </w:p>
          <w:p w:rsidR="002D2F57" w:rsidRPr="0055747B" w:rsidRDefault="0062201E" w:rsidP="00B14B5E">
            <w:pPr>
              <w:rPr>
                <w:szCs w:val="22"/>
                <w:lang w:val="ru-RU"/>
              </w:rPr>
            </w:pPr>
            <w:r w:rsidRPr="0055747B">
              <w:rPr>
                <w:rFonts w:asciiTheme="minorHAnsi" w:hAnsiTheme="minorHAnsi"/>
                <w:szCs w:val="22"/>
                <w:lang w:val="ru-RU"/>
              </w:rPr>
              <w:t xml:space="preserve">Совету предлагается </w:t>
            </w:r>
            <w:r w:rsidR="00B14B5E" w:rsidRPr="0055747B">
              <w:rPr>
                <w:rFonts w:asciiTheme="minorHAnsi" w:hAnsiTheme="minorHAnsi"/>
                <w:b/>
                <w:bCs/>
                <w:szCs w:val="22"/>
                <w:lang w:val="ru-RU"/>
              </w:rPr>
              <w:t>одобрить</w:t>
            </w:r>
            <w:r w:rsidR="00625194" w:rsidRPr="0055747B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625194" w:rsidRPr="0055747B">
              <w:rPr>
                <w:rFonts w:asciiTheme="minorHAnsi" w:hAnsiTheme="minorHAnsi"/>
                <w:szCs w:val="22"/>
                <w:lang w:val="ru-RU"/>
              </w:rPr>
              <w:t xml:space="preserve">отчет и </w:t>
            </w:r>
            <w:r w:rsidR="00625194" w:rsidRPr="0055747B">
              <w:rPr>
                <w:b/>
                <w:bCs/>
                <w:color w:val="000000"/>
                <w:lang w:val="ru-RU"/>
              </w:rPr>
              <w:t>представить любые дополнительные руководящие указания</w:t>
            </w:r>
            <w:r w:rsidR="00625194" w:rsidRPr="0055747B">
              <w:rPr>
                <w:color w:val="000000"/>
                <w:lang w:val="ru-RU"/>
              </w:rPr>
              <w:t>, в случае необходимости</w:t>
            </w:r>
            <w:r w:rsidRPr="0055747B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2D2F57" w:rsidRPr="0055747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5747B">
              <w:rPr>
                <w:caps/>
                <w:szCs w:val="22"/>
                <w:lang w:val="ru-RU"/>
              </w:rPr>
              <w:t>____________</w:t>
            </w:r>
          </w:p>
          <w:p w:rsidR="002D2F57" w:rsidRPr="0055747B" w:rsidRDefault="002D2F57">
            <w:pPr>
              <w:pStyle w:val="Headingb"/>
              <w:rPr>
                <w:szCs w:val="22"/>
                <w:lang w:val="ru-RU"/>
              </w:rPr>
            </w:pPr>
            <w:r w:rsidRPr="0055747B">
              <w:rPr>
                <w:szCs w:val="22"/>
                <w:lang w:val="ru-RU"/>
              </w:rPr>
              <w:t>Справочные материалы</w:t>
            </w:r>
          </w:p>
          <w:p w:rsidR="002D2F57" w:rsidRPr="0055747B" w:rsidRDefault="00852A0C" w:rsidP="008B1EC6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62201E" w:rsidRPr="0055747B">
                <w:rPr>
                  <w:rStyle w:val="Hyperlink"/>
                  <w:i/>
                  <w:iCs/>
                  <w:szCs w:val="22"/>
                  <w:lang w:val="ru-RU"/>
                </w:rPr>
                <w:t xml:space="preserve">Решение </w:t>
              </w:r>
              <w:r w:rsidR="008B1EC6" w:rsidRPr="0055747B">
                <w:rPr>
                  <w:rStyle w:val="Hyperlink"/>
                  <w:i/>
                  <w:iCs/>
                  <w:szCs w:val="22"/>
                  <w:lang w:val="ru-RU"/>
                </w:rPr>
                <w:t>588 Совета</w:t>
              </w:r>
            </w:hyperlink>
            <w:r w:rsidR="0062201E" w:rsidRPr="0055747B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62201E" w:rsidRPr="0055747B">
                <w:rPr>
                  <w:rStyle w:val="Hyperlink"/>
                  <w:i/>
                  <w:iCs/>
                  <w:szCs w:val="22"/>
                  <w:lang w:val="ru-RU"/>
                </w:rPr>
                <w:t>Резолюция 212 (Дубай, 2018 г.)</w:t>
              </w:r>
            </w:hyperlink>
            <w:r w:rsidR="0062201E" w:rsidRPr="0055747B">
              <w:rPr>
                <w:i/>
                <w:iCs/>
                <w:szCs w:val="22"/>
                <w:lang w:val="ru-RU"/>
              </w:rPr>
              <w:t xml:space="preserve">; </w:t>
            </w:r>
            <w:hyperlink r:id="rId11" w:history="1">
              <w:r w:rsidR="0062201E" w:rsidRPr="0055747B">
                <w:rPr>
                  <w:rStyle w:val="Hyperlink"/>
                  <w:i/>
                  <w:iCs/>
                  <w:szCs w:val="22"/>
                  <w:lang w:val="ru-RU"/>
                </w:rPr>
                <w:t>C18/123 + Add.1</w:t>
              </w:r>
            </w:hyperlink>
          </w:p>
        </w:tc>
      </w:tr>
    </w:tbl>
    <w:p w:rsidR="008B1EC6" w:rsidRPr="0055747B" w:rsidRDefault="008B1E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55747B">
        <w:rPr>
          <w:lang w:val="ru-RU"/>
        </w:rPr>
        <w:br w:type="page"/>
      </w:r>
      <w:bookmarkStart w:id="3" w:name="_GoBack"/>
      <w:bookmarkEnd w:id="3"/>
    </w:p>
    <w:p w:rsidR="0062201E" w:rsidRPr="0055747B" w:rsidRDefault="0062201E" w:rsidP="000A0782">
      <w:pPr>
        <w:pStyle w:val="Heading1"/>
        <w:rPr>
          <w:sz w:val="24"/>
          <w:lang w:val="ru-RU"/>
        </w:rPr>
      </w:pPr>
      <w:r w:rsidRPr="0055747B">
        <w:rPr>
          <w:lang w:val="ru-RU"/>
        </w:rPr>
        <w:lastRenderedPageBreak/>
        <w:t>1</w:t>
      </w:r>
      <w:r w:rsidRPr="0055747B">
        <w:rPr>
          <w:lang w:val="ru-RU"/>
        </w:rPr>
        <w:tab/>
      </w:r>
      <w:r w:rsidR="000A0782" w:rsidRPr="0055747B">
        <w:rPr>
          <w:lang w:val="ru-RU"/>
        </w:rPr>
        <w:t>Базовая информация</w:t>
      </w:r>
    </w:p>
    <w:p w:rsidR="0062201E" w:rsidRPr="0055747B" w:rsidRDefault="0062201E" w:rsidP="000A0782">
      <w:pPr>
        <w:tabs>
          <w:tab w:val="left" w:pos="0"/>
        </w:tabs>
        <w:overflowPunct/>
        <w:autoSpaceDE/>
        <w:adjustRightInd/>
        <w:snapToGrid w:val="0"/>
        <w:outlineLvl w:val="0"/>
        <w:rPr>
          <w:rFonts w:eastAsia="SimSun"/>
          <w:color w:val="000000" w:themeColor="text1"/>
          <w:szCs w:val="24"/>
          <w:lang w:val="ru-RU" w:eastAsia="en-AU"/>
        </w:rPr>
      </w:pPr>
      <w:r w:rsidRPr="0055747B">
        <w:rPr>
          <w:rFonts w:eastAsia="SimSun"/>
          <w:color w:val="000000" w:themeColor="text1"/>
          <w:szCs w:val="24"/>
          <w:lang w:val="ru-RU" w:eastAsia="en-AU"/>
        </w:rPr>
        <w:t>1.1</w:t>
      </w:r>
      <w:r w:rsidRPr="0055747B">
        <w:rPr>
          <w:rFonts w:eastAsia="SimSun"/>
          <w:color w:val="000000" w:themeColor="text1"/>
          <w:szCs w:val="24"/>
          <w:lang w:val="ru-RU" w:eastAsia="en-AU"/>
        </w:rPr>
        <w:tab/>
      </w:r>
      <w:r w:rsidR="000A0782" w:rsidRPr="0055747B">
        <w:rPr>
          <w:lang w:val="ru-RU"/>
        </w:rPr>
        <w:t xml:space="preserve">В своем </w:t>
      </w:r>
      <w:hyperlink r:id="rId12" w:history="1">
        <w:r w:rsidR="000A0782" w:rsidRPr="0055747B">
          <w:rPr>
            <w:rStyle w:val="Hyperlink"/>
            <w:rFonts w:eastAsia="SimSun"/>
            <w:szCs w:val="24"/>
            <w:lang w:val="ru-RU" w:eastAsia="en-AU"/>
          </w:rPr>
          <w:t xml:space="preserve">Решении </w:t>
        </w:r>
        <w:r w:rsidRPr="0055747B">
          <w:rPr>
            <w:rStyle w:val="Hyperlink"/>
            <w:rFonts w:eastAsia="SimSun"/>
            <w:szCs w:val="24"/>
            <w:lang w:val="ru-RU" w:eastAsia="en-AU"/>
          </w:rPr>
          <w:t>588</w:t>
        </w:r>
      </w:hyperlink>
      <w:r w:rsidRPr="0055747B">
        <w:rPr>
          <w:rFonts w:eastAsia="SimSun"/>
          <w:color w:val="000000" w:themeColor="text1"/>
          <w:szCs w:val="24"/>
          <w:lang w:val="ru-RU" w:eastAsia="en-AU"/>
        </w:rPr>
        <w:t xml:space="preserve"> </w:t>
      </w:r>
      <w:r w:rsidR="000A0782" w:rsidRPr="0055747B">
        <w:rPr>
          <w:rFonts w:eastAsia="SimSun"/>
          <w:color w:val="000000" w:themeColor="text1"/>
          <w:szCs w:val="24"/>
          <w:lang w:val="ru-RU" w:eastAsia="en-AU"/>
        </w:rPr>
        <w:t>Совет 2016 года постановил заменить здание "Варембе" новым строением, в котором будут также размещены служебные и иные функциональные помещения здания "Башня".</w:t>
      </w:r>
    </w:p>
    <w:p w:rsidR="0062201E" w:rsidRPr="0055747B" w:rsidRDefault="0062201E" w:rsidP="00851472">
      <w:pPr>
        <w:rPr>
          <w:lang w:val="ru-RU" w:eastAsia="en-AU"/>
        </w:rPr>
      </w:pPr>
      <w:r w:rsidRPr="0055747B">
        <w:rPr>
          <w:lang w:val="ru-RU" w:eastAsia="en-AU"/>
        </w:rPr>
        <w:t>1.2</w:t>
      </w:r>
      <w:r w:rsidRPr="0055747B">
        <w:rPr>
          <w:lang w:val="ru-RU" w:eastAsia="en-AU"/>
        </w:rPr>
        <w:tab/>
      </w:r>
      <w:r w:rsidR="00E77A97" w:rsidRPr="0055747B">
        <w:rPr>
          <w:lang w:val="ru-RU"/>
        </w:rPr>
        <w:t>Совет 2018 года у</w:t>
      </w:r>
      <w:r w:rsidR="00851472" w:rsidRPr="0055747B">
        <w:rPr>
          <w:lang w:val="ru-RU"/>
        </w:rPr>
        <w:t>твердил создание</w:t>
      </w:r>
      <w:r w:rsidR="00E77A97" w:rsidRPr="0055747B">
        <w:rPr>
          <w:lang w:val="ru-RU"/>
        </w:rPr>
        <w:t xml:space="preserve"> временн</w:t>
      </w:r>
      <w:r w:rsidR="00851472" w:rsidRPr="0055747B">
        <w:rPr>
          <w:lang w:val="ru-RU"/>
        </w:rPr>
        <w:t>ого</w:t>
      </w:r>
      <w:r w:rsidR="00E77A97" w:rsidRPr="0055747B">
        <w:rPr>
          <w:lang w:val="ru-RU"/>
        </w:rPr>
        <w:t xml:space="preserve"> фонд</w:t>
      </w:r>
      <w:r w:rsidR="00851472" w:rsidRPr="0055747B">
        <w:rPr>
          <w:lang w:val="ru-RU"/>
        </w:rPr>
        <w:t>а</w:t>
      </w:r>
      <w:r w:rsidR="00E77A97" w:rsidRPr="0055747B">
        <w:rPr>
          <w:lang w:val="ru-RU"/>
        </w:rPr>
        <w:t xml:space="preserve"> </w:t>
      </w:r>
      <w:r w:rsidR="005F2B3A" w:rsidRPr="0055747B">
        <w:rPr>
          <w:lang w:val="ru-RU"/>
        </w:rPr>
        <w:t xml:space="preserve">(Фонд проекта нового здания) </w:t>
      </w:r>
      <w:r w:rsidR="00E77A97" w:rsidRPr="0055747B">
        <w:rPr>
          <w:lang w:val="ru-RU"/>
        </w:rPr>
        <w:t>для нового здания, финансируем</w:t>
      </w:r>
      <w:r w:rsidR="00851472" w:rsidRPr="0055747B">
        <w:rPr>
          <w:lang w:val="ru-RU"/>
        </w:rPr>
        <w:t>ого</w:t>
      </w:r>
      <w:r w:rsidR="00E77A97" w:rsidRPr="0055747B">
        <w:rPr>
          <w:lang w:val="ru-RU"/>
        </w:rPr>
        <w:t xml:space="preserve"> за счет излишков бюджетных средств и пожертвований.</w:t>
      </w:r>
    </w:p>
    <w:p w:rsidR="0062201E" w:rsidRPr="0055747B" w:rsidRDefault="0062201E" w:rsidP="00690802">
      <w:pPr>
        <w:rPr>
          <w:lang w:val="ru-RU" w:eastAsia="en-AU"/>
        </w:rPr>
      </w:pPr>
      <w:r w:rsidRPr="0055747B">
        <w:rPr>
          <w:lang w:val="ru-RU" w:eastAsia="en-AU"/>
        </w:rPr>
        <w:t>1.3</w:t>
      </w:r>
      <w:r w:rsidRPr="0055747B">
        <w:rPr>
          <w:lang w:val="ru-RU" w:eastAsia="en-AU"/>
        </w:rPr>
        <w:tab/>
      </w:r>
      <w:r w:rsidR="00851472" w:rsidRPr="0055747B">
        <w:rPr>
          <w:lang w:val="ru-RU" w:eastAsia="en-AU"/>
        </w:rPr>
        <w:t xml:space="preserve">Полномочная конференция </w:t>
      </w:r>
      <w:r w:rsidRPr="0055747B">
        <w:rPr>
          <w:lang w:val="ru-RU" w:eastAsia="en-AU"/>
        </w:rPr>
        <w:t>2018</w:t>
      </w:r>
      <w:r w:rsidR="00893756" w:rsidRPr="0055747B">
        <w:rPr>
          <w:lang w:val="ru-RU" w:eastAsia="en-AU"/>
        </w:rPr>
        <w:t> года</w:t>
      </w:r>
      <w:r w:rsidR="00851472" w:rsidRPr="0055747B">
        <w:rPr>
          <w:lang w:val="ru-RU" w:eastAsia="en-AU"/>
        </w:rPr>
        <w:t xml:space="preserve"> в своей Резолюции </w:t>
      </w:r>
      <w:r w:rsidRPr="0055747B">
        <w:rPr>
          <w:lang w:val="ru-RU" w:eastAsia="en-AU"/>
        </w:rPr>
        <w:t>212</w:t>
      </w:r>
      <w:r w:rsidR="00851472" w:rsidRPr="0055747B">
        <w:rPr>
          <w:lang w:val="ru-RU" w:eastAsia="en-AU"/>
        </w:rPr>
        <w:t xml:space="preserve"> постановила, что вышеуказанный фонд </w:t>
      </w:r>
      <w:r w:rsidR="00690802" w:rsidRPr="0055747B">
        <w:rPr>
          <w:lang w:val="ru-RU" w:eastAsia="en-AU"/>
        </w:rPr>
        <w:t>и любая получаемая спонсорская помощь или пожертвования могут увеличить финансовые ресурсы проекта, тогда как Решение </w:t>
      </w:r>
      <w:r w:rsidRPr="0055747B">
        <w:rPr>
          <w:lang w:val="ru-RU" w:eastAsia="en-AU"/>
        </w:rPr>
        <w:t xml:space="preserve">588 </w:t>
      </w:r>
      <w:r w:rsidR="00690802" w:rsidRPr="0055747B">
        <w:rPr>
          <w:lang w:val="ru-RU" w:eastAsia="en-AU"/>
        </w:rPr>
        <w:t>Совета остается в силе</w:t>
      </w:r>
      <w:r w:rsidRPr="0055747B">
        <w:rPr>
          <w:lang w:val="ru-RU" w:eastAsia="en-AU"/>
        </w:rPr>
        <w:t xml:space="preserve">. </w:t>
      </w:r>
    </w:p>
    <w:p w:rsidR="0062201E" w:rsidRPr="0055747B" w:rsidRDefault="0062201E" w:rsidP="00D170B9">
      <w:pPr>
        <w:pStyle w:val="Heading1"/>
        <w:rPr>
          <w:lang w:val="ru-RU"/>
        </w:rPr>
      </w:pPr>
      <w:r w:rsidRPr="0055747B">
        <w:rPr>
          <w:lang w:val="ru-RU"/>
        </w:rPr>
        <w:t>2</w:t>
      </w:r>
      <w:r w:rsidRPr="0055747B">
        <w:rPr>
          <w:lang w:val="ru-RU"/>
        </w:rPr>
        <w:tab/>
      </w:r>
      <w:r w:rsidR="00D170B9" w:rsidRPr="0055747B">
        <w:rPr>
          <w:lang w:val="ru-RU"/>
        </w:rPr>
        <w:t>Эскизный проект</w:t>
      </w:r>
    </w:p>
    <w:p w:rsidR="0062201E" w:rsidRPr="0055747B" w:rsidRDefault="0062201E" w:rsidP="00B14B5E">
      <w:pPr>
        <w:rPr>
          <w:lang w:val="ru-RU" w:eastAsia="en-AU"/>
        </w:rPr>
      </w:pPr>
      <w:r w:rsidRPr="0055747B">
        <w:rPr>
          <w:lang w:val="ru-RU" w:eastAsia="en-AU"/>
        </w:rPr>
        <w:t>2.1</w:t>
      </w:r>
      <w:r w:rsidRPr="0055747B">
        <w:rPr>
          <w:lang w:val="ru-RU" w:eastAsia="en-AU"/>
        </w:rPr>
        <w:tab/>
      </w:r>
      <w:r w:rsidR="00D170B9" w:rsidRPr="0055747B">
        <w:rPr>
          <w:lang w:val="ru-RU" w:eastAsia="en-AU"/>
        </w:rPr>
        <w:t>Во втором обращении к стране</w:t>
      </w:r>
      <w:r w:rsidR="00B14B5E" w:rsidRPr="0055747B">
        <w:rPr>
          <w:lang w:val="ru-RU" w:eastAsia="en-AU"/>
        </w:rPr>
        <w:t xml:space="preserve"> пребывания</w:t>
      </w:r>
      <w:r w:rsidR="00D170B9" w:rsidRPr="0055747B">
        <w:rPr>
          <w:lang w:val="ru-RU" w:eastAsia="en-AU"/>
        </w:rPr>
        <w:t xml:space="preserve">, в частности, содержится требование о разработке эскизного проекта для проведения подробной функциональной оценки проекта в сравнении с программой, подробной оценки затрат </w:t>
      </w:r>
      <w:r w:rsidR="00FE628B" w:rsidRPr="0055747B">
        <w:rPr>
          <w:lang w:val="ru-RU" w:eastAsia="en-AU"/>
        </w:rPr>
        <w:t>и</w:t>
      </w:r>
      <w:r w:rsidR="00B14B5E" w:rsidRPr="0055747B">
        <w:rPr>
          <w:lang w:val="ru-RU" w:eastAsia="en-AU"/>
        </w:rPr>
        <w:t xml:space="preserve"> получения разрешения на</w:t>
      </w:r>
      <w:r w:rsidR="00FE628B" w:rsidRPr="0055747B">
        <w:rPr>
          <w:lang w:val="ru-RU" w:eastAsia="en-AU"/>
        </w:rPr>
        <w:t xml:space="preserve"> подробно</w:t>
      </w:r>
      <w:r w:rsidR="00B14B5E" w:rsidRPr="0055747B">
        <w:rPr>
          <w:lang w:val="ru-RU" w:eastAsia="en-AU"/>
        </w:rPr>
        <w:t>е</w:t>
      </w:r>
      <w:r w:rsidR="00FE628B" w:rsidRPr="0055747B">
        <w:rPr>
          <w:lang w:val="ru-RU" w:eastAsia="en-AU"/>
        </w:rPr>
        <w:t xml:space="preserve"> планировани</w:t>
      </w:r>
      <w:r w:rsidR="00B14B5E" w:rsidRPr="0055747B">
        <w:rPr>
          <w:lang w:val="ru-RU" w:eastAsia="en-AU"/>
        </w:rPr>
        <w:t>е</w:t>
      </w:r>
      <w:r w:rsidRPr="0055747B">
        <w:rPr>
          <w:lang w:val="ru-RU" w:eastAsia="en-AU"/>
        </w:rPr>
        <w:t>.</w:t>
      </w:r>
    </w:p>
    <w:p w:rsidR="004E53A9" w:rsidRPr="0055747B" w:rsidRDefault="0062201E" w:rsidP="00B14B5E">
      <w:pPr>
        <w:rPr>
          <w:rFonts w:eastAsia="Calibri" w:cs="Arial"/>
          <w:color w:val="000000" w:themeColor="text1"/>
          <w:szCs w:val="24"/>
          <w:lang w:val="ru-RU"/>
        </w:rPr>
      </w:pPr>
      <w:r w:rsidRPr="0055747B">
        <w:rPr>
          <w:rFonts w:eastAsia="SimSun"/>
          <w:lang w:val="ru-RU" w:eastAsia="en-AU"/>
        </w:rPr>
        <w:t>2.2</w:t>
      </w:r>
      <w:r w:rsidRPr="0055747B">
        <w:rPr>
          <w:rFonts w:eastAsia="SimSun"/>
          <w:lang w:val="ru-RU" w:eastAsia="en-AU"/>
        </w:rPr>
        <w:tab/>
      </w:r>
      <w:r w:rsidR="00FE628B" w:rsidRPr="0055747B">
        <w:rPr>
          <w:rFonts w:eastAsia="Calibri"/>
          <w:lang w:val="ru-RU"/>
        </w:rPr>
        <w:t xml:space="preserve">Архитектор продолжал оптимизировать стоимость исходного эскизного проекта, который был представлен в октябре 2018 года. </w:t>
      </w:r>
      <w:r w:rsidR="00B14B5E" w:rsidRPr="0055747B">
        <w:rPr>
          <w:rFonts w:eastAsia="Calibri"/>
          <w:lang w:val="ru-RU"/>
        </w:rPr>
        <w:t>Возможная о</w:t>
      </w:r>
      <w:r w:rsidR="00FE628B" w:rsidRPr="0055747B">
        <w:rPr>
          <w:rFonts w:eastAsia="Calibri"/>
          <w:lang w:val="ru-RU"/>
        </w:rPr>
        <w:t>кончательная версия была представлена 1</w:t>
      </w:r>
      <w:r w:rsidR="00B14B5E" w:rsidRPr="0055747B">
        <w:rPr>
          <w:rFonts w:eastAsia="Calibri"/>
          <w:lang w:val="ru-RU"/>
        </w:rPr>
        <w:t> </w:t>
      </w:r>
      <w:r w:rsidR="00FE628B" w:rsidRPr="0055747B">
        <w:rPr>
          <w:rFonts w:eastAsia="Calibri"/>
          <w:lang w:val="ru-RU"/>
        </w:rPr>
        <w:t>апреля 2019 года</w:t>
      </w:r>
      <w:r w:rsidR="004E53A9" w:rsidRPr="0055747B">
        <w:rPr>
          <w:rFonts w:eastAsia="Calibri" w:cs="Arial"/>
          <w:color w:val="000000" w:themeColor="text1"/>
          <w:szCs w:val="24"/>
          <w:lang w:val="ru-RU"/>
        </w:rPr>
        <w:t>.</w:t>
      </w:r>
    </w:p>
    <w:p w:rsidR="004E53A9" w:rsidRPr="0055747B" w:rsidRDefault="0062201E" w:rsidP="00FE628B">
      <w:pPr>
        <w:rPr>
          <w:rFonts w:eastAsia="Calibri" w:cs="Arial"/>
          <w:color w:val="000000" w:themeColor="text1"/>
          <w:szCs w:val="24"/>
          <w:lang w:val="ru-RU"/>
        </w:rPr>
      </w:pPr>
      <w:r w:rsidRPr="0055747B">
        <w:rPr>
          <w:lang w:val="ru-RU"/>
        </w:rPr>
        <w:t>2.3</w:t>
      </w:r>
      <w:r w:rsidRPr="0055747B">
        <w:rPr>
          <w:lang w:val="ru-RU"/>
        </w:rPr>
        <w:tab/>
      </w:r>
      <w:bookmarkStart w:id="4" w:name="lt_pId137"/>
      <w:r w:rsidR="00FE628B" w:rsidRPr="0055747B">
        <w:rPr>
          <w:lang w:val="ru-RU"/>
        </w:rPr>
        <w:t>Эта версия предусматривает десять этажей здания</w:t>
      </w:r>
      <w:r w:rsidR="004E53A9" w:rsidRPr="0055747B">
        <w:rPr>
          <w:rFonts w:eastAsia="Calibri" w:cs="Arial"/>
          <w:color w:val="000000" w:themeColor="text1"/>
          <w:szCs w:val="24"/>
          <w:lang w:val="ru-RU"/>
        </w:rPr>
        <w:t xml:space="preserve">: </w:t>
      </w:r>
      <w:r w:rsidR="00FE628B" w:rsidRPr="0055747B">
        <w:rPr>
          <w:color w:val="000000"/>
          <w:lang w:val="ru-RU"/>
        </w:rPr>
        <w:t>подвальный этаж, нижний цокольный этаж (уровень улицы Варембе), верхний цокольный этаж (уровень авеню Джузеппе Мотта), технический этаж, сад во внутреннем дворике и пять верхних офисных этажей</w:t>
      </w:r>
      <w:r w:rsidR="004E53A9" w:rsidRPr="0055747B">
        <w:rPr>
          <w:rFonts w:eastAsia="Calibri" w:cs="Arial"/>
          <w:color w:val="000000" w:themeColor="text1"/>
          <w:szCs w:val="24"/>
          <w:lang w:val="ru-RU"/>
        </w:rPr>
        <w:t>.</w:t>
      </w:r>
    </w:p>
    <w:bookmarkEnd w:id="4"/>
    <w:p w:rsidR="004E53A9" w:rsidRPr="0055747B" w:rsidRDefault="0062201E" w:rsidP="000941BB">
      <w:pPr>
        <w:rPr>
          <w:rFonts w:eastAsia="Calibri" w:cs="Arial"/>
          <w:lang w:val="ru-RU"/>
        </w:rPr>
      </w:pPr>
      <w:r w:rsidRPr="0055747B">
        <w:rPr>
          <w:rFonts w:eastAsia="Calibri" w:cs="Arial"/>
          <w:lang w:val="ru-RU"/>
        </w:rPr>
        <w:t>2.4</w:t>
      </w:r>
      <w:r w:rsidRPr="0055747B">
        <w:rPr>
          <w:rFonts w:eastAsia="Calibri" w:cs="Arial"/>
          <w:lang w:val="ru-RU"/>
        </w:rPr>
        <w:tab/>
      </w:r>
      <w:r w:rsidR="00FE628B" w:rsidRPr="0055747B">
        <w:rPr>
          <w:rFonts w:eastAsia="Calibri"/>
          <w:lang w:val="ru-RU"/>
        </w:rPr>
        <w:t>Вследствие</w:t>
      </w:r>
      <w:r w:rsidR="004E53A9" w:rsidRPr="0055747B">
        <w:rPr>
          <w:rFonts w:eastAsia="Calibri"/>
          <w:lang w:val="ru-RU"/>
        </w:rPr>
        <w:t xml:space="preserve"> исключения одного офисного этажа </w:t>
      </w:r>
      <w:r w:rsidR="00FE628B" w:rsidRPr="0055747B">
        <w:rPr>
          <w:rFonts w:eastAsia="Calibri"/>
          <w:lang w:val="ru-RU"/>
        </w:rPr>
        <w:t xml:space="preserve">из первоначального победившего в конкурсе проекта </w:t>
      </w:r>
      <w:r w:rsidR="004E53A9" w:rsidRPr="0055747B">
        <w:rPr>
          <w:rFonts w:eastAsia="Calibri"/>
          <w:lang w:val="ru-RU"/>
        </w:rPr>
        <w:t xml:space="preserve">высота здания снижается </w:t>
      </w:r>
      <w:r w:rsidR="00FE628B" w:rsidRPr="0055747B">
        <w:rPr>
          <w:rFonts w:eastAsia="Calibri"/>
          <w:lang w:val="ru-RU"/>
        </w:rPr>
        <w:t>до 37,1 м</w:t>
      </w:r>
      <w:r w:rsidR="004E53A9" w:rsidRPr="0055747B">
        <w:rPr>
          <w:rFonts w:eastAsia="Calibri"/>
          <w:lang w:val="ru-RU"/>
        </w:rPr>
        <w:t>. МСЭ получил от Государственного совета Республики и кантона Женева подтверждение того, что при такой высоте план местного зонирования не нуждается в пересмотре и что решение о выдаче разрешения на планирование будет принято по стандартной процедур</w:t>
      </w:r>
      <w:bookmarkStart w:id="5" w:name="lt_pId140"/>
      <w:r w:rsidR="004E53A9" w:rsidRPr="0055747B">
        <w:rPr>
          <w:rFonts w:eastAsia="Calibri"/>
          <w:lang w:val="ru-RU"/>
        </w:rPr>
        <w:t>е.</w:t>
      </w:r>
      <w:bookmarkEnd w:id="5"/>
    </w:p>
    <w:p w:rsidR="0062201E" w:rsidRPr="0055747B" w:rsidRDefault="0062201E" w:rsidP="00B14B5E">
      <w:pPr>
        <w:rPr>
          <w:lang w:val="ru-RU" w:eastAsia="zh-CN"/>
        </w:rPr>
      </w:pPr>
      <w:r w:rsidRPr="0055747B">
        <w:rPr>
          <w:lang w:val="ru-RU"/>
        </w:rPr>
        <w:t>2.5</w:t>
      </w:r>
      <w:r w:rsidRPr="0055747B">
        <w:rPr>
          <w:lang w:val="ru-RU"/>
        </w:rPr>
        <w:tab/>
      </w:r>
      <w:r w:rsidR="0002349C" w:rsidRPr="0055747B">
        <w:rPr>
          <w:rFonts w:eastAsia="Calibri"/>
          <w:lang w:val="ru-RU"/>
        </w:rPr>
        <w:t>В</w:t>
      </w:r>
      <w:r w:rsidR="004E53A9" w:rsidRPr="0055747B">
        <w:rPr>
          <w:rFonts w:eastAsia="Calibri"/>
          <w:lang w:val="ru-RU"/>
        </w:rPr>
        <w:t xml:space="preserve"> новом здании должны быть соблюдены минимальные оперативные стандарты безопасности ООН (МОСБ ООН), которые применяются ко всем новым или переоборудуемым зданиям организаций системы ООН</w:t>
      </w:r>
      <w:r w:rsidR="0002349C" w:rsidRPr="0055747B">
        <w:rPr>
          <w:rFonts w:eastAsia="Calibri"/>
          <w:lang w:val="ru-RU"/>
        </w:rPr>
        <w:t xml:space="preserve"> во всем мире.</w:t>
      </w:r>
      <w:r w:rsidR="000941BB" w:rsidRPr="0055747B">
        <w:rPr>
          <w:rFonts w:eastAsia="Calibri"/>
          <w:lang w:val="ru-RU"/>
        </w:rPr>
        <w:t xml:space="preserve"> </w:t>
      </w:r>
      <w:r w:rsidR="0002349C" w:rsidRPr="0055747B">
        <w:rPr>
          <w:rFonts w:eastAsiaTheme="minorHAnsi" w:cstheme="minorHAnsi"/>
          <w:lang w:val="ru-RU" w:eastAsia="en-GB"/>
        </w:rPr>
        <w:t>В соответствии с рекомендацией Совета</w:t>
      </w:r>
      <w:r w:rsidRPr="0055747B">
        <w:rPr>
          <w:lang w:val="ru-RU" w:eastAsia="zh-CN"/>
        </w:rPr>
        <w:t xml:space="preserve"> 2017</w:t>
      </w:r>
      <w:r w:rsidR="00893756" w:rsidRPr="0055747B">
        <w:rPr>
          <w:lang w:val="ru-RU" w:eastAsia="zh-CN"/>
        </w:rPr>
        <w:t> года</w:t>
      </w:r>
      <w:r w:rsidR="0002349C" w:rsidRPr="0055747B">
        <w:rPr>
          <w:lang w:val="ru-RU" w:eastAsia="zh-CN"/>
        </w:rPr>
        <w:t xml:space="preserve"> МСЭ связался с органами власти страны</w:t>
      </w:r>
      <w:r w:rsidR="00B14B5E" w:rsidRPr="0055747B">
        <w:rPr>
          <w:lang w:val="ru-RU" w:eastAsia="zh-CN"/>
        </w:rPr>
        <w:t xml:space="preserve"> пребывания</w:t>
      </w:r>
      <w:r w:rsidRPr="0055747B">
        <w:rPr>
          <w:lang w:val="ru-RU" w:eastAsia="zh-CN"/>
        </w:rPr>
        <w:t xml:space="preserve">, </w:t>
      </w:r>
      <w:r w:rsidR="0002349C" w:rsidRPr="0055747B">
        <w:rPr>
          <w:lang w:val="ru-RU" w:eastAsia="zh-CN"/>
        </w:rPr>
        <w:t xml:space="preserve">чтобы обсудить угрозы и </w:t>
      </w:r>
      <w:r w:rsidR="000941BB" w:rsidRPr="0055747B">
        <w:rPr>
          <w:lang w:val="ru-RU" w:eastAsia="zh-CN"/>
        </w:rPr>
        <w:t xml:space="preserve">соответствующие </w:t>
      </w:r>
      <w:r w:rsidR="0002349C" w:rsidRPr="0055747B">
        <w:rPr>
          <w:lang w:val="ru-RU" w:eastAsia="zh-CN"/>
        </w:rPr>
        <w:t>меры по смягчению их последствий для нового здания</w:t>
      </w:r>
      <w:r w:rsidRPr="0055747B">
        <w:rPr>
          <w:lang w:val="ru-RU" w:eastAsia="zh-CN"/>
        </w:rPr>
        <w:t xml:space="preserve">. </w:t>
      </w:r>
      <w:r w:rsidR="0002349C" w:rsidRPr="0055747B">
        <w:rPr>
          <w:lang w:val="ru-RU" w:eastAsia="zh-CN"/>
        </w:rPr>
        <w:t>Была проведена встреча по концепциям оценки угроз и безопасности между МСЭ</w:t>
      </w:r>
      <w:r w:rsidRPr="0055747B">
        <w:rPr>
          <w:lang w:val="ru-RU"/>
        </w:rPr>
        <w:t xml:space="preserve">, </w:t>
      </w:r>
      <w:r w:rsidR="0002349C" w:rsidRPr="0055747B">
        <w:rPr>
          <w:lang w:val="ru-RU"/>
        </w:rPr>
        <w:t>ДОБ ООН</w:t>
      </w:r>
      <w:r w:rsidRPr="0055747B">
        <w:rPr>
          <w:lang w:val="ru-RU"/>
        </w:rPr>
        <w:t xml:space="preserve">, </w:t>
      </w:r>
      <w:r w:rsidR="0002349C" w:rsidRPr="0055747B">
        <w:rPr>
          <w:lang w:val="ru-RU"/>
        </w:rPr>
        <w:t>архитекторами</w:t>
      </w:r>
      <w:r w:rsidRPr="0055747B">
        <w:rPr>
          <w:lang w:val="ru-RU"/>
        </w:rPr>
        <w:t xml:space="preserve"> (CDTK)</w:t>
      </w:r>
      <w:r w:rsidR="0002349C" w:rsidRPr="0055747B">
        <w:rPr>
          <w:lang w:val="ru-RU"/>
        </w:rPr>
        <w:t xml:space="preserve"> и представителями органов власти страны</w:t>
      </w:r>
      <w:r w:rsidR="00B14B5E" w:rsidRPr="0055747B">
        <w:rPr>
          <w:lang w:val="ru-RU"/>
        </w:rPr>
        <w:t xml:space="preserve"> пребывания</w:t>
      </w:r>
      <w:r w:rsidRPr="0055747B">
        <w:rPr>
          <w:lang w:val="ru-RU"/>
        </w:rPr>
        <w:t xml:space="preserve"> (DFAE/FEDPOL) </w:t>
      </w:r>
      <w:r w:rsidR="0002349C" w:rsidRPr="0055747B">
        <w:rPr>
          <w:lang w:val="ru-RU"/>
        </w:rPr>
        <w:t xml:space="preserve">с целью обмена мнениями и обсуждения </w:t>
      </w:r>
      <w:r w:rsidR="000941BB" w:rsidRPr="0055747B">
        <w:rPr>
          <w:lang w:val="ru-RU"/>
        </w:rPr>
        <w:t>вопросов</w:t>
      </w:r>
      <w:r w:rsidR="0002349C" w:rsidRPr="0055747B">
        <w:rPr>
          <w:lang w:val="ru-RU"/>
        </w:rPr>
        <w:t>, связанн</w:t>
      </w:r>
      <w:r w:rsidR="000941BB" w:rsidRPr="0055747B">
        <w:rPr>
          <w:lang w:val="ru-RU"/>
        </w:rPr>
        <w:t>ых</w:t>
      </w:r>
      <w:r w:rsidR="0002349C" w:rsidRPr="0055747B">
        <w:rPr>
          <w:lang w:val="ru-RU"/>
        </w:rPr>
        <w:t xml:space="preserve"> с проблемами в сфере безопасности</w:t>
      </w:r>
      <w:r w:rsidRPr="0055747B">
        <w:rPr>
          <w:lang w:val="ru-RU"/>
        </w:rPr>
        <w:t xml:space="preserve">. </w:t>
      </w:r>
    </w:p>
    <w:p w:rsidR="00B469B7" w:rsidRPr="0055747B" w:rsidRDefault="0062201E" w:rsidP="00545712">
      <w:pPr>
        <w:rPr>
          <w:lang w:val="ru-RU"/>
        </w:rPr>
      </w:pPr>
      <w:r w:rsidRPr="0055747B">
        <w:rPr>
          <w:lang w:val="ru-RU" w:eastAsia="zh-CN"/>
        </w:rPr>
        <w:lastRenderedPageBreak/>
        <w:t>2.6</w:t>
      </w:r>
      <w:r w:rsidRPr="0055747B">
        <w:rPr>
          <w:lang w:val="ru-RU" w:eastAsia="zh-CN"/>
        </w:rPr>
        <w:tab/>
      </w:r>
      <w:r w:rsidR="00B469B7" w:rsidRPr="0055747B">
        <w:rPr>
          <w:rFonts w:eastAsia="Calibri"/>
          <w:lang w:val="ru-RU"/>
        </w:rPr>
        <w:t xml:space="preserve">В декабре 2018 года </w:t>
      </w:r>
      <w:r w:rsidR="000941BB" w:rsidRPr="0055747B">
        <w:rPr>
          <w:rFonts w:eastAsia="Calibri"/>
          <w:lang w:val="ru-RU"/>
        </w:rPr>
        <w:t xml:space="preserve">и феврале 2019 года </w:t>
      </w:r>
      <w:r w:rsidR="00B469B7" w:rsidRPr="0055747B">
        <w:rPr>
          <w:rFonts w:eastAsia="Calibri"/>
          <w:lang w:val="ru-RU"/>
        </w:rPr>
        <w:t xml:space="preserve">архитектор Департамента ООН по вопросам охраны и безопасности (ДОБ ООН) и эксперт по смягчению последствий взрывов из отдела физической безопасности в Нью-Йорке провели оценку физической безопасности, а также инспекцию проекта и концепции нового здания </w:t>
      </w:r>
      <w:r w:rsidR="0002349C" w:rsidRPr="0055747B">
        <w:rPr>
          <w:rFonts w:eastAsia="Calibri"/>
          <w:lang w:val="ru-RU"/>
        </w:rPr>
        <w:t>в отношении</w:t>
      </w:r>
      <w:r w:rsidR="00B469B7" w:rsidRPr="0055747B">
        <w:rPr>
          <w:rFonts w:eastAsia="Calibri"/>
          <w:lang w:val="ru-RU"/>
        </w:rPr>
        <w:t xml:space="preserve"> мер по повышению безопасности, предусмотренных МОСБ</w:t>
      </w:r>
      <w:r w:rsidR="00545712" w:rsidRPr="0055747B">
        <w:rPr>
          <w:rFonts w:eastAsia="Calibri"/>
          <w:lang w:val="ru-RU"/>
        </w:rPr>
        <w:t xml:space="preserve"> ООН</w:t>
      </w:r>
      <w:r w:rsidR="00B469B7" w:rsidRPr="0055747B">
        <w:rPr>
          <w:rFonts w:eastAsia="Calibri"/>
          <w:lang w:val="ru-RU"/>
        </w:rPr>
        <w:t>. В отчете о предварительной оценке нового здания были указаны те же проблемы/вопросы</w:t>
      </w:r>
      <w:r w:rsidR="00545712" w:rsidRPr="0055747B">
        <w:rPr>
          <w:rFonts w:eastAsia="Calibri"/>
          <w:lang w:val="ru-RU"/>
        </w:rPr>
        <w:t xml:space="preserve"> по новому зданию</w:t>
      </w:r>
      <w:r w:rsidR="00B469B7" w:rsidRPr="0055747B">
        <w:rPr>
          <w:rFonts w:eastAsia="Calibri"/>
          <w:lang w:val="ru-RU"/>
        </w:rPr>
        <w:t>, которые были отмечены Секретариатом МСЭ</w:t>
      </w:r>
      <w:r w:rsidR="00545712" w:rsidRPr="0055747B">
        <w:rPr>
          <w:rFonts w:eastAsia="Calibri"/>
          <w:lang w:val="ru-RU"/>
        </w:rPr>
        <w:t xml:space="preserve"> и которые создают риски, неприемлемые для МОСБ ООН</w:t>
      </w:r>
      <w:r w:rsidR="00B469B7" w:rsidRPr="0055747B">
        <w:rPr>
          <w:lang w:val="ru-RU"/>
        </w:rPr>
        <w:t>:</w:t>
      </w:r>
    </w:p>
    <w:p w:rsidR="0062201E" w:rsidRPr="0055747B" w:rsidRDefault="0062201E" w:rsidP="00B14B5E">
      <w:pPr>
        <w:pStyle w:val="enumlev1"/>
        <w:rPr>
          <w:lang w:val="ru-RU"/>
        </w:rPr>
      </w:pPr>
      <w:r w:rsidRPr="0055747B">
        <w:rPr>
          <w:lang w:val="ru-RU"/>
        </w:rPr>
        <w:t>−</w:t>
      </w:r>
      <w:r w:rsidRPr="0055747B">
        <w:rPr>
          <w:lang w:val="ru-RU"/>
        </w:rPr>
        <w:tab/>
      </w:r>
      <w:r w:rsidR="00545712" w:rsidRPr="0055747B">
        <w:rPr>
          <w:color w:val="000000"/>
          <w:lang w:val="ru-RU"/>
        </w:rPr>
        <w:t xml:space="preserve">недостаточное </w:t>
      </w:r>
      <w:r w:rsidR="00B14B5E" w:rsidRPr="0055747B">
        <w:rPr>
          <w:color w:val="000000"/>
          <w:lang w:val="ru-RU"/>
        </w:rPr>
        <w:t>безопасное расстояние для защиты от</w:t>
      </w:r>
      <w:r w:rsidR="00545712" w:rsidRPr="0055747B">
        <w:rPr>
          <w:color w:val="000000"/>
          <w:lang w:val="ru-RU"/>
        </w:rPr>
        <w:t xml:space="preserve"> транспортных средств </w:t>
      </w:r>
      <w:r w:rsidR="00B14B5E" w:rsidRPr="0055747B">
        <w:rPr>
          <w:color w:val="000000"/>
          <w:lang w:val="ru-RU"/>
        </w:rPr>
        <w:t>на</w:t>
      </w:r>
      <w:r w:rsidR="00545712" w:rsidRPr="0055747B">
        <w:rPr>
          <w:color w:val="000000"/>
          <w:lang w:val="ru-RU"/>
        </w:rPr>
        <w:t xml:space="preserve"> улиц</w:t>
      </w:r>
      <w:r w:rsidR="00B14B5E" w:rsidRPr="0055747B">
        <w:rPr>
          <w:color w:val="000000"/>
          <w:lang w:val="ru-RU"/>
        </w:rPr>
        <w:t>е</w:t>
      </w:r>
      <w:r w:rsidR="00545712" w:rsidRPr="0055747B">
        <w:rPr>
          <w:color w:val="000000"/>
          <w:lang w:val="ru-RU"/>
        </w:rPr>
        <w:t xml:space="preserve"> Варембе</w:t>
      </w:r>
      <w:r w:rsidR="008B1EC6" w:rsidRPr="0055747B">
        <w:rPr>
          <w:lang w:val="ru-RU"/>
        </w:rPr>
        <w:t>;</w:t>
      </w:r>
    </w:p>
    <w:p w:rsidR="0062201E" w:rsidRPr="0055747B" w:rsidRDefault="0062201E" w:rsidP="00545712">
      <w:pPr>
        <w:pStyle w:val="enumlev1"/>
        <w:rPr>
          <w:lang w:val="ru-RU"/>
        </w:rPr>
      </w:pPr>
      <w:r w:rsidRPr="0055747B">
        <w:rPr>
          <w:lang w:val="ru-RU"/>
        </w:rPr>
        <w:t>−</w:t>
      </w:r>
      <w:r w:rsidRPr="0055747B">
        <w:rPr>
          <w:lang w:val="ru-RU"/>
        </w:rPr>
        <w:tab/>
      </w:r>
      <w:r w:rsidR="00545712" w:rsidRPr="0055747B">
        <w:rPr>
          <w:color w:val="000000"/>
          <w:lang w:val="ru-RU"/>
        </w:rPr>
        <w:t>выходящие на улицу Варембе полосы въезда в муниципальную парковку</w:t>
      </w:r>
      <w:r w:rsidR="008B1EC6" w:rsidRPr="0055747B">
        <w:rPr>
          <w:color w:val="000000"/>
          <w:lang w:val="ru-RU"/>
        </w:rPr>
        <w:t xml:space="preserve"> и выезда из</w:t>
      </w:r>
      <w:r w:rsidR="00545712" w:rsidRPr="0055747B">
        <w:rPr>
          <w:color w:val="000000"/>
          <w:lang w:val="ru-RU"/>
        </w:rPr>
        <w:t xml:space="preserve"> нее проходят под зданием</w:t>
      </w:r>
      <w:r w:rsidRPr="0055747B">
        <w:rPr>
          <w:lang w:val="ru-RU"/>
        </w:rPr>
        <w:t xml:space="preserve">. </w:t>
      </w:r>
    </w:p>
    <w:p w:rsidR="00B469B7" w:rsidRPr="0055747B" w:rsidRDefault="0062201E" w:rsidP="00A94681">
      <w:pPr>
        <w:rPr>
          <w:lang w:val="ru-RU"/>
        </w:rPr>
      </w:pPr>
      <w:r w:rsidRPr="0055747B">
        <w:rPr>
          <w:lang w:val="ru-RU"/>
        </w:rPr>
        <w:t>2.7</w:t>
      </w:r>
      <w:r w:rsidRPr="0055747B">
        <w:rPr>
          <w:lang w:val="ru-RU"/>
        </w:rPr>
        <w:tab/>
      </w:r>
      <w:r w:rsidR="00B469B7" w:rsidRPr="0055747B">
        <w:rPr>
          <w:rFonts w:eastAsia="Calibri"/>
          <w:lang w:val="ru-RU"/>
        </w:rPr>
        <w:t xml:space="preserve">В </w:t>
      </w:r>
      <w:r w:rsidR="001120E5" w:rsidRPr="0055747B">
        <w:rPr>
          <w:rFonts w:eastAsia="Calibri"/>
          <w:lang w:val="ru-RU"/>
        </w:rPr>
        <w:t>официальном</w:t>
      </w:r>
      <w:r w:rsidR="00B469B7" w:rsidRPr="0055747B">
        <w:rPr>
          <w:rFonts w:eastAsia="Calibri"/>
          <w:lang w:val="ru-RU"/>
        </w:rPr>
        <w:t xml:space="preserve"> отчете</w:t>
      </w:r>
      <w:r w:rsidR="00545712" w:rsidRPr="0055747B">
        <w:rPr>
          <w:rFonts w:eastAsia="Calibri"/>
          <w:lang w:val="ru-RU"/>
        </w:rPr>
        <w:t>, запрошенном МСЭ</w:t>
      </w:r>
      <w:r w:rsidR="00545712" w:rsidRPr="0055747B">
        <w:rPr>
          <w:rFonts w:eastAsia="Calibri"/>
          <w:i/>
          <w:iCs/>
          <w:lang w:val="ru-RU"/>
        </w:rPr>
        <w:t>,</w:t>
      </w:r>
      <w:r w:rsidR="00B469B7" w:rsidRPr="0055747B">
        <w:rPr>
          <w:rFonts w:eastAsia="Calibri"/>
          <w:i/>
          <w:iCs/>
          <w:lang w:val="ru-RU"/>
        </w:rPr>
        <w:t xml:space="preserve"> поддерживается как соответствующая передовому опыту</w:t>
      </w:r>
      <w:r w:rsidR="00B469B7" w:rsidRPr="0055747B">
        <w:rPr>
          <w:rFonts w:eastAsia="Calibri"/>
          <w:lang w:val="ru-RU"/>
        </w:rPr>
        <w:t xml:space="preserve"> в области обеспечения безопасности первоначальная концепция, разработанная МСЭ и архитектором, которая предполагает наличие двух отдельных уровней защитных ограждений для охраны по периметру, а именно: противотранспортных заграждений, устанавливаемых вокруг территории комплекса как можно дальше от здания для обеспечения максимального </w:t>
      </w:r>
      <w:r w:rsidR="001120E5" w:rsidRPr="0055747B">
        <w:rPr>
          <w:rFonts w:eastAsia="Calibri"/>
          <w:lang w:val="ru-RU"/>
        </w:rPr>
        <w:t>безопасного расстояния</w:t>
      </w:r>
      <w:r w:rsidR="00B469B7" w:rsidRPr="0055747B">
        <w:rPr>
          <w:rFonts w:eastAsia="Calibri"/>
          <w:lang w:val="ru-RU"/>
        </w:rPr>
        <w:t xml:space="preserve">, и </w:t>
      </w:r>
      <w:r w:rsidR="00A94681" w:rsidRPr="0055747B">
        <w:rPr>
          <w:rFonts w:eastAsia="Calibri"/>
          <w:lang w:val="ru-RU"/>
        </w:rPr>
        <w:t>пешеходного о</w:t>
      </w:r>
      <w:r w:rsidR="00B469B7" w:rsidRPr="0055747B">
        <w:rPr>
          <w:rFonts w:eastAsia="Calibri"/>
          <w:lang w:val="ru-RU"/>
        </w:rPr>
        <w:t>граждения с защитой от перелезания, устанавливаемого с целью направления неаккредитованных лиц внутрь павильона для проведения досмотра и прохождения аккредитации (для посетителей и не имеющих аккредитации делегатов), который будет расположен у нового входа с авеню Джузеппе Мотта. Официальный отчет б</w:t>
      </w:r>
      <w:r w:rsidR="00E44972" w:rsidRPr="0055747B">
        <w:rPr>
          <w:rFonts w:eastAsia="Calibri"/>
          <w:lang w:val="ru-RU"/>
        </w:rPr>
        <w:t>ыл</w:t>
      </w:r>
      <w:r w:rsidR="00B469B7" w:rsidRPr="0055747B">
        <w:rPr>
          <w:rFonts w:eastAsia="Calibri"/>
          <w:lang w:val="ru-RU"/>
        </w:rPr>
        <w:t xml:space="preserve"> направлен Рабочей группе по безопасности Комитета по взаимодействию </w:t>
      </w:r>
      <w:r w:rsidR="00E44972" w:rsidRPr="0055747B">
        <w:rPr>
          <w:rFonts w:eastAsia="Calibri"/>
          <w:lang w:val="ru-RU"/>
        </w:rPr>
        <w:t>и КГГЧ</w:t>
      </w:r>
      <w:r w:rsidR="00B469B7" w:rsidRPr="0055747B">
        <w:rPr>
          <w:lang w:val="ru-RU"/>
        </w:rPr>
        <w:t xml:space="preserve">. </w:t>
      </w:r>
      <w:r w:rsidR="00E44972" w:rsidRPr="0055747B">
        <w:rPr>
          <w:lang w:val="ru-RU"/>
        </w:rPr>
        <w:t>Заместитель Генерального секретаря направил письмо Послу Швейцарии для продолжения обсуждения с органами власти страны</w:t>
      </w:r>
      <w:r w:rsidR="001120E5" w:rsidRPr="0055747B">
        <w:rPr>
          <w:lang w:val="ru-RU"/>
        </w:rPr>
        <w:t xml:space="preserve"> пребывания</w:t>
      </w:r>
      <w:r w:rsidR="00E44972" w:rsidRPr="0055747B">
        <w:rPr>
          <w:lang w:val="ru-RU"/>
        </w:rPr>
        <w:t xml:space="preserve"> вопроса о включении соответствующих мер смягчения последствий, таких как предлагаемые в официальном отчете</w:t>
      </w:r>
      <w:r w:rsidR="00B469B7" w:rsidRPr="0055747B">
        <w:rPr>
          <w:lang w:val="ru-RU" w:eastAsia="zh-CN"/>
        </w:rPr>
        <w:t>.</w:t>
      </w:r>
    </w:p>
    <w:p w:rsidR="0062201E" w:rsidRPr="0055747B" w:rsidRDefault="0062201E" w:rsidP="00E57516">
      <w:pPr>
        <w:rPr>
          <w:lang w:val="ru-RU"/>
        </w:rPr>
      </w:pPr>
      <w:r w:rsidRPr="0055747B">
        <w:rPr>
          <w:lang w:val="ru-RU"/>
        </w:rPr>
        <w:t>2.8</w:t>
      </w:r>
      <w:r w:rsidRPr="0055747B">
        <w:rPr>
          <w:lang w:val="ru-RU"/>
        </w:rPr>
        <w:tab/>
      </w:r>
      <w:r w:rsidR="00E44972" w:rsidRPr="0055747B">
        <w:rPr>
          <w:lang w:val="ru-RU"/>
        </w:rPr>
        <w:t xml:space="preserve">Последующие обсуждения с Комитетом по взаимодействию, с представительством Швейцарии при международных организациях в Женеве и с </w:t>
      </w:r>
      <w:r w:rsidR="00E57516" w:rsidRPr="0055747B">
        <w:rPr>
          <w:lang w:val="ru-RU"/>
        </w:rPr>
        <w:t>ФИПОИ показывают, что Швейцария понимает связанные с сотрудничеством, финансированием и доступом проблемы при включении здания, соответствующего требованиям МОСБ ООН, в застроенную городскую среду, и рассматривает вопрос об оптимальном достижении этого результата</w:t>
      </w:r>
      <w:r w:rsidRPr="0055747B">
        <w:rPr>
          <w:lang w:val="ru-RU"/>
        </w:rPr>
        <w:t xml:space="preserve">. </w:t>
      </w:r>
    </w:p>
    <w:p w:rsidR="0062201E" w:rsidRPr="0055747B" w:rsidRDefault="0062201E" w:rsidP="00E57516">
      <w:pPr>
        <w:pStyle w:val="Heading1"/>
        <w:rPr>
          <w:lang w:val="ru-RU"/>
        </w:rPr>
      </w:pPr>
      <w:r w:rsidRPr="0055747B">
        <w:rPr>
          <w:lang w:val="ru-RU"/>
        </w:rPr>
        <w:t>3</w:t>
      </w:r>
      <w:r w:rsidRPr="0055747B">
        <w:rPr>
          <w:lang w:val="ru-RU"/>
        </w:rPr>
        <w:tab/>
      </w:r>
      <w:r w:rsidR="00E57516" w:rsidRPr="0055747B">
        <w:rPr>
          <w:lang w:val="ru-RU"/>
        </w:rPr>
        <w:t>Руководство и управление</w:t>
      </w:r>
    </w:p>
    <w:p w:rsidR="0062201E" w:rsidRPr="0055747B" w:rsidRDefault="0062201E" w:rsidP="001120E5">
      <w:pPr>
        <w:rPr>
          <w:lang w:val="ru-RU" w:eastAsia="en-AU"/>
        </w:rPr>
      </w:pPr>
      <w:r w:rsidRPr="0055747B">
        <w:rPr>
          <w:lang w:val="ru-RU" w:eastAsia="en-AU"/>
        </w:rPr>
        <w:t>3.1</w:t>
      </w:r>
      <w:r w:rsidRPr="0055747B">
        <w:rPr>
          <w:lang w:val="ru-RU" w:eastAsia="en-AU"/>
        </w:rPr>
        <w:tab/>
      </w:r>
      <w:r w:rsidR="009227D3" w:rsidRPr="0055747B">
        <w:rPr>
          <w:lang w:val="ru-RU" w:eastAsia="en-AU"/>
        </w:rPr>
        <w:t>Вопрос об управлении проектом был прояснен, а руководящий состав укреплен, с целью исключения дублирования, обеспечения достаточной наглядности для всех заинтересованных сторон и сведения к минимуму прямых расходов при сохранении достаточной степени управления рисками</w:t>
      </w:r>
      <w:r w:rsidRPr="0055747B">
        <w:rPr>
          <w:lang w:val="ru-RU" w:eastAsia="en-AU"/>
        </w:rPr>
        <w:t xml:space="preserve">. </w:t>
      </w:r>
      <w:r w:rsidR="009227D3" w:rsidRPr="0055747B">
        <w:rPr>
          <w:lang w:val="ru-RU" w:eastAsia="en-AU"/>
        </w:rPr>
        <w:t>Ценные советы были с благодарностью получены от КГГЧ</w:t>
      </w:r>
      <w:r w:rsidR="00893756" w:rsidRPr="0055747B">
        <w:rPr>
          <w:lang w:val="ru-RU" w:eastAsia="en-AU"/>
        </w:rPr>
        <w:t>, IMAC</w:t>
      </w:r>
      <w:r w:rsidR="009227D3" w:rsidRPr="0055747B">
        <w:rPr>
          <w:lang w:val="ru-RU" w:eastAsia="en-AU"/>
        </w:rPr>
        <w:t xml:space="preserve"> и страны</w:t>
      </w:r>
      <w:r w:rsidR="001120E5" w:rsidRPr="0055747B">
        <w:rPr>
          <w:lang w:val="ru-RU" w:eastAsia="en-AU"/>
        </w:rPr>
        <w:t xml:space="preserve"> пребывания</w:t>
      </w:r>
      <w:r w:rsidR="00893756" w:rsidRPr="0055747B">
        <w:rPr>
          <w:lang w:val="ru-RU" w:eastAsia="en-AU"/>
        </w:rPr>
        <w:t>.</w:t>
      </w:r>
    </w:p>
    <w:p w:rsidR="0062201E" w:rsidRPr="0055747B" w:rsidRDefault="0062201E" w:rsidP="009227D3">
      <w:pPr>
        <w:rPr>
          <w:lang w:val="ru-RU" w:eastAsia="en-AU"/>
        </w:rPr>
      </w:pPr>
      <w:r w:rsidRPr="0055747B">
        <w:rPr>
          <w:lang w:val="ru-RU" w:eastAsia="en-AU"/>
        </w:rPr>
        <w:t>3.2</w:t>
      </w:r>
      <w:r w:rsidRPr="0055747B">
        <w:rPr>
          <w:lang w:val="ru-RU" w:eastAsia="en-AU"/>
        </w:rPr>
        <w:tab/>
      </w:r>
      <w:r w:rsidR="009227D3" w:rsidRPr="0055747B">
        <w:rPr>
          <w:lang w:val="ru-RU" w:eastAsia="en-AU"/>
        </w:rPr>
        <w:t xml:space="preserve">Обновленная органиграмма приведена в </w:t>
      </w:r>
      <w:r w:rsidR="009227D3" w:rsidRPr="0055747B">
        <w:rPr>
          <w:u w:val="single"/>
          <w:lang w:val="ru-RU" w:eastAsia="en-AU"/>
        </w:rPr>
        <w:t>Приложении 1</w:t>
      </w:r>
      <w:r w:rsidRPr="0055747B">
        <w:rPr>
          <w:lang w:val="ru-RU" w:eastAsia="en-AU"/>
        </w:rPr>
        <w:t xml:space="preserve">. </w:t>
      </w:r>
    </w:p>
    <w:p w:rsidR="0062201E" w:rsidRPr="0055747B" w:rsidRDefault="0062201E" w:rsidP="009C187F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lastRenderedPageBreak/>
        <w:t>−</w:t>
      </w:r>
      <w:r w:rsidRPr="0055747B">
        <w:rPr>
          <w:rFonts w:eastAsia="Calibri"/>
          <w:lang w:val="ru-RU"/>
        </w:rPr>
        <w:tab/>
      </w:r>
      <w:r w:rsidR="009C187F" w:rsidRPr="0055747B">
        <w:rPr>
          <w:rFonts w:eastAsia="Calibri"/>
          <w:lang w:val="ru-RU"/>
        </w:rPr>
        <w:t>в состав Руководящего комитета входят избираемые должностные лица МСЭ</w:t>
      </w:r>
      <w:r w:rsidRPr="0055747B">
        <w:rPr>
          <w:rFonts w:eastAsia="Calibri"/>
          <w:lang w:val="ru-RU"/>
        </w:rPr>
        <w:t>;</w:t>
      </w:r>
    </w:p>
    <w:p w:rsidR="0062201E" w:rsidRPr="0055747B" w:rsidRDefault="0062201E" w:rsidP="009C187F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−</w:t>
      </w:r>
      <w:r w:rsidRPr="0055747B">
        <w:rPr>
          <w:rFonts w:eastAsia="Calibri"/>
          <w:lang w:val="ru-RU"/>
        </w:rPr>
        <w:tab/>
      </w:r>
      <w:r w:rsidR="009C187F" w:rsidRPr="0055747B">
        <w:rPr>
          <w:rFonts w:eastAsia="Calibri"/>
          <w:lang w:val="ru-RU"/>
        </w:rPr>
        <w:t>Комитет по взаимодействию и его оперативные группы обеспечивают связь с принимающей страной</w:t>
      </w:r>
      <w:r w:rsidRPr="0055747B">
        <w:rPr>
          <w:rFonts w:eastAsia="Calibri"/>
          <w:lang w:val="ru-RU"/>
        </w:rPr>
        <w:t>;</w:t>
      </w:r>
    </w:p>
    <w:p w:rsidR="0062201E" w:rsidRPr="0055747B" w:rsidRDefault="0062201E" w:rsidP="009C187F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−</w:t>
      </w:r>
      <w:r w:rsidRPr="0055747B">
        <w:rPr>
          <w:rFonts w:eastAsia="Calibri"/>
          <w:lang w:val="ru-RU"/>
        </w:rPr>
        <w:tab/>
      </w:r>
      <w:r w:rsidR="009C187F" w:rsidRPr="0055747B">
        <w:rPr>
          <w:rFonts w:eastAsia="Calibri"/>
          <w:lang w:val="ru-RU"/>
        </w:rPr>
        <w:t>в Группу по требованиям к новому зданию входят координаторы от хозяйственных подразделений МСЭ</w:t>
      </w:r>
      <w:r w:rsidRPr="0055747B">
        <w:rPr>
          <w:rFonts w:eastAsia="Calibri"/>
          <w:lang w:val="ru-RU"/>
        </w:rPr>
        <w:t>.</w:t>
      </w:r>
    </w:p>
    <w:p w:rsidR="0062201E" w:rsidRPr="0055747B" w:rsidRDefault="0062201E" w:rsidP="009C187F">
      <w:pPr>
        <w:pStyle w:val="Heading1"/>
        <w:rPr>
          <w:lang w:val="ru-RU"/>
        </w:rPr>
      </w:pPr>
      <w:r w:rsidRPr="0055747B">
        <w:rPr>
          <w:lang w:val="ru-RU"/>
        </w:rPr>
        <w:t>4</w:t>
      </w:r>
      <w:r w:rsidRPr="0055747B">
        <w:rPr>
          <w:lang w:val="ru-RU"/>
        </w:rPr>
        <w:tab/>
      </w:r>
      <w:r w:rsidR="009C187F" w:rsidRPr="0055747B">
        <w:rPr>
          <w:lang w:val="ru-RU"/>
        </w:rPr>
        <w:t>Финансирование</w:t>
      </w:r>
      <w:r w:rsidRPr="0055747B">
        <w:rPr>
          <w:lang w:val="ru-RU"/>
        </w:rPr>
        <w:t xml:space="preserve">: </w:t>
      </w:r>
      <w:r w:rsidR="009C187F" w:rsidRPr="0055747B">
        <w:rPr>
          <w:lang w:val="ru-RU"/>
        </w:rPr>
        <w:t>Резолюция </w:t>
      </w:r>
      <w:r w:rsidRPr="0055747B">
        <w:rPr>
          <w:lang w:val="ru-RU"/>
        </w:rPr>
        <w:t>212</w:t>
      </w:r>
      <w:r w:rsidR="009C187F" w:rsidRPr="0055747B">
        <w:rPr>
          <w:lang w:val="ru-RU"/>
        </w:rPr>
        <w:t xml:space="preserve"> ПК</w:t>
      </w:r>
      <w:r w:rsidRPr="0055747B">
        <w:rPr>
          <w:lang w:val="ru-RU"/>
        </w:rPr>
        <w:t xml:space="preserve">, </w:t>
      </w:r>
      <w:r w:rsidR="009C187F" w:rsidRPr="0055747B">
        <w:rPr>
          <w:lang w:val="ru-RU"/>
        </w:rPr>
        <w:t>Решение</w:t>
      </w:r>
      <w:r w:rsidRPr="0055747B">
        <w:rPr>
          <w:lang w:val="ru-RU"/>
        </w:rPr>
        <w:t xml:space="preserve"> 5</w:t>
      </w:r>
      <w:r w:rsidR="009C187F" w:rsidRPr="0055747B">
        <w:rPr>
          <w:lang w:val="ru-RU"/>
        </w:rPr>
        <w:t xml:space="preserve"> ПК</w:t>
      </w:r>
      <w:r w:rsidRPr="0055747B">
        <w:rPr>
          <w:lang w:val="ru-RU"/>
        </w:rPr>
        <w:t xml:space="preserve"> </w:t>
      </w:r>
    </w:p>
    <w:p w:rsidR="00B469B7" w:rsidRPr="0055747B" w:rsidRDefault="0062201E" w:rsidP="00087540">
      <w:pPr>
        <w:rPr>
          <w:lang w:val="ru-RU"/>
        </w:rPr>
      </w:pPr>
      <w:r w:rsidRPr="0055747B">
        <w:rPr>
          <w:lang w:val="ru-RU"/>
        </w:rPr>
        <w:t>4.1</w:t>
      </w:r>
      <w:r w:rsidRPr="0055747B">
        <w:rPr>
          <w:lang w:val="ru-RU"/>
        </w:rPr>
        <w:tab/>
      </w:r>
      <w:bookmarkStart w:id="6" w:name="lt_pId113"/>
      <w:r w:rsidR="00B469B7" w:rsidRPr="0055747B">
        <w:rPr>
          <w:rFonts w:eastAsia="Calibri"/>
          <w:lang w:val="ru-RU"/>
        </w:rPr>
        <w:t>На Полномочной конференции 2018 года была принята н</w:t>
      </w:r>
      <w:r w:rsidR="00277529" w:rsidRPr="0055747B">
        <w:rPr>
          <w:rFonts w:eastAsia="Calibri"/>
          <w:lang w:val="ru-RU"/>
        </w:rPr>
        <w:t>овая Резолюция 212 (Дубай, 2018 </w:t>
      </w:r>
      <w:r w:rsidR="00B469B7" w:rsidRPr="0055747B">
        <w:rPr>
          <w:rFonts w:eastAsia="Calibri"/>
          <w:lang w:val="ru-RU"/>
        </w:rPr>
        <w:t xml:space="preserve">г.), касающаяся будущих помещений штаб-квартиры Союза. Эта </w:t>
      </w:r>
      <w:r w:rsidR="00277529" w:rsidRPr="0055747B">
        <w:rPr>
          <w:rFonts w:eastAsia="Calibri"/>
          <w:lang w:val="ru-RU"/>
        </w:rPr>
        <w:t xml:space="preserve">Резолюция </w:t>
      </w:r>
      <w:r w:rsidR="009C187F" w:rsidRPr="0055747B">
        <w:rPr>
          <w:rFonts w:eastAsia="Calibri"/>
          <w:lang w:val="ru-RU"/>
        </w:rPr>
        <w:t>заменяет Резолюцию </w:t>
      </w:r>
      <w:r w:rsidR="00B469B7" w:rsidRPr="0055747B">
        <w:rPr>
          <w:rFonts w:eastAsia="Calibri"/>
          <w:lang w:val="ru-RU"/>
        </w:rPr>
        <w:t>194 (Пусан, 2014 г.).</w:t>
      </w:r>
      <w:bookmarkEnd w:id="6"/>
    </w:p>
    <w:p w:rsidR="0062201E" w:rsidRPr="0055747B" w:rsidRDefault="0062201E" w:rsidP="009C187F">
      <w:pPr>
        <w:rPr>
          <w:lang w:val="ru-RU"/>
        </w:rPr>
      </w:pPr>
      <w:r w:rsidRPr="0055747B">
        <w:rPr>
          <w:lang w:val="ru-RU"/>
        </w:rPr>
        <w:t>4.2</w:t>
      </w:r>
      <w:r w:rsidRPr="0055747B">
        <w:rPr>
          <w:lang w:val="ru-RU"/>
        </w:rPr>
        <w:tab/>
      </w:r>
      <w:bookmarkStart w:id="7" w:name="lt_pId116"/>
      <w:r w:rsidR="00277529" w:rsidRPr="0055747B">
        <w:rPr>
          <w:rFonts w:eastAsia="Calibri"/>
          <w:lang w:val="ru-RU"/>
        </w:rPr>
        <w:t xml:space="preserve">В новой </w:t>
      </w:r>
      <w:r w:rsidR="009C187F" w:rsidRPr="0055747B">
        <w:rPr>
          <w:rFonts w:eastAsia="Calibri"/>
          <w:lang w:val="ru-RU"/>
        </w:rPr>
        <w:t>Р</w:t>
      </w:r>
      <w:r w:rsidR="00277529" w:rsidRPr="0055747B">
        <w:rPr>
          <w:rFonts w:eastAsia="Calibri"/>
          <w:lang w:val="ru-RU"/>
        </w:rPr>
        <w:t>езолюции принято решение о том:</w:t>
      </w:r>
      <w:bookmarkEnd w:id="7"/>
    </w:p>
    <w:p w:rsidR="0062201E" w:rsidRPr="0055747B" w:rsidRDefault="0062201E" w:rsidP="00277529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−</w:t>
      </w:r>
      <w:r w:rsidRPr="0055747B">
        <w:rPr>
          <w:rFonts w:eastAsia="Calibri"/>
          <w:lang w:val="ru-RU"/>
        </w:rPr>
        <w:tab/>
      </w:r>
      <w:r w:rsidR="00277529" w:rsidRPr="0055747B">
        <w:rPr>
          <w:rFonts w:eastAsia="Calibri"/>
          <w:lang w:val="ru-RU"/>
        </w:rPr>
        <w:t>что в соответствии с Решением 588 (2016 г.) Совета и другими соответствующими решениями Совета;</w:t>
      </w:r>
    </w:p>
    <w:p w:rsidR="0062201E" w:rsidRPr="0055747B" w:rsidRDefault="0062201E" w:rsidP="00277529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−</w:t>
      </w:r>
      <w:r w:rsidRPr="0055747B">
        <w:rPr>
          <w:rFonts w:eastAsia="Calibri"/>
          <w:lang w:val="ru-RU"/>
        </w:rPr>
        <w:tab/>
      </w:r>
      <w:r w:rsidR="00277529" w:rsidRPr="0055747B">
        <w:rPr>
          <w:rFonts w:eastAsia="Calibri"/>
          <w:lang w:val="ru-RU"/>
        </w:rPr>
        <w:t xml:space="preserve">финансирование должно осуществляться, прежде всего, за счет беспроцентной ссуды, предоставленной Швейцарской Конфедерацией, в размере не более 150 млн. швейцарских франков со сроком погашения более 50 лет, и может дополнительно осуществляться за счет спонсорской поддержки и пожертвований, а также </w:t>
      </w:r>
      <w:r w:rsidR="009C187F" w:rsidRPr="0055747B">
        <w:rPr>
          <w:rFonts w:eastAsia="Calibri"/>
          <w:lang w:val="ru-RU"/>
        </w:rPr>
        <w:t xml:space="preserve">временного </w:t>
      </w:r>
      <w:r w:rsidR="00277529" w:rsidRPr="0055747B">
        <w:rPr>
          <w:rFonts w:eastAsia="Calibri"/>
          <w:lang w:val="ru-RU"/>
        </w:rPr>
        <w:t xml:space="preserve">фонда, учрежденного Советом </w:t>
      </w:r>
      <w:r w:rsidR="009C187F" w:rsidRPr="0055747B">
        <w:rPr>
          <w:rFonts w:eastAsia="Calibri"/>
          <w:lang w:val="ru-RU"/>
        </w:rPr>
        <w:t xml:space="preserve">на обычной сессии </w:t>
      </w:r>
      <w:r w:rsidR="00277529" w:rsidRPr="0055747B">
        <w:rPr>
          <w:rFonts w:eastAsia="Calibri"/>
          <w:lang w:val="ru-RU"/>
        </w:rPr>
        <w:t>в 2018 году;</w:t>
      </w:r>
    </w:p>
    <w:p w:rsidR="0062201E" w:rsidRPr="0055747B" w:rsidRDefault="0062201E" w:rsidP="00087540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−</w:t>
      </w:r>
      <w:r w:rsidRPr="0055747B">
        <w:rPr>
          <w:rFonts w:eastAsia="Calibri"/>
          <w:lang w:val="ru-RU"/>
        </w:rPr>
        <w:tab/>
      </w:r>
      <w:r w:rsidR="00277529" w:rsidRPr="0055747B">
        <w:rPr>
          <w:rFonts w:eastAsia="Calibri"/>
          <w:lang w:val="ru-RU"/>
        </w:rPr>
        <w:t>КГГЧ</w:t>
      </w:r>
      <w:r w:rsidR="00087540" w:rsidRPr="0055747B">
        <w:rPr>
          <w:rFonts w:eastAsia="Calibri"/>
          <w:lang w:val="ru-RU"/>
        </w:rPr>
        <w:t xml:space="preserve"> будет</w:t>
      </w:r>
      <w:r w:rsidR="00277529" w:rsidRPr="0055747B">
        <w:rPr>
          <w:rFonts w:eastAsia="Calibri"/>
          <w:lang w:val="ru-RU"/>
        </w:rPr>
        <w:t xml:space="preserve"> проводить собрания в среднем один раз в квартал для рассмотрения хода осуществления проекта и представления руководящих указаний, и по меньшей мере дважды в год проводить информационные собрания для ознакомления представителей постоянных представительств в Женеве с обновленной информацией</w:t>
      </w:r>
      <w:r w:rsidRPr="0055747B">
        <w:rPr>
          <w:rFonts w:eastAsia="Calibri"/>
          <w:lang w:val="ru-RU"/>
        </w:rPr>
        <w:t>.</w:t>
      </w:r>
    </w:p>
    <w:p w:rsidR="0062201E" w:rsidRPr="0055747B" w:rsidRDefault="0062201E" w:rsidP="00277529">
      <w:pPr>
        <w:rPr>
          <w:rFonts w:eastAsia="SimSun"/>
          <w:lang w:val="ru-RU" w:eastAsia="zh-CN"/>
        </w:rPr>
      </w:pPr>
      <w:r w:rsidRPr="0055747B">
        <w:rPr>
          <w:lang w:val="ru-RU"/>
        </w:rPr>
        <w:t>4.3</w:t>
      </w:r>
      <w:r w:rsidRPr="0055747B">
        <w:rPr>
          <w:lang w:val="ru-RU"/>
        </w:rPr>
        <w:tab/>
      </w:r>
      <w:r w:rsidR="00277529" w:rsidRPr="0055747B">
        <w:rPr>
          <w:lang w:val="ru-RU"/>
        </w:rPr>
        <w:t>Кроме того, Решением 5 (Пересм. Дубай, 2018 г.) Совету поручено</w:t>
      </w:r>
      <w:r w:rsidRPr="0055747B">
        <w:rPr>
          <w:lang w:val="ru-RU"/>
        </w:rPr>
        <w:t>:</w:t>
      </w:r>
    </w:p>
    <w:p w:rsidR="0062201E" w:rsidRPr="0055747B" w:rsidRDefault="0062201E" w:rsidP="00277529">
      <w:pPr>
        <w:pStyle w:val="enumlev1"/>
        <w:rPr>
          <w:lang w:val="ru-RU"/>
        </w:rPr>
      </w:pPr>
      <w:r w:rsidRPr="0055747B">
        <w:rPr>
          <w:rFonts w:eastAsia="SimSun"/>
          <w:lang w:val="ru-RU" w:eastAsia="zh-CN"/>
        </w:rPr>
        <w:tab/>
      </w:r>
      <w:r w:rsidR="00277529" w:rsidRPr="0055747B">
        <w:rPr>
          <w:lang w:val="ru-RU"/>
        </w:rPr>
        <w:t>"</w:t>
      </w:r>
      <w:r w:rsidR="00277529" w:rsidRPr="0055747B">
        <w:rPr>
          <w:i/>
          <w:iCs/>
          <w:lang w:val="ru-RU"/>
        </w:rPr>
        <w:t>уполномочить Генерального секретаря, в случае возникновения активного сальдо в ходе исполнения бюджета, выделить Фонду проекта нового здания соответствующую сумму для финансирования затрат, которые не могут быть на законных основаниях профинансированы за счет предоставленной страной пребывания ссуды</w:t>
      </w:r>
      <w:r w:rsidR="00277529" w:rsidRPr="0055747B">
        <w:rPr>
          <w:lang w:val="ru-RU"/>
        </w:rPr>
        <w:t>".</w:t>
      </w:r>
    </w:p>
    <w:p w:rsidR="0062201E" w:rsidRPr="0055747B" w:rsidRDefault="0062201E" w:rsidP="00277529">
      <w:pPr>
        <w:rPr>
          <w:lang w:val="ru-RU"/>
        </w:rPr>
      </w:pPr>
      <w:r w:rsidRPr="0055747B">
        <w:rPr>
          <w:lang w:val="ru-RU"/>
        </w:rPr>
        <w:t>4.4</w:t>
      </w:r>
      <w:r w:rsidRPr="0055747B">
        <w:rPr>
          <w:lang w:val="ru-RU"/>
        </w:rPr>
        <w:tab/>
      </w:r>
      <w:r w:rsidR="00277529" w:rsidRPr="0055747B">
        <w:rPr>
          <w:lang w:val="ru-RU"/>
        </w:rPr>
        <w:t>Это означает, что теперь имеются следующие источники финансирования</w:t>
      </w:r>
      <w:r w:rsidRPr="0055747B">
        <w:rPr>
          <w:lang w:val="ru-RU"/>
        </w:rPr>
        <w:t>:</w:t>
      </w:r>
    </w:p>
    <w:p w:rsidR="00277529" w:rsidRPr="0055747B" w:rsidRDefault="00277529" w:rsidP="00277529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–</w:t>
      </w:r>
      <w:r w:rsidRPr="0055747B">
        <w:rPr>
          <w:rFonts w:eastAsia="Calibri"/>
          <w:lang w:val="ru-RU"/>
        </w:rPr>
        <w:tab/>
        <w:t xml:space="preserve">предоставленная страной пребывания ссуда (для </w:t>
      </w:r>
      <w:r w:rsidRPr="0055747B">
        <w:rPr>
          <w:rFonts w:eastAsia="Calibri"/>
          <w:bCs/>
          <w:lang w:val="ru-RU"/>
        </w:rPr>
        <w:t>затрат, которые могут быть на законных основаниях профинансированы за счет ссуды</w:t>
      </w:r>
      <w:r w:rsidRPr="0055747B">
        <w:rPr>
          <w:rFonts w:eastAsia="Calibri"/>
          <w:lang w:val="ru-RU"/>
        </w:rPr>
        <w:t>);</w:t>
      </w:r>
    </w:p>
    <w:p w:rsidR="00277529" w:rsidRPr="0055747B" w:rsidRDefault="00277529" w:rsidP="00277529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–</w:t>
      </w:r>
      <w:r w:rsidRPr="0055747B">
        <w:rPr>
          <w:rFonts w:eastAsia="Calibri"/>
          <w:lang w:val="ru-RU"/>
        </w:rPr>
        <w:tab/>
        <w:t>спонсорская поддержка;</w:t>
      </w:r>
    </w:p>
    <w:p w:rsidR="00277529" w:rsidRPr="0055747B" w:rsidRDefault="00277529" w:rsidP="00277529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–</w:t>
      </w:r>
      <w:r w:rsidRPr="0055747B">
        <w:rPr>
          <w:rFonts w:eastAsia="Calibri"/>
          <w:lang w:val="ru-RU"/>
        </w:rPr>
        <w:tab/>
        <w:t>пожертвования;</w:t>
      </w:r>
    </w:p>
    <w:p w:rsidR="00277529" w:rsidRPr="0055747B" w:rsidRDefault="00277529" w:rsidP="002C0212">
      <w:pPr>
        <w:pStyle w:val="enumlev1"/>
        <w:rPr>
          <w:rFonts w:eastAsia="Calibri"/>
          <w:lang w:val="ru-RU"/>
        </w:rPr>
      </w:pPr>
      <w:r w:rsidRPr="0055747B">
        <w:rPr>
          <w:rFonts w:eastAsia="Calibri"/>
          <w:lang w:val="ru-RU"/>
        </w:rPr>
        <w:t>−</w:t>
      </w:r>
      <w:r w:rsidRPr="0055747B">
        <w:rPr>
          <w:rFonts w:eastAsia="Calibri"/>
          <w:lang w:val="ru-RU"/>
        </w:rPr>
        <w:tab/>
      </w:r>
      <w:r w:rsidR="009C187F" w:rsidRPr="0055747B">
        <w:rPr>
          <w:color w:val="000000"/>
          <w:lang w:val="ru-RU"/>
        </w:rPr>
        <w:t>Фонд проекта нового здания, учрежденный Советом</w:t>
      </w:r>
      <w:r w:rsidRPr="0055747B">
        <w:rPr>
          <w:rFonts w:eastAsia="Calibri"/>
          <w:lang w:val="ru-RU"/>
        </w:rPr>
        <w:t xml:space="preserve"> 2018 </w:t>
      </w:r>
      <w:r w:rsidR="002C0212" w:rsidRPr="0055747B">
        <w:rPr>
          <w:rFonts w:eastAsia="Calibri"/>
          <w:lang w:val="ru-RU"/>
        </w:rPr>
        <w:t xml:space="preserve">года </w:t>
      </w:r>
      <w:r w:rsidRPr="0055747B">
        <w:rPr>
          <w:rFonts w:eastAsia="Calibri"/>
          <w:lang w:val="ru-RU"/>
        </w:rPr>
        <w:t>(</w:t>
      </w:r>
      <w:r w:rsidR="0056235B" w:rsidRPr="0055747B">
        <w:rPr>
          <w:color w:val="000000"/>
          <w:lang w:val="ru-RU"/>
        </w:rPr>
        <w:t>для финансирования затрат, которые не могут быть на законных основаниях профинансированы за счет ссуды</w:t>
      </w:r>
      <w:r w:rsidRPr="0055747B">
        <w:rPr>
          <w:rFonts w:eastAsia="Calibri"/>
          <w:lang w:val="ru-RU"/>
        </w:rPr>
        <w:t>).</w:t>
      </w:r>
    </w:p>
    <w:p w:rsidR="0062201E" w:rsidRPr="0055747B" w:rsidRDefault="0062201E" w:rsidP="0056235B">
      <w:pPr>
        <w:rPr>
          <w:lang w:val="ru-RU"/>
        </w:rPr>
      </w:pPr>
      <w:r w:rsidRPr="0055747B">
        <w:rPr>
          <w:lang w:val="ru-RU"/>
        </w:rPr>
        <w:lastRenderedPageBreak/>
        <w:t>4.5</w:t>
      </w:r>
      <w:r w:rsidRPr="0055747B">
        <w:rPr>
          <w:lang w:val="ru-RU"/>
        </w:rPr>
        <w:tab/>
      </w:r>
      <w:r w:rsidR="0056235B" w:rsidRPr="0055747B">
        <w:rPr>
          <w:lang w:val="ru-RU"/>
        </w:rPr>
        <w:t>Предлагается из экономии в 2018 году выделить 6 млн. швейцарских франков в описанный выше Фонд проекта нового здания</w:t>
      </w:r>
      <w:r w:rsidRPr="0055747B">
        <w:rPr>
          <w:lang w:val="ru-RU"/>
        </w:rPr>
        <w:t xml:space="preserve">. </w:t>
      </w:r>
      <w:r w:rsidR="0056235B" w:rsidRPr="0055747B">
        <w:rPr>
          <w:lang w:val="ru-RU"/>
        </w:rPr>
        <w:t xml:space="preserve">Описание финансирования приведено в </w:t>
      </w:r>
      <w:r w:rsidR="0056235B" w:rsidRPr="0055747B">
        <w:rPr>
          <w:u w:val="single"/>
          <w:lang w:val="ru-RU"/>
        </w:rPr>
        <w:t>Приложении 2</w:t>
      </w:r>
      <w:r w:rsidR="0056235B" w:rsidRPr="0055747B">
        <w:rPr>
          <w:lang w:val="ru-RU"/>
        </w:rPr>
        <w:t>, включая это ассигнование</w:t>
      </w:r>
      <w:r w:rsidRPr="0055747B">
        <w:rPr>
          <w:lang w:val="ru-RU"/>
        </w:rPr>
        <w:t>.</w:t>
      </w:r>
    </w:p>
    <w:p w:rsidR="0062201E" w:rsidRPr="0055747B" w:rsidRDefault="0062201E" w:rsidP="0056235B">
      <w:pPr>
        <w:pStyle w:val="Heading1"/>
        <w:rPr>
          <w:lang w:val="ru-RU"/>
        </w:rPr>
      </w:pPr>
      <w:r w:rsidRPr="0055747B">
        <w:rPr>
          <w:lang w:val="ru-RU"/>
        </w:rPr>
        <w:t>5</w:t>
      </w:r>
      <w:r w:rsidRPr="0055747B">
        <w:rPr>
          <w:lang w:val="ru-RU"/>
        </w:rPr>
        <w:tab/>
      </w:r>
      <w:r w:rsidR="0056235B" w:rsidRPr="0055747B">
        <w:rPr>
          <w:lang w:val="ru-RU"/>
        </w:rPr>
        <w:t>Спонсорская поддержка и пожертвования</w:t>
      </w:r>
    </w:p>
    <w:p w:rsidR="002750BC" w:rsidRPr="0055747B" w:rsidRDefault="0062201E" w:rsidP="00087540">
      <w:pPr>
        <w:rPr>
          <w:lang w:val="ru-RU"/>
        </w:rPr>
      </w:pPr>
      <w:r w:rsidRPr="0055747B">
        <w:rPr>
          <w:rFonts w:asciiTheme="minorHAnsi" w:hAnsiTheme="minorHAnsi"/>
          <w:color w:val="000000" w:themeColor="text1"/>
          <w:lang w:val="ru-RU"/>
        </w:rPr>
        <w:t>5.1</w:t>
      </w:r>
      <w:r w:rsidRPr="0055747B">
        <w:rPr>
          <w:rFonts w:asciiTheme="minorHAnsi" w:hAnsiTheme="minorHAnsi"/>
          <w:color w:val="000000" w:themeColor="text1"/>
          <w:lang w:val="ru-RU"/>
        </w:rPr>
        <w:tab/>
      </w:r>
      <w:r w:rsidR="002750BC" w:rsidRPr="0055747B">
        <w:rPr>
          <w:lang w:val="ru-RU"/>
        </w:rPr>
        <w:t>По состоянию на апрель 2019 года Саудовская Аравия и Объединенные Арабские Эмираты оказали щедрую спонсорскую поддержку в объеме 10 млн. швейцарских франков и 5 млн. швейцарских франков, соответственно; кроме того, щедры</w:t>
      </w:r>
      <w:r w:rsidR="00C33595" w:rsidRPr="0055747B">
        <w:rPr>
          <w:lang w:val="ru-RU"/>
        </w:rPr>
        <w:t>е</w:t>
      </w:r>
      <w:r w:rsidR="002750BC" w:rsidRPr="0055747B">
        <w:rPr>
          <w:lang w:val="ru-RU"/>
        </w:rPr>
        <w:t xml:space="preserve"> </w:t>
      </w:r>
      <w:r w:rsidR="00087540" w:rsidRPr="0055747B">
        <w:rPr>
          <w:lang w:val="ru-RU"/>
        </w:rPr>
        <w:t>пожертвования</w:t>
      </w:r>
      <w:r w:rsidR="002750BC" w:rsidRPr="0055747B">
        <w:rPr>
          <w:lang w:val="ru-RU"/>
        </w:rPr>
        <w:t xml:space="preserve"> в размере 100 000 долл. США</w:t>
      </w:r>
      <w:r w:rsidR="0056235B" w:rsidRPr="0055747B">
        <w:rPr>
          <w:lang w:val="ru-RU"/>
        </w:rPr>
        <w:t xml:space="preserve"> </w:t>
      </w:r>
      <w:r w:rsidR="002750BC" w:rsidRPr="0055747B">
        <w:rPr>
          <w:lang w:val="ru-RU"/>
        </w:rPr>
        <w:t>внесл</w:t>
      </w:r>
      <w:r w:rsidR="0056235B" w:rsidRPr="0055747B">
        <w:rPr>
          <w:lang w:val="ru-RU"/>
        </w:rPr>
        <w:t>а</w:t>
      </w:r>
      <w:r w:rsidR="002750BC" w:rsidRPr="0055747B">
        <w:rPr>
          <w:lang w:val="ru-RU"/>
        </w:rPr>
        <w:t xml:space="preserve"> Чешская Республика</w:t>
      </w:r>
      <w:r w:rsidR="00C33595" w:rsidRPr="0055747B">
        <w:rPr>
          <w:lang w:val="ru-RU"/>
        </w:rPr>
        <w:t xml:space="preserve"> и </w:t>
      </w:r>
      <w:r w:rsidR="0056235B" w:rsidRPr="0055747B">
        <w:rPr>
          <w:lang w:val="ru-RU"/>
        </w:rPr>
        <w:t xml:space="preserve">40 000 швейцарских франков </w:t>
      </w:r>
      <w:r w:rsidR="00C33595" w:rsidRPr="0055747B">
        <w:rPr>
          <w:lang w:val="ru-RU"/>
        </w:rPr>
        <w:t>− Гана.</w:t>
      </w:r>
    </w:p>
    <w:p w:rsidR="0062201E" w:rsidRPr="0055747B" w:rsidRDefault="0062201E" w:rsidP="0056235B">
      <w:pPr>
        <w:rPr>
          <w:lang w:val="ru-RU"/>
        </w:rPr>
      </w:pPr>
      <w:r w:rsidRPr="0055747B">
        <w:rPr>
          <w:lang w:val="ru-RU"/>
        </w:rPr>
        <w:t>5.2</w:t>
      </w:r>
      <w:r w:rsidRPr="0055747B">
        <w:rPr>
          <w:lang w:val="ru-RU"/>
        </w:rPr>
        <w:tab/>
      </w:r>
      <w:r w:rsidR="0056235B" w:rsidRPr="0055747B">
        <w:rPr>
          <w:lang w:val="ru-RU"/>
        </w:rPr>
        <w:t>В настоящее время обсуждается заинтересованность других Государств-Членов в оказании спонсорской поддержки</w:t>
      </w:r>
      <w:r w:rsidRPr="0055747B">
        <w:rPr>
          <w:lang w:val="ru-RU"/>
        </w:rPr>
        <w:t xml:space="preserve">. </w:t>
      </w:r>
      <w:r w:rsidR="00277529" w:rsidRPr="0055747B">
        <w:rPr>
          <w:rFonts w:eastAsia="Calibri" w:cs="Arial"/>
          <w:szCs w:val="24"/>
          <w:lang w:val="ru-RU"/>
        </w:rPr>
        <w:t>Государствам-Членам и Членам Секторов настоятельно рекоменд</w:t>
      </w:r>
      <w:r w:rsidR="0056235B" w:rsidRPr="0055747B">
        <w:rPr>
          <w:rFonts w:eastAsia="Calibri" w:cs="Arial"/>
          <w:szCs w:val="24"/>
          <w:lang w:val="ru-RU"/>
        </w:rPr>
        <w:t>уется</w:t>
      </w:r>
      <w:r w:rsidR="00277529" w:rsidRPr="0055747B">
        <w:rPr>
          <w:rFonts w:eastAsia="Calibri" w:cs="Arial"/>
          <w:szCs w:val="24"/>
          <w:lang w:val="ru-RU"/>
        </w:rPr>
        <w:t xml:space="preserve"> оказывать спонсорскую помощь и/или вносить пожертвования, а также обращаться к заместителю Генерального секретаря за информацией в случае заинтересованности.</w:t>
      </w:r>
    </w:p>
    <w:p w:rsidR="0062201E" w:rsidRPr="0055747B" w:rsidRDefault="0062201E" w:rsidP="0056235B">
      <w:pPr>
        <w:pStyle w:val="Heading1"/>
        <w:rPr>
          <w:lang w:val="ru-RU"/>
        </w:rPr>
      </w:pPr>
      <w:r w:rsidRPr="0055747B">
        <w:rPr>
          <w:lang w:val="ru-RU"/>
        </w:rPr>
        <w:t>6</w:t>
      </w:r>
      <w:r w:rsidRPr="0055747B">
        <w:rPr>
          <w:lang w:val="ru-RU"/>
        </w:rPr>
        <w:tab/>
      </w:r>
      <w:r w:rsidR="0056235B" w:rsidRPr="0055747B">
        <w:rPr>
          <w:lang w:val="ru-RU"/>
        </w:rPr>
        <w:t>Персонал и внешние ресурсы</w:t>
      </w:r>
    </w:p>
    <w:p w:rsidR="0062201E" w:rsidRPr="0055747B" w:rsidRDefault="0062201E" w:rsidP="00BE0A9E">
      <w:pPr>
        <w:rPr>
          <w:lang w:val="ru-RU"/>
        </w:rPr>
      </w:pPr>
      <w:r w:rsidRPr="0055747B">
        <w:rPr>
          <w:lang w:val="ru-RU"/>
        </w:rPr>
        <w:t>6.1</w:t>
      </w:r>
      <w:r w:rsidRPr="0055747B">
        <w:rPr>
          <w:lang w:val="ru-RU"/>
        </w:rPr>
        <w:tab/>
      </w:r>
      <w:r w:rsidR="001C0E2F" w:rsidRPr="0055747B">
        <w:rPr>
          <w:lang w:val="ru-RU"/>
        </w:rPr>
        <w:t xml:space="preserve">В дополнение к уже занятым на условиях полной занятости должностям старшего советника по вопросам строительства (Р5) в качестве </w:t>
      </w:r>
      <w:r w:rsidR="00087540" w:rsidRPr="0055747B">
        <w:rPr>
          <w:lang w:val="ru-RU"/>
        </w:rPr>
        <w:t>управляющего</w:t>
      </w:r>
      <w:r w:rsidR="001C0E2F" w:rsidRPr="0055747B">
        <w:rPr>
          <w:lang w:val="ru-RU"/>
        </w:rPr>
        <w:t xml:space="preserve"> проект</w:t>
      </w:r>
      <w:r w:rsidR="00087540" w:rsidRPr="0055747B">
        <w:rPr>
          <w:lang w:val="ru-RU"/>
        </w:rPr>
        <w:t>ом</w:t>
      </w:r>
      <w:r w:rsidR="001C0E2F" w:rsidRPr="0055747B">
        <w:rPr>
          <w:lang w:val="ru-RU"/>
        </w:rPr>
        <w:t xml:space="preserve"> и старшего сотрудника по вопросам закупок</w:t>
      </w:r>
      <w:r w:rsidRPr="0055747B">
        <w:rPr>
          <w:lang w:val="ru-RU"/>
        </w:rPr>
        <w:t xml:space="preserve"> (P4), </w:t>
      </w:r>
      <w:r w:rsidR="001C0E2F" w:rsidRPr="0055747B">
        <w:rPr>
          <w:lang w:val="ru-RU"/>
        </w:rPr>
        <w:t>в Канцелярии Генерального секретаря было создано подразделение, в которое командированы два сотрудника на условиях полной занятости</w:t>
      </w:r>
      <w:r w:rsidRPr="0055747B">
        <w:rPr>
          <w:lang w:val="ru-RU"/>
        </w:rPr>
        <w:t xml:space="preserve">: </w:t>
      </w:r>
      <w:r w:rsidR="001C0E2F" w:rsidRPr="0055747B">
        <w:rPr>
          <w:lang w:val="ru-RU"/>
        </w:rPr>
        <w:t>координатор по вопросам архитектуры и технологий</w:t>
      </w:r>
      <w:r w:rsidRPr="0055747B">
        <w:rPr>
          <w:lang w:val="ru-RU"/>
        </w:rPr>
        <w:t xml:space="preserve"> (P3)</w:t>
      </w:r>
      <w:r w:rsidR="00BE0A9E" w:rsidRPr="0055747B">
        <w:rPr>
          <w:lang w:val="ru-RU"/>
        </w:rPr>
        <w:t xml:space="preserve"> и</w:t>
      </w:r>
      <w:r w:rsidRPr="0055747B">
        <w:rPr>
          <w:lang w:val="ru-RU"/>
        </w:rPr>
        <w:t xml:space="preserve"> </w:t>
      </w:r>
      <w:r w:rsidR="00E02526" w:rsidRPr="0055747B">
        <w:rPr>
          <w:lang w:val="ru-RU"/>
        </w:rPr>
        <w:t>старший помощник</w:t>
      </w:r>
      <w:r w:rsidRPr="0055747B">
        <w:rPr>
          <w:lang w:val="ru-RU"/>
        </w:rPr>
        <w:t xml:space="preserve"> (G6). </w:t>
      </w:r>
      <w:r w:rsidR="00E02526" w:rsidRPr="0055747B">
        <w:rPr>
          <w:lang w:val="ru-RU"/>
        </w:rPr>
        <w:t>Другие сотрудники выполняют задачи по проекту в рамках своих существующих обязанностей</w:t>
      </w:r>
      <w:r w:rsidRPr="0055747B">
        <w:rPr>
          <w:lang w:val="ru-RU"/>
        </w:rPr>
        <w:t>.</w:t>
      </w:r>
    </w:p>
    <w:p w:rsidR="0062201E" w:rsidRPr="0055747B" w:rsidRDefault="0062201E" w:rsidP="00E02526">
      <w:pPr>
        <w:rPr>
          <w:lang w:val="ru-RU"/>
        </w:rPr>
      </w:pPr>
      <w:r w:rsidRPr="0055747B">
        <w:rPr>
          <w:lang w:val="ru-RU"/>
        </w:rPr>
        <w:t>6.2</w:t>
      </w:r>
      <w:r w:rsidRPr="0055747B">
        <w:rPr>
          <w:lang w:val="ru-RU"/>
        </w:rPr>
        <w:tab/>
      </w:r>
      <w:r w:rsidR="00E02526" w:rsidRPr="0055747B">
        <w:rPr>
          <w:lang w:val="ru-RU"/>
        </w:rPr>
        <w:t xml:space="preserve">Компания </w:t>
      </w:r>
      <w:r w:rsidRPr="0055747B">
        <w:rPr>
          <w:lang w:val="ru-RU"/>
        </w:rPr>
        <w:t xml:space="preserve">KPMG </w:t>
      </w:r>
      <w:r w:rsidR="00E02526" w:rsidRPr="0055747B">
        <w:rPr>
          <w:lang w:val="ru-RU"/>
        </w:rPr>
        <w:t>привлекалась для предоставления консультаций по технической поддержке до апреля 2019 года</w:t>
      </w:r>
      <w:r w:rsidRPr="0055747B">
        <w:rPr>
          <w:lang w:val="ru-RU"/>
        </w:rPr>
        <w:t xml:space="preserve">. </w:t>
      </w:r>
      <w:r w:rsidR="00E02526" w:rsidRPr="0055747B">
        <w:rPr>
          <w:color w:val="000000"/>
          <w:lang w:val="ru-RU"/>
        </w:rPr>
        <w:t>В ноябре 2018 года была начата международная процедура закупок для обеспечения долгосрочного управления проектом, технической поддержки и управления рисками начиная с апреля 2019 года</w:t>
      </w:r>
      <w:r w:rsidRPr="0055747B">
        <w:rPr>
          <w:lang w:val="ru-RU"/>
        </w:rPr>
        <w:t xml:space="preserve">, </w:t>
      </w:r>
      <w:r w:rsidR="00E02526" w:rsidRPr="0055747B">
        <w:rPr>
          <w:lang w:val="ru-RU"/>
        </w:rPr>
        <w:t>результатом чего стала рекомендация</w:t>
      </w:r>
      <w:r w:rsidR="00F1337E" w:rsidRPr="0055747B">
        <w:rPr>
          <w:lang w:val="ru-RU"/>
        </w:rPr>
        <w:t>,</w:t>
      </w:r>
      <w:r w:rsidR="00E02526" w:rsidRPr="0055747B">
        <w:rPr>
          <w:lang w:val="ru-RU"/>
        </w:rPr>
        <w:t xml:space="preserve"> принятая Генеральным секретарем</w:t>
      </w:r>
      <w:r w:rsidRPr="0055747B">
        <w:rPr>
          <w:lang w:val="ru-RU"/>
        </w:rPr>
        <w:t xml:space="preserve">. </w:t>
      </w:r>
      <w:r w:rsidR="00E02526" w:rsidRPr="0055747B">
        <w:rPr>
          <w:lang w:val="ru-RU"/>
        </w:rPr>
        <w:t xml:space="preserve">Обсуждается заключение контракта с известным на международном уровне поставщиком, который будет приглашаться на собрания </w:t>
      </w:r>
      <w:r w:rsidR="00E02526" w:rsidRPr="0055747B">
        <w:rPr>
          <w:color w:val="000000"/>
          <w:lang w:val="ru-RU"/>
        </w:rPr>
        <w:t>Правления и, в частности, подгруппы по эксплуатационным требованиям</w:t>
      </w:r>
      <w:r w:rsidRPr="0055747B">
        <w:rPr>
          <w:lang w:val="ru-RU"/>
        </w:rPr>
        <w:t>.</w:t>
      </w:r>
    </w:p>
    <w:p w:rsidR="0062201E" w:rsidRPr="0055747B" w:rsidRDefault="0062201E" w:rsidP="00B20B1F">
      <w:pPr>
        <w:pStyle w:val="Heading1"/>
        <w:rPr>
          <w:lang w:val="ru-RU"/>
        </w:rPr>
      </w:pPr>
      <w:r w:rsidRPr="0055747B">
        <w:rPr>
          <w:lang w:val="ru-RU"/>
        </w:rPr>
        <w:t>7</w:t>
      </w:r>
      <w:r w:rsidRPr="0055747B">
        <w:rPr>
          <w:lang w:val="ru-RU"/>
        </w:rPr>
        <w:tab/>
      </w:r>
      <w:r w:rsidR="00CB2C49" w:rsidRPr="0055747B">
        <w:rPr>
          <w:lang w:val="ru-RU"/>
        </w:rPr>
        <w:t xml:space="preserve">Непрерывность </w:t>
      </w:r>
      <w:r w:rsidR="00B20B1F" w:rsidRPr="0055747B">
        <w:rPr>
          <w:lang w:val="ru-RU"/>
        </w:rPr>
        <w:t>деятельности</w:t>
      </w:r>
      <w:r w:rsidR="00CB2C49" w:rsidRPr="0055747B">
        <w:rPr>
          <w:lang w:val="ru-RU"/>
        </w:rPr>
        <w:t xml:space="preserve"> во время сноса и строительства</w:t>
      </w:r>
    </w:p>
    <w:p w:rsidR="00277529" w:rsidRPr="0055747B" w:rsidRDefault="0062201E" w:rsidP="00B20B1F">
      <w:pPr>
        <w:rPr>
          <w:lang w:val="ru-RU"/>
        </w:rPr>
      </w:pPr>
      <w:r w:rsidRPr="0055747B">
        <w:rPr>
          <w:rFonts w:asciiTheme="minorHAnsi" w:hAnsiTheme="minorHAnsi"/>
          <w:lang w:val="ru-RU"/>
        </w:rPr>
        <w:t>7.1</w:t>
      </w:r>
      <w:r w:rsidRPr="0055747B">
        <w:rPr>
          <w:rFonts w:asciiTheme="minorHAnsi" w:hAnsiTheme="minorHAnsi"/>
          <w:lang w:val="ru-RU"/>
        </w:rPr>
        <w:tab/>
      </w:r>
      <w:bookmarkStart w:id="8" w:name="lt_pId158"/>
      <w:r w:rsidR="00B20B1F" w:rsidRPr="0055747B">
        <w:rPr>
          <w:rFonts w:eastAsia="Calibri" w:cs="Arial"/>
          <w:szCs w:val="24"/>
          <w:lang w:val="ru-RU"/>
        </w:rPr>
        <w:t xml:space="preserve">Секретариат </w:t>
      </w:r>
      <w:r w:rsidR="00277529" w:rsidRPr="0055747B">
        <w:rPr>
          <w:rFonts w:eastAsia="Calibri" w:cs="Arial"/>
          <w:szCs w:val="24"/>
          <w:lang w:val="ru-RU"/>
        </w:rPr>
        <w:t xml:space="preserve">МСЭ </w:t>
      </w:r>
      <w:r w:rsidR="00B20B1F" w:rsidRPr="0055747B">
        <w:rPr>
          <w:rFonts w:eastAsia="Calibri" w:cs="Arial"/>
          <w:szCs w:val="24"/>
          <w:lang w:val="ru-RU"/>
        </w:rPr>
        <w:t xml:space="preserve">работает над тем, чтобы </w:t>
      </w:r>
      <w:r w:rsidR="00277529" w:rsidRPr="0055747B">
        <w:rPr>
          <w:rFonts w:eastAsia="Calibri" w:cs="Arial"/>
          <w:szCs w:val="24"/>
          <w:lang w:val="ru-RU"/>
        </w:rPr>
        <w:t xml:space="preserve">избежать необходимости арендовать временные офисные помещения в течение переходного периода (между освобождением здания "Варембе" и переездом в новое здание), </w:t>
      </w:r>
      <w:r w:rsidR="00CB2C49" w:rsidRPr="0055747B">
        <w:rPr>
          <w:rFonts w:eastAsia="Calibri" w:cs="Arial"/>
          <w:szCs w:val="24"/>
          <w:lang w:val="ru-RU"/>
        </w:rPr>
        <w:t>более эффективно используя</w:t>
      </w:r>
      <w:r w:rsidR="00277529" w:rsidRPr="0055747B">
        <w:rPr>
          <w:rFonts w:eastAsia="Calibri" w:cs="Arial"/>
          <w:szCs w:val="24"/>
          <w:lang w:val="ru-RU"/>
        </w:rPr>
        <w:t xml:space="preserve"> площади в зданиях "Башня" и "Монбрийан" и </w:t>
      </w:r>
      <w:r w:rsidR="00CB2C49" w:rsidRPr="0055747B">
        <w:rPr>
          <w:rFonts w:eastAsia="Calibri" w:cs="Arial"/>
          <w:szCs w:val="24"/>
          <w:lang w:val="ru-RU"/>
        </w:rPr>
        <w:t>внедряя гибкую организацию работы</w:t>
      </w:r>
      <w:r w:rsidR="00277529" w:rsidRPr="0055747B">
        <w:rPr>
          <w:rFonts w:eastAsia="Calibri" w:cs="Arial"/>
          <w:szCs w:val="24"/>
          <w:lang w:val="ru-RU"/>
        </w:rPr>
        <w:t>.</w:t>
      </w:r>
      <w:bookmarkEnd w:id="8"/>
    </w:p>
    <w:p w:rsidR="005273F2" w:rsidRPr="0055747B" w:rsidRDefault="0062201E" w:rsidP="00357C5D">
      <w:pPr>
        <w:rPr>
          <w:lang w:val="ru-RU"/>
        </w:rPr>
      </w:pPr>
      <w:r w:rsidRPr="0055747B">
        <w:rPr>
          <w:lang w:val="ru-RU"/>
        </w:rPr>
        <w:lastRenderedPageBreak/>
        <w:t>7.2</w:t>
      </w:r>
      <w:r w:rsidRPr="0055747B">
        <w:rPr>
          <w:lang w:val="ru-RU"/>
        </w:rPr>
        <w:tab/>
      </w:r>
      <w:r w:rsidR="00B20B1F" w:rsidRPr="0055747B">
        <w:rPr>
          <w:rFonts w:eastAsia="Calibri" w:cs="Arial"/>
          <w:szCs w:val="24"/>
          <w:lang w:val="ru-RU"/>
        </w:rPr>
        <w:t xml:space="preserve">Секретариат МСЭ обсуждает возможность избежать необходимости арендовать помещения для собраний в период, когда залы заседаний в зданиях </w:t>
      </w:r>
      <w:r w:rsidR="005273F2" w:rsidRPr="0055747B">
        <w:rPr>
          <w:rFonts w:eastAsia="Calibri" w:cs="Arial"/>
          <w:szCs w:val="24"/>
          <w:lang w:val="ru-RU"/>
        </w:rPr>
        <w:t>"Башня" и "Монбрийан" будут непригодны для использования из-за серьезных неудобств, связанных со строительными работами (в</w:t>
      </w:r>
      <w:r w:rsidR="00357C5D" w:rsidRPr="0055747B">
        <w:rPr>
          <w:rFonts w:eastAsia="Calibri" w:cs="Arial"/>
          <w:szCs w:val="24"/>
          <w:lang w:val="ru-RU"/>
        </w:rPr>
        <w:t> </w:t>
      </w:r>
      <w:r w:rsidR="005273F2" w:rsidRPr="0055747B">
        <w:rPr>
          <w:rFonts w:eastAsia="Calibri" w:cs="Arial"/>
          <w:szCs w:val="24"/>
          <w:lang w:val="ru-RU"/>
        </w:rPr>
        <w:t>2022−2023 гг.), благодаря тому что Государства-Члены будут предлагать принимать собрания на обычных условиях (с покрытием расходов на поездки и суточные вспомогательного персонала МСЭ)</w:t>
      </w:r>
      <w:r w:rsidR="00357C5D" w:rsidRPr="0055747B">
        <w:rPr>
          <w:rFonts w:eastAsia="Calibri" w:cs="Arial"/>
          <w:szCs w:val="24"/>
          <w:lang w:val="ru-RU"/>
        </w:rPr>
        <w:t>.</w:t>
      </w:r>
    </w:p>
    <w:p w:rsidR="0062201E" w:rsidRPr="0055747B" w:rsidRDefault="0062201E" w:rsidP="005273F2">
      <w:pPr>
        <w:pStyle w:val="Heading1"/>
        <w:rPr>
          <w:lang w:val="ru-RU"/>
        </w:rPr>
      </w:pPr>
      <w:r w:rsidRPr="0055747B">
        <w:rPr>
          <w:lang w:val="ru-RU"/>
        </w:rPr>
        <w:t>8</w:t>
      </w:r>
      <w:r w:rsidRPr="0055747B">
        <w:rPr>
          <w:lang w:val="ru-RU"/>
        </w:rPr>
        <w:tab/>
      </w:r>
      <w:r w:rsidR="005273F2" w:rsidRPr="0055747B">
        <w:rPr>
          <w:lang w:val="ru-RU"/>
        </w:rPr>
        <w:t>График</w:t>
      </w:r>
    </w:p>
    <w:p w:rsidR="0062201E" w:rsidRPr="0055747B" w:rsidRDefault="0062201E" w:rsidP="00F1337E">
      <w:pPr>
        <w:rPr>
          <w:lang w:val="ru-RU"/>
        </w:rPr>
      </w:pPr>
      <w:r w:rsidRPr="0055747B">
        <w:rPr>
          <w:lang w:val="ru-RU"/>
        </w:rPr>
        <w:t>8.1</w:t>
      </w:r>
      <w:r w:rsidRPr="0055747B">
        <w:rPr>
          <w:lang w:val="ru-RU"/>
        </w:rPr>
        <w:tab/>
      </w:r>
      <w:r w:rsidR="00F1337E" w:rsidRPr="0055747B">
        <w:rPr>
          <w:lang w:val="ru-RU"/>
        </w:rPr>
        <w:t>Основные этапы г</w:t>
      </w:r>
      <w:r w:rsidR="005273F2" w:rsidRPr="0055747B">
        <w:rPr>
          <w:lang w:val="ru-RU"/>
        </w:rPr>
        <w:t>рафик</w:t>
      </w:r>
      <w:r w:rsidR="00F1337E" w:rsidRPr="0055747B">
        <w:rPr>
          <w:lang w:val="ru-RU"/>
        </w:rPr>
        <w:t>а</w:t>
      </w:r>
      <w:r w:rsidR="005273F2" w:rsidRPr="0055747B">
        <w:rPr>
          <w:lang w:val="ru-RU"/>
        </w:rPr>
        <w:t xml:space="preserve"> осуществления проекта вкратце представлен</w:t>
      </w:r>
      <w:r w:rsidR="00F1337E" w:rsidRPr="0055747B">
        <w:rPr>
          <w:lang w:val="ru-RU"/>
        </w:rPr>
        <w:t>ы</w:t>
      </w:r>
      <w:r w:rsidR="005273F2" w:rsidRPr="0055747B">
        <w:rPr>
          <w:lang w:val="ru-RU"/>
        </w:rPr>
        <w:t xml:space="preserve"> в </w:t>
      </w:r>
      <w:r w:rsidR="005273F2" w:rsidRPr="0055747B">
        <w:rPr>
          <w:u w:val="single"/>
          <w:lang w:val="ru-RU"/>
        </w:rPr>
        <w:t>Приложении 3</w:t>
      </w:r>
      <w:r w:rsidRPr="0055747B">
        <w:rPr>
          <w:lang w:val="ru-RU"/>
        </w:rPr>
        <w:t>.</w:t>
      </w:r>
    </w:p>
    <w:p w:rsidR="0062201E" w:rsidRPr="0055747B" w:rsidRDefault="0062201E" w:rsidP="0062201E">
      <w:pPr>
        <w:rPr>
          <w:rFonts w:eastAsia="SimSun"/>
          <w:lang w:val="ru-RU"/>
        </w:rPr>
      </w:pPr>
      <w:r w:rsidRPr="0055747B">
        <w:rPr>
          <w:rFonts w:eastAsia="SimSun"/>
          <w:lang w:val="ru-RU"/>
        </w:rPr>
        <w:br w:type="page"/>
      </w:r>
    </w:p>
    <w:p w:rsidR="0062201E" w:rsidRPr="0055747B" w:rsidRDefault="0062201E" w:rsidP="0062201E">
      <w:pPr>
        <w:pStyle w:val="AnnexNo"/>
        <w:rPr>
          <w:lang w:val="ru-RU"/>
        </w:rPr>
      </w:pPr>
      <w:r w:rsidRPr="0055747B">
        <w:rPr>
          <w:lang w:val="ru-RU"/>
        </w:rPr>
        <w:lastRenderedPageBreak/>
        <w:t>Приложение 1</w:t>
      </w:r>
    </w:p>
    <w:p w:rsidR="0062201E" w:rsidRPr="0055747B" w:rsidRDefault="00A110C9" w:rsidP="00EC6BC5">
      <w:pPr>
        <w:rPr>
          <w:lang w:val="ru-RU"/>
        </w:rPr>
      </w:pPr>
      <w:r w:rsidRPr="0055747B">
        <w:rPr>
          <w:noProof/>
          <w:lang w:eastAsia="zh-CN"/>
        </w:rPr>
        <w:drawing>
          <wp:inline distT="0" distB="0" distL="0" distR="0" wp14:anchorId="51E9AC55">
            <wp:extent cx="6518593" cy="488801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951" cy="4892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01E" w:rsidRPr="0055747B" w:rsidRDefault="0062201E" w:rsidP="0062201E">
      <w:pPr>
        <w:rPr>
          <w:lang w:val="ru-RU"/>
        </w:rPr>
      </w:pPr>
      <w:r w:rsidRPr="0055747B">
        <w:rPr>
          <w:lang w:val="ru-RU"/>
        </w:rPr>
        <w:br w:type="page"/>
      </w:r>
    </w:p>
    <w:p w:rsidR="0062201E" w:rsidRPr="0055747B" w:rsidRDefault="0062201E" w:rsidP="0062201E">
      <w:pPr>
        <w:pStyle w:val="AnnexNo"/>
        <w:rPr>
          <w:lang w:val="ru-RU"/>
        </w:rPr>
      </w:pPr>
      <w:r w:rsidRPr="0055747B">
        <w:rPr>
          <w:lang w:val="ru-RU"/>
        </w:rPr>
        <w:lastRenderedPageBreak/>
        <w:t>Приложение 2</w:t>
      </w:r>
    </w:p>
    <w:p w:rsidR="0062201E" w:rsidRPr="0055747B" w:rsidRDefault="000438D3" w:rsidP="000438D3">
      <w:pPr>
        <w:pStyle w:val="Annextitle"/>
        <w:rPr>
          <w:lang w:val="ru-RU"/>
        </w:rPr>
      </w:pPr>
      <w:bookmarkStart w:id="9" w:name="lt_pId118"/>
      <w:r w:rsidRPr="0055747B">
        <w:rPr>
          <w:lang w:val="ru-RU"/>
        </w:rPr>
        <w:t>Сведения по финансам и бюджету</w:t>
      </w:r>
      <w:bookmarkEnd w:id="9"/>
    </w:p>
    <w:p w:rsidR="0062201E" w:rsidRPr="0055747B" w:rsidRDefault="00B07C6E" w:rsidP="00B07C6E">
      <w:pPr>
        <w:pStyle w:val="Headingb"/>
        <w:rPr>
          <w:lang w:val="ru-RU"/>
        </w:rPr>
      </w:pPr>
      <w:bookmarkStart w:id="10" w:name="lt_pId119"/>
      <w:r w:rsidRPr="0055747B">
        <w:rPr>
          <w:lang w:val="ru-RU"/>
        </w:rPr>
        <w:t>Примечания к таблице бюджетных расходов на обороте</w:t>
      </w:r>
      <w:bookmarkEnd w:id="10"/>
    </w:p>
    <w:p w:rsidR="0062201E" w:rsidRPr="0055747B" w:rsidRDefault="00893756" w:rsidP="00F1337E">
      <w:pPr>
        <w:pStyle w:val="enumlev1"/>
        <w:rPr>
          <w:lang w:val="ru-RU"/>
        </w:rPr>
      </w:pPr>
      <w:bookmarkStart w:id="11" w:name="lt_pId120"/>
      <w:r w:rsidRPr="0055747B">
        <w:rPr>
          <w:lang w:val="ru-RU"/>
        </w:rPr>
        <w:t>1)</w:t>
      </w:r>
      <w:r w:rsidRPr="0055747B">
        <w:rPr>
          <w:lang w:val="ru-RU"/>
        </w:rPr>
        <w:tab/>
      </w:r>
      <w:r w:rsidR="00B07C6E" w:rsidRPr="0055747B">
        <w:rPr>
          <w:lang w:val="ru-RU"/>
        </w:rPr>
        <w:t>Деятельность внутреннего персонала по основным внутренним функциям</w:t>
      </w:r>
      <w:r w:rsidR="0062201E" w:rsidRPr="0055747B">
        <w:rPr>
          <w:lang w:val="ru-RU"/>
        </w:rPr>
        <w:t xml:space="preserve">: </w:t>
      </w:r>
      <w:r w:rsidR="00B07C6E" w:rsidRPr="0055747B">
        <w:rPr>
          <w:lang w:val="ru-RU"/>
        </w:rPr>
        <w:t>старший советник по вопросам строительства</w:t>
      </w:r>
      <w:r w:rsidR="0062201E" w:rsidRPr="0055747B">
        <w:rPr>
          <w:lang w:val="ru-RU"/>
        </w:rPr>
        <w:t xml:space="preserve"> (P5), </w:t>
      </w:r>
      <w:r w:rsidR="00B07C6E" w:rsidRPr="0055747B">
        <w:rPr>
          <w:lang w:val="ru-RU"/>
        </w:rPr>
        <w:t xml:space="preserve">координатор по вопросам архитектуры и технологий </w:t>
      </w:r>
      <w:r w:rsidR="0062201E" w:rsidRPr="0055747B">
        <w:rPr>
          <w:lang w:val="ru-RU"/>
        </w:rPr>
        <w:t xml:space="preserve">(P3), </w:t>
      </w:r>
      <w:r w:rsidR="00B07C6E" w:rsidRPr="0055747B">
        <w:rPr>
          <w:lang w:val="ru-RU"/>
        </w:rPr>
        <w:t>помощник по проекту</w:t>
      </w:r>
      <w:r w:rsidR="0062201E" w:rsidRPr="0055747B">
        <w:rPr>
          <w:lang w:val="ru-RU"/>
        </w:rPr>
        <w:t xml:space="preserve"> (G6)</w:t>
      </w:r>
      <w:r w:rsidR="00F1337E" w:rsidRPr="0055747B">
        <w:rPr>
          <w:lang w:val="ru-RU"/>
        </w:rPr>
        <w:t xml:space="preserve"> –</w:t>
      </w:r>
      <w:r w:rsidR="0062201E" w:rsidRPr="0055747B">
        <w:rPr>
          <w:lang w:val="ru-RU"/>
        </w:rPr>
        <w:t xml:space="preserve"> </w:t>
      </w:r>
      <w:r w:rsidR="00B07C6E" w:rsidRPr="0055747B">
        <w:rPr>
          <w:lang w:val="ru-RU"/>
        </w:rPr>
        <w:t>финансируется из регулярного бюджета</w:t>
      </w:r>
      <w:r w:rsidR="0062201E" w:rsidRPr="0055747B">
        <w:rPr>
          <w:lang w:val="ru-RU"/>
        </w:rPr>
        <w:t>.</w:t>
      </w:r>
      <w:bookmarkEnd w:id="11"/>
      <w:r w:rsidR="0062201E" w:rsidRPr="0055747B">
        <w:rPr>
          <w:lang w:val="ru-RU"/>
        </w:rPr>
        <w:t xml:space="preserve"> </w:t>
      </w:r>
      <w:bookmarkStart w:id="12" w:name="lt_pId121"/>
      <w:r w:rsidR="00B87B3B" w:rsidRPr="0055747B">
        <w:rPr>
          <w:lang w:val="ru-RU"/>
        </w:rPr>
        <w:t>Отделенная от проекта строительства здания штаб-квартиры работа по изменению культуры организации финансируется из регулярного бюджета</w:t>
      </w:r>
      <w:r w:rsidR="0062201E" w:rsidRPr="0055747B">
        <w:rPr>
          <w:lang w:val="ru-RU"/>
        </w:rPr>
        <w:t>.</w:t>
      </w:r>
      <w:bookmarkEnd w:id="12"/>
    </w:p>
    <w:p w:rsidR="0062201E" w:rsidRPr="0055747B" w:rsidRDefault="00893756" w:rsidP="00F1337E">
      <w:pPr>
        <w:pStyle w:val="enumlev1"/>
        <w:rPr>
          <w:lang w:val="ru-RU"/>
        </w:rPr>
      </w:pPr>
      <w:bookmarkStart w:id="13" w:name="lt_pId122"/>
      <w:r w:rsidRPr="0055747B">
        <w:rPr>
          <w:lang w:val="ru-RU"/>
        </w:rPr>
        <w:t>2)</w:t>
      </w:r>
      <w:r w:rsidRPr="0055747B">
        <w:rPr>
          <w:lang w:val="ru-RU"/>
        </w:rPr>
        <w:tab/>
        <w:t>"</w:t>
      </w:r>
      <w:r w:rsidR="00F1337E" w:rsidRPr="0055747B">
        <w:rPr>
          <w:color w:val="000000"/>
          <w:lang w:val="ru-RU"/>
        </w:rPr>
        <w:t>Н</w:t>
      </w:r>
      <w:r w:rsidR="00B87B3B" w:rsidRPr="0055747B">
        <w:rPr>
          <w:color w:val="000000"/>
          <w:lang w:val="ru-RU"/>
        </w:rPr>
        <w:t>а законных основаниях профинансированы за счет ссуды</w:t>
      </w:r>
      <w:r w:rsidRPr="0055747B">
        <w:rPr>
          <w:lang w:val="ru-RU"/>
        </w:rPr>
        <w:t>"</w:t>
      </w:r>
      <w:r w:rsidR="0062201E" w:rsidRPr="0055747B">
        <w:rPr>
          <w:lang w:val="ru-RU"/>
        </w:rPr>
        <w:t xml:space="preserve"> </w:t>
      </w:r>
      <w:r w:rsidR="00D12127" w:rsidRPr="0055747B">
        <w:rPr>
          <w:lang w:val="ru-RU"/>
        </w:rPr>
        <w:t>означает, что эти позиции на законных основаниях могут быть включены, а не что размер ссуды гарантируется</w:t>
      </w:r>
      <w:r w:rsidR="0062201E" w:rsidRPr="0055747B">
        <w:rPr>
          <w:lang w:val="ru-RU"/>
        </w:rPr>
        <w:t>.</w:t>
      </w:r>
      <w:bookmarkEnd w:id="13"/>
    </w:p>
    <w:p w:rsidR="0062201E" w:rsidRPr="0055747B" w:rsidRDefault="00893756" w:rsidP="00D12127">
      <w:pPr>
        <w:pStyle w:val="enumlev1"/>
        <w:rPr>
          <w:lang w:val="ru-RU"/>
        </w:rPr>
      </w:pPr>
      <w:bookmarkStart w:id="14" w:name="lt_pId123"/>
      <w:r w:rsidRPr="0055747B">
        <w:rPr>
          <w:lang w:val="ru-RU"/>
        </w:rPr>
        <w:t>3)</w:t>
      </w:r>
      <w:r w:rsidRPr="0055747B">
        <w:rPr>
          <w:lang w:val="ru-RU"/>
        </w:rPr>
        <w:tab/>
      </w:r>
      <w:r w:rsidR="00D12127" w:rsidRPr="0055747B">
        <w:rPr>
          <w:lang w:val="ru-RU"/>
        </w:rPr>
        <w:t>Включена сумма на непредвиденные расходы в размере</w:t>
      </w:r>
      <w:r w:rsidR="0062201E" w:rsidRPr="0055747B">
        <w:rPr>
          <w:lang w:val="ru-RU"/>
        </w:rPr>
        <w:t xml:space="preserve"> 7 </w:t>
      </w:r>
      <w:r w:rsidR="00C33595" w:rsidRPr="0055747B">
        <w:rPr>
          <w:lang w:val="ru-RU"/>
        </w:rPr>
        <w:t xml:space="preserve">млн. </w:t>
      </w:r>
      <w:r w:rsidR="00D12127" w:rsidRPr="0055747B">
        <w:rPr>
          <w:lang w:val="ru-RU"/>
        </w:rPr>
        <w:t>швейцарских франков</w:t>
      </w:r>
      <w:r w:rsidR="0062201E" w:rsidRPr="0055747B">
        <w:rPr>
          <w:lang w:val="ru-RU"/>
        </w:rPr>
        <w:t>.</w:t>
      </w:r>
      <w:bookmarkEnd w:id="14"/>
    </w:p>
    <w:p w:rsidR="0062201E" w:rsidRPr="0055747B" w:rsidRDefault="00893756" w:rsidP="002C5F90">
      <w:pPr>
        <w:pStyle w:val="enumlev1"/>
        <w:rPr>
          <w:lang w:val="ru-RU"/>
        </w:rPr>
      </w:pPr>
      <w:bookmarkStart w:id="15" w:name="lt_pId124"/>
      <w:r w:rsidRPr="0055747B">
        <w:rPr>
          <w:lang w:val="ru-RU"/>
        </w:rPr>
        <w:t>4)</w:t>
      </w:r>
      <w:r w:rsidRPr="0055747B">
        <w:rPr>
          <w:lang w:val="ru-RU"/>
        </w:rPr>
        <w:tab/>
      </w:r>
      <w:r w:rsidR="002C5F90" w:rsidRPr="0055747B">
        <w:rPr>
          <w:lang w:val="ru-RU"/>
        </w:rPr>
        <w:t xml:space="preserve">Включены спонсорская поддержка и пожертвования на сумму </w:t>
      </w:r>
      <w:r w:rsidR="00C33595" w:rsidRPr="0055747B">
        <w:rPr>
          <w:lang w:val="ru-RU"/>
        </w:rPr>
        <w:t>15 </w:t>
      </w:r>
      <w:r w:rsidR="0062201E" w:rsidRPr="0055747B">
        <w:rPr>
          <w:lang w:val="ru-RU"/>
        </w:rPr>
        <w:t>140</w:t>
      </w:r>
      <w:r w:rsidR="00C33595" w:rsidRPr="0055747B">
        <w:rPr>
          <w:lang w:val="ru-RU"/>
        </w:rPr>
        <w:t> </w:t>
      </w:r>
      <w:r w:rsidR="0062201E" w:rsidRPr="0055747B">
        <w:rPr>
          <w:lang w:val="ru-RU"/>
        </w:rPr>
        <w:t>000</w:t>
      </w:r>
      <w:r w:rsidR="00C33595" w:rsidRPr="0055747B">
        <w:rPr>
          <w:lang w:val="ru-RU"/>
        </w:rPr>
        <w:t xml:space="preserve"> </w:t>
      </w:r>
      <w:r w:rsidR="002C5F90" w:rsidRPr="0055747B">
        <w:rPr>
          <w:lang w:val="ru-RU"/>
        </w:rPr>
        <w:t>швейцарских франков</w:t>
      </w:r>
      <w:r w:rsidR="0062201E" w:rsidRPr="0055747B">
        <w:rPr>
          <w:lang w:val="ru-RU"/>
        </w:rPr>
        <w:t>.</w:t>
      </w:r>
      <w:bookmarkEnd w:id="15"/>
      <w:r w:rsidR="0062201E" w:rsidRPr="0055747B">
        <w:rPr>
          <w:lang w:val="ru-RU"/>
        </w:rPr>
        <w:t xml:space="preserve"> </w:t>
      </w:r>
      <w:bookmarkStart w:id="16" w:name="lt_pId125"/>
      <w:r w:rsidR="002C5F90" w:rsidRPr="0055747B">
        <w:rPr>
          <w:lang w:val="ru-RU"/>
        </w:rPr>
        <w:t>Ожидаются дополнительные спонсорская поддержка и пожертвования</w:t>
      </w:r>
      <w:r w:rsidR="0062201E" w:rsidRPr="0055747B">
        <w:rPr>
          <w:lang w:val="ru-RU"/>
        </w:rPr>
        <w:t>.</w:t>
      </w:r>
      <w:bookmarkEnd w:id="16"/>
    </w:p>
    <w:p w:rsidR="0062201E" w:rsidRPr="0055747B" w:rsidRDefault="00893756" w:rsidP="002C5F90">
      <w:pPr>
        <w:pStyle w:val="enumlev1"/>
        <w:rPr>
          <w:lang w:val="ru-RU"/>
        </w:rPr>
      </w:pPr>
      <w:bookmarkStart w:id="17" w:name="lt_pId126"/>
      <w:r w:rsidRPr="0055747B">
        <w:rPr>
          <w:lang w:val="ru-RU"/>
        </w:rPr>
        <w:t>5)</w:t>
      </w:r>
      <w:r w:rsidRPr="0055747B">
        <w:rPr>
          <w:lang w:val="ru-RU"/>
        </w:rPr>
        <w:tab/>
      </w:r>
      <w:r w:rsidR="002C5F90" w:rsidRPr="0055747B">
        <w:rPr>
          <w:lang w:val="ru-RU"/>
        </w:rPr>
        <w:t>Ожидается, что 6 млн. швейцарских франков будут ассигнованы в Фонд проекта нового здания из активного сальдо счетов 2018 года регулярного бюджета</w:t>
      </w:r>
      <w:r w:rsidR="0062201E" w:rsidRPr="0055747B">
        <w:rPr>
          <w:lang w:val="ru-RU"/>
        </w:rPr>
        <w:t>.</w:t>
      </w:r>
      <w:bookmarkEnd w:id="17"/>
      <w:r w:rsidR="0062201E" w:rsidRPr="0055747B">
        <w:rPr>
          <w:lang w:val="ru-RU"/>
        </w:rPr>
        <w:t xml:space="preserve"> </w:t>
      </w:r>
      <w:bookmarkStart w:id="18" w:name="lt_pId127"/>
      <w:r w:rsidR="002C5F90" w:rsidRPr="0055747B">
        <w:rPr>
          <w:lang w:val="ru-RU"/>
        </w:rPr>
        <w:t>Совету</w:t>
      </w:r>
      <w:r w:rsidR="0062201E" w:rsidRPr="0055747B">
        <w:rPr>
          <w:lang w:val="ru-RU"/>
        </w:rPr>
        <w:t xml:space="preserve"> 2019</w:t>
      </w:r>
      <w:r w:rsidR="002C5F90" w:rsidRPr="0055747B">
        <w:rPr>
          <w:lang w:val="ru-RU"/>
        </w:rPr>
        <w:t> года предлагается поддержать это предложение</w:t>
      </w:r>
      <w:r w:rsidR="0062201E" w:rsidRPr="0055747B">
        <w:rPr>
          <w:lang w:val="ru-RU"/>
        </w:rPr>
        <w:t>.</w:t>
      </w:r>
      <w:bookmarkEnd w:id="18"/>
      <w:r w:rsidR="0062201E" w:rsidRPr="0055747B">
        <w:rPr>
          <w:lang w:val="ru-RU"/>
        </w:rPr>
        <w:t xml:space="preserve"> </w:t>
      </w:r>
      <w:bookmarkStart w:id="19" w:name="lt_pId128"/>
      <w:r w:rsidR="002C5F90" w:rsidRPr="0055747B">
        <w:rPr>
          <w:lang w:val="ru-RU"/>
        </w:rPr>
        <w:t>В последующие годы экономия возможна, но не гарантируется</w:t>
      </w:r>
      <w:r w:rsidR="0062201E" w:rsidRPr="0055747B">
        <w:rPr>
          <w:lang w:val="ru-RU"/>
        </w:rPr>
        <w:t>.</w:t>
      </w:r>
      <w:bookmarkEnd w:id="19"/>
      <w:r w:rsidR="0062201E" w:rsidRPr="0055747B">
        <w:rPr>
          <w:lang w:val="ru-RU"/>
        </w:rPr>
        <w:t xml:space="preserve"> </w:t>
      </w:r>
    </w:p>
    <w:p w:rsidR="0062201E" w:rsidRPr="0055747B" w:rsidRDefault="00893756" w:rsidP="00A62FB5">
      <w:pPr>
        <w:pStyle w:val="enumlev1"/>
        <w:rPr>
          <w:rFonts w:asciiTheme="minorHAnsi" w:hAnsiTheme="minorHAnsi" w:cstheme="minorHAnsi"/>
          <w:lang w:val="ru-RU" w:eastAsia="zh-CN"/>
        </w:rPr>
      </w:pPr>
      <w:bookmarkStart w:id="20" w:name="lt_pId129"/>
      <w:r w:rsidRPr="0055747B">
        <w:rPr>
          <w:lang w:val="ru-RU" w:eastAsia="zh-CN"/>
        </w:rPr>
        <w:t>6)</w:t>
      </w:r>
      <w:r w:rsidRPr="0055747B">
        <w:rPr>
          <w:lang w:val="ru-RU" w:eastAsia="zh-CN"/>
        </w:rPr>
        <w:tab/>
      </w:r>
      <w:r w:rsidR="009410D9" w:rsidRPr="0055747B">
        <w:rPr>
          <w:rFonts w:asciiTheme="minorHAnsi" w:hAnsiTheme="minorHAnsi" w:cstheme="minorHAnsi"/>
          <w:lang w:val="ru-RU" w:eastAsia="zh-CN"/>
        </w:rPr>
        <w:t>Если сумма, выделенная на непредвиденные обстоятельства</w:t>
      </w:r>
      <w:r w:rsidR="0062201E" w:rsidRPr="0055747B">
        <w:rPr>
          <w:rFonts w:asciiTheme="minorHAnsi" w:hAnsiTheme="minorHAnsi" w:cstheme="minorHAnsi"/>
          <w:lang w:val="ru-RU" w:eastAsia="zh-CN"/>
        </w:rPr>
        <w:t xml:space="preserve"> (</w:t>
      </w:r>
      <w:r w:rsidR="00C33595" w:rsidRPr="0055747B">
        <w:rPr>
          <w:rFonts w:asciiTheme="minorHAnsi" w:hAnsiTheme="minorHAnsi" w:cstheme="minorHAnsi"/>
          <w:lang w:val="ru-RU" w:eastAsia="zh-CN"/>
        </w:rPr>
        <w:t xml:space="preserve">7 млн. </w:t>
      </w:r>
      <w:r w:rsidR="009410D9" w:rsidRPr="0055747B">
        <w:rPr>
          <w:rFonts w:asciiTheme="minorHAnsi" w:hAnsiTheme="minorHAnsi" w:cstheme="minorHAnsi"/>
          <w:lang w:val="ru-RU" w:eastAsia="zh-CN"/>
        </w:rPr>
        <w:t>швейцарских франков</w:t>
      </w:r>
      <w:r w:rsidR="00A110C9" w:rsidRPr="0055747B">
        <w:rPr>
          <w:rFonts w:asciiTheme="minorHAnsi" w:hAnsiTheme="minorHAnsi" w:cstheme="minorHAnsi"/>
          <w:lang w:val="ru-RU" w:eastAsia="zh-CN"/>
        </w:rPr>
        <w:t>)</w:t>
      </w:r>
      <w:r w:rsidR="009410D9" w:rsidRPr="0055747B">
        <w:rPr>
          <w:rFonts w:asciiTheme="minorHAnsi" w:hAnsiTheme="minorHAnsi" w:cstheme="minorHAnsi"/>
          <w:lang w:val="ru-RU" w:eastAsia="zh-CN"/>
        </w:rPr>
        <w:t>, будет полностью использована</w:t>
      </w:r>
      <w:r w:rsidR="0062201E" w:rsidRPr="0055747B">
        <w:rPr>
          <w:rFonts w:asciiTheme="minorHAnsi" w:eastAsiaTheme="majorEastAsia" w:hAnsiTheme="minorHAnsi" w:cstheme="minorHAnsi"/>
          <w:lang w:val="ru-RU" w:eastAsia="zh-CN"/>
        </w:rPr>
        <w:t xml:space="preserve">, </w:t>
      </w:r>
      <w:r w:rsidR="009410D9" w:rsidRPr="0055747B">
        <w:rPr>
          <w:rFonts w:asciiTheme="minorHAnsi" w:eastAsiaTheme="majorEastAsia" w:hAnsiTheme="minorHAnsi" w:cstheme="minorHAnsi"/>
          <w:lang w:val="ru-RU" w:eastAsia="zh-CN"/>
        </w:rPr>
        <w:t xml:space="preserve">максимальная расчетная дополнительная </w:t>
      </w:r>
      <w:r w:rsidR="002C0212" w:rsidRPr="0055747B">
        <w:rPr>
          <w:rFonts w:asciiTheme="minorHAnsi" w:eastAsiaTheme="majorEastAsia" w:hAnsiTheme="minorHAnsi" w:cstheme="minorHAnsi"/>
          <w:lang w:val="ru-RU" w:eastAsia="zh-CN"/>
        </w:rPr>
        <w:t>стоимость обеспечения безопасности МОСБ ООН</w:t>
      </w:r>
      <w:r w:rsidR="00443765" w:rsidRPr="0055747B">
        <w:rPr>
          <w:rFonts w:asciiTheme="minorHAnsi" w:hAnsiTheme="minorHAnsi" w:cstheme="minorHAnsi"/>
          <w:lang w:val="ru-RU" w:eastAsia="zh-CN"/>
        </w:rPr>
        <w:t xml:space="preserve"> (</w:t>
      </w:r>
      <w:r w:rsidR="0062201E" w:rsidRPr="0055747B">
        <w:rPr>
          <w:rFonts w:asciiTheme="minorHAnsi" w:hAnsiTheme="minorHAnsi" w:cstheme="minorHAnsi"/>
          <w:lang w:val="ru-RU" w:eastAsia="zh-CN"/>
        </w:rPr>
        <w:t xml:space="preserve">6 </w:t>
      </w:r>
      <w:r w:rsidR="00443765" w:rsidRPr="0055747B">
        <w:rPr>
          <w:rFonts w:asciiTheme="minorHAnsi" w:hAnsiTheme="minorHAnsi" w:cstheme="minorHAnsi"/>
          <w:lang w:val="ru-RU" w:eastAsia="zh-CN"/>
        </w:rPr>
        <w:t xml:space="preserve">млн. </w:t>
      </w:r>
      <w:r w:rsidR="002C0212" w:rsidRPr="0055747B">
        <w:rPr>
          <w:rFonts w:asciiTheme="minorHAnsi" w:hAnsiTheme="minorHAnsi" w:cstheme="minorHAnsi"/>
          <w:lang w:val="ru-RU" w:eastAsia="zh-CN"/>
        </w:rPr>
        <w:t>швейцарских франков</w:t>
      </w:r>
      <w:r w:rsidR="0062201E" w:rsidRPr="0055747B">
        <w:rPr>
          <w:rFonts w:asciiTheme="minorHAnsi" w:hAnsiTheme="minorHAnsi" w:cstheme="minorHAnsi"/>
          <w:lang w:val="ru-RU" w:eastAsia="zh-CN"/>
        </w:rPr>
        <w:t xml:space="preserve">) </w:t>
      </w:r>
      <w:r w:rsidR="002C0212" w:rsidRPr="0055747B">
        <w:rPr>
          <w:rFonts w:asciiTheme="minorHAnsi" w:hAnsiTheme="minorHAnsi" w:cstheme="minorHAnsi"/>
          <w:lang w:val="ru-RU" w:eastAsia="zh-CN"/>
        </w:rPr>
        <w:t>должна быть выплачена МСЭ</w:t>
      </w:r>
      <w:r w:rsidR="00955562" w:rsidRPr="0055747B">
        <w:rPr>
          <w:rFonts w:asciiTheme="minorHAnsi" w:hAnsiTheme="minorHAnsi" w:cstheme="minorHAnsi"/>
          <w:lang w:val="ru-RU" w:eastAsia="zh-CN"/>
        </w:rPr>
        <w:t>, и если в Фонде нового здания имеется только активное сальдо в размере</w:t>
      </w:r>
      <w:r w:rsidR="0062201E" w:rsidRPr="0055747B">
        <w:rPr>
          <w:rFonts w:asciiTheme="minorHAnsi" w:hAnsiTheme="minorHAnsi" w:cstheme="minorHAnsi"/>
          <w:lang w:val="ru-RU" w:eastAsia="zh-CN"/>
        </w:rPr>
        <w:t xml:space="preserve"> 6</w:t>
      </w:r>
      <w:r w:rsidR="00955562" w:rsidRPr="0055747B">
        <w:rPr>
          <w:rFonts w:asciiTheme="minorHAnsi" w:hAnsiTheme="minorHAnsi" w:cstheme="minorHAnsi"/>
          <w:lang w:val="ru-RU" w:eastAsia="zh-CN"/>
        </w:rPr>
        <w:t> </w:t>
      </w:r>
      <w:r w:rsidR="00443765" w:rsidRPr="0055747B">
        <w:rPr>
          <w:rFonts w:asciiTheme="minorHAnsi" w:hAnsiTheme="minorHAnsi" w:cstheme="minorHAnsi"/>
          <w:lang w:val="ru-RU" w:eastAsia="zh-CN"/>
        </w:rPr>
        <w:t xml:space="preserve">млн. </w:t>
      </w:r>
      <w:r w:rsidR="00955562" w:rsidRPr="0055747B">
        <w:rPr>
          <w:rFonts w:asciiTheme="minorHAnsi" w:hAnsiTheme="minorHAnsi" w:cstheme="minorHAnsi"/>
          <w:lang w:val="ru-RU" w:eastAsia="zh-CN"/>
        </w:rPr>
        <w:t>швейцарских франков</w:t>
      </w:r>
      <w:r w:rsidR="00443765" w:rsidRPr="0055747B">
        <w:rPr>
          <w:rFonts w:asciiTheme="minorHAnsi" w:hAnsiTheme="minorHAnsi" w:cstheme="minorHAnsi"/>
          <w:lang w:val="ru-RU" w:eastAsia="zh-CN"/>
        </w:rPr>
        <w:t xml:space="preserve"> </w:t>
      </w:r>
      <w:r w:rsidR="00955562" w:rsidRPr="0055747B">
        <w:rPr>
          <w:rFonts w:asciiTheme="minorHAnsi" w:hAnsiTheme="minorHAnsi" w:cstheme="minorHAnsi"/>
          <w:lang w:val="ru-RU" w:eastAsia="zh-CN"/>
        </w:rPr>
        <w:t>с</w:t>
      </w:r>
      <w:r w:rsidR="0062201E" w:rsidRPr="0055747B">
        <w:rPr>
          <w:rFonts w:asciiTheme="minorHAnsi" w:hAnsiTheme="minorHAnsi" w:cstheme="minorHAnsi"/>
          <w:lang w:val="ru-RU" w:eastAsia="zh-CN"/>
        </w:rPr>
        <w:t xml:space="preserve"> 2018</w:t>
      </w:r>
      <w:r w:rsidR="00955562" w:rsidRPr="0055747B">
        <w:rPr>
          <w:rFonts w:asciiTheme="minorHAnsi" w:hAnsiTheme="minorHAnsi" w:cstheme="minorHAnsi"/>
          <w:lang w:val="ru-RU" w:eastAsia="zh-CN"/>
        </w:rPr>
        <w:t> года</w:t>
      </w:r>
      <w:r w:rsidR="0062201E" w:rsidRPr="0055747B">
        <w:rPr>
          <w:rFonts w:asciiTheme="minorHAnsi" w:hAnsiTheme="minorHAnsi" w:cstheme="minorHAnsi"/>
          <w:lang w:val="ru-RU" w:eastAsia="zh-CN"/>
        </w:rPr>
        <w:t xml:space="preserve">, </w:t>
      </w:r>
      <w:r w:rsidR="00A62FB5" w:rsidRPr="0055747B">
        <w:rPr>
          <w:rFonts w:asciiTheme="minorHAnsi" w:hAnsiTheme="minorHAnsi" w:cstheme="minorHAnsi"/>
          <w:lang w:val="ru-RU" w:eastAsia="zh-CN"/>
        </w:rPr>
        <w:t xml:space="preserve">то за счет дальнейшей оптимизации, </w:t>
      </w:r>
      <w:r w:rsidR="00A110C9" w:rsidRPr="0055747B">
        <w:rPr>
          <w:rFonts w:asciiTheme="minorHAnsi" w:hAnsiTheme="minorHAnsi" w:cstheme="minorHAnsi"/>
          <w:lang w:val="ru-RU" w:eastAsia="zh-CN"/>
        </w:rPr>
        <w:t xml:space="preserve">дополнительных </w:t>
      </w:r>
      <w:r w:rsidR="00A62FB5" w:rsidRPr="0055747B">
        <w:rPr>
          <w:rFonts w:asciiTheme="minorHAnsi" w:hAnsiTheme="minorHAnsi" w:cstheme="minorHAnsi"/>
          <w:lang w:val="ru-RU" w:eastAsia="zh-CN"/>
        </w:rPr>
        <w:t>ассигнований в Фонд нового здания, спонсорской поддержки и пожертвований потребуется</w:t>
      </w:r>
      <w:r w:rsidR="00F1337E" w:rsidRPr="0055747B">
        <w:rPr>
          <w:rFonts w:asciiTheme="minorHAnsi" w:hAnsiTheme="minorHAnsi" w:cstheme="minorHAnsi"/>
          <w:lang w:val="ru-RU" w:eastAsia="zh-CN"/>
        </w:rPr>
        <w:t xml:space="preserve"> </w:t>
      </w:r>
      <w:r w:rsidR="0062201E" w:rsidRPr="0055747B">
        <w:rPr>
          <w:rFonts w:asciiTheme="minorHAnsi" w:hAnsiTheme="minorHAnsi" w:cstheme="minorHAnsi"/>
          <w:lang w:val="ru-RU" w:eastAsia="zh-CN"/>
        </w:rPr>
        <w:t>26</w:t>
      </w:r>
      <w:r w:rsidR="00443765" w:rsidRPr="0055747B">
        <w:rPr>
          <w:rFonts w:asciiTheme="minorHAnsi" w:hAnsiTheme="minorHAnsi" w:cstheme="minorHAnsi"/>
          <w:lang w:val="ru-RU" w:eastAsia="zh-CN"/>
        </w:rPr>
        <w:t> </w:t>
      </w:r>
      <w:r w:rsidR="0062201E" w:rsidRPr="0055747B">
        <w:rPr>
          <w:rFonts w:asciiTheme="minorHAnsi" w:hAnsiTheme="minorHAnsi" w:cstheme="minorHAnsi"/>
          <w:lang w:val="ru-RU" w:eastAsia="zh-CN"/>
        </w:rPr>
        <w:t>442</w:t>
      </w:r>
      <w:r w:rsidR="00443765" w:rsidRPr="0055747B">
        <w:rPr>
          <w:rFonts w:asciiTheme="minorHAnsi" w:hAnsiTheme="minorHAnsi" w:cstheme="minorHAnsi"/>
          <w:lang w:val="ru-RU" w:eastAsia="zh-CN"/>
        </w:rPr>
        <w:t> </w:t>
      </w:r>
      <w:r w:rsidR="0062201E" w:rsidRPr="0055747B">
        <w:rPr>
          <w:rFonts w:asciiTheme="minorHAnsi" w:hAnsiTheme="minorHAnsi" w:cstheme="minorHAnsi"/>
          <w:lang w:val="ru-RU" w:eastAsia="zh-CN"/>
        </w:rPr>
        <w:t>000</w:t>
      </w:r>
      <w:r w:rsidR="00A62FB5" w:rsidRPr="0055747B">
        <w:rPr>
          <w:rFonts w:asciiTheme="minorHAnsi" w:hAnsiTheme="minorHAnsi" w:cstheme="minorHAnsi"/>
          <w:lang w:val="ru-RU" w:eastAsia="zh-CN"/>
        </w:rPr>
        <w:t> швейцарских франков</w:t>
      </w:r>
      <w:r w:rsidR="0062201E" w:rsidRPr="0055747B">
        <w:rPr>
          <w:rFonts w:asciiTheme="minorHAnsi" w:hAnsiTheme="minorHAnsi" w:cstheme="minorHAnsi"/>
          <w:lang w:val="ru-RU" w:eastAsia="zh-CN"/>
        </w:rPr>
        <w:t>.</w:t>
      </w:r>
      <w:bookmarkEnd w:id="20"/>
    </w:p>
    <w:p w:rsidR="0062201E" w:rsidRPr="0055747B" w:rsidRDefault="00893756" w:rsidP="00A62FB5">
      <w:pPr>
        <w:pStyle w:val="enumlev1"/>
        <w:rPr>
          <w:rFonts w:asciiTheme="minorHAnsi" w:hAnsiTheme="minorHAnsi" w:cstheme="minorHAnsi"/>
          <w:lang w:val="ru-RU"/>
        </w:rPr>
      </w:pPr>
      <w:bookmarkStart w:id="21" w:name="lt_pId130"/>
      <w:r w:rsidRPr="0055747B">
        <w:rPr>
          <w:rFonts w:asciiTheme="minorHAnsi" w:hAnsiTheme="minorHAnsi" w:cstheme="minorHAnsi"/>
          <w:lang w:val="ru-RU"/>
        </w:rPr>
        <w:t>7)</w:t>
      </w:r>
      <w:r w:rsidRPr="0055747B">
        <w:rPr>
          <w:rFonts w:asciiTheme="minorHAnsi" w:hAnsiTheme="minorHAnsi" w:cstheme="minorHAnsi"/>
          <w:lang w:val="ru-RU"/>
        </w:rPr>
        <w:tab/>
      </w:r>
      <w:r w:rsidR="00A62FB5" w:rsidRPr="0055747B">
        <w:rPr>
          <w:rFonts w:asciiTheme="minorHAnsi" w:hAnsiTheme="minorHAnsi" w:cstheme="minorHAnsi"/>
          <w:lang w:val="ru-RU"/>
        </w:rPr>
        <w:t>Продолжают исследоваться возможности дальнейшей оптимизации</w:t>
      </w:r>
      <w:r w:rsidR="0062201E" w:rsidRPr="0055747B">
        <w:rPr>
          <w:rFonts w:asciiTheme="minorHAnsi" w:hAnsiTheme="minorHAnsi" w:cstheme="minorHAnsi"/>
          <w:lang w:val="ru-RU"/>
        </w:rPr>
        <w:t>.</w:t>
      </w:r>
      <w:bookmarkEnd w:id="21"/>
    </w:p>
    <w:p w:rsidR="0062201E" w:rsidRPr="0055747B" w:rsidRDefault="0062201E" w:rsidP="0062201E">
      <w:pPr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/>
          <w:szCs w:val="24"/>
          <w:lang w:val="ru-RU"/>
        </w:rPr>
      </w:pPr>
      <w:r w:rsidRPr="0055747B">
        <w:rPr>
          <w:rFonts w:asciiTheme="minorHAnsi" w:hAnsiTheme="minorHAnsi"/>
          <w:szCs w:val="24"/>
          <w:lang w:val="ru-RU"/>
        </w:rPr>
        <w:br w:type="page"/>
      </w:r>
    </w:p>
    <w:p w:rsidR="00E810D4" w:rsidRPr="0055747B" w:rsidRDefault="00E810D4" w:rsidP="00E810D4">
      <w:pPr>
        <w:pStyle w:val="TableNo"/>
        <w:rPr>
          <w:lang w:val="ru-RU"/>
        </w:rPr>
      </w:pPr>
      <w:bookmarkStart w:id="22" w:name="lt_pId131"/>
      <w:r w:rsidRPr="0055747B">
        <w:rPr>
          <w:lang w:val="ru-RU"/>
        </w:rPr>
        <w:lastRenderedPageBreak/>
        <w:t>ТАБЛИЦА</w:t>
      </w:r>
    </w:p>
    <w:p w:rsidR="0062201E" w:rsidRPr="0055747B" w:rsidRDefault="00B96D04" w:rsidP="00B96D04">
      <w:pPr>
        <w:pStyle w:val="Tabletitle"/>
        <w:rPr>
          <w:lang w:val="ru-RU"/>
        </w:rPr>
      </w:pPr>
      <w:r w:rsidRPr="0055747B">
        <w:rPr>
          <w:lang w:val="ru-RU"/>
        </w:rPr>
        <w:t>Сведения о финансах</w:t>
      </w:r>
      <w:r w:rsidR="0062201E" w:rsidRPr="0055747B">
        <w:rPr>
          <w:lang w:val="ru-RU"/>
        </w:rPr>
        <w:t xml:space="preserve">, </w:t>
      </w:r>
      <w:r w:rsidRPr="0055747B">
        <w:rPr>
          <w:lang w:val="ru-RU"/>
        </w:rPr>
        <w:t>категории кодов строительных расходов (КСР)</w:t>
      </w:r>
      <w:r w:rsidR="0062201E" w:rsidRPr="0055747B">
        <w:rPr>
          <w:lang w:val="ru-RU"/>
        </w:rPr>
        <w:t xml:space="preserve">: </w:t>
      </w:r>
      <w:r w:rsidR="00893756" w:rsidRPr="0055747B">
        <w:rPr>
          <w:lang w:val="ru-RU"/>
        </w:rPr>
        <w:t xml:space="preserve">тыс. </w:t>
      </w:r>
      <w:r w:rsidRPr="0055747B">
        <w:rPr>
          <w:lang w:val="ru-RU"/>
        </w:rPr>
        <w:t>швейцарских франков</w:t>
      </w:r>
      <w:r w:rsidR="0062201E" w:rsidRPr="0055747B">
        <w:rPr>
          <w:lang w:val="ru-RU"/>
        </w:rPr>
        <w:t xml:space="preserve"> (</w:t>
      </w:r>
      <w:r w:rsidR="00E810D4" w:rsidRPr="0055747B">
        <w:rPr>
          <w:lang w:val="ru-RU"/>
        </w:rPr>
        <w:t>апрель</w:t>
      </w:r>
      <w:r w:rsidR="0062201E" w:rsidRPr="0055747B">
        <w:rPr>
          <w:lang w:val="ru-RU"/>
        </w:rPr>
        <w:t xml:space="preserve"> 2019</w:t>
      </w:r>
      <w:r w:rsidR="00E810D4" w:rsidRPr="0055747B">
        <w:rPr>
          <w:lang w:val="ru-RU"/>
        </w:rPr>
        <w:t> г.</w:t>
      </w:r>
      <w:r w:rsidR="0062201E" w:rsidRPr="0055747B">
        <w:rPr>
          <w:lang w:val="ru-RU"/>
        </w:rPr>
        <w:t>)</w:t>
      </w:r>
      <w:bookmarkEnd w:id="22"/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134"/>
      </w:tblGrid>
      <w:tr w:rsidR="0062201E" w:rsidRPr="0055747B" w:rsidTr="0055747B">
        <w:trPr>
          <w:jc w:val="center"/>
        </w:trPr>
        <w:tc>
          <w:tcPr>
            <w:tcW w:w="5524" w:type="dxa"/>
            <w:vAlign w:val="center"/>
          </w:tcPr>
          <w:p w:rsidR="0062201E" w:rsidRPr="0055747B" w:rsidRDefault="00406A28" w:rsidP="0055747B">
            <w:pPr>
              <w:pStyle w:val="Tablehead"/>
              <w:rPr>
                <w:lang w:val="ru-RU"/>
              </w:rPr>
            </w:pPr>
            <w:r w:rsidRPr="0055747B">
              <w:rPr>
                <w:lang w:val="ru-RU"/>
              </w:rPr>
              <w:t>Пункт</w:t>
            </w:r>
          </w:p>
        </w:tc>
        <w:tc>
          <w:tcPr>
            <w:tcW w:w="2126" w:type="dxa"/>
          </w:tcPr>
          <w:p w:rsidR="0062201E" w:rsidRPr="0055747B" w:rsidRDefault="00406A28" w:rsidP="00406A28">
            <w:pPr>
              <w:pStyle w:val="Tablehead"/>
              <w:rPr>
                <w:lang w:val="ru-RU"/>
              </w:rPr>
            </w:pPr>
            <w:bookmarkStart w:id="23" w:name="lt_pId133"/>
            <w:r w:rsidRPr="0055747B">
              <w:rPr>
                <w:lang w:val="ru-RU"/>
              </w:rPr>
              <w:t>Стоимость (диапазон)</w:t>
            </w:r>
            <w:bookmarkEnd w:id="23"/>
          </w:p>
        </w:tc>
        <w:tc>
          <w:tcPr>
            <w:tcW w:w="1134" w:type="dxa"/>
          </w:tcPr>
          <w:p w:rsidR="0062201E" w:rsidRPr="0055747B" w:rsidRDefault="00406A28" w:rsidP="00E810D4">
            <w:pPr>
              <w:pStyle w:val="Tablehead"/>
              <w:rPr>
                <w:lang w:val="ru-RU"/>
              </w:rPr>
            </w:pPr>
            <w:r w:rsidRPr="0055747B">
              <w:rPr>
                <w:lang w:val="ru-RU"/>
              </w:rPr>
              <w:t>Финанси</w:t>
            </w:r>
            <w:r w:rsidR="0055747B" w:rsidRPr="0055747B">
              <w:rPr>
                <w:lang w:val="ru-RU"/>
              </w:rPr>
              <w:t>-</w:t>
            </w:r>
            <w:r w:rsidRPr="0055747B">
              <w:rPr>
                <w:lang w:val="ru-RU"/>
              </w:rPr>
              <w:t xml:space="preserve">рование </w:t>
            </w: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406A28">
            <w:pPr>
              <w:pStyle w:val="Tabletext"/>
              <w:rPr>
                <w:lang w:val="ru-RU"/>
              </w:rPr>
            </w:pPr>
            <w:bookmarkStart w:id="24" w:name="lt_pId135"/>
            <w:r w:rsidRPr="0055747B">
              <w:rPr>
                <w:lang w:val="ru-RU"/>
              </w:rPr>
              <w:t xml:space="preserve">Оклад сотрудников категории </w:t>
            </w:r>
            <w:r w:rsidR="0062201E" w:rsidRPr="0055747B">
              <w:rPr>
                <w:lang w:val="ru-RU"/>
              </w:rPr>
              <w:t xml:space="preserve">P5, P3, G6 </w:t>
            </w:r>
            <w:r w:rsidRPr="0055747B">
              <w:rPr>
                <w:lang w:val="ru-RU"/>
              </w:rPr>
              <w:t>из бюджета МСЭ</w:t>
            </w:r>
            <w:bookmarkEnd w:id="24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4</w:t>
            </w:r>
            <w:r w:rsidR="00113FCC" w:rsidRPr="0055747B">
              <w:rPr>
                <w:lang w:val="ru-RU"/>
              </w:rPr>
              <w:t xml:space="preserve"> </w:t>
            </w:r>
            <w:r w:rsidRPr="0055747B">
              <w:rPr>
                <w:lang w:val="ru-RU"/>
              </w:rPr>
              <w:t>840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4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840</w:t>
            </w:r>
          </w:p>
        </w:tc>
      </w:tr>
      <w:tr w:rsidR="00E810D4" w:rsidRPr="0055747B" w:rsidTr="0055747B">
        <w:trPr>
          <w:jc w:val="center"/>
        </w:trPr>
        <w:tc>
          <w:tcPr>
            <w:tcW w:w="8784" w:type="dxa"/>
            <w:gridSpan w:val="3"/>
          </w:tcPr>
          <w:p w:rsidR="00E810D4" w:rsidRPr="0055747B" w:rsidRDefault="00E810D4" w:rsidP="00E810D4">
            <w:pPr>
              <w:pStyle w:val="Tabletext"/>
              <w:rPr>
                <w:lang w:val="ru-RU"/>
              </w:rPr>
            </w:pPr>
          </w:p>
        </w:tc>
      </w:tr>
      <w:tr w:rsidR="0062201E" w:rsidRPr="00852A0C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A110C9">
            <w:pPr>
              <w:pStyle w:val="Tabletext"/>
              <w:rPr>
                <w:b/>
                <w:bCs/>
                <w:lang w:val="ru-RU"/>
              </w:rPr>
            </w:pPr>
            <w:bookmarkStart w:id="25" w:name="lt_pId138"/>
            <w:r w:rsidRPr="0055747B">
              <w:rPr>
                <w:b/>
                <w:bCs/>
                <w:lang w:val="ru-RU"/>
              </w:rPr>
              <w:t>Пункты, финансируемые за счет ссуды страны</w:t>
            </w:r>
            <w:bookmarkEnd w:id="25"/>
            <w:r w:rsidR="00A110C9" w:rsidRPr="0055747B">
              <w:rPr>
                <w:b/>
                <w:bCs/>
                <w:lang w:val="ru-RU"/>
              </w:rPr>
              <w:t xml:space="preserve"> пребывания</w:t>
            </w:r>
          </w:p>
        </w:tc>
        <w:tc>
          <w:tcPr>
            <w:tcW w:w="2126" w:type="dxa"/>
          </w:tcPr>
          <w:p w:rsidR="0062201E" w:rsidRPr="0055747B" w:rsidRDefault="0062201E" w:rsidP="00E810D4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62201E" w:rsidRPr="0055747B" w:rsidRDefault="0062201E" w:rsidP="00E810D4">
            <w:pPr>
              <w:pStyle w:val="Tabletext"/>
              <w:rPr>
                <w:b/>
                <w:bCs/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F1337E">
            <w:pPr>
              <w:pStyle w:val="Tabletext"/>
              <w:rPr>
                <w:lang w:val="ru-RU"/>
              </w:rPr>
            </w:pPr>
            <w:bookmarkStart w:id="26" w:name="lt_pId139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1</w:t>
            </w:r>
            <w:r w:rsidR="00EA55EE" w:rsidRPr="0055747B">
              <w:rPr>
                <w:lang w:val="ru-RU"/>
              </w:rPr>
              <w:t>−</w:t>
            </w:r>
            <w:r w:rsidR="0062201E" w:rsidRPr="0055747B">
              <w:rPr>
                <w:lang w:val="ru-RU"/>
              </w:rPr>
              <w:t xml:space="preserve">4 </w:t>
            </w:r>
            <w:r w:rsidR="00F1337E" w:rsidRPr="0055747B">
              <w:rPr>
                <w:lang w:val="ru-RU"/>
              </w:rPr>
              <w:t>С</w:t>
            </w:r>
            <w:r w:rsidRPr="0055747B">
              <w:rPr>
                <w:lang w:val="ru-RU"/>
              </w:rPr>
              <w:t>троительство</w:t>
            </w:r>
            <w:bookmarkEnd w:id="26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124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780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F1337E">
            <w:pPr>
              <w:pStyle w:val="Tabletext"/>
              <w:rPr>
                <w:lang w:val="ru-RU"/>
              </w:rPr>
            </w:pPr>
            <w:bookmarkStart w:id="27" w:name="lt_pId141"/>
            <w:r w:rsidRPr="0055747B">
              <w:rPr>
                <w:lang w:val="ru-RU"/>
              </w:rPr>
              <w:t xml:space="preserve">КСР </w:t>
            </w:r>
            <w:r w:rsidR="0062201E" w:rsidRPr="0055747B">
              <w:rPr>
                <w:lang w:val="ru-RU"/>
              </w:rPr>
              <w:t xml:space="preserve">4 </w:t>
            </w:r>
            <w:r w:rsidR="00F1337E" w:rsidRPr="0055747B">
              <w:rPr>
                <w:lang w:val="ru-RU"/>
              </w:rPr>
              <w:t>Д</w:t>
            </w:r>
            <w:r w:rsidRPr="0055747B">
              <w:rPr>
                <w:lang w:val="ru-RU"/>
              </w:rPr>
              <w:t>ополнительная безопасность и защита по МОСБ ООН</w:t>
            </w:r>
            <w:bookmarkEnd w:id="27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bookmarkStart w:id="28" w:name="lt_pId142"/>
            <w:r w:rsidRPr="0055747B">
              <w:rPr>
                <w:lang w:val="ru-RU"/>
              </w:rPr>
              <w:t>3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000</w:t>
            </w:r>
            <w:r w:rsidR="00113FCC" w:rsidRPr="0055747B">
              <w:rPr>
                <w:lang w:val="ru-RU"/>
              </w:rPr>
              <w:t>−</w:t>
            </w:r>
            <w:r w:rsidRPr="0055747B">
              <w:rPr>
                <w:lang w:val="ru-RU"/>
              </w:rPr>
              <w:t>6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000</w:t>
            </w:r>
            <w:bookmarkEnd w:id="28"/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62201E" w:rsidP="00406A28">
            <w:pPr>
              <w:pStyle w:val="Tabletext"/>
              <w:rPr>
                <w:szCs w:val="24"/>
                <w:lang w:val="ru-RU"/>
              </w:rPr>
            </w:pPr>
            <w:bookmarkStart w:id="29" w:name="lt_pId143"/>
            <w:r w:rsidRPr="0055747B">
              <w:rPr>
                <w:szCs w:val="24"/>
                <w:lang w:val="ru-RU"/>
              </w:rPr>
              <w:t xml:space="preserve">CFC 5 </w:t>
            </w:r>
            <w:r w:rsidR="00406A28" w:rsidRPr="0055747B">
              <w:rPr>
                <w:szCs w:val="24"/>
                <w:lang w:val="ru-RU"/>
              </w:rPr>
              <w:t>Разрешение на строительство, налоги и страхование</w:t>
            </w:r>
            <w:bookmarkEnd w:id="29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1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280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F1337E">
            <w:pPr>
              <w:pStyle w:val="Tabletext"/>
              <w:rPr>
                <w:lang w:val="ru-RU"/>
              </w:rPr>
            </w:pPr>
            <w:bookmarkStart w:id="30" w:name="lt_pId145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5 </w:t>
            </w:r>
            <w:r w:rsidR="00F1337E" w:rsidRPr="0055747B">
              <w:rPr>
                <w:lang w:val="ru-RU"/>
              </w:rPr>
              <w:t>К</w:t>
            </w:r>
            <w:r w:rsidRPr="0055747B">
              <w:rPr>
                <w:lang w:val="ru-RU"/>
              </w:rPr>
              <w:t>онкурс на проект строительства здания штаб-квартиры</w:t>
            </w:r>
            <w:bookmarkEnd w:id="30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722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F1337E">
            <w:pPr>
              <w:pStyle w:val="Tabletext"/>
              <w:rPr>
                <w:lang w:val="ru-RU"/>
              </w:rPr>
            </w:pPr>
            <w:bookmarkStart w:id="31" w:name="lt_pId147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5 </w:t>
            </w:r>
            <w:r w:rsidR="00F1337E" w:rsidRPr="0055747B">
              <w:rPr>
                <w:lang w:val="ru-RU"/>
              </w:rPr>
              <w:t xml:space="preserve">Внешние </w:t>
            </w:r>
            <w:r w:rsidRPr="0055747B">
              <w:rPr>
                <w:lang w:val="ru-RU"/>
              </w:rPr>
              <w:t>службы поддержки</w:t>
            </w:r>
            <w:bookmarkEnd w:id="31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5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700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trHeight w:val="251"/>
          <w:jc w:val="center"/>
        </w:trPr>
        <w:tc>
          <w:tcPr>
            <w:tcW w:w="5524" w:type="dxa"/>
          </w:tcPr>
          <w:p w:rsidR="0062201E" w:rsidRPr="0055747B" w:rsidRDefault="00406A28" w:rsidP="00F1337E">
            <w:pPr>
              <w:pStyle w:val="Tabletext"/>
              <w:rPr>
                <w:lang w:val="ru-RU"/>
              </w:rPr>
            </w:pPr>
            <w:bookmarkStart w:id="32" w:name="lt_pId149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5 </w:t>
            </w:r>
            <w:r w:rsidR="00F1337E" w:rsidRPr="0055747B">
              <w:rPr>
                <w:lang w:val="ru-RU"/>
              </w:rPr>
              <w:t>Г</w:t>
            </w:r>
            <w:r w:rsidRPr="0055747B">
              <w:rPr>
                <w:lang w:val="ru-RU"/>
              </w:rPr>
              <w:t xml:space="preserve">онорары </w:t>
            </w:r>
            <w:r w:rsidR="0062201E" w:rsidRPr="0055747B">
              <w:rPr>
                <w:lang w:val="ru-RU"/>
              </w:rPr>
              <w:t xml:space="preserve">CDTK </w:t>
            </w:r>
            <w:bookmarkEnd w:id="32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26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000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F54825">
            <w:pPr>
              <w:pStyle w:val="Tabletext"/>
              <w:rPr>
                <w:lang w:val="ru-RU"/>
              </w:rPr>
            </w:pPr>
            <w:bookmarkStart w:id="33" w:name="lt_pId151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5 </w:t>
            </w:r>
            <w:r w:rsidR="00F54825" w:rsidRPr="0055747B">
              <w:rPr>
                <w:lang w:val="ru-RU"/>
              </w:rPr>
              <w:t>Г</w:t>
            </w:r>
            <w:r w:rsidRPr="0055747B">
              <w:rPr>
                <w:lang w:val="ru-RU"/>
              </w:rPr>
              <w:t>онорары главного подрядчика</w:t>
            </w:r>
            <w:bookmarkEnd w:id="33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4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600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406A28" w:rsidP="00F54825">
            <w:pPr>
              <w:pStyle w:val="Tabletext"/>
              <w:rPr>
                <w:lang w:val="ru-RU"/>
              </w:rPr>
            </w:pPr>
            <w:bookmarkStart w:id="34" w:name="lt_pId153"/>
            <w:r w:rsidRPr="0055747B">
              <w:rPr>
                <w:lang w:val="ru-RU"/>
              </w:rPr>
              <w:t xml:space="preserve">КСР </w:t>
            </w:r>
            <w:r w:rsidR="0062201E" w:rsidRPr="0055747B">
              <w:rPr>
                <w:lang w:val="ru-RU"/>
              </w:rPr>
              <w:t xml:space="preserve">8 </w:t>
            </w:r>
            <w:r w:rsidR="00F54825" w:rsidRPr="0055747B">
              <w:rPr>
                <w:lang w:val="ru-RU"/>
              </w:rPr>
              <w:t>П</w:t>
            </w:r>
            <w:r w:rsidRPr="0055747B">
              <w:rPr>
                <w:lang w:val="ru-RU"/>
              </w:rPr>
              <w:t>еремещение персонала</w:t>
            </w:r>
            <w:bookmarkEnd w:id="34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11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000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893756" w:rsidP="00E810D4">
            <w:pPr>
              <w:pStyle w:val="Tabletex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bookmarkStart w:id="35" w:name="lt_pId156"/>
            <w:r w:rsidRPr="0055747B">
              <w:rPr>
                <w:b/>
                <w:bCs/>
                <w:lang w:val="ru-RU"/>
              </w:rPr>
              <w:t>177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082</w:t>
            </w:r>
            <w:r w:rsidR="00113FCC" w:rsidRPr="0055747B">
              <w:rPr>
                <w:b/>
                <w:bCs/>
                <w:lang w:val="ru-RU"/>
              </w:rPr>
              <w:t>−</w:t>
            </w:r>
            <w:r w:rsidRPr="0055747B">
              <w:rPr>
                <w:b/>
                <w:bCs/>
                <w:lang w:val="ru-RU"/>
              </w:rPr>
              <w:t>180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082</w:t>
            </w:r>
            <w:bookmarkEnd w:id="35"/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A110C9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Ссуда страны</w:t>
            </w:r>
            <w:r w:rsidR="00A110C9" w:rsidRPr="0055747B">
              <w:rPr>
                <w:b/>
                <w:bCs/>
                <w:lang w:val="ru-RU"/>
              </w:rPr>
              <w:t xml:space="preserve"> пребывания</w:t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147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000</w:t>
            </w: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2F1FB1">
            <w:pPr>
              <w:pStyle w:val="Tabletext"/>
              <w:rPr>
                <w:b/>
                <w:bCs/>
                <w:lang w:val="ru-RU"/>
              </w:rPr>
            </w:pPr>
            <w:bookmarkStart w:id="36" w:name="lt_pId159"/>
            <w:r w:rsidRPr="0055747B">
              <w:rPr>
                <w:b/>
                <w:bCs/>
                <w:lang w:val="ru-RU"/>
              </w:rPr>
              <w:t>Остаток по финансируемым за счет ссуды пунктам</w:t>
            </w:r>
            <w:bookmarkEnd w:id="36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bookmarkStart w:id="37" w:name="lt_pId160"/>
            <w:r w:rsidRPr="0055747B">
              <w:rPr>
                <w:b/>
                <w:bCs/>
                <w:lang w:val="ru-RU"/>
              </w:rPr>
              <w:t>30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082</w:t>
            </w:r>
            <w:r w:rsidR="00113FCC" w:rsidRPr="0055747B">
              <w:rPr>
                <w:b/>
                <w:bCs/>
                <w:lang w:val="ru-RU"/>
              </w:rPr>
              <w:t>−</w:t>
            </w:r>
            <w:r w:rsidRPr="0055747B">
              <w:rPr>
                <w:b/>
                <w:bCs/>
                <w:lang w:val="ru-RU"/>
              </w:rPr>
              <w:t>33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082</w:t>
            </w:r>
            <w:bookmarkEnd w:id="37"/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</w:tr>
      <w:tr w:rsidR="00E810D4" w:rsidRPr="0055747B" w:rsidTr="0055747B">
        <w:trPr>
          <w:jc w:val="center"/>
        </w:trPr>
        <w:tc>
          <w:tcPr>
            <w:tcW w:w="8784" w:type="dxa"/>
            <w:gridSpan w:val="3"/>
          </w:tcPr>
          <w:p w:rsidR="00E810D4" w:rsidRPr="0055747B" w:rsidRDefault="00E810D4" w:rsidP="00E810D4">
            <w:pPr>
              <w:pStyle w:val="Tabletext"/>
              <w:rPr>
                <w:lang w:val="ru-RU"/>
              </w:rPr>
            </w:pPr>
          </w:p>
        </w:tc>
      </w:tr>
      <w:tr w:rsidR="0062201E" w:rsidRPr="00852A0C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E810D4">
            <w:pPr>
              <w:pStyle w:val="Tabletex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Дополнительные не финансируемые за счет ссуды пункты</w:t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F54825">
            <w:pPr>
              <w:pStyle w:val="Tabletext"/>
              <w:rPr>
                <w:lang w:val="ru-RU"/>
              </w:rPr>
            </w:pPr>
            <w:bookmarkStart w:id="38" w:name="lt_pId162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8 </w:t>
            </w:r>
            <w:r w:rsidR="00F54825" w:rsidRPr="0055747B">
              <w:rPr>
                <w:lang w:val="ru-RU"/>
              </w:rPr>
              <w:t>А</w:t>
            </w:r>
            <w:r w:rsidRPr="0055747B">
              <w:rPr>
                <w:lang w:val="ru-RU"/>
              </w:rPr>
              <w:t>ренда помещений для конференций и собраний</w:t>
            </w:r>
            <w:r w:rsidR="0062201E" w:rsidRPr="0055747B">
              <w:rPr>
                <w:lang w:val="ru-RU"/>
              </w:rPr>
              <w:t xml:space="preserve"> </w:t>
            </w:r>
            <w:bookmarkEnd w:id="38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2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500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F54825">
            <w:pPr>
              <w:pStyle w:val="Tabletext"/>
              <w:rPr>
                <w:lang w:val="ru-RU"/>
              </w:rPr>
            </w:pPr>
            <w:bookmarkStart w:id="39" w:name="lt_pId164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9 </w:t>
            </w:r>
            <w:bookmarkEnd w:id="39"/>
            <w:r w:rsidR="00F54825" w:rsidRPr="0055747B">
              <w:rPr>
                <w:lang w:val="ru-RU"/>
              </w:rPr>
              <w:t>П</w:t>
            </w:r>
            <w:r w:rsidRPr="0055747B">
              <w:rPr>
                <w:lang w:val="ru-RU"/>
              </w:rPr>
              <w:t>ереносимая мебель</w:t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5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000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F54825">
            <w:pPr>
              <w:pStyle w:val="Tabletext"/>
              <w:rPr>
                <w:lang w:val="ru-RU"/>
              </w:rPr>
            </w:pPr>
            <w:bookmarkStart w:id="40" w:name="lt_pId166"/>
            <w:r w:rsidRPr="0055747B">
              <w:rPr>
                <w:lang w:val="ru-RU"/>
              </w:rPr>
              <w:t>КСР</w:t>
            </w:r>
            <w:r w:rsidR="0062201E" w:rsidRPr="0055747B">
              <w:rPr>
                <w:lang w:val="ru-RU"/>
              </w:rPr>
              <w:t xml:space="preserve"> 9 </w:t>
            </w:r>
            <w:bookmarkEnd w:id="40"/>
            <w:r w:rsidR="00F54825" w:rsidRPr="0055747B">
              <w:rPr>
                <w:lang w:val="ru-RU"/>
              </w:rPr>
              <w:t>А</w:t>
            </w:r>
            <w:r w:rsidRPr="0055747B">
              <w:rPr>
                <w:lang w:val="ru-RU"/>
              </w:rPr>
              <w:t>ктивное оборудование ИКТ</w:t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  <w:r w:rsidRPr="0055747B">
              <w:rPr>
                <w:lang w:val="ru-RU"/>
              </w:rPr>
              <w:t>7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lang w:val="ru-RU"/>
              </w:rPr>
              <w:t>000</w:t>
            </w: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2F1FB1">
            <w:pPr>
              <w:pStyle w:val="Tabletext"/>
              <w:rPr>
                <w:b/>
                <w:bCs/>
                <w:lang w:val="ru-RU"/>
              </w:rPr>
            </w:pPr>
            <w:bookmarkStart w:id="41" w:name="lt_pId168"/>
            <w:r w:rsidRPr="0055747B">
              <w:rPr>
                <w:b/>
                <w:bCs/>
                <w:lang w:val="ru-RU"/>
              </w:rPr>
              <w:t>Всего подлежит финансированию не за счет ссуды до оптимизации</w:t>
            </w:r>
            <w:bookmarkEnd w:id="41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bookmarkStart w:id="42" w:name="lt_pId169"/>
            <w:r w:rsidRPr="0055747B">
              <w:rPr>
                <w:b/>
                <w:bCs/>
                <w:lang w:val="ru-RU"/>
              </w:rPr>
              <w:t>44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582</w:t>
            </w:r>
            <w:r w:rsidR="00113FCC" w:rsidRPr="0055747B">
              <w:rPr>
                <w:b/>
                <w:bCs/>
                <w:lang w:val="ru-RU"/>
              </w:rPr>
              <w:t>−</w:t>
            </w:r>
            <w:r w:rsidRPr="0055747B">
              <w:rPr>
                <w:b/>
                <w:bCs/>
                <w:lang w:val="ru-RU"/>
              </w:rPr>
              <w:t>47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582</w:t>
            </w:r>
            <w:bookmarkEnd w:id="42"/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</w:tr>
      <w:tr w:rsidR="00E810D4" w:rsidRPr="0055747B" w:rsidTr="0055747B">
        <w:trPr>
          <w:jc w:val="center"/>
        </w:trPr>
        <w:tc>
          <w:tcPr>
            <w:tcW w:w="8784" w:type="dxa"/>
            <w:gridSpan w:val="3"/>
          </w:tcPr>
          <w:p w:rsidR="00E810D4" w:rsidRPr="0055747B" w:rsidRDefault="00E810D4" w:rsidP="00E810D4">
            <w:pPr>
              <w:pStyle w:val="Tabletext"/>
              <w:rPr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E810D4">
            <w:pPr>
              <w:pStyle w:val="Tabletex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Другие виды финансирования</w:t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2F1FB1">
            <w:pPr>
              <w:pStyle w:val="Tabletext"/>
              <w:rPr>
                <w:lang w:val="ru-RU"/>
              </w:rPr>
            </w:pPr>
            <w:bookmarkStart w:id="43" w:name="lt_pId171"/>
            <w:r w:rsidRPr="0055747B">
              <w:rPr>
                <w:lang w:val="ru-RU"/>
              </w:rPr>
              <w:t>Согласованные пожертвования и спонсорская поддержка</w:t>
            </w:r>
            <w:bookmarkEnd w:id="43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15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140</w:t>
            </w: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2F1FB1">
            <w:pPr>
              <w:pStyle w:val="Tabletext"/>
              <w:rPr>
                <w:lang w:val="ru-RU"/>
              </w:rPr>
            </w:pPr>
            <w:bookmarkStart w:id="44" w:name="lt_pId173"/>
            <w:r w:rsidRPr="0055747B">
              <w:rPr>
                <w:lang w:val="ru-RU"/>
              </w:rPr>
              <w:t>Выделенный фонд</w:t>
            </w:r>
            <w:r w:rsidR="0062201E" w:rsidRPr="0055747B">
              <w:rPr>
                <w:lang w:val="ru-RU"/>
              </w:rPr>
              <w:t xml:space="preserve">: </w:t>
            </w:r>
            <w:r w:rsidRPr="0055747B">
              <w:rPr>
                <w:lang w:val="ru-RU"/>
              </w:rPr>
              <w:t>Активное сальдо бюджета</w:t>
            </w:r>
            <w:r w:rsidR="0062201E" w:rsidRPr="0055747B">
              <w:rPr>
                <w:lang w:val="ru-RU"/>
              </w:rPr>
              <w:t xml:space="preserve"> 2018</w:t>
            </w:r>
            <w:bookmarkEnd w:id="44"/>
            <w:r w:rsidRPr="0055747B">
              <w:rPr>
                <w:lang w:val="ru-RU"/>
              </w:rPr>
              <w:t> г.</w:t>
            </w:r>
            <w:r w:rsidR="0062201E" w:rsidRPr="0055747B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55747B">
              <w:rPr>
                <w:b/>
                <w:bCs/>
                <w:lang w:val="ru-RU"/>
              </w:rPr>
              <w:t>6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000</w:t>
            </w:r>
          </w:p>
        </w:tc>
      </w:tr>
      <w:tr w:rsidR="0062201E" w:rsidRPr="0055747B" w:rsidTr="0055747B">
        <w:trPr>
          <w:jc w:val="center"/>
        </w:trPr>
        <w:tc>
          <w:tcPr>
            <w:tcW w:w="5524" w:type="dxa"/>
          </w:tcPr>
          <w:p w:rsidR="0062201E" w:rsidRPr="0055747B" w:rsidRDefault="002F1FB1" w:rsidP="00071299">
            <w:pPr>
              <w:pStyle w:val="Tabletext"/>
              <w:rPr>
                <w:b/>
                <w:bCs/>
                <w:lang w:val="ru-RU"/>
              </w:rPr>
            </w:pPr>
            <w:bookmarkStart w:id="46" w:name="lt_pId175"/>
            <w:r w:rsidRPr="0055747B">
              <w:rPr>
                <w:b/>
                <w:bCs/>
                <w:lang w:val="ru-RU"/>
              </w:rPr>
              <w:t>Остающееся необходимое финансирование</w:t>
            </w:r>
            <w:r w:rsidR="0062201E" w:rsidRPr="0055747B">
              <w:rPr>
                <w:b/>
                <w:bCs/>
                <w:lang w:val="ru-RU"/>
              </w:rPr>
              <w:t xml:space="preserve">: </w:t>
            </w:r>
            <w:r w:rsidR="00071299" w:rsidRPr="0055747B">
              <w:rPr>
                <w:b/>
                <w:bCs/>
                <w:lang w:val="ru-RU"/>
              </w:rPr>
              <w:t>от дальнейшей оптимизации, дополнительных ассигнований в Фонд нового здания из активного сальдо бюджетов на</w:t>
            </w:r>
            <w:r w:rsidR="00E810D4" w:rsidRPr="0055747B">
              <w:rPr>
                <w:b/>
                <w:bCs/>
                <w:lang w:val="ru-RU"/>
              </w:rPr>
              <w:t xml:space="preserve"> 2019−</w:t>
            </w:r>
            <w:r w:rsidR="0062201E" w:rsidRPr="0055747B">
              <w:rPr>
                <w:b/>
                <w:bCs/>
                <w:lang w:val="ru-RU"/>
              </w:rPr>
              <w:t>2025</w:t>
            </w:r>
            <w:r w:rsidR="00071299" w:rsidRPr="0055747B">
              <w:rPr>
                <w:b/>
                <w:bCs/>
                <w:lang w:val="ru-RU"/>
              </w:rPr>
              <w:t> гг.</w:t>
            </w:r>
            <w:r w:rsidR="0062201E" w:rsidRPr="0055747B">
              <w:rPr>
                <w:b/>
                <w:bCs/>
                <w:lang w:val="ru-RU"/>
              </w:rPr>
              <w:t xml:space="preserve">, </w:t>
            </w:r>
            <w:r w:rsidR="00071299" w:rsidRPr="0055747B">
              <w:rPr>
                <w:b/>
                <w:bCs/>
                <w:lang w:val="ru-RU"/>
              </w:rPr>
              <w:t>спонсорской поддержки и пожертвований</w:t>
            </w:r>
            <w:bookmarkEnd w:id="46"/>
          </w:p>
        </w:tc>
        <w:tc>
          <w:tcPr>
            <w:tcW w:w="2126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  <w:bookmarkStart w:id="47" w:name="lt_pId176"/>
            <w:r w:rsidRPr="0055747B">
              <w:rPr>
                <w:b/>
                <w:bCs/>
                <w:lang w:val="ru-RU"/>
              </w:rPr>
              <w:t>23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442</w:t>
            </w:r>
            <w:r w:rsidR="00113FCC" w:rsidRPr="0055747B">
              <w:rPr>
                <w:b/>
                <w:bCs/>
                <w:lang w:val="ru-RU"/>
              </w:rPr>
              <w:t>−</w:t>
            </w:r>
            <w:r w:rsidRPr="0055747B">
              <w:rPr>
                <w:b/>
                <w:bCs/>
                <w:lang w:val="ru-RU"/>
              </w:rPr>
              <w:t>26</w:t>
            </w:r>
            <w:r w:rsidR="00113FCC" w:rsidRPr="0055747B">
              <w:rPr>
                <w:b/>
                <w:bCs/>
                <w:lang w:val="ru-RU"/>
              </w:rPr>
              <w:t xml:space="preserve"> </w:t>
            </w:r>
            <w:r w:rsidRPr="0055747B">
              <w:rPr>
                <w:b/>
                <w:bCs/>
                <w:lang w:val="ru-RU"/>
              </w:rPr>
              <w:t>442</w:t>
            </w:r>
            <w:bookmarkEnd w:id="47"/>
          </w:p>
        </w:tc>
        <w:tc>
          <w:tcPr>
            <w:tcW w:w="1134" w:type="dxa"/>
            <w:vAlign w:val="bottom"/>
          </w:tcPr>
          <w:p w:rsidR="0062201E" w:rsidRPr="0055747B" w:rsidRDefault="0062201E" w:rsidP="00113FCC">
            <w:pPr>
              <w:pStyle w:val="Tabletext"/>
              <w:jc w:val="right"/>
              <w:rPr>
                <w:b/>
                <w:bCs/>
                <w:lang w:val="ru-RU"/>
              </w:rPr>
            </w:pPr>
          </w:p>
        </w:tc>
      </w:tr>
    </w:tbl>
    <w:p w:rsidR="0062201E" w:rsidRPr="0055747B" w:rsidRDefault="0062201E" w:rsidP="0062201E">
      <w:pPr>
        <w:tabs>
          <w:tab w:val="left" w:pos="7088"/>
        </w:tabs>
        <w:rPr>
          <w:rFonts w:asciiTheme="minorHAnsi" w:hAnsiTheme="minorHAnsi"/>
          <w:szCs w:val="24"/>
          <w:lang w:val="ru-RU"/>
        </w:rPr>
      </w:pPr>
    </w:p>
    <w:p w:rsidR="0062201E" w:rsidRPr="0055747B" w:rsidRDefault="0062201E" w:rsidP="0042331B">
      <w:pPr>
        <w:rPr>
          <w:lang w:val="ru-RU"/>
        </w:rPr>
      </w:pPr>
      <w:r w:rsidRPr="0055747B">
        <w:rPr>
          <w:lang w:val="ru-RU"/>
        </w:rPr>
        <w:br w:type="page"/>
      </w:r>
    </w:p>
    <w:p w:rsidR="0062201E" w:rsidRPr="0055747B" w:rsidRDefault="0062201E" w:rsidP="0062201E">
      <w:pPr>
        <w:pStyle w:val="AnnexNo"/>
        <w:rPr>
          <w:lang w:val="ru-RU"/>
        </w:rPr>
      </w:pPr>
      <w:bookmarkStart w:id="48" w:name="lt_pId177"/>
      <w:r w:rsidRPr="0055747B">
        <w:rPr>
          <w:lang w:val="ru-RU"/>
        </w:rPr>
        <w:lastRenderedPageBreak/>
        <w:t>Приложение 3</w:t>
      </w:r>
      <w:bookmarkEnd w:id="48"/>
    </w:p>
    <w:p w:rsidR="0062201E" w:rsidRPr="0055747B" w:rsidRDefault="00071299" w:rsidP="00F54825">
      <w:pPr>
        <w:pStyle w:val="Annextitle"/>
        <w:rPr>
          <w:lang w:val="ru-RU"/>
        </w:rPr>
      </w:pPr>
      <w:bookmarkStart w:id="49" w:name="lt_pId178"/>
      <w:r w:rsidRPr="0055747B">
        <w:rPr>
          <w:lang w:val="ru-RU"/>
        </w:rPr>
        <w:t>Дальнейший график реализации проекта помещений штаб-квартиры</w:t>
      </w:r>
      <w:bookmarkEnd w:id="49"/>
    </w:p>
    <w:p w:rsidR="0062201E" w:rsidRPr="0055747B" w:rsidRDefault="0062201E" w:rsidP="00194545">
      <w:pPr>
        <w:jc w:val="center"/>
        <w:rPr>
          <w:i/>
          <w:iCs/>
          <w:lang w:val="ru-RU"/>
        </w:rPr>
      </w:pPr>
      <w:bookmarkStart w:id="50" w:name="lt_pId179"/>
      <w:r w:rsidRPr="0055747B">
        <w:rPr>
          <w:i/>
          <w:iCs/>
          <w:lang w:val="ru-RU"/>
        </w:rPr>
        <w:t>(</w:t>
      </w:r>
      <w:r w:rsidR="00194545" w:rsidRPr="0055747B">
        <w:rPr>
          <w:i/>
          <w:iCs/>
          <w:lang w:val="ru-RU"/>
        </w:rPr>
        <w:t>График основан на документе, полученном от архитектора</w:t>
      </w:r>
      <w:bookmarkStart w:id="51" w:name="lt_pId180"/>
      <w:bookmarkEnd w:id="50"/>
      <w:r w:rsidRPr="0055747B">
        <w:rPr>
          <w:i/>
          <w:iCs/>
          <w:lang w:val="ru-RU"/>
        </w:rPr>
        <w:t xml:space="preserve"> 1 </w:t>
      </w:r>
      <w:r w:rsidR="00113FCC" w:rsidRPr="0055747B">
        <w:rPr>
          <w:i/>
          <w:iCs/>
          <w:lang w:val="ru-RU"/>
        </w:rPr>
        <w:t>апреля</w:t>
      </w:r>
      <w:r w:rsidRPr="0055747B">
        <w:rPr>
          <w:i/>
          <w:iCs/>
          <w:lang w:val="ru-RU"/>
        </w:rPr>
        <w:t xml:space="preserve"> 2019</w:t>
      </w:r>
      <w:r w:rsidR="00113FCC" w:rsidRPr="0055747B">
        <w:rPr>
          <w:i/>
          <w:iCs/>
          <w:lang w:val="ru-RU"/>
        </w:rPr>
        <w:t> г.</w:t>
      </w:r>
      <w:r w:rsidRPr="0055747B">
        <w:rPr>
          <w:i/>
          <w:iCs/>
          <w:lang w:val="ru-RU"/>
        </w:rPr>
        <w:t>)</w:t>
      </w:r>
      <w:bookmarkEnd w:id="51"/>
    </w:p>
    <w:p w:rsidR="0062201E" w:rsidRPr="0055747B" w:rsidRDefault="0062201E" w:rsidP="00E810D4">
      <w:pPr>
        <w:tabs>
          <w:tab w:val="left" w:pos="7088"/>
        </w:tabs>
        <w:rPr>
          <w:rFonts w:asciiTheme="minorHAnsi" w:hAnsiTheme="minorHAnsi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99"/>
      </w:tblGrid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rPr>
                <w:lang w:val="ru-RU"/>
              </w:rPr>
            </w:pPr>
            <w:bookmarkStart w:id="52" w:name="lt_pId181"/>
            <w:r w:rsidRPr="0055747B">
              <w:rPr>
                <w:rFonts w:asciiTheme="minorHAnsi" w:hAnsiTheme="minorHAnsi"/>
                <w:szCs w:val="24"/>
                <w:lang w:val="ru-RU"/>
              </w:rPr>
              <w:t>Завершение предпроектных работ</w:t>
            </w:r>
            <w:bookmarkEnd w:id="52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lang w:val="ru-RU"/>
              </w:rPr>
            </w:pPr>
            <w:bookmarkStart w:id="53" w:name="lt_pId182"/>
            <w:r w:rsidRPr="0055747B">
              <w:rPr>
                <w:rFonts w:asciiTheme="minorHAnsi" w:hAnsiTheme="minorHAnsi"/>
                <w:szCs w:val="24"/>
                <w:lang w:val="ru-RU"/>
              </w:rPr>
              <w:t>Май 2019</w:t>
            </w:r>
            <w:bookmarkEnd w:id="53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rPr>
                <w:lang w:val="ru-RU"/>
              </w:rPr>
            </w:pPr>
            <w:bookmarkStart w:id="54" w:name="lt_pId183"/>
            <w:r w:rsidRPr="0055747B">
              <w:rPr>
                <w:rFonts w:asciiTheme="minorHAnsi" w:hAnsiTheme="minorHAnsi"/>
                <w:szCs w:val="24"/>
                <w:lang w:val="ru-RU"/>
              </w:rPr>
              <w:t>Второе обращение к ФИПОИ</w:t>
            </w:r>
            <w:bookmarkEnd w:id="54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lang w:val="ru-RU"/>
              </w:rPr>
            </w:pPr>
            <w:bookmarkStart w:id="55" w:name="lt_pId184"/>
            <w:r w:rsidRPr="0055747B">
              <w:rPr>
                <w:rFonts w:asciiTheme="minorHAnsi" w:hAnsiTheme="minorHAnsi"/>
                <w:szCs w:val="24"/>
                <w:lang w:val="ru-RU"/>
              </w:rPr>
              <w:t>Июнь 2019</w:t>
            </w:r>
            <w:bookmarkEnd w:id="55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rPr>
                <w:lang w:val="ru-RU"/>
              </w:rPr>
            </w:pPr>
            <w:bookmarkStart w:id="56" w:name="lt_pId185"/>
            <w:r w:rsidRPr="0055747B">
              <w:rPr>
                <w:rFonts w:asciiTheme="minorHAnsi" w:hAnsiTheme="minorHAnsi"/>
                <w:szCs w:val="24"/>
                <w:lang w:val="ru-RU"/>
              </w:rPr>
              <w:t>Второе обращение к парламенту</w:t>
            </w:r>
            <w:bookmarkEnd w:id="56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lang w:val="ru-RU"/>
              </w:rPr>
            </w:pPr>
            <w:bookmarkStart w:id="57" w:name="lt_pId186"/>
            <w:r w:rsidRPr="0055747B">
              <w:rPr>
                <w:rFonts w:asciiTheme="minorHAnsi" w:hAnsiTheme="minorHAnsi"/>
                <w:szCs w:val="24"/>
                <w:lang w:val="ru-RU"/>
              </w:rPr>
              <w:t>Август 2019</w:t>
            </w:r>
            <w:bookmarkEnd w:id="57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E810D4">
            <w:pPr>
              <w:spacing w:before="0"/>
              <w:rPr>
                <w:lang w:val="ru-RU"/>
              </w:rPr>
            </w:pPr>
            <w:r w:rsidRPr="0055747B">
              <w:rPr>
                <w:rFonts w:asciiTheme="minorHAnsi" w:hAnsiTheme="minorHAnsi"/>
                <w:szCs w:val="24"/>
                <w:lang w:val="ru-RU"/>
              </w:rPr>
              <w:t>Завершение разработки документации</w:t>
            </w:r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lang w:val="ru-RU"/>
              </w:rPr>
            </w:pPr>
            <w:bookmarkStart w:id="58" w:name="lt_pId188"/>
            <w:r w:rsidRPr="0055747B">
              <w:rPr>
                <w:rFonts w:asciiTheme="minorHAnsi" w:hAnsiTheme="minorHAnsi"/>
                <w:szCs w:val="24"/>
                <w:lang w:val="ru-RU"/>
              </w:rPr>
              <w:t>Ноябрь 2019</w:t>
            </w:r>
            <w:bookmarkEnd w:id="58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EC6BC5">
            <w:pPr>
              <w:rPr>
                <w:lang w:val="ru-RU"/>
              </w:rPr>
            </w:pPr>
            <w:r w:rsidRPr="0055747B">
              <w:rPr>
                <w:rFonts w:asciiTheme="minorHAnsi" w:hAnsiTheme="minorHAnsi"/>
                <w:szCs w:val="24"/>
                <w:lang w:val="ru-RU"/>
              </w:rPr>
              <w:t>Подача заявления на разрешение</w:t>
            </w:r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lang w:val="ru-RU"/>
              </w:rPr>
            </w:pPr>
            <w:bookmarkStart w:id="59" w:name="lt_pId190"/>
            <w:r w:rsidRPr="0055747B">
              <w:rPr>
                <w:rFonts w:asciiTheme="minorHAnsi" w:hAnsiTheme="minorHAnsi"/>
                <w:szCs w:val="24"/>
                <w:lang w:val="ru-RU"/>
              </w:rPr>
              <w:t>Август 2020</w:t>
            </w:r>
            <w:bookmarkEnd w:id="59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lang w:val="ru-RU"/>
              </w:rPr>
            </w:pPr>
            <w:bookmarkStart w:id="60" w:name="lt_pId191"/>
            <w:r w:rsidRPr="0055747B">
              <w:rPr>
                <w:rFonts w:asciiTheme="minorHAnsi" w:hAnsiTheme="minorHAnsi"/>
                <w:szCs w:val="24"/>
                <w:lang w:val="ru-RU"/>
              </w:rPr>
              <w:t>Окончание процедур разрешения</w:t>
            </w:r>
            <w:bookmarkEnd w:id="60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lang w:val="ru-RU"/>
              </w:rPr>
            </w:pPr>
            <w:bookmarkStart w:id="61" w:name="lt_pId192"/>
            <w:r w:rsidRPr="0055747B">
              <w:rPr>
                <w:rFonts w:asciiTheme="minorHAnsi" w:hAnsiTheme="minorHAnsi"/>
                <w:szCs w:val="24"/>
                <w:lang w:val="ru-RU"/>
              </w:rPr>
              <w:t>Февраль 2021</w:t>
            </w:r>
            <w:bookmarkEnd w:id="61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rPr>
                <w:lang w:val="ru-RU"/>
              </w:rPr>
            </w:pPr>
            <w:bookmarkStart w:id="62" w:name="lt_pId193"/>
            <w:r w:rsidRPr="0055747B">
              <w:rPr>
                <w:rFonts w:asciiTheme="minorHAnsi" w:hAnsiTheme="minorHAnsi"/>
                <w:szCs w:val="24"/>
                <w:lang w:val="ru-RU"/>
              </w:rPr>
              <w:t>Публикация предложения о выражении заинтересованности</w:t>
            </w:r>
            <w:bookmarkEnd w:id="62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lang w:val="ru-RU"/>
              </w:rPr>
            </w:pPr>
            <w:bookmarkStart w:id="63" w:name="lt_pId194"/>
            <w:r w:rsidRPr="0055747B">
              <w:rPr>
                <w:rFonts w:asciiTheme="minorHAnsi" w:hAnsiTheme="minorHAnsi"/>
                <w:szCs w:val="24"/>
                <w:lang w:val="ru-RU"/>
              </w:rPr>
              <w:t>Январь 2021</w:t>
            </w:r>
            <w:bookmarkEnd w:id="63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lang w:val="ru-RU"/>
              </w:rPr>
            </w:pPr>
            <w:bookmarkStart w:id="64" w:name="lt_pId195"/>
            <w:r w:rsidRPr="0055747B">
              <w:rPr>
                <w:rFonts w:asciiTheme="minorHAnsi" w:hAnsiTheme="minorHAnsi"/>
                <w:szCs w:val="24"/>
                <w:lang w:val="ru-RU"/>
              </w:rPr>
              <w:t>Составление короткого списка</w:t>
            </w:r>
            <w:bookmarkEnd w:id="64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lang w:val="ru-RU"/>
              </w:rPr>
            </w:pPr>
            <w:bookmarkStart w:id="65" w:name="lt_pId196"/>
            <w:r w:rsidRPr="0055747B">
              <w:rPr>
                <w:rFonts w:asciiTheme="minorHAnsi" w:hAnsiTheme="minorHAnsi"/>
                <w:szCs w:val="24"/>
                <w:lang w:val="ru-RU"/>
              </w:rPr>
              <w:t>Май 2021</w:t>
            </w:r>
            <w:bookmarkEnd w:id="65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rPr>
          <w:trHeight w:val="175"/>
        </w:trPr>
        <w:tc>
          <w:tcPr>
            <w:tcW w:w="7230" w:type="dxa"/>
          </w:tcPr>
          <w:p w:rsidR="00E810D4" w:rsidRPr="0055747B" w:rsidRDefault="00194545" w:rsidP="00194545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66" w:name="lt_pId197"/>
            <w:r w:rsidRPr="0055747B">
              <w:rPr>
                <w:rFonts w:asciiTheme="minorHAnsi" w:hAnsiTheme="minorHAnsi"/>
                <w:szCs w:val="24"/>
                <w:lang w:val="ru-RU"/>
              </w:rPr>
              <w:t>Получение второй ссуды</w:t>
            </w:r>
            <w:bookmarkEnd w:id="66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67" w:name="lt_pId198"/>
            <w:r w:rsidRPr="0055747B">
              <w:rPr>
                <w:rFonts w:asciiTheme="minorHAnsi" w:hAnsiTheme="minorHAnsi"/>
                <w:szCs w:val="24"/>
                <w:lang w:val="ru-RU"/>
              </w:rPr>
              <w:t>Март 2021</w:t>
            </w:r>
            <w:bookmarkEnd w:id="67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852A0C" w:rsidTr="0055747B">
        <w:tc>
          <w:tcPr>
            <w:tcW w:w="7230" w:type="dxa"/>
          </w:tcPr>
          <w:p w:rsidR="00E810D4" w:rsidRPr="0055747B" w:rsidRDefault="00194545" w:rsidP="00194545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68" w:name="lt_pId199"/>
            <w:r w:rsidRPr="0055747B">
              <w:rPr>
                <w:rFonts w:asciiTheme="minorHAnsi" w:hAnsiTheme="minorHAnsi"/>
                <w:szCs w:val="24"/>
                <w:lang w:val="ru-RU"/>
              </w:rPr>
              <w:t>Составление подробной документации по объявлению тендера</w:t>
            </w:r>
            <w:bookmarkEnd w:id="68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69" w:name="lt_pId200"/>
            <w:r w:rsidRPr="0055747B">
              <w:rPr>
                <w:rFonts w:asciiTheme="minorHAnsi" w:hAnsiTheme="minorHAnsi"/>
                <w:szCs w:val="24"/>
                <w:lang w:val="ru-RU"/>
              </w:rPr>
              <w:t>Публикация объявления тендера</w:t>
            </w:r>
            <w:bookmarkEnd w:id="69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0" w:name="lt_pId201"/>
            <w:r w:rsidRPr="0055747B">
              <w:rPr>
                <w:rFonts w:asciiTheme="minorHAnsi" w:hAnsiTheme="minorHAnsi"/>
                <w:szCs w:val="24"/>
                <w:lang w:val="ru-RU"/>
              </w:rPr>
              <w:t>Октябрь 2021</w:t>
            </w:r>
            <w:bookmarkEnd w:id="70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55747B">
              <w:rPr>
                <w:rFonts w:asciiTheme="minorHAnsi" w:hAnsiTheme="minorHAnsi"/>
                <w:szCs w:val="24"/>
                <w:lang w:val="ru-RU"/>
              </w:rPr>
              <w:t>Подтверждение решения</w:t>
            </w:r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1" w:name="lt_pId203"/>
            <w:r w:rsidRPr="0055747B">
              <w:rPr>
                <w:rFonts w:asciiTheme="minorHAnsi" w:hAnsiTheme="minorHAnsi"/>
                <w:szCs w:val="24"/>
                <w:lang w:val="ru-RU"/>
              </w:rPr>
              <w:t>Май 2022</w:t>
            </w:r>
            <w:bookmarkEnd w:id="71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2" w:name="lt_pId204"/>
            <w:r w:rsidRPr="0055747B">
              <w:rPr>
                <w:rFonts w:asciiTheme="minorHAnsi" w:hAnsiTheme="minorHAnsi"/>
                <w:szCs w:val="24"/>
                <w:lang w:val="ru-RU"/>
              </w:rPr>
              <w:t>Заключение контракта с главным подрядчиком</w:t>
            </w:r>
            <w:bookmarkEnd w:id="72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3" w:name="lt_pId205"/>
            <w:r w:rsidRPr="0055747B">
              <w:rPr>
                <w:rFonts w:asciiTheme="minorHAnsi" w:hAnsiTheme="minorHAnsi"/>
                <w:szCs w:val="24"/>
                <w:lang w:val="ru-RU"/>
              </w:rPr>
              <w:t>Июнь 2022</w:t>
            </w:r>
            <w:bookmarkEnd w:id="73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74" w:name="lt_pId206"/>
            <w:r w:rsidRPr="0055747B">
              <w:rPr>
                <w:rFonts w:asciiTheme="minorHAnsi" w:hAnsiTheme="minorHAnsi"/>
                <w:szCs w:val="24"/>
                <w:lang w:val="ru-RU"/>
              </w:rPr>
              <w:t>Начало работ</w:t>
            </w:r>
            <w:bookmarkEnd w:id="74"/>
          </w:p>
        </w:tc>
        <w:tc>
          <w:tcPr>
            <w:tcW w:w="2399" w:type="dxa"/>
          </w:tcPr>
          <w:p w:rsidR="00E810D4" w:rsidRPr="0055747B" w:rsidRDefault="00E810D4" w:rsidP="00EC6BC5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75" w:name="lt_pId207"/>
            <w:r w:rsidRPr="0055747B">
              <w:rPr>
                <w:rFonts w:asciiTheme="minorHAnsi" w:hAnsiTheme="minorHAnsi"/>
                <w:szCs w:val="24"/>
                <w:lang w:val="ru-RU"/>
              </w:rPr>
              <w:t>Июль 2022</w:t>
            </w:r>
            <w:bookmarkEnd w:id="75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6" w:name="lt_pId208"/>
            <w:r w:rsidRPr="0055747B">
              <w:rPr>
                <w:rFonts w:asciiTheme="minorHAnsi" w:hAnsiTheme="minorHAnsi"/>
                <w:szCs w:val="24"/>
                <w:lang w:val="ru-RU"/>
              </w:rPr>
              <w:t>Начало сноса здания "Варембе"</w:t>
            </w:r>
            <w:bookmarkEnd w:id="76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7" w:name="lt_pId209"/>
            <w:r w:rsidRPr="0055747B">
              <w:rPr>
                <w:rFonts w:asciiTheme="minorHAnsi" w:hAnsiTheme="minorHAnsi"/>
                <w:szCs w:val="24"/>
                <w:lang w:val="ru-RU"/>
              </w:rPr>
              <w:t>Ноябрь 2022</w:t>
            </w:r>
            <w:bookmarkEnd w:id="77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8" w:name="lt_pId210"/>
            <w:r w:rsidRPr="0055747B">
              <w:rPr>
                <w:rFonts w:asciiTheme="minorHAnsi" w:hAnsiTheme="minorHAnsi"/>
                <w:szCs w:val="24"/>
                <w:lang w:val="ru-RU"/>
              </w:rPr>
              <w:t>Окончание основных строительных работ</w:t>
            </w:r>
            <w:bookmarkEnd w:id="78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79" w:name="lt_pId211"/>
            <w:r w:rsidRPr="0055747B">
              <w:rPr>
                <w:rFonts w:asciiTheme="minorHAnsi" w:hAnsiTheme="minorHAnsi"/>
                <w:szCs w:val="24"/>
                <w:lang w:val="ru-RU"/>
              </w:rPr>
              <w:t>Сентябрь 2024</w:t>
            </w:r>
            <w:bookmarkEnd w:id="79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  <w:tr w:rsidR="00E810D4" w:rsidRPr="0055747B" w:rsidTr="0055747B">
        <w:tc>
          <w:tcPr>
            <w:tcW w:w="7230" w:type="dxa"/>
          </w:tcPr>
          <w:p w:rsidR="00E810D4" w:rsidRPr="0055747B" w:rsidRDefault="00194545" w:rsidP="00194545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80" w:name="lt_pId212"/>
            <w:r w:rsidRPr="0055747B">
              <w:rPr>
                <w:rFonts w:asciiTheme="minorHAnsi" w:hAnsiTheme="minorHAnsi"/>
                <w:szCs w:val="24"/>
                <w:lang w:val="ru-RU"/>
              </w:rPr>
              <w:t>Приемка здания</w:t>
            </w:r>
            <w:bookmarkEnd w:id="80"/>
          </w:p>
        </w:tc>
        <w:tc>
          <w:tcPr>
            <w:tcW w:w="2399" w:type="dxa"/>
          </w:tcPr>
          <w:p w:rsidR="00E810D4" w:rsidRPr="0055747B" w:rsidRDefault="00E810D4" w:rsidP="00E810D4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bookmarkStart w:id="81" w:name="lt_pId213"/>
            <w:r w:rsidRPr="0055747B">
              <w:rPr>
                <w:rFonts w:asciiTheme="minorHAnsi" w:hAnsiTheme="minorHAnsi"/>
                <w:szCs w:val="24"/>
                <w:lang w:val="ru-RU"/>
              </w:rPr>
              <w:t>Июнь 2026</w:t>
            </w:r>
            <w:bookmarkEnd w:id="81"/>
            <w:r w:rsidRPr="0055747B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</w:p>
        </w:tc>
      </w:tr>
    </w:tbl>
    <w:p w:rsidR="00E810D4" w:rsidRPr="0055747B" w:rsidRDefault="00E810D4" w:rsidP="00E810D4">
      <w:pPr>
        <w:spacing w:before="720"/>
        <w:jc w:val="center"/>
        <w:rPr>
          <w:lang w:val="ru-RU"/>
        </w:rPr>
      </w:pPr>
      <w:r w:rsidRPr="0055747B">
        <w:rPr>
          <w:lang w:val="ru-RU"/>
        </w:rPr>
        <w:t>______________</w:t>
      </w:r>
    </w:p>
    <w:sectPr w:rsidR="00E810D4" w:rsidRPr="0055747B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3A" w:rsidRDefault="005F2B3A">
      <w:r>
        <w:separator/>
      </w:r>
    </w:p>
  </w:endnote>
  <w:endnote w:type="continuationSeparator" w:id="0">
    <w:p w:rsidR="005F2B3A" w:rsidRDefault="005F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A" w:rsidRPr="00852A0C" w:rsidRDefault="005F2B3A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852A0C">
      <w:rPr>
        <w:color w:val="D9D9D9" w:themeColor="background1" w:themeShade="D9"/>
      </w:rPr>
      <w:fldChar w:fldCharType="begin"/>
    </w:r>
    <w:r w:rsidRPr="00852A0C">
      <w:rPr>
        <w:color w:val="D9D9D9" w:themeColor="background1" w:themeShade="D9"/>
        <w:lang w:val="fr-CH"/>
      </w:rPr>
      <w:instrText xml:space="preserve"> FILENAME \p  \* MERGEFORMAT </w:instrText>
    </w:r>
    <w:r w:rsidRPr="00852A0C">
      <w:rPr>
        <w:color w:val="D9D9D9" w:themeColor="background1" w:themeShade="D9"/>
      </w:rPr>
      <w:fldChar w:fldCharType="separate"/>
    </w:r>
    <w:r w:rsidR="00724312" w:rsidRPr="00852A0C">
      <w:rPr>
        <w:color w:val="D9D9D9" w:themeColor="background1" w:themeShade="D9"/>
        <w:lang w:val="fr-CH"/>
      </w:rPr>
      <w:t>P:\RUS\SG\CONSEIL\C19\000\007R.DOCX</w:t>
    </w:r>
    <w:r w:rsidRPr="00852A0C">
      <w:rPr>
        <w:color w:val="D9D9D9" w:themeColor="background1" w:themeShade="D9"/>
        <w:lang w:val="en-US"/>
      </w:rPr>
      <w:fldChar w:fldCharType="end"/>
    </w:r>
    <w:r w:rsidRPr="00852A0C">
      <w:rPr>
        <w:color w:val="D9D9D9" w:themeColor="background1" w:themeShade="D9"/>
        <w:lang w:val="fr-CH"/>
      </w:rPr>
      <w:t xml:space="preserve"> (450216)</w:t>
    </w:r>
    <w:r w:rsidRPr="00852A0C">
      <w:rPr>
        <w:color w:val="D9D9D9" w:themeColor="background1" w:themeShade="D9"/>
        <w:lang w:val="fr-CH"/>
      </w:rPr>
      <w:tab/>
    </w:r>
    <w:r w:rsidRPr="00852A0C">
      <w:rPr>
        <w:color w:val="D9D9D9" w:themeColor="background1" w:themeShade="D9"/>
      </w:rPr>
      <w:fldChar w:fldCharType="begin"/>
    </w:r>
    <w:r w:rsidRPr="00852A0C">
      <w:rPr>
        <w:color w:val="D9D9D9" w:themeColor="background1" w:themeShade="D9"/>
      </w:rPr>
      <w:instrText xml:space="preserve"> SAVEDATE \@ DD.MM.YY </w:instrText>
    </w:r>
    <w:r w:rsidRPr="00852A0C">
      <w:rPr>
        <w:color w:val="D9D9D9" w:themeColor="background1" w:themeShade="D9"/>
      </w:rPr>
      <w:fldChar w:fldCharType="separate"/>
    </w:r>
    <w:r w:rsidR="00852A0C" w:rsidRPr="00852A0C">
      <w:rPr>
        <w:color w:val="D9D9D9" w:themeColor="background1" w:themeShade="D9"/>
      </w:rPr>
      <w:t>15.05.19</w:t>
    </w:r>
    <w:r w:rsidRPr="00852A0C">
      <w:rPr>
        <w:color w:val="D9D9D9" w:themeColor="background1" w:themeShade="D9"/>
      </w:rPr>
      <w:fldChar w:fldCharType="end"/>
    </w:r>
    <w:r w:rsidRPr="00852A0C">
      <w:rPr>
        <w:color w:val="D9D9D9" w:themeColor="background1" w:themeShade="D9"/>
        <w:lang w:val="fr-CH"/>
      </w:rPr>
      <w:tab/>
    </w:r>
    <w:r w:rsidRPr="00852A0C">
      <w:rPr>
        <w:color w:val="D9D9D9" w:themeColor="background1" w:themeShade="D9"/>
      </w:rPr>
      <w:fldChar w:fldCharType="begin"/>
    </w:r>
    <w:r w:rsidRPr="00852A0C">
      <w:rPr>
        <w:color w:val="D9D9D9" w:themeColor="background1" w:themeShade="D9"/>
      </w:rPr>
      <w:instrText xml:space="preserve"> PRINTDATE \@ DD.MM.YY </w:instrText>
    </w:r>
    <w:r w:rsidRPr="00852A0C">
      <w:rPr>
        <w:color w:val="D9D9D9" w:themeColor="background1" w:themeShade="D9"/>
      </w:rPr>
      <w:fldChar w:fldCharType="separate"/>
    </w:r>
    <w:r w:rsidRPr="00852A0C">
      <w:rPr>
        <w:color w:val="D9D9D9" w:themeColor="background1" w:themeShade="D9"/>
      </w:rPr>
      <w:t>28.03.06</w:t>
    </w:r>
    <w:r w:rsidRPr="00852A0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A" w:rsidRDefault="005F2B3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F2B3A" w:rsidRPr="00852A0C" w:rsidRDefault="005F2B3A">
    <w:pPr>
      <w:pStyle w:val="Footer"/>
      <w:rPr>
        <w:color w:val="D9D9D9" w:themeColor="background1" w:themeShade="D9"/>
        <w:lang w:val="fr-CH"/>
      </w:rPr>
    </w:pPr>
    <w:r w:rsidRPr="00852A0C">
      <w:rPr>
        <w:color w:val="D9D9D9" w:themeColor="background1" w:themeShade="D9"/>
        <w:lang w:val="en-US"/>
      </w:rPr>
      <w:fldChar w:fldCharType="begin"/>
    </w:r>
    <w:r w:rsidRPr="00852A0C">
      <w:rPr>
        <w:color w:val="D9D9D9" w:themeColor="background1" w:themeShade="D9"/>
        <w:lang w:val="fr-CH"/>
      </w:rPr>
      <w:instrText xml:space="preserve"> FILENAME \p  \* MERGEFORMAT </w:instrText>
    </w:r>
    <w:r w:rsidRPr="00852A0C">
      <w:rPr>
        <w:color w:val="D9D9D9" w:themeColor="background1" w:themeShade="D9"/>
        <w:lang w:val="en-US"/>
      </w:rPr>
      <w:fldChar w:fldCharType="separate"/>
    </w:r>
    <w:r w:rsidR="00724312" w:rsidRPr="00852A0C">
      <w:rPr>
        <w:color w:val="D9D9D9" w:themeColor="background1" w:themeShade="D9"/>
        <w:lang w:val="fr-CH"/>
      </w:rPr>
      <w:t>P:\RUS\SG\CONSEIL\C19\000\007R.DOCX</w:t>
    </w:r>
    <w:r w:rsidRPr="00852A0C">
      <w:rPr>
        <w:color w:val="D9D9D9" w:themeColor="background1" w:themeShade="D9"/>
        <w:lang w:val="en-US"/>
      </w:rPr>
      <w:fldChar w:fldCharType="end"/>
    </w:r>
    <w:r w:rsidRPr="00852A0C">
      <w:rPr>
        <w:color w:val="D9D9D9" w:themeColor="background1" w:themeShade="D9"/>
        <w:lang w:val="fr-CH"/>
      </w:rPr>
      <w:t xml:space="preserve"> (450216)</w:t>
    </w:r>
    <w:r w:rsidRPr="00852A0C">
      <w:rPr>
        <w:color w:val="D9D9D9" w:themeColor="background1" w:themeShade="D9"/>
        <w:lang w:val="fr-CH"/>
      </w:rPr>
      <w:tab/>
    </w:r>
    <w:r w:rsidRPr="00852A0C">
      <w:rPr>
        <w:color w:val="D9D9D9" w:themeColor="background1" w:themeShade="D9"/>
      </w:rPr>
      <w:fldChar w:fldCharType="begin"/>
    </w:r>
    <w:r w:rsidRPr="00852A0C">
      <w:rPr>
        <w:color w:val="D9D9D9" w:themeColor="background1" w:themeShade="D9"/>
      </w:rPr>
      <w:instrText xml:space="preserve"> SAVEDATE \@ DD.MM.YY </w:instrText>
    </w:r>
    <w:r w:rsidRPr="00852A0C">
      <w:rPr>
        <w:color w:val="D9D9D9" w:themeColor="background1" w:themeShade="D9"/>
      </w:rPr>
      <w:fldChar w:fldCharType="separate"/>
    </w:r>
    <w:r w:rsidR="00852A0C" w:rsidRPr="00852A0C">
      <w:rPr>
        <w:color w:val="D9D9D9" w:themeColor="background1" w:themeShade="D9"/>
      </w:rPr>
      <w:t>15.05.19</w:t>
    </w:r>
    <w:r w:rsidRPr="00852A0C">
      <w:rPr>
        <w:color w:val="D9D9D9" w:themeColor="background1" w:themeShade="D9"/>
      </w:rPr>
      <w:fldChar w:fldCharType="end"/>
    </w:r>
    <w:r w:rsidRPr="00852A0C">
      <w:rPr>
        <w:color w:val="D9D9D9" w:themeColor="background1" w:themeShade="D9"/>
        <w:lang w:val="fr-CH"/>
      </w:rPr>
      <w:tab/>
    </w:r>
    <w:r w:rsidRPr="00852A0C">
      <w:rPr>
        <w:color w:val="D9D9D9" w:themeColor="background1" w:themeShade="D9"/>
      </w:rPr>
      <w:fldChar w:fldCharType="begin"/>
    </w:r>
    <w:r w:rsidRPr="00852A0C">
      <w:rPr>
        <w:color w:val="D9D9D9" w:themeColor="background1" w:themeShade="D9"/>
      </w:rPr>
      <w:instrText xml:space="preserve"> PRINTDATE \@ DD.MM.YY </w:instrText>
    </w:r>
    <w:r w:rsidRPr="00852A0C">
      <w:rPr>
        <w:color w:val="D9D9D9" w:themeColor="background1" w:themeShade="D9"/>
      </w:rPr>
      <w:fldChar w:fldCharType="separate"/>
    </w:r>
    <w:r w:rsidRPr="00852A0C">
      <w:rPr>
        <w:color w:val="D9D9D9" w:themeColor="background1" w:themeShade="D9"/>
      </w:rPr>
      <w:t>28.03.06</w:t>
    </w:r>
    <w:r w:rsidRPr="00852A0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3A" w:rsidRDefault="005F2B3A">
      <w:r>
        <w:t>____________________</w:t>
      </w:r>
    </w:p>
  </w:footnote>
  <w:footnote w:type="continuationSeparator" w:id="0">
    <w:p w:rsidR="005F2B3A" w:rsidRDefault="005F2B3A">
      <w:r>
        <w:continuationSeparator/>
      </w:r>
    </w:p>
  </w:footnote>
  <w:footnote w:id="1">
    <w:p w:rsidR="005F2B3A" w:rsidRPr="00071299" w:rsidRDefault="005F2B3A" w:rsidP="00071299">
      <w:pPr>
        <w:pStyle w:val="FootnoteText"/>
        <w:rPr>
          <w:lang w:val="ru-RU"/>
        </w:rPr>
      </w:pPr>
      <w:r w:rsidRPr="00E810D4">
        <w:rPr>
          <w:rStyle w:val="FootnoteReference"/>
        </w:rPr>
        <w:footnoteRef/>
      </w:r>
      <w:r w:rsidRPr="00071299">
        <w:rPr>
          <w:lang w:val="ru-RU"/>
        </w:rPr>
        <w:t xml:space="preserve"> </w:t>
      </w:r>
      <w:bookmarkStart w:id="45" w:name="lt_pId214"/>
      <w:r w:rsidRPr="00071299">
        <w:rPr>
          <w:lang w:val="ru-RU"/>
        </w:rPr>
        <w:tab/>
      </w:r>
      <w:r>
        <w:rPr>
          <w:lang w:val="ru-RU"/>
        </w:rPr>
        <w:t>При</w:t>
      </w:r>
      <w:r w:rsidRPr="00071299">
        <w:rPr>
          <w:lang w:val="ru-RU"/>
        </w:rPr>
        <w:t xml:space="preserve"> </w:t>
      </w:r>
      <w:r>
        <w:rPr>
          <w:lang w:val="ru-RU"/>
        </w:rPr>
        <w:t>условии</w:t>
      </w:r>
      <w:r w:rsidRPr="00071299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071299">
        <w:rPr>
          <w:lang w:val="ru-RU"/>
        </w:rPr>
        <w:t xml:space="preserve"> </w:t>
      </w:r>
      <w:r>
        <w:rPr>
          <w:lang w:val="ru-RU"/>
        </w:rPr>
        <w:t>Советом</w:t>
      </w:r>
      <w:r w:rsidRPr="00071299">
        <w:rPr>
          <w:lang w:val="ru-RU"/>
        </w:rPr>
        <w:t xml:space="preserve"> 2019</w:t>
      </w:r>
      <w:r w:rsidRPr="00071299">
        <w:t> </w:t>
      </w:r>
      <w:r>
        <w:rPr>
          <w:lang w:val="ru-RU"/>
        </w:rPr>
        <w:t>г</w:t>
      </w:r>
      <w:bookmarkEnd w:id="45"/>
      <w:r w:rsidRPr="0007129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A" w:rsidRDefault="005F2B3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52A0C">
      <w:rPr>
        <w:noProof/>
      </w:rPr>
      <w:t>9</w:t>
    </w:r>
    <w:r>
      <w:rPr>
        <w:noProof/>
      </w:rPr>
      <w:fldChar w:fldCharType="end"/>
    </w:r>
  </w:p>
  <w:p w:rsidR="005F2B3A" w:rsidRPr="00852A0C" w:rsidRDefault="005F2B3A" w:rsidP="005B3DEC">
    <w:pPr>
      <w:pStyle w:val="Header"/>
      <w:spacing w:after="480"/>
    </w:pPr>
    <w:r w:rsidRPr="00852A0C">
      <w:t>C19/</w:t>
    </w:r>
    <w:r w:rsidRPr="00852A0C">
      <w:rPr>
        <w:lang w:val="ru-RU"/>
      </w:rPr>
      <w:t>7</w:t>
    </w:r>
    <w:r w:rsidRPr="00852A0C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B3709"/>
    <w:multiLevelType w:val="hybridMultilevel"/>
    <w:tmpl w:val="82ECFE40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5"/>
    <w:rsid w:val="0002183E"/>
    <w:rsid w:val="0002349C"/>
    <w:rsid w:val="000438D3"/>
    <w:rsid w:val="000569B4"/>
    <w:rsid w:val="00071299"/>
    <w:rsid w:val="00080E82"/>
    <w:rsid w:val="00087540"/>
    <w:rsid w:val="000941BB"/>
    <w:rsid w:val="000A0782"/>
    <w:rsid w:val="000E568E"/>
    <w:rsid w:val="000F0C0A"/>
    <w:rsid w:val="001120E5"/>
    <w:rsid w:val="00113FCC"/>
    <w:rsid w:val="0014734F"/>
    <w:rsid w:val="0015710D"/>
    <w:rsid w:val="00163A32"/>
    <w:rsid w:val="00192B41"/>
    <w:rsid w:val="00194545"/>
    <w:rsid w:val="001B7B09"/>
    <w:rsid w:val="001C0E2F"/>
    <w:rsid w:val="001D59FC"/>
    <w:rsid w:val="001E6719"/>
    <w:rsid w:val="00225368"/>
    <w:rsid w:val="00227FF0"/>
    <w:rsid w:val="002750BC"/>
    <w:rsid w:val="00277529"/>
    <w:rsid w:val="00291EB6"/>
    <w:rsid w:val="002C0212"/>
    <w:rsid w:val="002C5F90"/>
    <w:rsid w:val="002D2F57"/>
    <w:rsid w:val="002D48C5"/>
    <w:rsid w:val="002F1FB1"/>
    <w:rsid w:val="00316DFE"/>
    <w:rsid w:val="00357C5D"/>
    <w:rsid w:val="003F099E"/>
    <w:rsid w:val="003F235E"/>
    <w:rsid w:val="004023E0"/>
    <w:rsid w:val="00403DD8"/>
    <w:rsid w:val="00406A28"/>
    <w:rsid w:val="0042331B"/>
    <w:rsid w:val="00443765"/>
    <w:rsid w:val="0045686C"/>
    <w:rsid w:val="004918C4"/>
    <w:rsid w:val="00497703"/>
    <w:rsid w:val="004A0374"/>
    <w:rsid w:val="004A45B5"/>
    <w:rsid w:val="004D0129"/>
    <w:rsid w:val="004E53A9"/>
    <w:rsid w:val="005273F2"/>
    <w:rsid w:val="00545712"/>
    <w:rsid w:val="0055747B"/>
    <w:rsid w:val="0056235B"/>
    <w:rsid w:val="005A64D5"/>
    <w:rsid w:val="005B3DEC"/>
    <w:rsid w:val="005B5ECB"/>
    <w:rsid w:val="005F2B3A"/>
    <w:rsid w:val="00601994"/>
    <w:rsid w:val="0062201E"/>
    <w:rsid w:val="00625194"/>
    <w:rsid w:val="00690802"/>
    <w:rsid w:val="006E2D42"/>
    <w:rsid w:val="00703676"/>
    <w:rsid w:val="00707304"/>
    <w:rsid w:val="00724312"/>
    <w:rsid w:val="00732269"/>
    <w:rsid w:val="00785ABD"/>
    <w:rsid w:val="007A2DD4"/>
    <w:rsid w:val="007C693C"/>
    <w:rsid w:val="007D38B5"/>
    <w:rsid w:val="007E7EA0"/>
    <w:rsid w:val="00807255"/>
    <w:rsid w:val="0081023E"/>
    <w:rsid w:val="008173AA"/>
    <w:rsid w:val="00840A14"/>
    <w:rsid w:val="00851472"/>
    <w:rsid w:val="00852A0C"/>
    <w:rsid w:val="00893756"/>
    <w:rsid w:val="008B1EC6"/>
    <w:rsid w:val="008B62B4"/>
    <w:rsid w:val="008D2D7B"/>
    <w:rsid w:val="008E0737"/>
    <w:rsid w:val="008F7C2C"/>
    <w:rsid w:val="009227D3"/>
    <w:rsid w:val="00940E96"/>
    <w:rsid w:val="009410D9"/>
    <w:rsid w:val="00955562"/>
    <w:rsid w:val="009B0BAE"/>
    <w:rsid w:val="009C187F"/>
    <w:rsid w:val="009C1C89"/>
    <w:rsid w:val="009E7F24"/>
    <w:rsid w:val="009F3448"/>
    <w:rsid w:val="00A01CF9"/>
    <w:rsid w:val="00A110C9"/>
    <w:rsid w:val="00A62FB5"/>
    <w:rsid w:val="00A71773"/>
    <w:rsid w:val="00A94681"/>
    <w:rsid w:val="00AE2C85"/>
    <w:rsid w:val="00B07C6E"/>
    <w:rsid w:val="00B12A37"/>
    <w:rsid w:val="00B14B5E"/>
    <w:rsid w:val="00B20B1F"/>
    <w:rsid w:val="00B469B7"/>
    <w:rsid w:val="00B63EF2"/>
    <w:rsid w:val="00B87B3B"/>
    <w:rsid w:val="00B96D04"/>
    <w:rsid w:val="00BA3E47"/>
    <w:rsid w:val="00BA7D89"/>
    <w:rsid w:val="00BC0D39"/>
    <w:rsid w:val="00BC7BC0"/>
    <w:rsid w:val="00BD57B7"/>
    <w:rsid w:val="00BE0A9E"/>
    <w:rsid w:val="00BE63E2"/>
    <w:rsid w:val="00BF21B5"/>
    <w:rsid w:val="00C33595"/>
    <w:rsid w:val="00CB2C49"/>
    <w:rsid w:val="00CD2009"/>
    <w:rsid w:val="00CE4FC1"/>
    <w:rsid w:val="00CF629C"/>
    <w:rsid w:val="00D12127"/>
    <w:rsid w:val="00D170B9"/>
    <w:rsid w:val="00D92EEA"/>
    <w:rsid w:val="00DA5D4E"/>
    <w:rsid w:val="00E02526"/>
    <w:rsid w:val="00E176BA"/>
    <w:rsid w:val="00E423EC"/>
    <w:rsid w:val="00E44972"/>
    <w:rsid w:val="00E55121"/>
    <w:rsid w:val="00E57516"/>
    <w:rsid w:val="00E77A97"/>
    <w:rsid w:val="00E810D4"/>
    <w:rsid w:val="00EA55EE"/>
    <w:rsid w:val="00EB4FCB"/>
    <w:rsid w:val="00EC6BC5"/>
    <w:rsid w:val="00F1337E"/>
    <w:rsid w:val="00F35898"/>
    <w:rsid w:val="00F5225B"/>
    <w:rsid w:val="00F54825"/>
    <w:rsid w:val="00FE5701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85C50AF-1E11-49F4-9077-1B9CE9A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622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locked/>
    <w:rsid w:val="0062201E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622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4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212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3A8C-C2CE-4693-A9F0-3AB3079F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9</Pages>
  <Words>1975</Words>
  <Characters>13188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on the Union's headquarters premises project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2019-05-15T09:31:00Z</dcterms:created>
  <dcterms:modified xsi:type="dcterms:W3CDTF">2019-05-15T09:31:00Z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