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201</w:t>
            </w:r>
            <w:r w:rsidR="00C2727F">
              <w:rPr>
                <w:b/>
                <w:bCs/>
                <w:sz w:val="30"/>
                <w:szCs w:val="30"/>
              </w:rPr>
              <w:t>9</w:t>
            </w:r>
            <w:r w:rsidRPr="00093EEB">
              <w:rPr>
                <w:b/>
                <w:bCs/>
                <w:sz w:val="26"/>
                <w:szCs w:val="26"/>
              </w:rPr>
              <w:br/>
            </w:r>
            <w:r w:rsidRPr="00093EEB">
              <w:rPr>
                <w:b/>
                <w:bCs/>
                <w:szCs w:val="24"/>
              </w:rPr>
              <w:t>Ginebra, 1</w:t>
            </w:r>
            <w:r w:rsidR="00C2727F">
              <w:rPr>
                <w:b/>
                <w:bCs/>
                <w:szCs w:val="24"/>
              </w:rPr>
              <w:t>0</w:t>
            </w:r>
            <w:r w:rsidRPr="00093EEB">
              <w:rPr>
                <w:b/>
                <w:bCs/>
                <w:szCs w:val="24"/>
              </w:rPr>
              <w:t>-2</w:t>
            </w:r>
            <w:r w:rsidR="00C2727F">
              <w:rPr>
                <w:b/>
                <w:bCs/>
                <w:szCs w:val="24"/>
              </w:rPr>
              <w:t>0</w:t>
            </w:r>
            <w:r w:rsidRPr="00093EEB">
              <w:rPr>
                <w:b/>
                <w:bCs/>
                <w:szCs w:val="24"/>
              </w:rPr>
              <w:t xml:space="preserve"> de </w:t>
            </w:r>
            <w:r w:rsidR="00C2727F">
              <w:rPr>
                <w:b/>
                <w:bCs/>
                <w:szCs w:val="24"/>
              </w:rPr>
              <w:t>junio</w:t>
            </w:r>
            <w:r w:rsidRPr="00093EEB">
              <w:rPr>
                <w:b/>
                <w:bCs/>
                <w:szCs w:val="24"/>
              </w:rPr>
              <w:t xml:space="preserve"> de 201</w:t>
            </w:r>
            <w:r w:rsidR="00C2727F">
              <w:rPr>
                <w:b/>
                <w:bCs/>
                <w:szCs w:val="24"/>
              </w:rPr>
              <w:t>9</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622E49">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622E49">
              <w:rPr>
                <w:rFonts w:cs="Times"/>
                <w:b/>
                <w:szCs w:val="24"/>
              </w:rPr>
              <w:t>Punto del orden del día: ADM 18</w:t>
            </w:r>
          </w:p>
        </w:tc>
        <w:tc>
          <w:tcPr>
            <w:tcW w:w="3261" w:type="dxa"/>
          </w:tcPr>
          <w:p w:rsidR="00093EEB" w:rsidRPr="00093EEB" w:rsidRDefault="00622E49" w:rsidP="00622E49">
            <w:pPr>
              <w:spacing w:before="0"/>
              <w:rPr>
                <w:b/>
                <w:bCs/>
                <w:szCs w:val="24"/>
              </w:rPr>
            </w:pPr>
            <w:r>
              <w:rPr>
                <w:b/>
                <w:bCs/>
                <w:szCs w:val="24"/>
              </w:rPr>
              <w:t>Revisión 1 al</w:t>
            </w:r>
            <w:r>
              <w:rPr>
                <w:b/>
                <w:bCs/>
                <w:szCs w:val="24"/>
              </w:rPr>
              <w:br/>
            </w:r>
            <w:r w:rsidR="00093EEB">
              <w:rPr>
                <w:b/>
                <w:bCs/>
                <w:szCs w:val="24"/>
              </w:rPr>
              <w:t>Documento C1</w:t>
            </w:r>
            <w:r w:rsidR="00C2727F">
              <w:rPr>
                <w:b/>
                <w:bCs/>
                <w:szCs w:val="24"/>
              </w:rPr>
              <w:t>9</w:t>
            </w:r>
            <w:r w:rsidR="00093EEB">
              <w:rPr>
                <w:b/>
                <w:bCs/>
                <w:szCs w:val="24"/>
              </w:rPr>
              <w:t>/</w:t>
            </w:r>
            <w:r>
              <w:rPr>
                <w:b/>
                <w:bCs/>
                <w:szCs w:val="24"/>
              </w:rPr>
              <w:t>7</w:t>
            </w:r>
            <w:r w:rsidR="00093EEB">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622E49" w:rsidP="00622E49">
            <w:pPr>
              <w:spacing w:before="0"/>
              <w:rPr>
                <w:b/>
                <w:bCs/>
                <w:szCs w:val="24"/>
              </w:rPr>
            </w:pPr>
            <w:r>
              <w:rPr>
                <w:b/>
                <w:bCs/>
                <w:szCs w:val="24"/>
              </w:rPr>
              <w:t>12 de</w:t>
            </w:r>
            <w:r w:rsidR="0077252D">
              <w:rPr>
                <w:b/>
                <w:bCs/>
                <w:szCs w:val="24"/>
              </w:rPr>
              <w:t xml:space="preserve"> </w:t>
            </w:r>
            <w:r>
              <w:rPr>
                <w:b/>
                <w:bCs/>
                <w:szCs w:val="24"/>
              </w:rPr>
              <w:t>junio</w:t>
            </w:r>
            <w:r w:rsidR="00093EEB">
              <w:rPr>
                <w:b/>
                <w:bCs/>
                <w:szCs w:val="24"/>
              </w:rPr>
              <w:t xml:space="preserve"> de 201</w:t>
            </w:r>
            <w:r w:rsidR="00C2727F">
              <w:rPr>
                <w:b/>
                <w:bCs/>
                <w:szCs w:val="24"/>
              </w:rPr>
              <w:t>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622E49">
            <w:pPr>
              <w:pStyle w:val="Source"/>
            </w:pPr>
            <w:bookmarkStart w:id="7" w:name="dsource" w:colFirst="0" w:colLast="0"/>
            <w:bookmarkEnd w:id="1"/>
            <w:bookmarkEnd w:id="6"/>
            <w:r w:rsidRPr="00622E49">
              <w:t>Informe del Secretario General</w:t>
            </w:r>
          </w:p>
        </w:tc>
      </w:tr>
      <w:tr w:rsidR="00093EEB" w:rsidRPr="000B0D00">
        <w:trPr>
          <w:cantSplit/>
        </w:trPr>
        <w:tc>
          <w:tcPr>
            <w:tcW w:w="10173" w:type="dxa"/>
            <w:gridSpan w:val="2"/>
          </w:tcPr>
          <w:p w:rsidR="00093EEB" w:rsidRPr="000B0D00" w:rsidRDefault="00622E49">
            <w:pPr>
              <w:pStyle w:val="Title1"/>
            </w:pPr>
            <w:bookmarkStart w:id="8" w:name="dtitle1" w:colFirst="0" w:colLast="0"/>
            <w:bookmarkEnd w:id="7"/>
            <w:r w:rsidRPr="00622E49">
              <w:t>INFORME SOBRE LOS AVANCES DEL PROYECTO DE SEDE DE LA UIT</w:t>
            </w:r>
          </w:p>
        </w:tc>
      </w:tr>
      <w:bookmarkEnd w:id="8"/>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622E49" w:rsidP="00622E49">
            <w:pPr>
              <w:rPr>
                <w:lang w:val="es-ES"/>
              </w:rPr>
            </w:pPr>
            <w:r w:rsidRPr="00622E49">
              <w:rPr>
                <w:lang w:val="es-ES"/>
              </w:rPr>
              <w:t>El presente documento contiene información actualizada sobre los avances del proyecto de Sede de la UIT. Se reseñan asimismo los avances logrados desde la última reunión del Consejo en 2018, celebrada en Dubái.</w:t>
            </w:r>
          </w:p>
          <w:p w:rsidR="00093EEB" w:rsidRPr="000B0D00" w:rsidRDefault="00093EEB">
            <w:pPr>
              <w:pStyle w:val="Headingb"/>
              <w:rPr>
                <w:lang w:val="es-ES"/>
              </w:rPr>
            </w:pPr>
            <w:r w:rsidRPr="000B0D00">
              <w:rPr>
                <w:lang w:val="es-ES"/>
              </w:rPr>
              <w:t>Acción solicitada</w:t>
            </w:r>
          </w:p>
          <w:p w:rsidR="00093EEB" w:rsidRPr="000B0D00" w:rsidRDefault="00622E49" w:rsidP="00622E49">
            <w:pPr>
              <w:rPr>
                <w:lang w:val="es-ES"/>
              </w:rPr>
            </w:pPr>
            <w:r w:rsidRPr="00622E49">
              <w:t xml:space="preserve">Se invita al Consejo a </w:t>
            </w:r>
            <w:r w:rsidRPr="00622E49">
              <w:rPr>
                <w:b/>
                <w:bCs/>
              </w:rPr>
              <w:t>refrendar</w:t>
            </w:r>
            <w:r w:rsidRPr="00622E49">
              <w:t xml:space="preserve"> el Informe y </w:t>
            </w:r>
            <w:r w:rsidRPr="00622E49">
              <w:rPr>
                <w:b/>
                <w:bCs/>
              </w:rPr>
              <w:t xml:space="preserve">facilitar las orientaciones </w:t>
            </w:r>
            <w:r w:rsidRPr="00622E49">
              <w:t>que estime convenientes.</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r w:rsidR="00622E49">
              <w:rPr>
                <w:lang w:val="es-ES"/>
              </w:rPr>
              <w:t>s</w:t>
            </w:r>
          </w:p>
          <w:p w:rsidR="00093EEB" w:rsidRPr="000B0D00" w:rsidRDefault="00622E49" w:rsidP="00622E49">
            <w:pPr>
              <w:spacing w:after="120"/>
              <w:rPr>
                <w:i/>
                <w:iCs/>
                <w:lang w:val="es-ES"/>
              </w:rPr>
            </w:pPr>
            <w:hyperlink r:id="rId9" w:history="1">
              <w:r w:rsidRPr="00622E49">
                <w:rPr>
                  <w:rStyle w:val="Hyperlink"/>
                  <w:i/>
                  <w:iCs/>
                </w:rPr>
                <w:t>Acuerdo 588 del Consejo</w:t>
              </w:r>
            </w:hyperlink>
            <w:r w:rsidRPr="00622E49">
              <w:rPr>
                <w:i/>
                <w:iCs/>
              </w:rPr>
              <w:t xml:space="preserve">; </w:t>
            </w:r>
            <w:hyperlink r:id="rId10" w:history="1">
              <w:r w:rsidRPr="00622E49">
                <w:rPr>
                  <w:rStyle w:val="Hyperlink"/>
                  <w:i/>
                  <w:iCs/>
                </w:rPr>
                <w:t>Resolución 212 (Dubái, 2018)</w:t>
              </w:r>
            </w:hyperlink>
            <w:r w:rsidRPr="00622E49">
              <w:rPr>
                <w:i/>
                <w:iCs/>
              </w:rPr>
              <w:t xml:space="preserve">; </w:t>
            </w:r>
            <w:hyperlink r:id="rId11" w:history="1">
              <w:r w:rsidRPr="00622E49">
                <w:rPr>
                  <w:rStyle w:val="Hyperlink"/>
                  <w:i/>
                  <w:iCs/>
                </w:rPr>
                <w:t>Documento C18/123+Add.1</w:t>
              </w:r>
            </w:hyperlink>
          </w:p>
        </w:tc>
      </w:tr>
    </w:tbl>
    <w:p w:rsidR="00622E49" w:rsidRDefault="00622E49" w:rsidP="00622E49">
      <w:r>
        <w:br w:type="page"/>
      </w:r>
    </w:p>
    <w:p w:rsidR="00622E49" w:rsidRPr="00275C84" w:rsidRDefault="00622E49" w:rsidP="00622E49">
      <w:pPr>
        <w:pStyle w:val="Heading1"/>
      </w:pPr>
      <w:r w:rsidRPr="00275C84">
        <w:lastRenderedPageBreak/>
        <w:t>1</w:t>
      </w:r>
      <w:r w:rsidRPr="00275C84">
        <w:tab/>
        <w:t>Antecedentes</w:t>
      </w:r>
    </w:p>
    <w:p w:rsidR="00622E49" w:rsidRPr="00275C84" w:rsidRDefault="00622E49" w:rsidP="00622E49">
      <w:r w:rsidRPr="00275C84">
        <w:t>1.1</w:t>
      </w:r>
      <w:r w:rsidRPr="00275C84">
        <w:tab/>
        <w:t xml:space="preserve">En la reunión de 2016 del Consejo, en virtud de su </w:t>
      </w:r>
      <w:hyperlink r:id="rId12" w:history="1">
        <w:r w:rsidRPr="00275C84">
          <w:rPr>
            <w:rStyle w:val="Hyperlink"/>
          </w:rPr>
          <w:t>Acuerdo 588</w:t>
        </w:r>
      </w:hyperlink>
      <w:r w:rsidRPr="00275C84">
        <w:t xml:space="preserve">, se decidió sustituir el edificio de Varembé por una nueva construcción que integrase asimismo las oficinas e </w:t>
      </w:r>
      <w:r w:rsidRPr="00275C84">
        <w:rPr>
          <w:cs/>
        </w:rPr>
        <w:t>‎</w:t>
      </w:r>
      <w:r w:rsidRPr="00275C84">
        <w:t>instalaciones del edificio de la Torre.</w:t>
      </w:r>
    </w:p>
    <w:p w:rsidR="00622E49" w:rsidRPr="00275C84" w:rsidRDefault="00622E49" w:rsidP="00622E49">
      <w:r>
        <w:t>1.2</w:t>
      </w:r>
      <w:r w:rsidRPr="00275C84">
        <w:tab/>
        <w:t>El Consejo de 2018 aprobó la creación de un fondo temporal (</w:t>
      </w:r>
      <w:r>
        <w:t>"</w:t>
      </w:r>
      <w:r w:rsidRPr="00275C84">
        <w:t>Fondo para el proyecto de nuevo edific</w:t>
      </w:r>
      <w:r>
        <w:t>io"</w:t>
      </w:r>
      <w:r w:rsidRPr="00275C84">
        <w:t>) para el nuevo edificio que se financiará con excedentes de la ejecución del presupuesto y donaciones.</w:t>
      </w:r>
    </w:p>
    <w:p w:rsidR="00622E49" w:rsidRDefault="00622E49" w:rsidP="00622E49">
      <w:r w:rsidRPr="00D34A5A">
        <w:t>1.3</w:t>
      </w:r>
      <w:r w:rsidRPr="00D34A5A">
        <w:tab/>
      </w:r>
      <w:bookmarkStart w:id="9" w:name="lt_pId030"/>
      <w:r w:rsidRPr="00D34A5A">
        <w:t>Mediante su Resolución 212, la Conferencia de Plenipotenciarios de 2018 determinó que ese fondo y todos los patrocinios o donaciones recibidos se destinen a complementar la financiación del proyecto mientras siga en vigor el Acuerdo 588 del Consejo.</w:t>
      </w:r>
      <w:bookmarkEnd w:id="9"/>
    </w:p>
    <w:p w:rsidR="00622E49" w:rsidRDefault="00622E49" w:rsidP="00622E49">
      <w:r w:rsidRPr="00622E49">
        <w:rPr>
          <w:lang w:val="es-ES"/>
        </w:rPr>
        <w:t>1.4</w:t>
      </w:r>
      <w:r w:rsidRPr="00622E49">
        <w:rPr>
          <w:lang w:val="es-ES"/>
        </w:rPr>
        <w:tab/>
        <w:t>En el per</w:t>
      </w:r>
      <w:r>
        <w:rPr>
          <w:lang w:val="es-ES"/>
        </w:rPr>
        <w:t>i</w:t>
      </w:r>
      <w:r w:rsidRPr="00622E49">
        <w:rPr>
          <w:lang w:val="es-ES"/>
        </w:rPr>
        <w:t>odo transcurrido desde la publicación del Documento C19/7, CDTK ha proporcionado nuevas estimaciones más precisas con menor incertidumbre. A tenor de ello, se ha puesto al día el contenido de la Sección 4 y del Anexo 2</w:t>
      </w:r>
      <w:r w:rsidRPr="00622E49">
        <w:t>.</w:t>
      </w:r>
    </w:p>
    <w:p w:rsidR="00622E49" w:rsidRPr="00275C84" w:rsidRDefault="00622E49" w:rsidP="00622E49">
      <w:pPr>
        <w:pStyle w:val="Heading1"/>
        <w:rPr>
          <w:lang w:val="es-ES"/>
        </w:rPr>
      </w:pPr>
      <w:r w:rsidRPr="00275C84">
        <w:rPr>
          <w:lang w:val="es-ES"/>
        </w:rPr>
        <w:t>2</w:t>
      </w:r>
      <w:r w:rsidRPr="00275C84">
        <w:rPr>
          <w:lang w:val="es-ES"/>
        </w:rPr>
        <w:tab/>
      </w:r>
      <w:bookmarkStart w:id="10" w:name="lt_pId032"/>
      <w:r w:rsidRPr="00275C84">
        <w:rPr>
          <w:lang w:val="es-ES"/>
        </w:rPr>
        <w:t>Diseño conceptual</w:t>
      </w:r>
      <w:bookmarkEnd w:id="10"/>
    </w:p>
    <w:p w:rsidR="00622E49" w:rsidRPr="00D34A5A" w:rsidRDefault="00622E49" w:rsidP="00622E49">
      <w:r w:rsidRPr="00D34A5A">
        <w:t>2.1</w:t>
      </w:r>
      <w:r w:rsidRPr="00D34A5A">
        <w:tab/>
      </w:r>
      <w:bookmarkStart w:id="11" w:name="lt_pId034"/>
      <w:r w:rsidRPr="00D34A5A">
        <w:t>En el segundo mensaje al país anfitrión se ha de incluir, entre otras cosas, el diseño conceptual para poder realizar una evaluación funcional detallada del proyecto en función del programa y una evaluación detallada de los costos y poder obtener la autorización de planificación detallada.</w:t>
      </w:r>
      <w:bookmarkEnd w:id="11"/>
    </w:p>
    <w:p w:rsidR="00622E49" w:rsidRPr="00D34A5A" w:rsidRDefault="00622E49" w:rsidP="00622E49">
      <w:r w:rsidRPr="00D34A5A">
        <w:t>2.2</w:t>
      </w:r>
      <w:r w:rsidRPr="00D34A5A">
        <w:tab/>
      </w:r>
      <w:bookmarkStart w:id="12" w:name="lt_pId036"/>
      <w:r w:rsidRPr="00275C84">
        <w:t xml:space="preserve">El arquitecto ha seguido optimizando los costes del diseño conceptual inicial que se presentó en octubre de 2018. </w:t>
      </w:r>
      <w:bookmarkStart w:id="13" w:name="lt_pId037"/>
      <w:bookmarkEnd w:id="12"/>
      <w:r w:rsidRPr="00275C84">
        <w:t>La versión final propuesta se entregó el 1 de abril de 2019</w:t>
      </w:r>
      <w:r w:rsidRPr="00D34A5A">
        <w:t>.</w:t>
      </w:r>
      <w:bookmarkEnd w:id="13"/>
    </w:p>
    <w:p w:rsidR="00622E49" w:rsidRPr="00D34A5A" w:rsidRDefault="00622E49" w:rsidP="00622E49">
      <w:r w:rsidRPr="00D34A5A">
        <w:t>2.3</w:t>
      </w:r>
      <w:r w:rsidRPr="00D34A5A">
        <w:tab/>
      </w:r>
      <w:bookmarkStart w:id="14" w:name="lt_pId039"/>
      <w:r w:rsidRPr="00D34A5A">
        <w:t>Esta versión</w:t>
      </w:r>
      <w:r w:rsidRPr="00275C84">
        <w:t xml:space="preserve"> cuenta un total de diez plantas: un sótano, una planta baja (calle Varembé), una planta baja superior (calle Giuseppe Motta), un nivel técnico, un patio ajardinado y cinco plantas superiores de oficinas.</w:t>
      </w:r>
      <w:bookmarkEnd w:id="14"/>
    </w:p>
    <w:p w:rsidR="00622E49" w:rsidRPr="00D34A5A" w:rsidRDefault="00622E49" w:rsidP="00622E49">
      <w:r w:rsidRPr="00D34A5A">
        <w:t>2.4</w:t>
      </w:r>
      <w:r w:rsidRPr="00D34A5A">
        <w:tab/>
      </w:r>
      <w:bookmarkStart w:id="15" w:name="lt_pId041"/>
      <w:r w:rsidRPr="00275C84">
        <w:t>A raíz de la eliminación de una planta de oficinas, la altura del edificio se ve reducida en 37,1</w:t>
      </w:r>
      <w:r>
        <w:t> </w:t>
      </w:r>
      <w:r w:rsidRPr="00275C84">
        <w:t>m con respecto al diseño ganador. El Consejo de Estado de la República y el Cantón de Ginebra ha confirmado a la UIT que no es necesario revisar el plan de ordenación territorial local en consecuencia, y que el examen encaminado a la autorización de planificación seguirá los procesos normalizados.</w:t>
      </w:r>
      <w:bookmarkEnd w:id="15"/>
    </w:p>
    <w:p w:rsidR="00622E49" w:rsidRPr="00D34A5A" w:rsidRDefault="00622E49" w:rsidP="00622E49">
      <w:r w:rsidRPr="00D34A5A">
        <w:t>2.5</w:t>
      </w:r>
      <w:r w:rsidRPr="00D34A5A">
        <w:tab/>
      </w:r>
      <w:bookmarkStart w:id="16" w:name="lt_pId044"/>
      <w:r w:rsidRPr="00275C84">
        <w:t xml:space="preserve">El nuevo edificio debe cumplir las normas mínimas operativas de seguridad (MOSS) de las Naciones Unidas, que se aplican a todos los edificios de los organismos de las Naciones Unidas construidos o reacondicionados en todo el mundo. </w:t>
      </w:r>
      <w:bookmarkStart w:id="17" w:name="lt_pId045"/>
      <w:bookmarkEnd w:id="16"/>
      <w:r w:rsidRPr="00D34A5A">
        <w:t>De conformidad con la recomendación formulada por el Consejo en 2017, la UIT se ha puesto en contacto con las autoridades del país anfitrión para abordar las amenazas que se oponen al nuevo edificio y las medidas de protección correspondientes. Se organizó una reunión sobre evaluación de amenazas y conceptos de seguridad en la que participaron la UIT, el DSNU, los arquitectos</w:t>
      </w:r>
      <w:bookmarkStart w:id="18" w:name="lt_pId046"/>
      <w:bookmarkEnd w:id="17"/>
      <w:r w:rsidRPr="00D34A5A">
        <w:t xml:space="preserve"> (CDTK) y representantes de las autoridades del país anfitrión (DFAE/FEDPOL) para exponer y debatir sus respectivas opiniones e inquietudes con respecto a la seguridad.</w:t>
      </w:r>
      <w:bookmarkEnd w:id="18"/>
    </w:p>
    <w:p w:rsidR="00622E49" w:rsidRPr="00D34A5A" w:rsidRDefault="00622E49" w:rsidP="00622E49">
      <w:r w:rsidRPr="00D34A5A">
        <w:t>2.6</w:t>
      </w:r>
      <w:r w:rsidRPr="00D34A5A">
        <w:tab/>
      </w:r>
      <w:r w:rsidRPr="00275C84">
        <w:t xml:space="preserve">En diciembre de 2018 y febrero de 2019, un arquitecto del DSNU y un experto en la reducción de los efectos de las explosiones de la Dependencia de Seguridad Física de Nueva York realizaron una evaluación e inspección de la seguridad física del diseño y el concepto del nuevo edificio en relación con las medidas de seguridad de las MOSS. Los autores del informe de </w:t>
      </w:r>
      <w:r w:rsidRPr="00275C84">
        <w:lastRenderedPageBreak/>
        <w:t>evaluación preliminar indicaron los mismos retos e inquietudes en cuanto al nuevo edificio que la Secretaría de la UIT, que plantean riesgos inaceptables para el cumplimiento de las MOSS:</w:t>
      </w:r>
    </w:p>
    <w:p w:rsidR="00622E49" w:rsidRPr="00D34A5A" w:rsidRDefault="00622E49" w:rsidP="00622E49">
      <w:pPr>
        <w:pStyle w:val="enumlev1"/>
      </w:pPr>
      <w:bookmarkStart w:id="19" w:name="lt_pId050"/>
      <w:r w:rsidRPr="00D34A5A">
        <w:t>–</w:t>
      </w:r>
      <w:r w:rsidRPr="00D34A5A">
        <w:tab/>
      </w:r>
      <w:r>
        <w:t>d</w:t>
      </w:r>
      <w:r w:rsidRPr="00D34A5A">
        <w:t>istancia insuficiente entre el edificio y la calzada de la calle Varembé;</w:t>
      </w:r>
      <w:bookmarkEnd w:id="19"/>
    </w:p>
    <w:p w:rsidR="00622E49" w:rsidRPr="00D34A5A" w:rsidRDefault="00622E49" w:rsidP="00622E49">
      <w:pPr>
        <w:pStyle w:val="enumlev1"/>
      </w:pPr>
      <w:bookmarkStart w:id="20" w:name="lt_pId051"/>
      <w:r w:rsidRPr="00D34A5A">
        <w:t>–</w:t>
      </w:r>
      <w:r w:rsidRPr="00D34A5A">
        <w:tab/>
      </w:r>
      <w:r>
        <w:t>l</w:t>
      </w:r>
      <w:r w:rsidRPr="00D34A5A">
        <w:t>a entrada/salida del aparcamiento público desde/hacia la calle Varembé pasa por debajo del edificio.</w:t>
      </w:r>
      <w:bookmarkEnd w:id="20"/>
    </w:p>
    <w:p w:rsidR="00622E49" w:rsidRPr="00D34A5A" w:rsidRDefault="00622E49" w:rsidP="00622E49">
      <w:r w:rsidRPr="00D34A5A">
        <w:t>2.7</w:t>
      </w:r>
      <w:r w:rsidRPr="00D34A5A">
        <w:tab/>
      </w:r>
      <w:bookmarkStart w:id="21" w:name="lt_pId054"/>
      <w:r w:rsidRPr="00275C84">
        <w:t xml:space="preserve">El informe oficial solicitado por la UIT </w:t>
      </w:r>
      <w:r w:rsidRPr="00D34A5A">
        <w:rPr>
          <w:i/>
          <w:iCs/>
        </w:rPr>
        <w:t>coincide</w:t>
      </w:r>
      <w:r w:rsidRPr="00275C84">
        <w:t xml:space="preserve"> con la estrategia conceptual inicial diseñada por la UIT y el arquitecto en que una de las </w:t>
      </w:r>
      <w:r w:rsidRPr="00D34A5A">
        <w:rPr>
          <w:i/>
          <w:iCs/>
        </w:rPr>
        <w:t>prácticas idóneas en materia de seguridad</w:t>
      </w:r>
      <w:r w:rsidRPr="00275C84">
        <w:t xml:space="preserve"> consiste en disponer dos niveles de vallado perimetral independientes, a saber, un vallado de protección contra vehículos instalado alrededor de la parcela compuesta y a la mayor distancia posible del edificio, para obtener la máxima distancia de separación, y un vallado de protección contra el acceso de peatones, cuyo objetivo sea canalizar a las personas no acreditadas hacia un pabellón de control y/o acreditación (para visitantes y delegados no acreditados) que se situará en la nueva entrada de la avenida Giuseppe Motta. </w:t>
      </w:r>
      <w:bookmarkStart w:id="22" w:name="lt_pId055"/>
      <w:bookmarkEnd w:id="21"/>
      <w:r w:rsidRPr="00D34A5A">
        <w:t>El informe oficial se remitirá al Grupo de Trabajo sobre Seguridad del Comité de Coordinación y el GAEM. El Vicesecretario General se ha dirigido al Embajador de Suiza a fin de proseguir con las autoridades del país anfitrión las negociaciones para la incorporación de las medidas de seguridad necesarias, como las que se proponen en el informe oficial.</w:t>
      </w:r>
      <w:bookmarkEnd w:id="22"/>
    </w:p>
    <w:p w:rsidR="00622E49" w:rsidRPr="00D34A5A" w:rsidRDefault="00622E49" w:rsidP="00622E49">
      <w:r w:rsidRPr="00D34A5A">
        <w:t>2.8</w:t>
      </w:r>
      <w:r w:rsidRPr="00D34A5A">
        <w:tab/>
      </w:r>
      <w:bookmarkStart w:id="23" w:name="lt_pId057"/>
      <w:r w:rsidRPr="00D34A5A">
        <w:t>De los posteriores contactos con el Comité de Coordinación, la Misión de Suiza ante las Organizaciones Internacionales en Ginebra y la FIPOI se desprende que Suiza entiende los problemas de acceso, financiación y colaboración que plantea la integración de un edificio conforme a los requisitos MOSS de las Naciones Unidas en un contexto urbano densamente ocupado y está estudiando la mejor manera de lograr dicha integración.</w:t>
      </w:r>
      <w:bookmarkEnd w:id="23"/>
    </w:p>
    <w:p w:rsidR="00622E49" w:rsidRPr="00275C84" w:rsidRDefault="00622E49" w:rsidP="00622E49">
      <w:pPr>
        <w:pStyle w:val="Heading1"/>
        <w:rPr>
          <w:lang w:val="es-ES"/>
        </w:rPr>
      </w:pPr>
      <w:r w:rsidRPr="00275C84">
        <w:rPr>
          <w:lang w:val="es-ES"/>
        </w:rPr>
        <w:t>3</w:t>
      </w:r>
      <w:r w:rsidRPr="00275C84">
        <w:rPr>
          <w:lang w:val="es-ES"/>
        </w:rPr>
        <w:tab/>
      </w:r>
      <w:bookmarkStart w:id="24" w:name="lt_pId059"/>
      <w:r w:rsidRPr="00275C84">
        <w:rPr>
          <w:lang w:val="es-ES"/>
        </w:rPr>
        <w:t>Gestión y gobernanza</w:t>
      </w:r>
      <w:bookmarkEnd w:id="24"/>
    </w:p>
    <w:p w:rsidR="00622E49" w:rsidRPr="00D34A5A" w:rsidRDefault="00622E49" w:rsidP="00622E49">
      <w:r w:rsidRPr="00D34A5A">
        <w:t>3.1</w:t>
      </w:r>
      <w:r w:rsidRPr="00D34A5A">
        <w:tab/>
      </w:r>
      <w:bookmarkStart w:id="25" w:name="lt_pId061"/>
      <w:r w:rsidRPr="00D34A5A">
        <w:t xml:space="preserve">Se ha aclarado la gobernanza del proyecto y, con el objetivo de evitar duplicaciones, se ha reforzado el equipo a medida que se ha intensificado el trabajo, de manera que todos los interesados pueden gozar de suficiente visibilidad y se minimizan los gastos directos, al tiempo que se conserva una gestión suficiente de los riesgos. Con gran agradecimiento se ha recibido el asesoramiento del GAEM, el CAIG y el </w:t>
      </w:r>
      <w:r>
        <w:t>p</w:t>
      </w:r>
      <w:r w:rsidRPr="00D34A5A">
        <w:t>aís anfitrión</w:t>
      </w:r>
      <w:bookmarkStart w:id="26" w:name="lt_pId062"/>
      <w:bookmarkEnd w:id="25"/>
      <w:r w:rsidRPr="00D34A5A">
        <w:t>.</w:t>
      </w:r>
      <w:bookmarkEnd w:id="26"/>
    </w:p>
    <w:p w:rsidR="00622E49" w:rsidRPr="00D34A5A" w:rsidRDefault="00622E49" w:rsidP="00622E49">
      <w:r w:rsidRPr="00D34A5A">
        <w:t>3.2</w:t>
      </w:r>
      <w:r w:rsidRPr="00D34A5A">
        <w:tab/>
      </w:r>
      <w:bookmarkStart w:id="27" w:name="lt_pId064"/>
      <w:r w:rsidRPr="00D34A5A">
        <w:t xml:space="preserve">En el </w:t>
      </w:r>
      <w:r w:rsidRPr="00D34A5A">
        <w:rPr>
          <w:u w:val="single"/>
        </w:rPr>
        <w:t>Anexo 1</w:t>
      </w:r>
      <w:r w:rsidRPr="00D34A5A">
        <w:t xml:space="preserve"> puede consultarse el esquema orgánico.</w:t>
      </w:r>
      <w:bookmarkEnd w:id="27"/>
    </w:p>
    <w:p w:rsidR="00622E49" w:rsidRPr="00D34A5A" w:rsidRDefault="00622E49" w:rsidP="00622E49">
      <w:pPr>
        <w:pStyle w:val="enumlev1"/>
      </w:pPr>
      <w:bookmarkStart w:id="28" w:name="lt_pId065"/>
      <w:r w:rsidRPr="00D34A5A">
        <w:t>–</w:t>
      </w:r>
      <w:r w:rsidRPr="00D34A5A">
        <w:tab/>
      </w:r>
      <w:r>
        <w:t>E</w:t>
      </w:r>
      <w:r w:rsidRPr="00D34A5A">
        <w:t>l Comité de Dirección está compuesto por los Funcionarios de Elección de la UIT</w:t>
      </w:r>
      <w:bookmarkEnd w:id="28"/>
      <w:r>
        <w:t>.</w:t>
      </w:r>
    </w:p>
    <w:p w:rsidR="00622E49" w:rsidRPr="00D34A5A" w:rsidRDefault="00622E49" w:rsidP="00622E49">
      <w:pPr>
        <w:pStyle w:val="enumlev1"/>
      </w:pPr>
      <w:bookmarkStart w:id="29" w:name="lt_pId066"/>
      <w:r w:rsidRPr="00D34A5A">
        <w:t>–</w:t>
      </w:r>
      <w:r w:rsidRPr="00D34A5A">
        <w:tab/>
        <w:t xml:space="preserve">El Comité de Coordinación y sus grupos operativos aseguran el vínculo con el </w:t>
      </w:r>
      <w:r>
        <w:t>p</w:t>
      </w:r>
      <w:r w:rsidRPr="00D34A5A">
        <w:t>aís anfitrión</w:t>
      </w:r>
      <w:bookmarkEnd w:id="29"/>
      <w:r>
        <w:t>.</w:t>
      </w:r>
    </w:p>
    <w:p w:rsidR="00622E49" w:rsidRPr="00D34A5A" w:rsidRDefault="00622E49" w:rsidP="00622E49">
      <w:pPr>
        <w:pStyle w:val="enumlev1"/>
      </w:pPr>
      <w:bookmarkStart w:id="30" w:name="lt_pId067"/>
      <w:r w:rsidRPr="00D34A5A">
        <w:t>–</w:t>
      </w:r>
      <w:r w:rsidRPr="00D34A5A">
        <w:tab/>
        <w:t>En Grupo sobre requisitos del nuevo edificio está formado por los coordinadores de las distintas unidades orgánicas de la UIT.</w:t>
      </w:r>
      <w:bookmarkEnd w:id="30"/>
    </w:p>
    <w:p w:rsidR="00622E49" w:rsidRPr="00275C84" w:rsidRDefault="00622E49" w:rsidP="00622E49">
      <w:pPr>
        <w:pStyle w:val="Heading1"/>
        <w:rPr>
          <w:lang w:val="es-ES"/>
        </w:rPr>
      </w:pPr>
      <w:r w:rsidRPr="00275C84">
        <w:rPr>
          <w:lang w:val="es-ES"/>
        </w:rPr>
        <w:t>4</w:t>
      </w:r>
      <w:r w:rsidRPr="00275C84">
        <w:rPr>
          <w:lang w:val="es-ES"/>
        </w:rPr>
        <w:tab/>
      </w:r>
      <w:bookmarkStart w:id="31" w:name="lt_pId069"/>
      <w:r w:rsidRPr="00275C84">
        <w:rPr>
          <w:lang w:val="es-ES"/>
        </w:rPr>
        <w:t>Financiación: Resolución 212 de la PP, Decisión 5</w:t>
      </w:r>
      <w:bookmarkEnd w:id="31"/>
      <w:r w:rsidRPr="00275C84">
        <w:rPr>
          <w:lang w:val="es-ES"/>
        </w:rPr>
        <w:t xml:space="preserve"> de la PP</w:t>
      </w:r>
    </w:p>
    <w:p w:rsidR="00622E49" w:rsidRPr="00D34A5A" w:rsidRDefault="00622E49" w:rsidP="00622E49">
      <w:r w:rsidRPr="00D34A5A">
        <w:t>4.1</w:t>
      </w:r>
      <w:r w:rsidRPr="00D34A5A">
        <w:tab/>
      </w:r>
      <w:bookmarkStart w:id="32" w:name="lt_pId072"/>
      <w:r w:rsidRPr="00275C84">
        <w:t>En la Conferencia de Plenipotenciarios de 2018 se aprobó la nueva Resolución 212 (Dubái,</w:t>
      </w:r>
      <w:r>
        <w:t> </w:t>
      </w:r>
      <w:r w:rsidRPr="00275C84">
        <w:t xml:space="preserve">2018) sobre el futuro edifico de la </w:t>
      </w:r>
      <w:r>
        <w:t>S</w:t>
      </w:r>
      <w:r w:rsidRPr="00275C84">
        <w:t>ede de la Unión.</w:t>
      </w:r>
      <w:r w:rsidRPr="00D34A5A">
        <w:t xml:space="preserve"> </w:t>
      </w:r>
      <w:bookmarkEnd w:id="32"/>
      <w:r w:rsidRPr="00275C84">
        <w:t xml:space="preserve">Dicho instrumento sustituye a la </w:t>
      </w:r>
      <w:r>
        <w:t>Resolución </w:t>
      </w:r>
      <w:r w:rsidRPr="00275C84">
        <w:t>194 (Busán, 2014).</w:t>
      </w:r>
    </w:p>
    <w:p w:rsidR="00622E49" w:rsidRPr="00D34A5A" w:rsidRDefault="00622E49" w:rsidP="00622E49">
      <w:r w:rsidRPr="00D34A5A">
        <w:t>4.2</w:t>
      </w:r>
      <w:r w:rsidRPr="00D34A5A">
        <w:tab/>
      </w:r>
      <w:bookmarkStart w:id="33" w:name="lt_pId074"/>
      <w:r w:rsidRPr="00275C84">
        <w:t>En la nueva Resolución se resuelve</w:t>
      </w:r>
      <w:r w:rsidRPr="00D34A5A">
        <w:t>:</w:t>
      </w:r>
      <w:bookmarkEnd w:id="33"/>
    </w:p>
    <w:p w:rsidR="00622E49" w:rsidRPr="00D34A5A" w:rsidRDefault="00622E49" w:rsidP="00622E49">
      <w:pPr>
        <w:pStyle w:val="enumlev1"/>
      </w:pPr>
      <w:bookmarkStart w:id="34" w:name="lt_pId075"/>
      <w:r>
        <w:lastRenderedPageBreak/>
        <w:t>–</w:t>
      </w:r>
      <w:r>
        <w:tab/>
      </w:r>
      <w:r w:rsidRPr="00275C84">
        <w:t>la conformidad con el Acuerdo 588 (2016) del Consejo y otras decisiones pertinentes del Consejo</w:t>
      </w:r>
      <w:r w:rsidRPr="00D34A5A">
        <w:t>;</w:t>
      </w:r>
      <w:bookmarkEnd w:id="34"/>
    </w:p>
    <w:p w:rsidR="00622E49" w:rsidRPr="00D34A5A" w:rsidRDefault="00622E49" w:rsidP="00622E49">
      <w:pPr>
        <w:pStyle w:val="enumlev1"/>
      </w:pPr>
      <w:bookmarkStart w:id="35" w:name="lt_pId076"/>
      <w:r>
        <w:t>–</w:t>
      </w:r>
      <w:r>
        <w:tab/>
      </w:r>
      <w:r w:rsidRPr="00275C84">
        <w:t>que el proyecto se financie principalmente con un crédito sin intereses de la Confederación Suiza, reembolsable en 50 años, que no debe superar los 150 millones CHF y puede complementarse con patrocinios y donaciones, así como con el fondo temporal creado por el Consejo en su reunión ordinaria de 2018</w:t>
      </w:r>
      <w:r w:rsidRPr="00D34A5A">
        <w:t>;</w:t>
      </w:r>
      <w:bookmarkEnd w:id="35"/>
    </w:p>
    <w:p w:rsidR="00622E49" w:rsidRPr="00D34A5A" w:rsidRDefault="00622E49" w:rsidP="00622E49">
      <w:pPr>
        <w:pStyle w:val="enumlev1"/>
      </w:pPr>
      <w:bookmarkStart w:id="36" w:name="lt_pId077"/>
      <w:r>
        <w:t>–</w:t>
      </w:r>
      <w:r>
        <w:tab/>
      </w:r>
      <w:r w:rsidRPr="00275C84">
        <w:t>que el GAEM siga reuniéndose trimestralmente, en términos generales, para examinar los avances del proyecto y ofrecer orientaciones, y que se celebren reuniones de información al menos dos veces al año con los representantes de las Misiones Permanentes en Ginebra para compartir información con ellos</w:t>
      </w:r>
      <w:r w:rsidRPr="00D34A5A">
        <w:t>.</w:t>
      </w:r>
      <w:bookmarkEnd w:id="36"/>
    </w:p>
    <w:p w:rsidR="00622E49" w:rsidRPr="00D34A5A" w:rsidRDefault="00622E49" w:rsidP="00622E49">
      <w:r w:rsidRPr="00D34A5A">
        <w:t>4.3</w:t>
      </w:r>
      <w:r w:rsidRPr="00D34A5A">
        <w:tab/>
      </w:r>
      <w:bookmarkStart w:id="37" w:name="lt_pId079"/>
      <w:r w:rsidRPr="00275C84">
        <w:t>Además, en la Decisión 5 (Rev. Dubái, 2018) se encarga al Consejo</w:t>
      </w:r>
      <w:r w:rsidRPr="00D34A5A">
        <w:t>:</w:t>
      </w:r>
      <w:bookmarkEnd w:id="37"/>
    </w:p>
    <w:p w:rsidR="00622E49" w:rsidRPr="00D34A5A" w:rsidRDefault="00622E49" w:rsidP="00622E49">
      <w:pPr>
        <w:pStyle w:val="enumlev1"/>
        <w:rPr>
          <w:i/>
          <w:iCs/>
        </w:rPr>
      </w:pPr>
      <w:bookmarkStart w:id="38" w:name="lt_pId080"/>
      <w:r w:rsidRPr="00D34A5A">
        <w:tab/>
      </w:r>
      <w:r w:rsidRPr="00D34A5A">
        <w:rPr>
          <w:i/>
          <w:iCs/>
        </w:rPr>
        <w:t>"que, en caso de que se logre un superávit durante el ejercicio presupuestario, autorice al Secretario General a asignar una cantidad adecuada al Fondo para el proyecto de nuevo edificio a fin de financiar los gastos que legalmente no pueden cubrirse con el préstamo concedido por el país anfitrión".</w:t>
      </w:r>
      <w:bookmarkEnd w:id="38"/>
    </w:p>
    <w:p w:rsidR="00622E49" w:rsidRPr="00D34A5A" w:rsidRDefault="00622E49" w:rsidP="00622E49">
      <w:r w:rsidRPr="00D34A5A">
        <w:t>4.4</w:t>
      </w:r>
      <w:r w:rsidRPr="00D34A5A">
        <w:tab/>
      </w:r>
      <w:bookmarkStart w:id="39" w:name="lt_pId082"/>
      <w:r w:rsidRPr="00275C84">
        <w:t>De lo anterior se infieren las siguientes fuentes de financiación</w:t>
      </w:r>
      <w:r w:rsidRPr="00D34A5A">
        <w:t>:</w:t>
      </w:r>
      <w:bookmarkEnd w:id="39"/>
    </w:p>
    <w:p w:rsidR="00622E49" w:rsidRPr="00D34A5A" w:rsidRDefault="00622E49" w:rsidP="00622E49">
      <w:pPr>
        <w:pStyle w:val="enumlev1"/>
      </w:pPr>
      <w:bookmarkStart w:id="40" w:name="lt_pId083"/>
      <w:r>
        <w:t>–</w:t>
      </w:r>
      <w:r>
        <w:tab/>
      </w:r>
      <w:r w:rsidRPr="00275C84">
        <w:t>el préstamo del país anfitrión (para los elementos que legalmente puedan cubrirse</w:t>
      </w:r>
      <w:r w:rsidRPr="00D34A5A">
        <w:t>);</w:t>
      </w:r>
      <w:bookmarkEnd w:id="40"/>
    </w:p>
    <w:p w:rsidR="00622E49" w:rsidRPr="00D34A5A" w:rsidRDefault="00622E49" w:rsidP="00622E49">
      <w:pPr>
        <w:pStyle w:val="enumlev1"/>
      </w:pPr>
      <w:bookmarkStart w:id="41" w:name="lt_pId084"/>
      <w:r>
        <w:t>–</w:t>
      </w:r>
      <w:r>
        <w:tab/>
      </w:r>
      <w:r w:rsidRPr="00275C84">
        <w:t>patrocinios</w:t>
      </w:r>
      <w:r w:rsidRPr="00D34A5A">
        <w:t>;</w:t>
      </w:r>
      <w:bookmarkEnd w:id="41"/>
    </w:p>
    <w:p w:rsidR="00622E49" w:rsidRPr="00D34A5A" w:rsidRDefault="00622E49" w:rsidP="00622E49">
      <w:pPr>
        <w:pStyle w:val="enumlev1"/>
      </w:pPr>
      <w:bookmarkStart w:id="42" w:name="lt_pId085"/>
      <w:r w:rsidRPr="00D34A5A">
        <w:t>–</w:t>
      </w:r>
      <w:r w:rsidRPr="00D34A5A">
        <w:tab/>
        <w:t>donaciones;</w:t>
      </w:r>
      <w:bookmarkEnd w:id="42"/>
    </w:p>
    <w:p w:rsidR="00622E49" w:rsidRPr="00D34A5A" w:rsidRDefault="00622E49" w:rsidP="00622E49">
      <w:pPr>
        <w:pStyle w:val="enumlev1"/>
      </w:pPr>
      <w:bookmarkStart w:id="43" w:name="lt_pId086"/>
      <w:r>
        <w:t>–</w:t>
      </w:r>
      <w:r>
        <w:tab/>
      </w:r>
      <w:r w:rsidRPr="00275C84">
        <w:t>el Fondo para el proyecto de nuevo edificio creado por el Consejo en 2018 (para los elementos que legalmente no pueden cubrirse con el préstamo concedido</w:t>
      </w:r>
      <w:r w:rsidRPr="00D34A5A">
        <w:t>).</w:t>
      </w:r>
      <w:bookmarkEnd w:id="43"/>
    </w:p>
    <w:p w:rsidR="00622E49" w:rsidRDefault="00622E49" w:rsidP="00622E49">
      <w:r w:rsidRPr="00D34A5A">
        <w:t>4.5</w:t>
      </w:r>
      <w:r w:rsidRPr="00D34A5A">
        <w:tab/>
      </w:r>
      <w:bookmarkStart w:id="44" w:name="lt_pId088"/>
      <w:r w:rsidRPr="00D34A5A">
        <w:t>Se propone destinar al Fondo para el proyecto de nuevo edificio mencionado 6 millones CHF de ahorros generados en 2018. En el Anexo 2 se describe una financiación que comprende esta asignación</w:t>
      </w:r>
      <w:bookmarkStart w:id="45" w:name="lt_pId089"/>
      <w:bookmarkEnd w:id="44"/>
      <w:r w:rsidRPr="00D34A5A">
        <w:t>.</w:t>
      </w:r>
      <w:bookmarkEnd w:id="45"/>
    </w:p>
    <w:p w:rsidR="00622E49" w:rsidRPr="00622E49" w:rsidRDefault="00622E49" w:rsidP="00622E49">
      <w:pPr>
        <w:rPr>
          <w:lang w:val="es-ES"/>
        </w:rPr>
      </w:pPr>
      <w:r w:rsidRPr="00622E49">
        <w:rPr>
          <w:lang w:val="es-ES"/>
        </w:rPr>
        <w:t>4.6</w:t>
      </w:r>
      <w:r w:rsidRPr="00622E49">
        <w:rPr>
          <w:lang w:val="es-ES"/>
        </w:rPr>
        <w:tab/>
        <w:t xml:space="preserve">Desde la aprobación del Acuerdo 588 del Consejo en 2016, cabe destacar varios factores que han dado lugar a un aumento de los costos, en particular, la mayor cantidad de requisitos en materia de seguridad </w:t>
      </w:r>
      <w:r>
        <w:rPr>
          <w:lang w:val="es-ES"/>
        </w:rPr>
        <w:t>para</w:t>
      </w:r>
      <w:r w:rsidRPr="00622E49">
        <w:rPr>
          <w:lang w:val="es-ES"/>
        </w:rPr>
        <w:t xml:space="preserve"> objeto de cumplir las normas mínimas operativas de seguridad de las Naciones Unidas; la necesidad de reubicación del lugar de celebración de conferencias y eventos; la prestación de servicios externos de apoyo al proyecto; y la reubicación del transformador de suministro eléctrico del distrito situado debajo del antiguo edificio Varembé.</w:t>
      </w:r>
    </w:p>
    <w:p w:rsidR="00622E49" w:rsidRPr="00622E49" w:rsidRDefault="00622E49" w:rsidP="00622E49">
      <w:pPr>
        <w:rPr>
          <w:lang w:val="es-ES"/>
        </w:rPr>
      </w:pPr>
      <w:r w:rsidRPr="00622E49">
        <w:rPr>
          <w:lang w:val="es-ES"/>
        </w:rPr>
        <w:t>4.7</w:t>
      </w:r>
      <w:r w:rsidRPr="00622E49">
        <w:rPr>
          <w:lang w:val="es-ES"/>
        </w:rPr>
        <w:tab/>
        <w:t>Como se señala en el Anexo 2, se requiere una financiación adicional de 9,673 millones de francos suizos (CHF) a lo largo del proyecto.</w:t>
      </w:r>
    </w:p>
    <w:p w:rsidR="00622E49" w:rsidRPr="00275C84" w:rsidRDefault="00622E49" w:rsidP="00622E49">
      <w:pPr>
        <w:pStyle w:val="Heading1"/>
        <w:rPr>
          <w:lang w:val="es-ES"/>
        </w:rPr>
      </w:pPr>
      <w:r w:rsidRPr="00275C84">
        <w:rPr>
          <w:lang w:val="es-ES"/>
        </w:rPr>
        <w:t>5</w:t>
      </w:r>
      <w:r w:rsidRPr="00275C84">
        <w:rPr>
          <w:lang w:val="es-ES"/>
        </w:rPr>
        <w:tab/>
      </w:r>
      <w:bookmarkStart w:id="46" w:name="lt_pId091"/>
      <w:r w:rsidRPr="00275C84">
        <w:rPr>
          <w:lang w:val="es-ES"/>
        </w:rPr>
        <w:t>Patrocinios y donaciones</w:t>
      </w:r>
      <w:bookmarkEnd w:id="46"/>
    </w:p>
    <w:p w:rsidR="00622E49" w:rsidRPr="00A71D59" w:rsidRDefault="00622E49" w:rsidP="00622E49">
      <w:r w:rsidRPr="00A71D59">
        <w:t>5.1</w:t>
      </w:r>
      <w:r w:rsidRPr="00A71D59">
        <w:tab/>
      </w:r>
      <w:bookmarkStart w:id="47" w:name="lt_pId093"/>
      <w:r w:rsidRPr="00275C84">
        <w:t xml:space="preserve">A abril de 2019, Arabia Saudita y Emiratos Árabes Unidos se han comprometido generosamente a patrocinar con 10 millones y 5 millones CHF, respectivamente, y la República Checa y Ghana han contribuido generosamente con una donación de 100 000 USD y 40 000 </w:t>
      </w:r>
      <w:r>
        <w:t>CHF</w:t>
      </w:r>
      <w:r w:rsidRPr="00275C84">
        <w:t>, respectivamente</w:t>
      </w:r>
      <w:r w:rsidRPr="00A71D59">
        <w:t>.</w:t>
      </w:r>
      <w:bookmarkEnd w:id="47"/>
    </w:p>
    <w:p w:rsidR="00622E49" w:rsidRPr="00A71D59" w:rsidRDefault="00622E49" w:rsidP="00622E49">
      <w:r w:rsidRPr="00A71D59">
        <w:t>5.2</w:t>
      </w:r>
      <w:r w:rsidRPr="00A71D59">
        <w:tab/>
      </w:r>
      <w:bookmarkStart w:id="48" w:name="lt_pId095"/>
      <w:r w:rsidRPr="00A71D59">
        <w:t>Se están negociando otras ofertas de patrocinio de los Estados Miembros.</w:t>
      </w:r>
      <w:bookmarkEnd w:id="48"/>
      <w:r w:rsidRPr="00A71D59">
        <w:t xml:space="preserve"> </w:t>
      </w:r>
      <w:bookmarkStart w:id="49" w:name="lt_pId096"/>
      <w:r w:rsidRPr="00275C84">
        <w:t>Se alienta además a los Estados Miembros y a los Miembros de Sector a que patrocinen y/o efectúen donaciones y a solicitar más información al Vicesecretario General si así lo desean</w:t>
      </w:r>
      <w:r w:rsidRPr="00A71D59">
        <w:t>.</w:t>
      </w:r>
      <w:bookmarkEnd w:id="49"/>
    </w:p>
    <w:p w:rsidR="00622E49" w:rsidRPr="00275C84" w:rsidRDefault="00622E49" w:rsidP="00622E49">
      <w:pPr>
        <w:pStyle w:val="Heading1"/>
        <w:rPr>
          <w:lang w:val="es-ES"/>
        </w:rPr>
      </w:pPr>
      <w:r w:rsidRPr="00275C84">
        <w:rPr>
          <w:lang w:val="es-ES"/>
        </w:rPr>
        <w:lastRenderedPageBreak/>
        <w:t>6</w:t>
      </w:r>
      <w:r w:rsidRPr="00275C84">
        <w:rPr>
          <w:lang w:val="es-ES"/>
        </w:rPr>
        <w:tab/>
      </w:r>
      <w:bookmarkStart w:id="50" w:name="lt_pId098"/>
      <w:r w:rsidRPr="00275C84">
        <w:rPr>
          <w:lang w:val="es-ES"/>
        </w:rPr>
        <w:t>Personal y recursos externos</w:t>
      </w:r>
      <w:bookmarkEnd w:id="50"/>
    </w:p>
    <w:p w:rsidR="00622E49" w:rsidRPr="00A71D59" w:rsidRDefault="00622E49" w:rsidP="00622E49">
      <w:r w:rsidRPr="00A71D59">
        <w:t>6.1</w:t>
      </w:r>
      <w:r w:rsidRPr="00A71D59">
        <w:tab/>
      </w:r>
      <w:bookmarkStart w:id="51" w:name="lt_pId100"/>
      <w:r w:rsidRPr="00A71D59">
        <w:t>Además del asesor superior en materia de construcción (P5), como Gestor del Proyecto, y del funcionario superior de adquisiciones (P4), ya en servicio, se ha creado en la Oficina del Secretario General una división compuesta por funcionarios adscritos al 100%: un coordinador de arquitectura e ingeniería (P3) y un asistente superior (G6).</w:t>
      </w:r>
      <w:bookmarkEnd w:id="51"/>
      <w:r w:rsidRPr="00A71D59">
        <w:t xml:space="preserve"> </w:t>
      </w:r>
      <w:bookmarkStart w:id="52" w:name="lt_pId101"/>
      <w:r w:rsidRPr="00A71D59">
        <w:t>Otros miembros del personal cuentan entre sus responsabilidades ordinarias tareas relacionadas con el proyecto.</w:t>
      </w:r>
      <w:bookmarkEnd w:id="52"/>
    </w:p>
    <w:p w:rsidR="00622E49" w:rsidRPr="00A71D59" w:rsidRDefault="00622E49" w:rsidP="00622E49">
      <w:r w:rsidRPr="00A71D59">
        <w:t>6.2</w:t>
      </w:r>
      <w:r w:rsidRPr="00A71D59">
        <w:tab/>
      </w:r>
      <w:bookmarkStart w:id="53" w:name="lt_pId103"/>
      <w:r w:rsidRPr="00A71D59">
        <w:t>Se contrataron los servicios de KPMG como consultor de apoyo técnico hasta abril de 2019. Como resultado de una recomendación aceptada por el Secretario General, en noviembre de 2018 se publicó una licitación internacional para la gestión del proyecto y soporte técnico y de riesgos a largo plazo a partir de abril de 2019. Se está negociando un contrato con un proveedor de renombre internacional, al que se convocará a las reuniones de la Junta de Gestión y, en concreto, del Subgrupo sobre los requisitos</w:t>
      </w:r>
      <w:bookmarkStart w:id="54" w:name="lt_pId105"/>
      <w:bookmarkEnd w:id="53"/>
      <w:r w:rsidRPr="00A71D59">
        <w:t>.</w:t>
      </w:r>
      <w:bookmarkEnd w:id="54"/>
    </w:p>
    <w:p w:rsidR="00622E49" w:rsidRPr="00275C84" w:rsidRDefault="00622E49" w:rsidP="00622E49">
      <w:pPr>
        <w:pStyle w:val="Heading1"/>
        <w:rPr>
          <w:lang w:val="es-ES"/>
        </w:rPr>
      </w:pPr>
      <w:r w:rsidRPr="00275C84">
        <w:rPr>
          <w:lang w:val="es-ES"/>
        </w:rPr>
        <w:t>7</w:t>
      </w:r>
      <w:r w:rsidRPr="00275C84">
        <w:rPr>
          <w:lang w:val="es-ES"/>
        </w:rPr>
        <w:tab/>
      </w:r>
      <w:bookmarkStart w:id="55" w:name="lt_pId107"/>
      <w:r w:rsidRPr="00275C84">
        <w:rPr>
          <w:lang w:val="es-ES"/>
        </w:rPr>
        <w:t>Continuidad de la actividad durante la demolición y la construcción</w:t>
      </w:r>
      <w:bookmarkEnd w:id="55"/>
    </w:p>
    <w:p w:rsidR="00622E49" w:rsidRPr="00A71D59" w:rsidRDefault="00622E49" w:rsidP="00622E49">
      <w:r w:rsidRPr="00A71D59">
        <w:t>7.1</w:t>
      </w:r>
      <w:r w:rsidRPr="00A71D59">
        <w:tab/>
      </w:r>
      <w:bookmarkStart w:id="56" w:name="lt_pId109"/>
      <w:r w:rsidRPr="00275C84">
        <w:t>La Secretaría de la UIT está haciendo lo posible por no tener que arrendar oficinas temporales durante el periodo de transición (entre el desalojo del edificio de Varembé y la mudanza al nuevo edificio) aumentando el espacio disponible para el personal en los edificios de la Torre y Montbrillant e introduciendo el teletrabajo</w:t>
      </w:r>
      <w:r w:rsidRPr="00A71D59">
        <w:t>.</w:t>
      </w:r>
      <w:bookmarkEnd w:id="56"/>
    </w:p>
    <w:p w:rsidR="00622E49" w:rsidRPr="00A71D59" w:rsidRDefault="00622E49" w:rsidP="00622E49">
      <w:r w:rsidRPr="00A71D59">
        <w:t>7.2</w:t>
      </w:r>
      <w:r w:rsidRPr="00A71D59">
        <w:tab/>
      </w:r>
      <w:bookmarkStart w:id="57" w:name="lt_pId111"/>
      <w:r w:rsidRPr="00275C84">
        <w:t>La UIT también espera no tener que arrendar salas de reunión durante el periodo en que las salas de la Torre y Montbrillant no puedan utilizarse debido a las interrupciones causadas por las obras (entre 2022 y 2023), gracias a las ofertas de los Estados Miembros que estén dispuestos a acoger reuniones en las condiciones normales (es decir, cubriendo los gastos de viaje y las dietas del personal de apoyo de la UIT</w:t>
      </w:r>
      <w:r w:rsidRPr="00A71D59">
        <w:t>).</w:t>
      </w:r>
      <w:bookmarkEnd w:id="57"/>
    </w:p>
    <w:p w:rsidR="00622E49" w:rsidRPr="00275C84" w:rsidRDefault="00622E49" w:rsidP="00622E49">
      <w:pPr>
        <w:pStyle w:val="Heading1"/>
        <w:rPr>
          <w:lang w:val="es-ES"/>
        </w:rPr>
      </w:pPr>
      <w:r w:rsidRPr="00275C84">
        <w:rPr>
          <w:lang w:val="es-ES"/>
        </w:rPr>
        <w:t>8</w:t>
      </w:r>
      <w:r w:rsidRPr="00275C84">
        <w:rPr>
          <w:lang w:val="es-ES"/>
        </w:rPr>
        <w:tab/>
      </w:r>
      <w:bookmarkStart w:id="58" w:name="lt_pId113"/>
      <w:r w:rsidRPr="00275C84">
        <w:rPr>
          <w:lang w:val="es-ES"/>
        </w:rPr>
        <w:t>Calendario</w:t>
      </w:r>
      <w:bookmarkEnd w:id="58"/>
    </w:p>
    <w:p w:rsidR="00622E49" w:rsidRPr="00A71D59" w:rsidRDefault="00622E49" w:rsidP="00622E49">
      <w:r w:rsidRPr="00A71D59">
        <w:t>8.1</w:t>
      </w:r>
      <w:r w:rsidRPr="00A71D59">
        <w:tab/>
      </w:r>
      <w:bookmarkStart w:id="59" w:name="lt_pId115"/>
      <w:r w:rsidRPr="00A71D59">
        <w:t xml:space="preserve">En el </w:t>
      </w:r>
      <w:r w:rsidRPr="00A71D59">
        <w:rPr>
          <w:u w:val="single"/>
        </w:rPr>
        <w:t>Anexo 3</w:t>
      </w:r>
      <w:r w:rsidRPr="00A71D59">
        <w:t xml:space="preserve"> puede encontrarse un calendario resumido del proyecto con las etapas más importantes.</w:t>
      </w:r>
      <w:bookmarkEnd w:id="59"/>
    </w:p>
    <w:p w:rsidR="00622E49" w:rsidRDefault="00622E49">
      <w:pPr>
        <w:tabs>
          <w:tab w:val="clear" w:pos="567"/>
          <w:tab w:val="clear" w:pos="1134"/>
          <w:tab w:val="clear" w:pos="1701"/>
          <w:tab w:val="clear" w:pos="2268"/>
          <w:tab w:val="clear" w:pos="2835"/>
        </w:tabs>
        <w:overflowPunct/>
        <w:autoSpaceDE/>
        <w:autoSpaceDN/>
        <w:adjustRightInd/>
        <w:spacing w:before="0"/>
        <w:textAlignment w:val="auto"/>
      </w:pPr>
      <w:r>
        <w:br w:type="page"/>
      </w:r>
    </w:p>
    <w:p w:rsidR="00622E49" w:rsidRDefault="00622E49" w:rsidP="00622E49">
      <w:pPr>
        <w:pStyle w:val="AnnexNo"/>
        <w:rPr>
          <w:lang w:val="es-ES"/>
        </w:rPr>
      </w:pPr>
      <w:bookmarkStart w:id="60" w:name="lt_pId116"/>
      <w:r w:rsidRPr="00A10574">
        <w:rPr>
          <w:lang w:val="es-ES"/>
        </w:rPr>
        <w:lastRenderedPageBreak/>
        <w:t>Anexo 1</w:t>
      </w:r>
      <w:bookmarkEnd w:id="60"/>
    </w:p>
    <w:p w:rsidR="00622E49" w:rsidRPr="0060285A" w:rsidRDefault="00622E49" w:rsidP="00622E49">
      <w:pPr>
        <w:pStyle w:val="Figure"/>
        <w:rPr>
          <w:lang w:val="es-ES"/>
        </w:rPr>
      </w:pPr>
      <w:r>
        <w:rPr>
          <w:noProof/>
          <w:lang w:val="en-US" w:eastAsia="zh-CN"/>
        </w:rPr>
        <w:drawing>
          <wp:inline distT="0" distB="0" distL="0" distR="0" wp14:anchorId="19E10EB8" wp14:editId="69FE6861">
            <wp:extent cx="5950800" cy="43020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0800" cy="4302000"/>
                    </a:xfrm>
                    <a:prstGeom prst="rect">
                      <a:avLst/>
                    </a:prstGeom>
                    <a:noFill/>
                  </pic:spPr>
                </pic:pic>
              </a:graphicData>
            </a:graphic>
          </wp:inline>
        </w:drawing>
      </w:r>
    </w:p>
    <w:p w:rsidR="00622E49" w:rsidRDefault="00622E49">
      <w:pPr>
        <w:tabs>
          <w:tab w:val="clear" w:pos="567"/>
          <w:tab w:val="clear" w:pos="1134"/>
          <w:tab w:val="clear" w:pos="1701"/>
          <w:tab w:val="clear" w:pos="2268"/>
          <w:tab w:val="clear" w:pos="2835"/>
        </w:tabs>
        <w:overflowPunct/>
        <w:autoSpaceDE/>
        <w:autoSpaceDN/>
        <w:adjustRightInd/>
        <w:spacing w:before="0"/>
        <w:textAlignment w:val="auto"/>
      </w:pPr>
      <w:r>
        <w:br w:type="page"/>
      </w:r>
    </w:p>
    <w:p w:rsidR="00622E49" w:rsidRPr="00946B40" w:rsidRDefault="00622E49" w:rsidP="00622E49">
      <w:pPr>
        <w:pStyle w:val="AnnexNo"/>
        <w:rPr>
          <w:rFonts w:asciiTheme="minorHAnsi" w:hAnsiTheme="minorHAnsi"/>
          <w:b/>
          <w:bCs/>
          <w:szCs w:val="28"/>
          <w:lang w:val="es-ES"/>
        </w:rPr>
      </w:pPr>
      <w:r w:rsidRPr="008F1F36">
        <w:rPr>
          <w:lang w:val="es-ES"/>
        </w:rPr>
        <w:lastRenderedPageBreak/>
        <w:t>Anexo 2</w:t>
      </w:r>
    </w:p>
    <w:p w:rsidR="00622E49" w:rsidRPr="00275C84" w:rsidRDefault="00622E49" w:rsidP="00622E49">
      <w:pPr>
        <w:pStyle w:val="Annextitle"/>
        <w:rPr>
          <w:lang w:val="es-ES"/>
        </w:rPr>
      </w:pPr>
      <w:bookmarkStart w:id="61" w:name="lt_pId118"/>
      <w:r w:rsidRPr="00275C84">
        <w:rPr>
          <w:lang w:val="es-ES"/>
        </w:rPr>
        <w:t>Detalles de la financiación presupuestaria</w:t>
      </w:r>
      <w:bookmarkEnd w:id="61"/>
    </w:p>
    <w:p w:rsidR="00622E49" w:rsidRPr="008F1F36" w:rsidRDefault="00622E49" w:rsidP="00622E49">
      <w:pPr>
        <w:pStyle w:val="Headingb"/>
        <w:rPr>
          <w:i/>
          <w:iCs/>
          <w:lang w:val="es-ES"/>
        </w:rPr>
      </w:pPr>
      <w:bookmarkStart w:id="62" w:name="lt_pId119"/>
      <w:r w:rsidRPr="008F1F36">
        <w:rPr>
          <w:i/>
          <w:iCs/>
          <w:lang w:val="es-ES"/>
        </w:rPr>
        <w:t>Notas al cuadro de partidas presupuestarias al dorso</w:t>
      </w:r>
      <w:bookmarkEnd w:id="62"/>
    </w:p>
    <w:p w:rsidR="00622E49" w:rsidRDefault="00622E49" w:rsidP="00622E49">
      <w:pPr>
        <w:pStyle w:val="enumlev1"/>
        <w:rPr>
          <w:lang w:val="es-ES"/>
        </w:rPr>
      </w:pPr>
      <w:bookmarkStart w:id="63" w:name="lt_pId120"/>
      <w:r>
        <w:rPr>
          <w:lang w:val="es-ES"/>
        </w:rPr>
        <w:t>1)</w:t>
      </w:r>
      <w:r>
        <w:rPr>
          <w:lang w:val="es-ES"/>
        </w:rPr>
        <w:tab/>
      </w:r>
      <w:r w:rsidRPr="00275C84">
        <w:rPr>
          <w:lang w:val="es-ES"/>
        </w:rPr>
        <w:t>Personal interno para las principales funciones internas: asesor superior del proyecto de construcción (P5), coordinador de arquitectura e ingeniería (P3), asistente de proyecto (G6), financiados del presupuesto ordinario</w:t>
      </w:r>
      <w:r>
        <w:rPr>
          <w:lang w:val="es-ES"/>
        </w:rPr>
        <w:t xml:space="preserve"> desde 2019 (con inclusión en el proyecto de presupuesto para 2020-2021)</w:t>
      </w:r>
      <w:r w:rsidRPr="00275C84">
        <w:rPr>
          <w:lang w:val="es-ES"/>
        </w:rPr>
        <w:t xml:space="preserve">. A diferencia del proyecto de </w:t>
      </w:r>
      <w:r w:rsidR="00393020" w:rsidRPr="00275C84">
        <w:rPr>
          <w:lang w:val="es-ES"/>
        </w:rPr>
        <w:t>Sede</w:t>
      </w:r>
      <w:r w:rsidRPr="00275C84">
        <w:rPr>
          <w:lang w:val="es-ES"/>
        </w:rPr>
        <w:t>, el trabajo de cambio cultural se financia con el presupuesto ordinario</w:t>
      </w:r>
      <w:bookmarkStart w:id="64" w:name="lt_pId121"/>
      <w:bookmarkEnd w:id="63"/>
      <w:r w:rsidRPr="00275C84">
        <w:rPr>
          <w:lang w:val="es-ES"/>
        </w:rPr>
        <w:t>.</w:t>
      </w:r>
      <w:bookmarkEnd w:id="64"/>
    </w:p>
    <w:p w:rsidR="00622E49" w:rsidRPr="00622E49" w:rsidRDefault="00622E49" w:rsidP="00622E49">
      <w:pPr>
        <w:pStyle w:val="enumlev1"/>
        <w:rPr>
          <w:lang w:val="es-ES"/>
        </w:rPr>
      </w:pPr>
      <w:r>
        <w:rPr>
          <w:lang w:val="es-ES"/>
        </w:rPr>
        <w:t>2)</w:t>
      </w:r>
      <w:r>
        <w:rPr>
          <w:lang w:val="es-ES"/>
        </w:rPr>
        <w:tab/>
      </w:r>
      <w:r w:rsidRPr="00197B9D">
        <w:rPr>
          <w:lang w:val="es-ES"/>
        </w:rPr>
        <w:t xml:space="preserve">CDTK ha acordado </w:t>
      </w:r>
      <w:r w:rsidRPr="00622E49">
        <w:rPr>
          <w:lang w:val="es-ES"/>
        </w:rPr>
        <w:t xml:space="preserve">reducir </w:t>
      </w:r>
      <w:r w:rsidRPr="00197B9D">
        <w:rPr>
          <w:lang w:val="es-ES"/>
        </w:rPr>
        <w:t xml:space="preserve">los honorarios </w:t>
      </w:r>
      <w:r w:rsidRPr="00622E49">
        <w:rPr>
          <w:lang w:val="es-ES"/>
        </w:rPr>
        <w:t>de arquitectura</w:t>
      </w:r>
      <w:r w:rsidRPr="00197B9D">
        <w:rPr>
          <w:lang w:val="es-ES"/>
        </w:rPr>
        <w:t xml:space="preserve"> (más de 6 millones de francos suizos). No es necesario </w:t>
      </w:r>
      <w:r w:rsidRPr="00622E49">
        <w:rPr>
          <w:lang w:val="es-ES"/>
        </w:rPr>
        <w:t>el alquiler de</w:t>
      </w:r>
      <w:r w:rsidRPr="00197B9D">
        <w:rPr>
          <w:lang w:val="es-ES"/>
        </w:rPr>
        <w:t xml:space="preserve"> salas de conferencia (2,5 millones de francos suizos) ni </w:t>
      </w:r>
      <w:r w:rsidRPr="00622E49">
        <w:rPr>
          <w:lang w:val="es-ES"/>
        </w:rPr>
        <w:t xml:space="preserve">de </w:t>
      </w:r>
      <w:r w:rsidRPr="00197B9D">
        <w:rPr>
          <w:lang w:val="es-ES"/>
        </w:rPr>
        <w:t xml:space="preserve">espacio </w:t>
      </w:r>
      <w:r w:rsidRPr="00622E49">
        <w:rPr>
          <w:lang w:val="es-ES"/>
        </w:rPr>
        <w:t>provisional para</w:t>
      </w:r>
      <w:r w:rsidRPr="00197B9D">
        <w:rPr>
          <w:lang w:val="es-ES"/>
        </w:rPr>
        <w:t xml:space="preserve"> oficinas (5 millones de francos suizos) (véase la </w:t>
      </w:r>
      <w:r w:rsidRPr="00622E49">
        <w:rPr>
          <w:lang w:val="es-ES"/>
        </w:rPr>
        <w:t>S</w:t>
      </w:r>
      <w:r w:rsidRPr="00197B9D">
        <w:rPr>
          <w:lang w:val="es-ES"/>
        </w:rPr>
        <w:t xml:space="preserve">ección 7 </w:t>
      </w:r>
      <w:r w:rsidRPr="00197B9D">
        <w:rPr>
          <w:i/>
          <w:iCs/>
          <w:lang w:val="es-ES"/>
        </w:rPr>
        <w:t>supra</w:t>
      </w:r>
      <w:r w:rsidRPr="00197B9D">
        <w:rPr>
          <w:lang w:val="es-ES"/>
        </w:rPr>
        <w:t>).</w:t>
      </w:r>
    </w:p>
    <w:p w:rsidR="00622E49" w:rsidRPr="00275C84" w:rsidRDefault="00622E49" w:rsidP="00622E49">
      <w:pPr>
        <w:pStyle w:val="enumlev1"/>
        <w:rPr>
          <w:lang w:val="es-ES"/>
        </w:rPr>
      </w:pPr>
      <w:bookmarkStart w:id="65" w:name="lt_pId122"/>
      <w:r>
        <w:rPr>
          <w:lang w:val="es-ES"/>
        </w:rPr>
        <w:t>3)</w:t>
      </w:r>
      <w:r>
        <w:rPr>
          <w:lang w:val="es-ES"/>
        </w:rPr>
        <w:tab/>
      </w:r>
      <w:r w:rsidRPr="00275C84">
        <w:rPr>
          <w:lang w:val="es-ES"/>
        </w:rPr>
        <w:t xml:space="preserve">Por </w:t>
      </w:r>
      <w:r>
        <w:rPr>
          <w:lang w:val="es-ES"/>
        </w:rPr>
        <w:t>"</w:t>
      </w:r>
      <w:r w:rsidRPr="00275C84">
        <w:rPr>
          <w:lang w:val="es-ES"/>
        </w:rPr>
        <w:t>incluible en el préstamo</w:t>
      </w:r>
      <w:r>
        <w:rPr>
          <w:lang w:val="es-ES"/>
        </w:rPr>
        <w:t>"</w:t>
      </w:r>
      <w:r w:rsidRPr="00275C84">
        <w:rPr>
          <w:lang w:val="es-ES"/>
        </w:rPr>
        <w:t xml:space="preserve"> se entiende que las partidas pueden incluirse legalmente, no que la cuantía del préstamo esté garantizada.</w:t>
      </w:r>
      <w:bookmarkEnd w:id="65"/>
    </w:p>
    <w:p w:rsidR="00622E49" w:rsidRPr="00275C84" w:rsidRDefault="00622E49" w:rsidP="00622E49">
      <w:pPr>
        <w:pStyle w:val="enumlev1"/>
        <w:rPr>
          <w:lang w:val="es-ES"/>
        </w:rPr>
      </w:pPr>
      <w:bookmarkStart w:id="66" w:name="lt_pId123"/>
      <w:r>
        <w:rPr>
          <w:lang w:val="es-ES"/>
        </w:rPr>
        <w:t>4)</w:t>
      </w:r>
      <w:r>
        <w:rPr>
          <w:lang w:val="es-ES"/>
        </w:rPr>
        <w:tab/>
      </w:r>
      <w:r w:rsidRPr="00275C84">
        <w:rPr>
          <w:lang w:val="es-ES"/>
        </w:rPr>
        <w:t>Se incluye el fondo de contingencia de 7 millones CHF</w:t>
      </w:r>
      <w:r>
        <w:rPr>
          <w:lang w:val="es-ES"/>
        </w:rPr>
        <w:t>,</w:t>
      </w:r>
      <w:r w:rsidRPr="000943F1">
        <w:t xml:space="preserve"> </w:t>
      </w:r>
      <w:r w:rsidRPr="000943F1">
        <w:rPr>
          <w:lang w:val="es-ES"/>
        </w:rPr>
        <w:t>en la columna "Cost</w:t>
      </w:r>
      <w:r>
        <w:rPr>
          <w:lang w:val="es-ES"/>
        </w:rPr>
        <w:t>es</w:t>
      </w:r>
      <w:r w:rsidRPr="000943F1">
        <w:rPr>
          <w:lang w:val="es-ES"/>
        </w:rPr>
        <w:t xml:space="preserve">" </w:t>
      </w:r>
      <w:r>
        <w:rPr>
          <w:lang w:val="es-ES"/>
        </w:rPr>
        <w:t xml:space="preserve">y </w:t>
      </w:r>
      <w:r w:rsidRPr="000943F1">
        <w:rPr>
          <w:lang w:val="es-ES"/>
        </w:rPr>
        <w:t xml:space="preserve">como </w:t>
      </w:r>
      <w:r>
        <w:rPr>
          <w:lang w:val="es-ES"/>
        </w:rPr>
        <w:t>elemento de</w:t>
      </w:r>
      <w:r w:rsidRPr="000943F1">
        <w:rPr>
          <w:lang w:val="es-ES"/>
        </w:rPr>
        <w:t xml:space="preserve"> la columna "Financiación" del préstamo</w:t>
      </w:r>
      <w:r w:rsidRPr="00275C84">
        <w:rPr>
          <w:lang w:val="es-ES"/>
        </w:rPr>
        <w:t>.</w:t>
      </w:r>
      <w:bookmarkEnd w:id="66"/>
    </w:p>
    <w:p w:rsidR="00622E49" w:rsidRPr="008F1F36" w:rsidRDefault="00622E49" w:rsidP="00622E49">
      <w:pPr>
        <w:pStyle w:val="enumlev1"/>
        <w:rPr>
          <w:lang w:val="es-ES"/>
        </w:rPr>
      </w:pPr>
      <w:bookmarkStart w:id="67" w:name="lt_pId124"/>
      <w:r>
        <w:rPr>
          <w:lang w:val="es-ES"/>
        </w:rPr>
        <w:t>5)</w:t>
      </w:r>
      <w:r>
        <w:rPr>
          <w:lang w:val="es-ES"/>
        </w:rPr>
        <w:tab/>
      </w:r>
      <w:r w:rsidRPr="00275C84">
        <w:rPr>
          <w:lang w:val="es-ES"/>
        </w:rPr>
        <w:t>Se incluyen los patrocinios y donaciones por un importe de 15 140 000 CHF. Se prevén patrocinios y donaciones adicionales</w:t>
      </w:r>
      <w:bookmarkStart w:id="68" w:name="lt_pId125"/>
      <w:bookmarkEnd w:id="67"/>
      <w:r w:rsidRPr="008F1F36">
        <w:rPr>
          <w:lang w:val="es-ES"/>
        </w:rPr>
        <w:t>.</w:t>
      </w:r>
      <w:bookmarkEnd w:id="68"/>
    </w:p>
    <w:p w:rsidR="00622E49" w:rsidRPr="00F32761" w:rsidRDefault="00622E49" w:rsidP="00622E49">
      <w:pPr>
        <w:pStyle w:val="enumlev1"/>
        <w:rPr>
          <w:lang w:val="es-ES"/>
        </w:rPr>
      </w:pPr>
      <w:bookmarkStart w:id="69" w:name="lt_pId126"/>
      <w:r>
        <w:rPr>
          <w:lang w:val="es-ES"/>
        </w:rPr>
        <w:t>6</w:t>
      </w:r>
      <w:r w:rsidRPr="00F32761">
        <w:rPr>
          <w:lang w:val="es-ES"/>
        </w:rPr>
        <w:t>)</w:t>
      </w:r>
      <w:r w:rsidRPr="00F32761">
        <w:rPr>
          <w:lang w:val="es-ES"/>
        </w:rPr>
        <w:tab/>
        <w:t>Se propone asignar 6 millones CHF del superávit registrado en las cuentas del presupuesto ordinario de 2018 al Fondo del nuevo edificio. Se invita al Consejo 2019 a aprobar esta propuesta. Puede que en los próximos años se hagan ahorros, pero no están garantizados</w:t>
      </w:r>
      <w:bookmarkStart w:id="70" w:name="lt_pId128"/>
      <w:bookmarkEnd w:id="69"/>
      <w:r w:rsidRPr="00F32761">
        <w:rPr>
          <w:lang w:val="es-ES"/>
        </w:rPr>
        <w:t>.</w:t>
      </w:r>
      <w:bookmarkEnd w:id="70"/>
    </w:p>
    <w:p w:rsidR="00622E49" w:rsidRPr="00F32761" w:rsidRDefault="00622E49" w:rsidP="00197B9D">
      <w:pPr>
        <w:pStyle w:val="enumlev1"/>
        <w:rPr>
          <w:lang w:val="es-ES"/>
        </w:rPr>
      </w:pPr>
      <w:bookmarkStart w:id="71" w:name="lt_pId129"/>
      <w:r>
        <w:rPr>
          <w:lang w:val="es-ES"/>
        </w:rPr>
        <w:t>7</w:t>
      </w:r>
      <w:r w:rsidRPr="00F32761">
        <w:rPr>
          <w:lang w:val="es-ES"/>
        </w:rPr>
        <w:t>)</w:t>
      </w:r>
      <w:r w:rsidRPr="00F32761">
        <w:rPr>
          <w:lang w:val="es-ES"/>
        </w:rPr>
        <w:tab/>
        <w:t xml:space="preserve">Suponiendo que se agote el fondo de contingencia (7 millones CHF), </w:t>
      </w:r>
      <w:r>
        <w:rPr>
          <w:lang w:val="es-ES"/>
        </w:rPr>
        <w:t>la financiación del proyecto de nuevo edificio requeriría que el Consejo aprobara una nueva partida de 9,673</w:t>
      </w:r>
      <w:r w:rsidR="00197B9D">
        <w:rPr>
          <w:lang w:val="es-ES"/>
        </w:rPr>
        <w:t> </w:t>
      </w:r>
      <w:r>
        <w:rPr>
          <w:lang w:val="es-ES"/>
        </w:rPr>
        <w:t>millones CHF</w:t>
      </w:r>
      <w:r w:rsidRPr="00F32761">
        <w:rPr>
          <w:rFonts w:hint="eastAsia"/>
          <w:lang w:val="es-ES"/>
        </w:rPr>
        <w:t>.</w:t>
      </w:r>
      <w:bookmarkEnd w:id="71"/>
    </w:p>
    <w:p w:rsidR="00622E49" w:rsidRDefault="00622E49" w:rsidP="00622E49">
      <w:pPr>
        <w:rPr>
          <w:lang w:val="es-ES"/>
        </w:rPr>
      </w:pPr>
      <w:r>
        <w:rPr>
          <w:lang w:val="es-ES"/>
        </w:rPr>
        <w:br w:type="page"/>
      </w:r>
    </w:p>
    <w:p w:rsidR="00622E49" w:rsidRPr="00275C84" w:rsidRDefault="00622E49" w:rsidP="00622E49">
      <w:pPr>
        <w:pStyle w:val="Tabletitle"/>
        <w:rPr>
          <w:lang w:val="es-ES"/>
        </w:rPr>
      </w:pPr>
      <w:bookmarkStart w:id="72" w:name="lt_pId131"/>
      <w:r w:rsidRPr="00275C84">
        <w:rPr>
          <w:lang w:val="es-ES"/>
        </w:rPr>
        <w:lastRenderedPageBreak/>
        <w:t>Cuadro</w:t>
      </w:r>
      <w:r>
        <w:rPr>
          <w:lang w:val="es-ES"/>
        </w:rPr>
        <w:t xml:space="preserve">: </w:t>
      </w:r>
      <w:r w:rsidRPr="00275C84">
        <w:rPr>
          <w:lang w:val="es-ES"/>
        </w:rPr>
        <w:t>Desglose financiero por categorías CGC, en miles CHF (</w:t>
      </w:r>
      <w:r>
        <w:rPr>
          <w:lang w:val="es-ES"/>
        </w:rPr>
        <w:t>actualizado en junio</w:t>
      </w:r>
      <w:r w:rsidRPr="00275C84">
        <w:rPr>
          <w:lang w:val="es-ES"/>
        </w:rPr>
        <w:t xml:space="preserve"> de 2019)</w:t>
      </w:r>
      <w:bookmarkEnd w:id="72"/>
    </w:p>
    <w:p w:rsidR="00622E49" w:rsidRPr="00275C84" w:rsidRDefault="00622E49" w:rsidP="00622E49"/>
    <w:tbl>
      <w:tblPr>
        <w:tblStyle w:val="TableGrid"/>
        <w:tblW w:w="8784" w:type="dxa"/>
        <w:jc w:val="center"/>
        <w:tblLayout w:type="fixed"/>
        <w:tblLook w:val="04A0" w:firstRow="1" w:lastRow="0" w:firstColumn="1" w:lastColumn="0" w:noHBand="0" w:noVBand="1"/>
      </w:tblPr>
      <w:tblGrid>
        <w:gridCol w:w="6098"/>
        <w:gridCol w:w="1268"/>
        <w:gridCol w:w="1418"/>
      </w:tblGrid>
      <w:tr w:rsidR="00622E49" w:rsidRPr="00275C84" w:rsidTr="00B43175">
        <w:trPr>
          <w:jc w:val="center"/>
        </w:trPr>
        <w:tc>
          <w:tcPr>
            <w:tcW w:w="6098" w:type="dxa"/>
          </w:tcPr>
          <w:p w:rsidR="00622E49" w:rsidRPr="00197B9D" w:rsidRDefault="00622E49" w:rsidP="00197B9D">
            <w:pPr>
              <w:pStyle w:val="Tablehead"/>
              <w:jc w:val="left"/>
            </w:pPr>
            <w:bookmarkStart w:id="73" w:name="lt_pId138"/>
            <w:r w:rsidRPr="00197B9D">
              <w:t>Partidas incluibles en el préstamo del país anfitrión</w:t>
            </w:r>
            <w:bookmarkEnd w:id="73"/>
          </w:p>
        </w:tc>
        <w:tc>
          <w:tcPr>
            <w:tcW w:w="1268" w:type="dxa"/>
          </w:tcPr>
          <w:p w:rsidR="00622E49" w:rsidRPr="00197B9D" w:rsidRDefault="00622E49" w:rsidP="00197B9D">
            <w:pPr>
              <w:pStyle w:val="Tablehead"/>
              <w:jc w:val="right"/>
            </w:pPr>
            <w:r w:rsidRPr="00197B9D">
              <w:t>Costes</w:t>
            </w:r>
          </w:p>
        </w:tc>
        <w:tc>
          <w:tcPr>
            <w:tcW w:w="1418" w:type="dxa"/>
          </w:tcPr>
          <w:p w:rsidR="00622E49" w:rsidRPr="00197B9D" w:rsidRDefault="00622E49" w:rsidP="00197B9D">
            <w:pPr>
              <w:pStyle w:val="Tablehead"/>
              <w:jc w:val="right"/>
            </w:pPr>
            <w:r w:rsidRPr="00197B9D">
              <w:t>Financiación</w:t>
            </w:r>
          </w:p>
        </w:tc>
      </w:tr>
      <w:tr w:rsidR="00622E49" w:rsidRPr="00275C84" w:rsidTr="00B43175">
        <w:trPr>
          <w:jc w:val="center"/>
        </w:trPr>
        <w:tc>
          <w:tcPr>
            <w:tcW w:w="6098" w:type="dxa"/>
          </w:tcPr>
          <w:p w:rsidR="00622E49" w:rsidRPr="00197B9D" w:rsidRDefault="00622E49" w:rsidP="00197B9D">
            <w:pPr>
              <w:pStyle w:val="Tabletext"/>
              <w:rPr>
                <w:i/>
                <w:iCs/>
              </w:rPr>
            </w:pPr>
            <w:r>
              <w:t>Dotación de personal</w:t>
            </w:r>
            <w:r w:rsidRPr="0096641D">
              <w:t xml:space="preserve">: P5, </w:t>
            </w:r>
            <w:r>
              <w:t>financiado</w:t>
            </w:r>
            <w:r w:rsidRPr="0096641D">
              <w:t xml:space="preserve"> </w:t>
            </w:r>
            <w:r w:rsidR="00197B9D">
              <w:t xml:space="preserve">al 31/12/2018 </w:t>
            </w:r>
            <w:r w:rsidR="00AD6687">
              <w:br/>
            </w:r>
            <w:r w:rsidR="00197B9D">
              <w:t>mediante préstamo</w:t>
            </w:r>
            <w:r w:rsidR="00197B9D">
              <w:br/>
            </w:r>
            <w:r w:rsidRPr="00197B9D">
              <w:rPr>
                <w:i/>
                <w:iCs/>
              </w:rPr>
              <w:t>(</w:t>
            </w:r>
            <w:r>
              <w:rPr>
                <w:i/>
                <w:iCs/>
              </w:rPr>
              <w:t xml:space="preserve">después </w:t>
            </w:r>
            <w:r w:rsidRPr="00197B9D">
              <w:rPr>
                <w:i/>
                <w:iCs/>
              </w:rPr>
              <w:t xml:space="preserve">con cargo al </w:t>
            </w:r>
            <w:r>
              <w:rPr>
                <w:i/>
                <w:iCs/>
              </w:rPr>
              <w:t>p</w:t>
            </w:r>
            <w:r w:rsidRPr="00197B9D">
              <w:rPr>
                <w:i/>
                <w:iCs/>
              </w:rPr>
              <w:t xml:space="preserve">resupuesto </w:t>
            </w:r>
            <w:r>
              <w:rPr>
                <w:i/>
                <w:iCs/>
              </w:rPr>
              <w:t>o</w:t>
            </w:r>
            <w:r w:rsidRPr="00197B9D">
              <w:rPr>
                <w:i/>
                <w:iCs/>
              </w:rPr>
              <w:t>rdinario (</w:t>
            </w:r>
            <w:r>
              <w:rPr>
                <w:i/>
                <w:iCs/>
              </w:rPr>
              <w:t xml:space="preserve">de conformidad </w:t>
            </w:r>
            <w:r w:rsidR="00AD6687">
              <w:rPr>
                <w:i/>
                <w:iCs/>
              </w:rPr>
              <w:br/>
            </w:r>
            <w:r>
              <w:rPr>
                <w:i/>
                <w:iCs/>
              </w:rPr>
              <w:t>con la Decisión 5) como no incluible</w:t>
            </w:r>
            <w:r w:rsidRPr="00197B9D">
              <w:rPr>
                <w:i/>
                <w:iCs/>
              </w:rPr>
              <w:t xml:space="preserve"> en préstamos)</w:t>
            </w:r>
          </w:p>
        </w:tc>
        <w:tc>
          <w:tcPr>
            <w:tcW w:w="1268" w:type="dxa"/>
          </w:tcPr>
          <w:p w:rsidR="00622E49" w:rsidRPr="00275C84" w:rsidRDefault="00622E49" w:rsidP="00197B9D">
            <w:pPr>
              <w:pStyle w:val="Tabletext"/>
              <w:jc w:val="right"/>
            </w:pPr>
            <w:r>
              <w:t>226</w:t>
            </w:r>
          </w:p>
        </w:tc>
        <w:tc>
          <w:tcPr>
            <w:tcW w:w="1418" w:type="dxa"/>
          </w:tcPr>
          <w:p w:rsidR="00622E49" w:rsidRPr="00275C84" w:rsidRDefault="00622E49" w:rsidP="00F9511B">
            <w:pPr>
              <w:pStyle w:val="Tabletext"/>
              <w:jc w:val="right"/>
            </w:pPr>
          </w:p>
        </w:tc>
      </w:tr>
      <w:tr w:rsidR="00622E49" w:rsidRPr="00275C84" w:rsidTr="00B43175">
        <w:trPr>
          <w:jc w:val="center"/>
        </w:trPr>
        <w:tc>
          <w:tcPr>
            <w:tcW w:w="6098" w:type="dxa"/>
          </w:tcPr>
          <w:p w:rsidR="00622E49" w:rsidRPr="00275C84" w:rsidRDefault="00622E49" w:rsidP="00393020">
            <w:pPr>
              <w:pStyle w:val="Tabletext"/>
            </w:pPr>
            <w:bookmarkStart w:id="74" w:name="lt_pId139"/>
            <w:r w:rsidRPr="00275C84">
              <w:t>CFC 1-4 Construcción</w:t>
            </w:r>
            <w:bookmarkEnd w:id="74"/>
            <w:r w:rsidR="00197B9D">
              <w:br/>
            </w:r>
            <w:r w:rsidRPr="00197B9D">
              <w:rPr>
                <w:i/>
                <w:iCs/>
              </w:rPr>
              <w:t>(incluidos 3</w:t>
            </w:r>
            <w:r w:rsidR="00393020">
              <w:rPr>
                <w:i/>
                <w:iCs/>
              </w:rPr>
              <w:t> </w:t>
            </w:r>
            <w:r w:rsidRPr="00197B9D">
              <w:rPr>
                <w:i/>
                <w:iCs/>
              </w:rPr>
              <w:t xml:space="preserve">000, a tenor de las necesidades del UNDSS </w:t>
            </w:r>
            <w:r w:rsidR="00AD6687">
              <w:rPr>
                <w:i/>
                <w:iCs/>
              </w:rPr>
              <w:br/>
            </w:r>
            <w:r w:rsidRPr="00197B9D">
              <w:rPr>
                <w:i/>
                <w:iCs/>
              </w:rPr>
              <w:t>en materia de seguridad)</w:t>
            </w:r>
          </w:p>
        </w:tc>
        <w:tc>
          <w:tcPr>
            <w:tcW w:w="1268" w:type="dxa"/>
          </w:tcPr>
          <w:p w:rsidR="00622E49" w:rsidRPr="00275C84" w:rsidRDefault="00622E49" w:rsidP="00393020">
            <w:pPr>
              <w:pStyle w:val="Tabletext"/>
              <w:jc w:val="right"/>
            </w:pPr>
            <w:r w:rsidRPr="00197B9D">
              <w:t>122</w:t>
            </w:r>
            <w:r w:rsidR="00393020">
              <w:t> </w:t>
            </w:r>
            <w:r w:rsidRPr="00197B9D">
              <w:t>978</w:t>
            </w:r>
          </w:p>
        </w:tc>
        <w:tc>
          <w:tcPr>
            <w:tcW w:w="1418" w:type="dxa"/>
          </w:tcPr>
          <w:p w:rsidR="00622E49" w:rsidRPr="00275C84" w:rsidRDefault="00622E49" w:rsidP="00F9511B">
            <w:pPr>
              <w:pStyle w:val="Tabletext"/>
              <w:jc w:val="right"/>
            </w:pPr>
          </w:p>
        </w:tc>
      </w:tr>
      <w:tr w:rsidR="00622E49" w:rsidRPr="00275C84" w:rsidTr="00B43175">
        <w:trPr>
          <w:jc w:val="center"/>
        </w:trPr>
        <w:tc>
          <w:tcPr>
            <w:tcW w:w="6098" w:type="dxa"/>
          </w:tcPr>
          <w:p w:rsidR="00622E49" w:rsidRPr="00275C84" w:rsidRDefault="00622E49" w:rsidP="00F9511B">
            <w:pPr>
              <w:pStyle w:val="Tabletext"/>
              <w:rPr>
                <w:szCs w:val="24"/>
                <w:lang w:val="es-ES"/>
              </w:rPr>
            </w:pPr>
            <w:bookmarkStart w:id="75" w:name="lt_pId143"/>
            <w:r w:rsidRPr="00275C84">
              <w:rPr>
                <w:szCs w:val="24"/>
                <w:lang w:val="es-ES"/>
              </w:rPr>
              <w:t>CFC 5 Permiso de construcción, tasas y seguros</w:t>
            </w:r>
            <w:bookmarkEnd w:id="75"/>
          </w:p>
        </w:tc>
        <w:tc>
          <w:tcPr>
            <w:tcW w:w="1268" w:type="dxa"/>
          </w:tcPr>
          <w:p w:rsidR="00622E49" w:rsidRPr="00275C84" w:rsidRDefault="00622E49" w:rsidP="000F1F86">
            <w:pPr>
              <w:pStyle w:val="Tabletext"/>
              <w:jc w:val="right"/>
            </w:pPr>
            <w:r w:rsidRPr="00275C84">
              <w:t>1</w:t>
            </w:r>
            <w:r w:rsidR="000F1F86">
              <w:t> </w:t>
            </w:r>
            <w:r>
              <w:t>4</w:t>
            </w:r>
            <w:r w:rsidRPr="00275C84">
              <w:t>80</w:t>
            </w:r>
          </w:p>
        </w:tc>
        <w:tc>
          <w:tcPr>
            <w:tcW w:w="1418" w:type="dxa"/>
          </w:tcPr>
          <w:p w:rsidR="00622E49" w:rsidRPr="00275C84" w:rsidRDefault="00622E49" w:rsidP="00F9511B">
            <w:pPr>
              <w:pStyle w:val="Tabletext"/>
              <w:jc w:val="right"/>
            </w:pPr>
          </w:p>
        </w:tc>
      </w:tr>
      <w:tr w:rsidR="00622E49" w:rsidRPr="00275C84" w:rsidTr="00B43175">
        <w:trPr>
          <w:jc w:val="center"/>
        </w:trPr>
        <w:tc>
          <w:tcPr>
            <w:tcW w:w="6098" w:type="dxa"/>
          </w:tcPr>
          <w:p w:rsidR="00622E49" w:rsidRPr="00275C84" w:rsidRDefault="00622E49" w:rsidP="00F9511B">
            <w:pPr>
              <w:pStyle w:val="Tabletext"/>
            </w:pPr>
            <w:bookmarkStart w:id="76" w:name="lt_pId145"/>
            <w:r w:rsidRPr="00275C84">
              <w:t>CFC 5 Concurso proyecto de Sede</w:t>
            </w:r>
            <w:bookmarkEnd w:id="76"/>
          </w:p>
        </w:tc>
        <w:tc>
          <w:tcPr>
            <w:tcW w:w="1268" w:type="dxa"/>
          </w:tcPr>
          <w:p w:rsidR="00622E49" w:rsidRPr="00275C84" w:rsidRDefault="00622E49" w:rsidP="00F9511B">
            <w:pPr>
              <w:pStyle w:val="Tabletext"/>
              <w:jc w:val="right"/>
            </w:pPr>
            <w:r w:rsidRPr="00275C84">
              <w:t>722</w:t>
            </w:r>
          </w:p>
        </w:tc>
        <w:tc>
          <w:tcPr>
            <w:tcW w:w="1418" w:type="dxa"/>
          </w:tcPr>
          <w:p w:rsidR="00622E49" w:rsidRPr="00275C84" w:rsidRDefault="00622E49" w:rsidP="00F9511B">
            <w:pPr>
              <w:pStyle w:val="Tabletext"/>
              <w:jc w:val="right"/>
            </w:pPr>
          </w:p>
        </w:tc>
      </w:tr>
      <w:tr w:rsidR="00622E49" w:rsidRPr="00275C84" w:rsidTr="00B43175">
        <w:trPr>
          <w:jc w:val="center"/>
        </w:trPr>
        <w:tc>
          <w:tcPr>
            <w:tcW w:w="6098" w:type="dxa"/>
          </w:tcPr>
          <w:p w:rsidR="00622E49" w:rsidRPr="00275C84" w:rsidRDefault="00622E49" w:rsidP="00F9511B">
            <w:pPr>
              <w:pStyle w:val="Tabletext"/>
            </w:pPr>
            <w:r>
              <w:t>CFC 5 Personal y conferencias/Reubicación de eventos</w:t>
            </w:r>
          </w:p>
        </w:tc>
        <w:tc>
          <w:tcPr>
            <w:tcW w:w="1268" w:type="dxa"/>
          </w:tcPr>
          <w:p w:rsidR="00622E49" w:rsidRPr="00275C84" w:rsidRDefault="00622E49" w:rsidP="000F1F86">
            <w:pPr>
              <w:pStyle w:val="Tabletext"/>
              <w:jc w:val="right"/>
            </w:pPr>
            <w:r>
              <w:t>6</w:t>
            </w:r>
            <w:r w:rsidR="000F1F86">
              <w:t> </w:t>
            </w:r>
            <w:r>
              <w:t>000</w:t>
            </w:r>
          </w:p>
        </w:tc>
        <w:tc>
          <w:tcPr>
            <w:tcW w:w="1418" w:type="dxa"/>
          </w:tcPr>
          <w:p w:rsidR="00622E49" w:rsidRPr="00275C84" w:rsidRDefault="00622E49" w:rsidP="00F9511B">
            <w:pPr>
              <w:pStyle w:val="Tabletext"/>
              <w:jc w:val="right"/>
            </w:pPr>
          </w:p>
        </w:tc>
      </w:tr>
      <w:tr w:rsidR="00622E49" w:rsidRPr="00275C84" w:rsidTr="00B43175">
        <w:trPr>
          <w:jc w:val="center"/>
        </w:trPr>
        <w:tc>
          <w:tcPr>
            <w:tcW w:w="6098" w:type="dxa"/>
          </w:tcPr>
          <w:p w:rsidR="00622E49" w:rsidRPr="00275C84" w:rsidRDefault="00622E49" w:rsidP="00F9511B">
            <w:pPr>
              <w:pStyle w:val="Tabletext"/>
            </w:pPr>
            <w:bookmarkStart w:id="77" w:name="lt_pId147"/>
            <w:r w:rsidRPr="00275C84">
              <w:t xml:space="preserve">CFC </w:t>
            </w:r>
            <w:r>
              <w:t>6</w:t>
            </w:r>
            <w:r w:rsidRPr="00275C84">
              <w:t xml:space="preserve"> Servicios externos de apoyo</w:t>
            </w:r>
            <w:bookmarkEnd w:id="77"/>
          </w:p>
        </w:tc>
        <w:tc>
          <w:tcPr>
            <w:tcW w:w="1268" w:type="dxa"/>
          </w:tcPr>
          <w:p w:rsidR="00622E49" w:rsidRPr="00275C84" w:rsidRDefault="00393020" w:rsidP="00F9511B">
            <w:pPr>
              <w:pStyle w:val="Tabletext"/>
              <w:jc w:val="right"/>
            </w:pPr>
            <w:r>
              <w:t>5 </w:t>
            </w:r>
            <w:r w:rsidR="00622E49">
              <w:t>875</w:t>
            </w:r>
          </w:p>
        </w:tc>
        <w:tc>
          <w:tcPr>
            <w:tcW w:w="1418" w:type="dxa"/>
          </w:tcPr>
          <w:p w:rsidR="00622E49" w:rsidRPr="00275C84" w:rsidRDefault="00622E49" w:rsidP="00F9511B">
            <w:pPr>
              <w:pStyle w:val="Tabletext"/>
              <w:jc w:val="right"/>
            </w:pPr>
          </w:p>
        </w:tc>
      </w:tr>
      <w:tr w:rsidR="00622E49" w:rsidRPr="00275C84" w:rsidTr="00B43175">
        <w:trPr>
          <w:trHeight w:val="449"/>
          <w:jc w:val="center"/>
        </w:trPr>
        <w:tc>
          <w:tcPr>
            <w:tcW w:w="6098" w:type="dxa"/>
          </w:tcPr>
          <w:p w:rsidR="00622E49" w:rsidRPr="00275C84" w:rsidRDefault="00622E49" w:rsidP="00F9511B">
            <w:pPr>
              <w:pStyle w:val="Tabletext"/>
            </w:pPr>
            <w:bookmarkStart w:id="78" w:name="lt_pId149"/>
            <w:r w:rsidRPr="00275C84">
              <w:t xml:space="preserve">CFC </w:t>
            </w:r>
            <w:r>
              <w:t>6</w:t>
            </w:r>
            <w:r w:rsidRPr="00275C84">
              <w:t xml:space="preserve"> Honorarios CDTK</w:t>
            </w:r>
            <w:bookmarkEnd w:id="78"/>
          </w:p>
        </w:tc>
        <w:tc>
          <w:tcPr>
            <w:tcW w:w="1268" w:type="dxa"/>
          </w:tcPr>
          <w:p w:rsidR="00622E49" w:rsidRPr="00275C84" w:rsidRDefault="00622E49" w:rsidP="000F1F86">
            <w:pPr>
              <w:pStyle w:val="Tabletext"/>
              <w:jc w:val="right"/>
            </w:pPr>
            <w:r>
              <w:t>19</w:t>
            </w:r>
            <w:r w:rsidR="000F1F86">
              <w:t> </w:t>
            </w:r>
            <w:r>
              <w:t>932</w:t>
            </w:r>
          </w:p>
        </w:tc>
        <w:tc>
          <w:tcPr>
            <w:tcW w:w="1418" w:type="dxa"/>
          </w:tcPr>
          <w:p w:rsidR="00622E49" w:rsidRPr="00275C84" w:rsidRDefault="00622E49" w:rsidP="00F9511B">
            <w:pPr>
              <w:pStyle w:val="Tabletext"/>
              <w:jc w:val="right"/>
            </w:pPr>
          </w:p>
        </w:tc>
      </w:tr>
      <w:tr w:rsidR="00622E49" w:rsidRPr="00275C84" w:rsidTr="00B43175">
        <w:trPr>
          <w:jc w:val="center"/>
        </w:trPr>
        <w:tc>
          <w:tcPr>
            <w:tcW w:w="6098" w:type="dxa"/>
          </w:tcPr>
          <w:p w:rsidR="00622E49" w:rsidRPr="00275C84" w:rsidRDefault="00622E49" w:rsidP="00F9511B">
            <w:pPr>
              <w:pStyle w:val="Tabletext"/>
            </w:pPr>
            <w:bookmarkStart w:id="79" w:name="lt_pId151"/>
            <w:r w:rsidRPr="00275C84">
              <w:t xml:space="preserve">CFC </w:t>
            </w:r>
            <w:r>
              <w:t>6</w:t>
            </w:r>
            <w:r w:rsidRPr="00275C84">
              <w:t xml:space="preserve"> Honorarios Contratista general</w:t>
            </w:r>
            <w:bookmarkEnd w:id="79"/>
          </w:p>
        </w:tc>
        <w:tc>
          <w:tcPr>
            <w:tcW w:w="1268" w:type="dxa"/>
          </w:tcPr>
          <w:p w:rsidR="00622E49" w:rsidRPr="00275C84" w:rsidRDefault="00622E49" w:rsidP="000F1F86">
            <w:pPr>
              <w:pStyle w:val="Tabletext"/>
              <w:jc w:val="right"/>
            </w:pPr>
            <w:r w:rsidRPr="00275C84">
              <w:t>4</w:t>
            </w:r>
            <w:r w:rsidR="000F1F86">
              <w:t> </w:t>
            </w:r>
            <w:r w:rsidRPr="00275C84">
              <w:t>600</w:t>
            </w:r>
          </w:p>
        </w:tc>
        <w:tc>
          <w:tcPr>
            <w:tcW w:w="1418" w:type="dxa"/>
          </w:tcPr>
          <w:p w:rsidR="00622E49" w:rsidRPr="00275C84" w:rsidRDefault="00622E49" w:rsidP="00F9511B">
            <w:pPr>
              <w:pStyle w:val="Tabletext"/>
              <w:jc w:val="right"/>
            </w:pPr>
          </w:p>
        </w:tc>
      </w:tr>
      <w:tr w:rsidR="00622E49" w:rsidRPr="00275C84" w:rsidTr="00B43175">
        <w:trPr>
          <w:jc w:val="center"/>
        </w:trPr>
        <w:tc>
          <w:tcPr>
            <w:tcW w:w="6098" w:type="dxa"/>
          </w:tcPr>
          <w:p w:rsidR="00622E49" w:rsidRPr="00393020" w:rsidRDefault="00622E49" w:rsidP="00F9511B">
            <w:pPr>
              <w:pStyle w:val="Tabletext"/>
              <w:rPr>
                <w:b/>
                <w:bCs/>
              </w:rPr>
            </w:pPr>
            <w:r w:rsidRPr="00393020">
              <w:rPr>
                <w:b/>
                <w:bCs/>
              </w:rPr>
              <w:t>Subtotal</w:t>
            </w:r>
          </w:p>
        </w:tc>
        <w:tc>
          <w:tcPr>
            <w:tcW w:w="1268" w:type="dxa"/>
          </w:tcPr>
          <w:p w:rsidR="00622E49" w:rsidRPr="00393020" w:rsidRDefault="00622E49" w:rsidP="000F1F86">
            <w:pPr>
              <w:pStyle w:val="Tabletext"/>
              <w:jc w:val="right"/>
              <w:rPr>
                <w:b/>
                <w:bCs/>
              </w:rPr>
            </w:pPr>
            <w:r w:rsidRPr="00393020">
              <w:rPr>
                <w:b/>
                <w:bCs/>
              </w:rPr>
              <w:t>161</w:t>
            </w:r>
            <w:r w:rsidR="000F1F86">
              <w:rPr>
                <w:b/>
                <w:bCs/>
              </w:rPr>
              <w:t> </w:t>
            </w:r>
            <w:r w:rsidRPr="00393020">
              <w:rPr>
                <w:b/>
                <w:bCs/>
              </w:rPr>
              <w:t>813</w:t>
            </w:r>
          </w:p>
        </w:tc>
        <w:tc>
          <w:tcPr>
            <w:tcW w:w="1418" w:type="dxa"/>
          </w:tcPr>
          <w:p w:rsidR="00622E49" w:rsidRPr="00275C84" w:rsidRDefault="00622E49" w:rsidP="00F9511B">
            <w:pPr>
              <w:pStyle w:val="Tabletext"/>
              <w:jc w:val="right"/>
            </w:pPr>
          </w:p>
        </w:tc>
      </w:tr>
      <w:tr w:rsidR="00622E49" w:rsidRPr="00275C84" w:rsidTr="00B43175">
        <w:trPr>
          <w:jc w:val="center"/>
        </w:trPr>
        <w:tc>
          <w:tcPr>
            <w:tcW w:w="6098" w:type="dxa"/>
          </w:tcPr>
          <w:p w:rsidR="00622E49" w:rsidRPr="00197B9D" w:rsidRDefault="00622E49" w:rsidP="00F9511B">
            <w:pPr>
              <w:pStyle w:val="Tabletext"/>
            </w:pPr>
            <w:r w:rsidRPr="00197B9D">
              <w:t>CFC 8 Contingencias</w:t>
            </w:r>
          </w:p>
        </w:tc>
        <w:tc>
          <w:tcPr>
            <w:tcW w:w="1268" w:type="dxa"/>
          </w:tcPr>
          <w:p w:rsidR="00622E49" w:rsidRPr="00197B9D" w:rsidRDefault="00622E49" w:rsidP="000F1F86">
            <w:pPr>
              <w:pStyle w:val="Tabletext"/>
              <w:jc w:val="right"/>
            </w:pPr>
            <w:r w:rsidRPr="00197B9D">
              <w:t>7</w:t>
            </w:r>
            <w:r w:rsidR="000F1F86">
              <w:t> </w:t>
            </w:r>
            <w:r w:rsidRPr="00197B9D">
              <w:t>000</w:t>
            </w:r>
          </w:p>
        </w:tc>
        <w:tc>
          <w:tcPr>
            <w:tcW w:w="1418" w:type="dxa"/>
          </w:tcPr>
          <w:p w:rsidR="00622E49" w:rsidRPr="00275C84" w:rsidRDefault="00622E49" w:rsidP="00F9511B">
            <w:pPr>
              <w:pStyle w:val="Tabletext"/>
              <w:jc w:val="right"/>
            </w:pPr>
          </w:p>
        </w:tc>
      </w:tr>
      <w:tr w:rsidR="00622E49" w:rsidRPr="00275C84" w:rsidTr="00B43175">
        <w:trPr>
          <w:jc w:val="center"/>
        </w:trPr>
        <w:tc>
          <w:tcPr>
            <w:tcW w:w="6098" w:type="dxa"/>
          </w:tcPr>
          <w:p w:rsidR="00622E49" w:rsidRPr="001F4D6D" w:rsidRDefault="00622E49" w:rsidP="00F9511B">
            <w:pPr>
              <w:pStyle w:val="Tabletext"/>
              <w:rPr>
                <w:b/>
                <w:bCs/>
              </w:rPr>
            </w:pPr>
            <w:bookmarkStart w:id="80" w:name="lt_pId155"/>
            <w:r w:rsidRPr="001F4D6D">
              <w:rPr>
                <w:b/>
                <w:bCs/>
              </w:rPr>
              <w:t>Total</w:t>
            </w:r>
            <w:bookmarkEnd w:id="80"/>
            <w:r>
              <w:rPr>
                <w:b/>
                <w:bCs/>
              </w:rPr>
              <w:t>, incluidas contigencias</w:t>
            </w:r>
          </w:p>
        </w:tc>
        <w:tc>
          <w:tcPr>
            <w:tcW w:w="1268" w:type="dxa"/>
          </w:tcPr>
          <w:p w:rsidR="00622E49" w:rsidRPr="00197B9D" w:rsidRDefault="00622E49" w:rsidP="000F1F86">
            <w:pPr>
              <w:pStyle w:val="Tabletext"/>
              <w:jc w:val="right"/>
              <w:rPr>
                <w:b/>
                <w:bCs/>
              </w:rPr>
            </w:pPr>
            <w:r w:rsidRPr="00197B9D">
              <w:rPr>
                <w:b/>
                <w:bCs/>
              </w:rPr>
              <w:t>168</w:t>
            </w:r>
            <w:r w:rsidR="000F1F86">
              <w:rPr>
                <w:b/>
                <w:bCs/>
              </w:rPr>
              <w:t> </w:t>
            </w:r>
            <w:r w:rsidRPr="00197B9D">
              <w:rPr>
                <w:b/>
                <w:bCs/>
              </w:rPr>
              <w:t>813</w:t>
            </w:r>
          </w:p>
        </w:tc>
        <w:tc>
          <w:tcPr>
            <w:tcW w:w="1418" w:type="dxa"/>
          </w:tcPr>
          <w:p w:rsidR="00622E49" w:rsidRPr="00AD6687" w:rsidRDefault="00622E49" w:rsidP="00F9511B">
            <w:pPr>
              <w:pStyle w:val="Tabletext"/>
              <w:jc w:val="right"/>
              <w:rPr>
                <w:b/>
                <w:bCs/>
              </w:rPr>
            </w:pPr>
          </w:p>
        </w:tc>
      </w:tr>
      <w:tr w:rsidR="00622E49" w:rsidRPr="00275C84" w:rsidTr="00B43175">
        <w:trPr>
          <w:jc w:val="center"/>
        </w:trPr>
        <w:tc>
          <w:tcPr>
            <w:tcW w:w="6098" w:type="dxa"/>
          </w:tcPr>
          <w:p w:rsidR="00622E49" w:rsidRPr="00393020" w:rsidRDefault="00622E49" w:rsidP="00F9511B">
            <w:pPr>
              <w:pStyle w:val="Tabletext"/>
              <w:jc w:val="right"/>
            </w:pPr>
            <w:r w:rsidRPr="00393020">
              <w:t>Préstamo del país anfitrión</w:t>
            </w:r>
          </w:p>
        </w:tc>
        <w:tc>
          <w:tcPr>
            <w:tcW w:w="1268" w:type="dxa"/>
          </w:tcPr>
          <w:p w:rsidR="00622E49" w:rsidRPr="00197B9D" w:rsidRDefault="00622E49" w:rsidP="00F9511B">
            <w:pPr>
              <w:pStyle w:val="Tabletext"/>
              <w:jc w:val="right"/>
            </w:pPr>
          </w:p>
        </w:tc>
        <w:tc>
          <w:tcPr>
            <w:tcW w:w="1418" w:type="dxa"/>
          </w:tcPr>
          <w:p w:rsidR="00622E49" w:rsidRPr="00275C84" w:rsidRDefault="00622E49" w:rsidP="000F1F86">
            <w:pPr>
              <w:pStyle w:val="Tabletext"/>
              <w:jc w:val="right"/>
            </w:pPr>
            <w:r w:rsidRPr="00197B9D">
              <w:t>150</w:t>
            </w:r>
            <w:r w:rsidR="000F1F86">
              <w:t> </w:t>
            </w:r>
            <w:r w:rsidRPr="00197B9D">
              <w:t>000</w:t>
            </w:r>
          </w:p>
        </w:tc>
      </w:tr>
      <w:tr w:rsidR="00622E49" w:rsidRPr="00275C84" w:rsidTr="00B43175">
        <w:trPr>
          <w:jc w:val="center"/>
        </w:trPr>
        <w:tc>
          <w:tcPr>
            <w:tcW w:w="6098" w:type="dxa"/>
          </w:tcPr>
          <w:p w:rsidR="00622E49" w:rsidRPr="00393020" w:rsidRDefault="00622E49" w:rsidP="00F9511B">
            <w:pPr>
              <w:pStyle w:val="Tabletext"/>
              <w:jc w:val="right"/>
            </w:pPr>
            <w:r w:rsidRPr="00393020">
              <w:t>Donaciones y patrocinios acordados</w:t>
            </w:r>
          </w:p>
        </w:tc>
        <w:tc>
          <w:tcPr>
            <w:tcW w:w="1268" w:type="dxa"/>
          </w:tcPr>
          <w:p w:rsidR="00622E49" w:rsidRPr="00197B9D" w:rsidRDefault="00622E49" w:rsidP="00F9511B">
            <w:pPr>
              <w:pStyle w:val="Tabletext"/>
              <w:jc w:val="right"/>
            </w:pPr>
          </w:p>
        </w:tc>
        <w:tc>
          <w:tcPr>
            <w:tcW w:w="1418" w:type="dxa"/>
          </w:tcPr>
          <w:p w:rsidR="00622E49" w:rsidRPr="00275C84" w:rsidRDefault="00622E49" w:rsidP="000F1F86">
            <w:pPr>
              <w:pStyle w:val="Tabletext"/>
              <w:jc w:val="right"/>
            </w:pPr>
            <w:r>
              <w:t>15</w:t>
            </w:r>
            <w:r w:rsidR="000F1F86">
              <w:t> </w:t>
            </w:r>
            <w:r>
              <w:t>140</w:t>
            </w:r>
          </w:p>
        </w:tc>
      </w:tr>
    </w:tbl>
    <w:p w:rsidR="00622E49" w:rsidRPr="00275C84" w:rsidRDefault="00622E49" w:rsidP="00622E49"/>
    <w:tbl>
      <w:tblPr>
        <w:tblStyle w:val="TableGrid"/>
        <w:tblW w:w="8784" w:type="dxa"/>
        <w:jc w:val="center"/>
        <w:tblLayout w:type="fixed"/>
        <w:tblLook w:val="04A0" w:firstRow="1" w:lastRow="0" w:firstColumn="1" w:lastColumn="0" w:noHBand="0" w:noVBand="1"/>
      </w:tblPr>
      <w:tblGrid>
        <w:gridCol w:w="6098"/>
        <w:gridCol w:w="1268"/>
        <w:gridCol w:w="1418"/>
      </w:tblGrid>
      <w:tr w:rsidR="00622E49" w:rsidRPr="00275C84" w:rsidTr="00B43175">
        <w:trPr>
          <w:jc w:val="center"/>
        </w:trPr>
        <w:tc>
          <w:tcPr>
            <w:tcW w:w="6098" w:type="dxa"/>
          </w:tcPr>
          <w:p w:rsidR="00622E49" w:rsidRPr="00197B9D" w:rsidRDefault="00622E49" w:rsidP="00197B9D">
            <w:pPr>
              <w:pStyle w:val="Tablehead"/>
              <w:jc w:val="left"/>
            </w:pPr>
            <w:bookmarkStart w:id="81" w:name="lt_pId161"/>
            <w:r w:rsidRPr="00275C84">
              <w:t>Partidas no incluibles</w:t>
            </w:r>
            <w:bookmarkEnd w:id="81"/>
            <w:r>
              <w:t xml:space="preserve"> en el préstamo</w:t>
            </w:r>
            <w:r w:rsidR="00197B9D">
              <w:br/>
            </w:r>
            <w:r w:rsidRPr="00AD6687">
              <w:rPr>
                <w:b w:val="0"/>
                <w:bCs/>
                <w:i/>
                <w:iCs/>
              </w:rPr>
              <w:t>(se financiarán con cargo al fondo del Proyecto de construcción del nuevo edificio de la UIT)</w:t>
            </w:r>
          </w:p>
        </w:tc>
        <w:tc>
          <w:tcPr>
            <w:tcW w:w="1268" w:type="dxa"/>
          </w:tcPr>
          <w:p w:rsidR="00622E49" w:rsidRPr="00275C84" w:rsidRDefault="00622E49" w:rsidP="00197B9D">
            <w:pPr>
              <w:pStyle w:val="Tablehead"/>
              <w:jc w:val="right"/>
            </w:pPr>
          </w:p>
        </w:tc>
        <w:tc>
          <w:tcPr>
            <w:tcW w:w="1418" w:type="dxa"/>
          </w:tcPr>
          <w:p w:rsidR="00622E49" w:rsidRPr="00275C84" w:rsidRDefault="00622E49" w:rsidP="00197B9D">
            <w:pPr>
              <w:pStyle w:val="Tablehead"/>
              <w:jc w:val="right"/>
            </w:pPr>
          </w:p>
        </w:tc>
      </w:tr>
      <w:tr w:rsidR="00622E49" w:rsidRPr="00275C84" w:rsidTr="00B43175">
        <w:trPr>
          <w:jc w:val="center"/>
        </w:trPr>
        <w:tc>
          <w:tcPr>
            <w:tcW w:w="6098" w:type="dxa"/>
          </w:tcPr>
          <w:p w:rsidR="00622E49" w:rsidRPr="00275C84" w:rsidRDefault="00622E49" w:rsidP="00F9511B">
            <w:pPr>
              <w:pStyle w:val="Tabletext"/>
            </w:pPr>
            <w:bookmarkStart w:id="82" w:name="lt_pId164"/>
            <w:r w:rsidRPr="00275C84">
              <w:t>CFC 9 Mobiliario</w:t>
            </w:r>
            <w:bookmarkEnd w:id="82"/>
          </w:p>
        </w:tc>
        <w:tc>
          <w:tcPr>
            <w:tcW w:w="1268" w:type="dxa"/>
          </w:tcPr>
          <w:p w:rsidR="00622E49" w:rsidRPr="00275C84" w:rsidRDefault="00622E49" w:rsidP="000F1F86">
            <w:pPr>
              <w:pStyle w:val="Tabletext"/>
              <w:jc w:val="right"/>
            </w:pPr>
            <w:r w:rsidRPr="00275C84">
              <w:t>5</w:t>
            </w:r>
            <w:r w:rsidR="000F1F86">
              <w:t> </w:t>
            </w:r>
            <w:r w:rsidRPr="00275C84">
              <w:t>000</w:t>
            </w:r>
          </w:p>
        </w:tc>
        <w:tc>
          <w:tcPr>
            <w:tcW w:w="1418" w:type="dxa"/>
          </w:tcPr>
          <w:p w:rsidR="00622E49" w:rsidRPr="00275C84" w:rsidRDefault="00622E49" w:rsidP="00F9511B">
            <w:pPr>
              <w:pStyle w:val="Tabletext"/>
            </w:pPr>
          </w:p>
        </w:tc>
      </w:tr>
      <w:tr w:rsidR="00622E49" w:rsidRPr="00275C84" w:rsidTr="00B43175">
        <w:trPr>
          <w:jc w:val="center"/>
        </w:trPr>
        <w:tc>
          <w:tcPr>
            <w:tcW w:w="6098" w:type="dxa"/>
          </w:tcPr>
          <w:p w:rsidR="00622E49" w:rsidRPr="00275C84" w:rsidRDefault="00622E49" w:rsidP="00F9511B">
            <w:pPr>
              <w:pStyle w:val="Tabletext"/>
            </w:pPr>
            <w:bookmarkStart w:id="83" w:name="lt_pId166"/>
            <w:r w:rsidRPr="00275C84">
              <w:t>CFC 9 TIC activas</w:t>
            </w:r>
            <w:bookmarkEnd w:id="83"/>
          </w:p>
        </w:tc>
        <w:tc>
          <w:tcPr>
            <w:tcW w:w="1268" w:type="dxa"/>
          </w:tcPr>
          <w:p w:rsidR="00622E49" w:rsidRPr="00275C84" w:rsidRDefault="00622E49" w:rsidP="000F1F86">
            <w:pPr>
              <w:pStyle w:val="Tabletext"/>
              <w:jc w:val="right"/>
            </w:pPr>
            <w:r w:rsidRPr="00275C84">
              <w:t>7</w:t>
            </w:r>
            <w:r w:rsidR="000F1F86">
              <w:t> </w:t>
            </w:r>
            <w:r w:rsidRPr="00275C84">
              <w:t>000</w:t>
            </w:r>
          </w:p>
        </w:tc>
        <w:tc>
          <w:tcPr>
            <w:tcW w:w="1418" w:type="dxa"/>
          </w:tcPr>
          <w:p w:rsidR="00622E49" w:rsidRPr="00275C84" w:rsidRDefault="00622E49" w:rsidP="00F9511B">
            <w:pPr>
              <w:pStyle w:val="Tabletext"/>
            </w:pPr>
          </w:p>
        </w:tc>
      </w:tr>
      <w:tr w:rsidR="00622E49" w:rsidRPr="00275C84" w:rsidTr="00B43175">
        <w:trPr>
          <w:jc w:val="center"/>
        </w:trPr>
        <w:tc>
          <w:tcPr>
            <w:tcW w:w="6098" w:type="dxa"/>
          </w:tcPr>
          <w:p w:rsidR="00622E49" w:rsidRPr="00AD6687" w:rsidRDefault="00622E49" w:rsidP="00F9511B">
            <w:pPr>
              <w:pStyle w:val="Tabletext"/>
              <w:rPr>
                <w:b/>
                <w:bCs/>
              </w:rPr>
            </w:pPr>
            <w:r w:rsidRPr="00AD6687">
              <w:rPr>
                <w:b/>
                <w:bCs/>
              </w:rPr>
              <w:t>Total de las partidas no incluibles</w:t>
            </w:r>
          </w:p>
        </w:tc>
        <w:tc>
          <w:tcPr>
            <w:tcW w:w="1268" w:type="dxa"/>
          </w:tcPr>
          <w:p w:rsidR="00622E49" w:rsidRPr="00AD6687" w:rsidRDefault="00622E49" w:rsidP="000F1F86">
            <w:pPr>
              <w:pStyle w:val="Tabletext"/>
              <w:jc w:val="right"/>
              <w:rPr>
                <w:b/>
                <w:bCs/>
              </w:rPr>
            </w:pPr>
            <w:r w:rsidRPr="00AD6687">
              <w:rPr>
                <w:b/>
                <w:bCs/>
              </w:rPr>
              <w:t>12</w:t>
            </w:r>
            <w:r w:rsidR="000F1F86">
              <w:rPr>
                <w:b/>
                <w:bCs/>
              </w:rPr>
              <w:t> </w:t>
            </w:r>
            <w:r w:rsidRPr="00AD6687">
              <w:rPr>
                <w:b/>
                <w:bCs/>
              </w:rPr>
              <w:t>000</w:t>
            </w:r>
          </w:p>
        </w:tc>
        <w:tc>
          <w:tcPr>
            <w:tcW w:w="1418" w:type="dxa"/>
          </w:tcPr>
          <w:p w:rsidR="00622E49" w:rsidRPr="00AD6687" w:rsidRDefault="00622E49" w:rsidP="00F9511B">
            <w:pPr>
              <w:pStyle w:val="Tabletext"/>
              <w:rPr>
                <w:b/>
                <w:bCs/>
              </w:rPr>
            </w:pPr>
          </w:p>
        </w:tc>
      </w:tr>
      <w:tr w:rsidR="00622E49" w:rsidRPr="00275C84" w:rsidTr="00B43175">
        <w:trPr>
          <w:jc w:val="center"/>
        </w:trPr>
        <w:tc>
          <w:tcPr>
            <w:tcW w:w="6098" w:type="dxa"/>
          </w:tcPr>
          <w:p w:rsidR="00622E49" w:rsidRPr="00275C84" w:rsidRDefault="00622E49" w:rsidP="00197B9D">
            <w:pPr>
              <w:pStyle w:val="Tabletext"/>
            </w:pPr>
            <w:r>
              <w:t xml:space="preserve">Fondo dedicado: </w:t>
            </w:r>
            <w:r w:rsidRPr="00090142">
              <w:t>superávit presupuesta</w:t>
            </w:r>
            <w:r>
              <w:t>rio de 2018</w:t>
            </w:r>
            <w:r w:rsidR="00197B9D">
              <w:rPr>
                <w:rStyle w:val="FootnoteReference"/>
              </w:rPr>
              <w:footnoteReference w:id="1"/>
            </w:r>
          </w:p>
        </w:tc>
        <w:tc>
          <w:tcPr>
            <w:tcW w:w="1268" w:type="dxa"/>
          </w:tcPr>
          <w:p w:rsidR="00622E49" w:rsidRPr="00275C84" w:rsidRDefault="00622E49" w:rsidP="00F9511B">
            <w:pPr>
              <w:pStyle w:val="Tabletext"/>
              <w:jc w:val="right"/>
            </w:pPr>
          </w:p>
        </w:tc>
        <w:tc>
          <w:tcPr>
            <w:tcW w:w="1418" w:type="dxa"/>
          </w:tcPr>
          <w:p w:rsidR="00622E49" w:rsidRPr="00275C84" w:rsidRDefault="00622E49" w:rsidP="000F1F86">
            <w:pPr>
              <w:pStyle w:val="Tabletext"/>
            </w:pPr>
            <w:r>
              <w:t>6</w:t>
            </w:r>
            <w:r w:rsidR="000F1F86">
              <w:t> </w:t>
            </w:r>
            <w:r>
              <w:t>000</w:t>
            </w:r>
          </w:p>
        </w:tc>
      </w:tr>
    </w:tbl>
    <w:p w:rsidR="00622E49" w:rsidRPr="00275C84" w:rsidRDefault="00622E49" w:rsidP="00197B9D"/>
    <w:tbl>
      <w:tblPr>
        <w:tblStyle w:val="TableGrid"/>
        <w:tblW w:w="8784" w:type="dxa"/>
        <w:jc w:val="center"/>
        <w:tblLayout w:type="fixed"/>
        <w:tblLook w:val="04A0" w:firstRow="1" w:lastRow="0" w:firstColumn="1" w:lastColumn="0" w:noHBand="0" w:noVBand="1"/>
      </w:tblPr>
      <w:tblGrid>
        <w:gridCol w:w="6112"/>
        <w:gridCol w:w="1260"/>
        <w:gridCol w:w="1412"/>
      </w:tblGrid>
      <w:tr w:rsidR="00622E49" w:rsidRPr="00275C84" w:rsidTr="00B43175">
        <w:trPr>
          <w:jc w:val="center"/>
        </w:trPr>
        <w:tc>
          <w:tcPr>
            <w:tcW w:w="6112" w:type="dxa"/>
          </w:tcPr>
          <w:p w:rsidR="00622E49" w:rsidRPr="00275C84" w:rsidRDefault="00622E49" w:rsidP="00F9511B">
            <w:pPr>
              <w:pStyle w:val="Tablehead"/>
              <w:jc w:val="left"/>
            </w:pPr>
            <w:r>
              <w:t>Resumen</w:t>
            </w:r>
          </w:p>
        </w:tc>
        <w:tc>
          <w:tcPr>
            <w:tcW w:w="1260" w:type="dxa"/>
          </w:tcPr>
          <w:p w:rsidR="00622E49" w:rsidRPr="00275C84" w:rsidRDefault="00622E49" w:rsidP="00F9511B">
            <w:pPr>
              <w:pStyle w:val="Tablehead"/>
            </w:pPr>
          </w:p>
        </w:tc>
        <w:tc>
          <w:tcPr>
            <w:tcW w:w="1412" w:type="dxa"/>
          </w:tcPr>
          <w:p w:rsidR="00622E49" w:rsidRPr="00275C84" w:rsidRDefault="00622E49" w:rsidP="00F9511B">
            <w:pPr>
              <w:pStyle w:val="Tablehead"/>
            </w:pPr>
          </w:p>
        </w:tc>
      </w:tr>
      <w:tr w:rsidR="00622E49" w:rsidRPr="00275C84" w:rsidTr="00B43175">
        <w:trPr>
          <w:jc w:val="center"/>
        </w:trPr>
        <w:tc>
          <w:tcPr>
            <w:tcW w:w="6112" w:type="dxa"/>
          </w:tcPr>
          <w:p w:rsidR="00622E49" w:rsidRPr="00B43175" w:rsidRDefault="00622E49" w:rsidP="00F9511B">
            <w:pPr>
              <w:pStyle w:val="Tabletext"/>
              <w:rPr>
                <w:b/>
                <w:bCs/>
              </w:rPr>
            </w:pPr>
            <w:r w:rsidRPr="00B43175">
              <w:rPr>
                <w:b/>
                <w:bCs/>
              </w:rPr>
              <w:t>Cos</w:t>
            </w:r>
            <w:r w:rsidR="00B43175" w:rsidRPr="00B43175">
              <w:rPr>
                <w:b/>
                <w:bCs/>
              </w:rPr>
              <w:t>t</w:t>
            </w:r>
            <w:r w:rsidRPr="00B43175">
              <w:rPr>
                <w:b/>
                <w:bCs/>
              </w:rPr>
              <w:t>o total del proyecto</w:t>
            </w:r>
          </w:p>
        </w:tc>
        <w:tc>
          <w:tcPr>
            <w:tcW w:w="1260" w:type="dxa"/>
          </w:tcPr>
          <w:p w:rsidR="00622E49" w:rsidRPr="00B43175" w:rsidRDefault="00622E49" w:rsidP="000F1F86">
            <w:pPr>
              <w:pStyle w:val="Tabletext"/>
              <w:jc w:val="right"/>
              <w:rPr>
                <w:b/>
                <w:bCs/>
              </w:rPr>
            </w:pPr>
            <w:r w:rsidRPr="00B43175">
              <w:rPr>
                <w:b/>
                <w:bCs/>
              </w:rPr>
              <w:t>180</w:t>
            </w:r>
            <w:r w:rsidR="000F1F86">
              <w:rPr>
                <w:b/>
                <w:bCs/>
              </w:rPr>
              <w:t> </w:t>
            </w:r>
            <w:r w:rsidRPr="00B43175">
              <w:rPr>
                <w:b/>
                <w:bCs/>
              </w:rPr>
              <w:t>813</w:t>
            </w:r>
          </w:p>
        </w:tc>
        <w:tc>
          <w:tcPr>
            <w:tcW w:w="1412" w:type="dxa"/>
          </w:tcPr>
          <w:p w:rsidR="00622E49" w:rsidRPr="00275C84" w:rsidRDefault="00622E49" w:rsidP="00F9511B">
            <w:pPr>
              <w:pStyle w:val="Tabletext"/>
              <w:jc w:val="right"/>
              <w:rPr>
                <w:b/>
              </w:rPr>
            </w:pPr>
          </w:p>
        </w:tc>
      </w:tr>
      <w:tr w:rsidR="00622E49" w:rsidRPr="00275C84" w:rsidTr="00B43175">
        <w:trPr>
          <w:jc w:val="center"/>
        </w:trPr>
        <w:tc>
          <w:tcPr>
            <w:tcW w:w="6112" w:type="dxa"/>
          </w:tcPr>
          <w:p w:rsidR="00622E49" w:rsidRPr="00275C84" w:rsidRDefault="00622E49" w:rsidP="00F9511B">
            <w:pPr>
              <w:pStyle w:val="Tabletext"/>
            </w:pPr>
            <w:r w:rsidRPr="00B43175">
              <w:rPr>
                <w:b/>
                <w:bCs/>
              </w:rPr>
              <w:t>Financiación disponible</w:t>
            </w:r>
            <w:r>
              <w:t xml:space="preserve"> (de conformidad con la Res. 212 de la PP)</w:t>
            </w:r>
          </w:p>
        </w:tc>
        <w:tc>
          <w:tcPr>
            <w:tcW w:w="1260" w:type="dxa"/>
          </w:tcPr>
          <w:p w:rsidR="00622E49" w:rsidRPr="00B43175" w:rsidRDefault="00622E49" w:rsidP="000F1F86">
            <w:pPr>
              <w:pStyle w:val="Tabletext"/>
              <w:jc w:val="right"/>
              <w:rPr>
                <w:b/>
                <w:bCs/>
              </w:rPr>
            </w:pPr>
            <w:r w:rsidRPr="00B43175">
              <w:rPr>
                <w:b/>
                <w:bCs/>
              </w:rPr>
              <w:t>170</w:t>
            </w:r>
            <w:r w:rsidR="000F1F86">
              <w:rPr>
                <w:b/>
                <w:bCs/>
              </w:rPr>
              <w:t> </w:t>
            </w:r>
            <w:r w:rsidRPr="00B43175">
              <w:rPr>
                <w:b/>
                <w:bCs/>
              </w:rPr>
              <w:t>140</w:t>
            </w:r>
          </w:p>
        </w:tc>
        <w:tc>
          <w:tcPr>
            <w:tcW w:w="1412" w:type="dxa"/>
          </w:tcPr>
          <w:p w:rsidR="00622E49" w:rsidRPr="00275C84" w:rsidRDefault="00622E49" w:rsidP="00F9511B">
            <w:pPr>
              <w:pStyle w:val="Tabletext"/>
              <w:jc w:val="right"/>
              <w:rPr>
                <w:b/>
              </w:rPr>
            </w:pPr>
          </w:p>
        </w:tc>
      </w:tr>
      <w:tr w:rsidR="00622E49" w:rsidRPr="00275C84" w:rsidTr="00B43175">
        <w:trPr>
          <w:jc w:val="center"/>
        </w:trPr>
        <w:tc>
          <w:tcPr>
            <w:tcW w:w="6112" w:type="dxa"/>
          </w:tcPr>
          <w:p w:rsidR="00622E49" w:rsidRPr="001F4D6D" w:rsidRDefault="00622E49" w:rsidP="00F9511B">
            <w:pPr>
              <w:pStyle w:val="Tabletext"/>
              <w:rPr>
                <w:b/>
                <w:bCs/>
              </w:rPr>
            </w:pPr>
            <w:bookmarkStart w:id="84" w:name="lt_pId175"/>
            <w:r w:rsidRPr="001F4D6D">
              <w:rPr>
                <w:b/>
                <w:bCs/>
              </w:rPr>
              <w:t>Financiación pendiente necesaria:</w:t>
            </w:r>
            <w:bookmarkStart w:id="85" w:name="_GoBack"/>
            <w:bookmarkEnd w:id="84"/>
            <w:bookmarkEnd w:id="85"/>
          </w:p>
        </w:tc>
        <w:tc>
          <w:tcPr>
            <w:tcW w:w="1260" w:type="dxa"/>
          </w:tcPr>
          <w:p w:rsidR="00622E49" w:rsidRPr="00B43175" w:rsidRDefault="00622E49" w:rsidP="00F9511B">
            <w:pPr>
              <w:pStyle w:val="Tabletext"/>
              <w:jc w:val="right"/>
              <w:rPr>
                <w:b/>
                <w:bCs/>
              </w:rPr>
            </w:pPr>
          </w:p>
        </w:tc>
        <w:tc>
          <w:tcPr>
            <w:tcW w:w="1412" w:type="dxa"/>
          </w:tcPr>
          <w:p w:rsidR="00622E49" w:rsidRPr="00275C84" w:rsidRDefault="00622E49" w:rsidP="000F1F86">
            <w:pPr>
              <w:pStyle w:val="Tabletext"/>
              <w:jc w:val="right"/>
              <w:rPr>
                <w:b/>
              </w:rPr>
            </w:pPr>
            <w:r>
              <w:rPr>
                <w:b/>
              </w:rPr>
              <w:t>9</w:t>
            </w:r>
            <w:r w:rsidR="000F1F86">
              <w:rPr>
                <w:b/>
              </w:rPr>
              <w:t> </w:t>
            </w:r>
            <w:r>
              <w:rPr>
                <w:b/>
              </w:rPr>
              <w:t>673</w:t>
            </w:r>
          </w:p>
        </w:tc>
      </w:tr>
    </w:tbl>
    <w:p w:rsidR="00622E49" w:rsidRPr="00275C84" w:rsidRDefault="00622E49" w:rsidP="00622E49">
      <w:pPr>
        <w:pStyle w:val="AnnexNo"/>
        <w:rPr>
          <w:lang w:val="en-GB"/>
        </w:rPr>
      </w:pPr>
      <w:bookmarkStart w:id="86" w:name="lt_pId177"/>
      <w:r w:rsidRPr="00275C84">
        <w:rPr>
          <w:lang w:val="en-GB"/>
        </w:rPr>
        <w:t>Anexo 3</w:t>
      </w:r>
      <w:bookmarkEnd w:id="86"/>
    </w:p>
    <w:p w:rsidR="00622E49" w:rsidRPr="00A10574" w:rsidRDefault="00622E49" w:rsidP="00622E49">
      <w:pPr>
        <w:pStyle w:val="Annextitle"/>
      </w:pPr>
      <w:bookmarkStart w:id="87" w:name="lt_pId178"/>
      <w:r w:rsidRPr="00A10574">
        <w:t>Calendario del proyecto de Sede</w:t>
      </w:r>
      <w:bookmarkEnd w:id="87"/>
    </w:p>
    <w:p w:rsidR="00622E49" w:rsidRPr="00A10574" w:rsidRDefault="00622E49" w:rsidP="00622E49">
      <w:pPr>
        <w:jc w:val="center"/>
        <w:rPr>
          <w:i/>
          <w:iCs/>
          <w:lang w:val="es-ES"/>
        </w:rPr>
      </w:pPr>
      <w:bookmarkStart w:id="88" w:name="lt_pId179"/>
      <w:r w:rsidRPr="00A10574">
        <w:rPr>
          <w:i/>
          <w:iCs/>
          <w:lang w:val="es-ES"/>
        </w:rPr>
        <w:t xml:space="preserve">(El calendario se basa en los datos comunicados </w:t>
      </w:r>
      <w:r>
        <w:rPr>
          <w:i/>
          <w:iCs/>
          <w:lang w:val="es-ES"/>
        </w:rPr>
        <w:br/>
      </w:r>
      <w:r w:rsidRPr="00A10574">
        <w:rPr>
          <w:i/>
          <w:iCs/>
          <w:lang w:val="es-ES"/>
        </w:rPr>
        <w:t>por el arquitecto el 1 de abril de</w:t>
      </w:r>
      <w:bookmarkStart w:id="89" w:name="lt_pId180"/>
      <w:bookmarkEnd w:id="88"/>
      <w:r w:rsidRPr="00A10574">
        <w:rPr>
          <w:i/>
          <w:iCs/>
          <w:lang w:val="es-ES"/>
        </w:rPr>
        <w:t xml:space="preserve"> 2019)</w:t>
      </w:r>
      <w:bookmarkEnd w:id="89"/>
    </w:p>
    <w:p w:rsidR="00622E49" w:rsidRPr="00275C84" w:rsidRDefault="00622E49" w:rsidP="00622E49">
      <w:pPr>
        <w:tabs>
          <w:tab w:val="left" w:pos="7088"/>
        </w:tabs>
        <w:spacing w:before="360"/>
        <w:rPr>
          <w:lang w:val="es-ES"/>
        </w:rPr>
      </w:pPr>
      <w:bookmarkStart w:id="90" w:name="lt_pId181"/>
      <w:r w:rsidRPr="00275C84">
        <w:rPr>
          <w:lang w:val="es-ES"/>
        </w:rPr>
        <w:t>Entrega final del proyecto preliminar</w:t>
      </w:r>
      <w:bookmarkEnd w:id="90"/>
      <w:r w:rsidRPr="00275C84">
        <w:rPr>
          <w:lang w:val="es-ES"/>
        </w:rPr>
        <w:tab/>
      </w:r>
      <w:bookmarkStart w:id="91" w:name="lt_pId182"/>
      <w:r w:rsidRPr="00275C84">
        <w:rPr>
          <w:lang w:val="es-ES"/>
        </w:rPr>
        <w:t>Mayo de 2019</w:t>
      </w:r>
      <w:bookmarkEnd w:id="91"/>
    </w:p>
    <w:p w:rsidR="00622E49" w:rsidRPr="00A10574" w:rsidRDefault="00622E49" w:rsidP="00622E49">
      <w:pPr>
        <w:tabs>
          <w:tab w:val="left" w:pos="7088"/>
        </w:tabs>
        <w:spacing w:before="240"/>
        <w:rPr>
          <w:lang w:val="es-ES"/>
        </w:rPr>
      </w:pPr>
      <w:bookmarkStart w:id="92" w:name="lt_pId183"/>
      <w:r w:rsidRPr="00A10574">
        <w:rPr>
          <w:lang w:val="es-ES"/>
        </w:rPr>
        <w:t>Proyecto de segundo mensaje enviado a la FIPOI</w:t>
      </w:r>
      <w:bookmarkEnd w:id="92"/>
      <w:r w:rsidRPr="00A10574">
        <w:rPr>
          <w:lang w:val="es-ES"/>
        </w:rPr>
        <w:tab/>
      </w:r>
      <w:bookmarkStart w:id="93" w:name="lt_pId184"/>
      <w:r w:rsidRPr="00A10574">
        <w:rPr>
          <w:lang w:val="es-ES"/>
        </w:rPr>
        <w:t>Junio de 2019</w:t>
      </w:r>
      <w:bookmarkEnd w:id="93"/>
    </w:p>
    <w:p w:rsidR="00622E49" w:rsidRPr="00A10574" w:rsidRDefault="00622E49" w:rsidP="00622E49">
      <w:pPr>
        <w:tabs>
          <w:tab w:val="left" w:pos="7088"/>
        </w:tabs>
        <w:spacing w:before="240"/>
        <w:rPr>
          <w:lang w:val="es-ES"/>
        </w:rPr>
      </w:pPr>
      <w:bookmarkStart w:id="94" w:name="lt_pId185"/>
      <w:r w:rsidRPr="00A10574">
        <w:rPr>
          <w:lang w:val="es-ES"/>
        </w:rPr>
        <w:t>Segundo mensaje enviado a la Cámara Federal</w:t>
      </w:r>
      <w:bookmarkEnd w:id="94"/>
      <w:r w:rsidRPr="00A10574">
        <w:rPr>
          <w:lang w:val="es-ES"/>
        </w:rPr>
        <w:tab/>
      </w:r>
      <w:bookmarkStart w:id="95" w:name="lt_pId186"/>
      <w:r w:rsidRPr="00A10574">
        <w:rPr>
          <w:lang w:val="es-ES"/>
        </w:rPr>
        <w:t>Agosto de 2019</w:t>
      </w:r>
      <w:bookmarkEnd w:id="95"/>
      <w:r w:rsidRPr="00A10574">
        <w:rPr>
          <w:lang w:val="es-ES"/>
        </w:rPr>
        <w:br/>
      </w:r>
      <w:bookmarkStart w:id="96" w:name="lt_pId187"/>
      <w:r w:rsidRPr="00A10574">
        <w:rPr>
          <w:lang w:val="es-ES"/>
        </w:rPr>
        <w:t>Finalización del expediente</w:t>
      </w:r>
      <w:bookmarkEnd w:id="96"/>
      <w:r w:rsidRPr="00A10574">
        <w:rPr>
          <w:lang w:val="es-ES"/>
        </w:rPr>
        <w:tab/>
      </w:r>
      <w:r w:rsidRPr="00A10574">
        <w:rPr>
          <w:lang w:val="es-ES"/>
        </w:rPr>
        <w:tab/>
      </w:r>
      <w:bookmarkStart w:id="97" w:name="lt_pId188"/>
      <w:r w:rsidRPr="00A10574">
        <w:rPr>
          <w:lang w:val="es-ES"/>
        </w:rPr>
        <w:t>Noviembre de 2019</w:t>
      </w:r>
      <w:bookmarkEnd w:id="97"/>
    </w:p>
    <w:p w:rsidR="00622E49" w:rsidRPr="00A10574" w:rsidRDefault="00622E49" w:rsidP="00622E49">
      <w:pPr>
        <w:tabs>
          <w:tab w:val="left" w:pos="7088"/>
        </w:tabs>
        <w:spacing w:before="240"/>
        <w:rPr>
          <w:lang w:val="es-ES"/>
        </w:rPr>
      </w:pPr>
      <w:bookmarkStart w:id="98" w:name="lt_pId189"/>
      <w:r w:rsidRPr="00A10574">
        <w:rPr>
          <w:lang w:val="es-ES"/>
        </w:rPr>
        <w:t>Deposición de la autorización</w:t>
      </w:r>
      <w:bookmarkEnd w:id="98"/>
      <w:r w:rsidRPr="00A10574">
        <w:rPr>
          <w:lang w:val="es-ES"/>
        </w:rPr>
        <w:tab/>
        <w:t>Agosto de</w:t>
      </w:r>
      <w:bookmarkStart w:id="99" w:name="lt_pId190"/>
      <w:r w:rsidRPr="00A10574">
        <w:rPr>
          <w:lang w:val="es-ES"/>
        </w:rPr>
        <w:t xml:space="preserve"> 2020</w:t>
      </w:r>
      <w:bookmarkEnd w:id="99"/>
      <w:r w:rsidRPr="00A10574">
        <w:rPr>
          <w:lang w:val="es-ES"/>
        </w:rPr>
        <w:br/>
      </w:r>
      <w:bookmarkStart w:id="100" w:name="lt_pId191"/>
      <w:r w:rsidRPr="00A10574">
        <w:rPr>
          <w:lang w:val="es-ES"/>
        </w:rPr>
        <w:t>Fin del proceso de autorización</w:t>
      </w:r>
      <w:bookmarkEnd w:id="100"/>
      <w:r w:rsidRPr="00A10574">
        <w:rPr>
          <w:lang w:val="es-ES"/>
        </w:rPr>
        <w:tab/>
      </w:r>
      <w:bookmarkStart w:id="101" w:name="lt_pId192"/>
      <w:r w:rsidRPr="00A10574">
        <w:rPr>
          <w:lang w:val="es-ES"/>
        </w:rPr>
        <w:t>Febrero de 2021</w:t>
      </w:r>
      <w:bookmarkEnd w:id="101"/>
    </w:p>
    <w:p w:rsidR="00622E49" w:rsidRPr="00A10574" w:rsidRDefault="00622E49" w:rsidP="00622E49">
      <w:pPr>
        <w:tabs>
          <w:tab w:val="left" w:pos="7088"/>
        </w:tabs>
        <w:spacing w:before="240"/>
        <w:rPr>
          <w:lang w:val="es-ES"/>
        </w:rPr>
      </w:pPr>
      <w:bookmarkStart w:id="102" w:name="lt_pId193"/>
      <w:r w:rsidRPr="00A10574">
        <w:rPr>
          <w:lang w:val="es-ES"/>
        </w:rPr>
        <w:t>Publicación de la convocatoria de manifestaciones de interés</w:t>
      </w:r>
      <w:bookmarkEnd w:id="102"/>
      <w:r w:rsidRPr="00A10574">
        <w:rPr>
          <w:lang w:val="es-ES"/>
        </w:rPr>
        <w:tab/>
      </w:r>
      <w:bookmarkStart w:id="103" w:name="lt_pId194"/>
      <w:r w:rsidRPr="00A10574">
        <w:rPr>
          <w:lang w:val="es-ES"/>
        </w:rPr>
        <w:t>Enero de 2021</w:t>
      </w:r>
      <w:bookmarkEnd w:id="103"/>
      <w:r w:rsidRPr="00A10574">
        <w:rPr>
          <w:lang w:val="es-ES"/>
        </w:rPr>
        <w:br/>
      </w:r>
      <w:bookmarkStart w:id="104" w:name="lt_pId195"/>
      <w:r w:rsidRPr="00A10574">
        <w:rPr>
          <w:lang w:val="es-ES"/>
        </w:rPr>
        <w:t>Lista de preselección finalizada</w:t>
      </w:r>
      <w:bookmarkEnd w:id="104"/>
      <w:r w:rsidRPr="00A10574">
        <w:rPr>
          <w:lang w:val="es-ES"/>
        </w:rPr>
        <w:tab/>
      </w:r>
      <w:bookmarkStart w:id="105" w:name="lt_pId196"/>
      <w:r w:rsidRPr="00A10574">
        <w:rPr>
          <w:lang w:val="es-ES"/>
        </w:rPr>
        <w:t>Mayo de 2021</w:t>
      </w:r>
      <w:bookmarkEnd w:id="105"/>
    </w:p>
    <w:p w:rsidR="00622E49" w:rsidRPr="00A10574" w:rsidRDefault="00622E49" w:rsidP="00622E49">
      <w:pPr>
        <w:tabs>
          <w:tab w:val="left" w:pos="7088"/>
        </w:tabs>
        <w:spacing w:before="240"/>
        <w:rPr>
          <w:lang w:val="es-ES"/>
        </w:rPr>
      </w:pPr>
      <w:bookmarkStart w:id="106" w:name="lt_pId197"/>
      <w:r w:rsidRPr="00A10574">
        <w:rPr>
          <w:lang w:val="es-ES"/>
        </w:rPr>
        <w:t>Disponibilidad del segundo préstamo</w:t>
      </w:r>
      <w:bookmarkEnd w:id="106"/>
      <w:r w:rsidRPr="00A10574">
        <w:rPr>
          <w:lang w:val="es-ES"/>
        </w:rPr>
        <w:tab/>
      </w:r>
      <w:bookmarkStart w:id="107" w:name="lt_pId198"/>
      <w:r w:rsidRPr="00A10574">
        <w:rPr>
          <w:lang w:val="es-ES"/>
        </w:rPr>
        <w:t>Marzo de 2021</w:t>
      </w:r>
      <w:bookmarkEnd w:id="107"/>
    </w:p>
    <w:p w:rsidR="00622E49" w:rsidRPr="00A10574" w:rsidRDefault="00622E49" w:rsidP="00622E49">
      <w:pPr>
        <w:tabs>
          <w:tab w:val="left" w:pos="7088"/>
        </w:tabs>
        <w:spacing w:before="240"/>
        <w:rPr>
          <w:lang w:val="es-ES"/>
        </w:rPr>
      </w:pPr>
      <w:bookmarkStart w:id="108" w:name="lt_pId199"/>
      <w:r w:rsidRPr="00A10574">
        <w:rPr>
          <w:lang w:val="es-ES"/>
        </w:rPr>
        <w:t>Finalización del expediente detallado para la licitación</w:t>
      </w:r>
      <w:bookmarkEnd w:id="108"/>
      <w:r w:rsidRPr="00A10574">
        <w:rPr>
          <w:lang w:val="es-ES"/>
        </w:rPr>
        <w:t xml:space="preserve"> </w:t>
      </w:r>
      <w:r w:rsidRPr="00A10574">
        <w:rPr>
          <w:lang w:val="es-ES"/>
        </w:rPr>
        <w:br/>
      </w:r>
      <w:bookmarkStart w:id="109" w:name="lt_pId200"/>
      <w:r w:rsidRPr="00A10574">
        <w:rPr>
          <w:lang w:val="es-ES"/>
        </w:rPr>
        <w:t>Publicación de licitaciones</w:t>
      </w:r>
      <w:bookmarkEnd w:id="109"/>
      <w:r w:rsidRPr="00A10574">
        <w:rPr>
          <w:lang w:val="es-ES"/>
        </w:rPr>
        <w:tab/>
      </w:r>
      <w:r w:rsidRPr="00A10574">
        <w:rPr>
          <w:lang w:val="es-ES"/>
        </w:rPr>
        <w:tab/>
      </w:r>
      <w:bookmarkStart w:id="110" w:name="lt_pId201"/>
      <w:r w:rsidRPr="00A10574">
        <w:rPr>
          <w:lang w:val="es-ES"/>
        </w:rPr>
        <w:t>Octubre de 2021</w:t>
      </w:r>
      <w:bookmarkEnd w:id="110"/>
      <w:r w:rsidRPr="00A10574">
        <w:rPr>
          <w:lang w:val="es-ES"/>
        </w:rPr>
        <w:br/>
      </w:r>
      <w:bookmarkStart w:id="111" w:name="lt_pId202"/>
      <w:r w:rsidRPr="00A10574">
        <w:rPr>
          <w:lang w:val="es-ES"/>
        </w:rPr>
        <w:t>Validación de la decisión</w:t>
      </w:r>
      <w:bookmarkEnd w:id="111"/>
      <w:r w:rsidRPr="00A10574">
        <w:rPr>
          <w:lang w:val="es-ES"/>
        </w:rPr>
        <w:tab/>
      </w:r>
      <w:r w:rsidRPr="00A10574">
        <w:rPr>
          <w:lang w:val="es-ES"/>
        </w:rPr>
        <w:tab/>
      </w:r>
      <w:bookmarkStart w:id="112" w:name="lt_pId203"/>
      <w:r w:rsidRPr="00A10574">
        <w:rPr>
          <w:lang w:val="es-ES"/>
        </w:rPr>
        <w:t>Mayo de 2022</w:t>
      </w:r>
      <w:bookmarkEnd w:id="112"/>
      <w:r w:rsidRPr="00A10574">
        <w:rPr>
          <w:lang w:val="es-ES"/>
        </w:rPr>
        <w:br/>
      </w:r>
      <w:bookmarkStart w:id="113" w:name="lt_pId204"/>
      <w:r w:rsidRPr="00A10574">
        <w:rPr>
          <w:lang w:val="es-ES"/>
        </w:rPr>
        <w:t>Contrato con la empresa general</w:t>
      </w:r>
      <w:bookmarkEnd w:id="113"/>
      <w:r w:rsidRPr="00A10574">
        <w:rPr>
          <w:lang w:val="es-ES"/>
        </w:rPr>
        <w:tab/>
      </w:r>
      <w:bookmarkStart w:id="114" w:name="lt_pId205"/>
      <w:r w:rsidRPr="00A10574">
        <w:rPr>
          <w:lang w:val="es-ES"/>
        </w:rPr>
        <w:t>Junio de 2022</w:t>
      </w:r>
      <w:bookmarkEnd w:id="114"/>
    </w:p>
    <w:p w:rsidR="00622E49" w:rsidRPr="00A10574" w:rsidRDefault="00622E49" w:rsidP="00622E49">
      <w:pPr>
        <w:tabs>
          <w:tab w:val="left" w:pos="7088"/>
        </w:tabs>
        <w:spacing w:before="240"/>
        <w:rPr>
          <w:lang w:val="es-ES"/>
        </w:rPr>
      </w:pPr>
      <w:bookmarkStart w:id="115" w:name="lt_pId206"/>
      <w:r w:rsidRPr="00A10574">
        <w:rPr>
          <w:lang w:val="es-ES"/>
        </w:rPr>
        <w:t>Inicio de las obras</w:t>
      </w:r>
      <w:bookmarkEnd w:id="115"/>
      <w:r w:rsidRPr="00A10574">
        <w:rPr>
          <w:lang w:val="es-ES"/>
        </w:rPr>
        <w:tab/>
      </w:r>
      <w:bookmarkStart w:id="116" w:name="lt_pId207"/>
      <w:r>
        <w:rPr>
          <w:lang w:val="es-ES"/>
        </w:rPr>
        <w:tab/>
      </w:r>
      <w:r>
        <w:rPr>
          <w:lang w:val="es-ES"/>
        </w:rPr>
        <w:tab/>
      </w:r>
      <w:r w:rsidRPr="00A10574">
        <w:rPr>
          <w:lang w:val="es-ES"/>
        </w:rPr>
        <w:t>Julio de 2022</w:t>
      </w:r>
      <w:bookmarkEnd w:id="116"/>
      <w:r w:rsidRPr="00A10574">
        <w:rPr>
          <w:lang w:val="es-ES"/>
        </w:rPr>
        <w:br/>
      </w:r>
      <w:bookmarkStart w:id="117" w:name="lt_pId208"/>
      <w:r w:rsidRPr="00A10574">
        <w:rPr>
          <w:lang w:val="es-ES"/>
        </w:rPr>
        <w:t>Inicio del desmantelamiento del edificio Varembé</w:t>
      </w:r>
      <w:bookmarkEnd w:id="117"/>
      <w:r w:rsidRPr="00A10574">
        <w:rPr>
          <w:lang w:val="es-ES"/>
        </w:rPr>
        <w:tab/>
      </w:r>
      <w:bookmarkStart w:id="118" w:name="lt_pId209"/>
      <w:r w:rsidRPr="00A10574">
        <w:rPr>
          <w:lang w:val="es-ES"/>
        </w:rPr>
        <w:t>Noviembre de 2022</w:t>
      </w:r>
      <w:bookmarkEnd w:id="118"/>
      <w:r w:rsidRPr="00A10574">
        <w:rPr>
          <w:lang w:val="es-ES"/>
        </w:rPr>
        <w:br/>
      </w:r>
      <w:bookmarkStart w:id="119" w:name="lt_pId210"/>
      <w:r w:rsidRPr="00A10574">
        <w:rPr>
          <w:lang w:val="es-ES"/>
        </w:rPr>
        <w:t>Fin de las obras estructurales principales</w:t>
      </w:r>
      <w:bookmarkEnd w:id="119"/>
      <w:r w:rsidRPr="00A10574">
        <w:rPr>
          <w:lang w:val="es-ES"/>
        </w:rPr>
        <w:tab/>
      </w:r>
      <w:bookmarkStart w:id="120" w:name="lt_pId211"/>
      <w:r w:rsidRPr="00A10574">
        <w:rPr>
          <w:lang w:val="es-ES"/>
        </w:rPr>
        <w:t>Septiembre de 2024</w:t>
      </w:r>
      <w:bookmarkEnd w:id="120"/>
      <w:r w:rsidRPr="00A10574">
        <w:rPr>
          <w:lang w:val="es-ES"/>
        </w:rPr>
        <w:br/>
      </w:r>
      <w:bookmarkStart w:id="121" w:name="lt_pId212"/>
      <w:r w:rsidRPr="00A10574">
        <w:rPr>
          <w:lang w:val="es-ES"/>
        </w:rPr>
        <w:t>Entrega del edificio</w:t>
      </w:r>
      <w:bookmarkEnd w:id="121"/>
      <w:r w:rsidRPr="00A10574">
        <w:rPr>
          <w:lang w:val="es-ES"/>
        </w:rPr>
        <w:tab/>
      </w:r>
      <w:r w:rsidRPr="00A10574">
        <w:rPr>
          <w:lang w:val="es-ES"/>
        </w:rPr>
        <w:tab/>
      </w:r>
      <w:r w:rsidRPr="00A10574">
        <w:rPr>
          <w:lang w:val="es-ES"/>
        </w:rPr>
        <w:tab/>
      </w:r>
      <w:bookmarkStart w:id="122" w:name="lt_pId213"/>
      <w:r w:rsidRPr="00A10574">
        <w:rPr>
          <w:lang w:val="es-ES"/>
        </w:rPr>
        <w:t>Junio de 2026</w:t>
      </w:r>
      <w:bookmarkEnd w:id="122"/>
    </w:p>
    <w:p w:rsidR="00622E49" w:rsidRDefault="00622E49" w:rsidP="00411C49">
      <w:pPr>
        <w:pStyle w:val="Reasons"/>
      </w:pPr>
    </w:p>
    <w:p w:rsidR="00622E49" w:rsidRDefault="00622E49">
      <w:pPr>
        <w:jc w:val="center"/>
      </w:pPr>
      <w:r>
        <w:t>______________</w:t>
      </w:r>
    </w:p>
    <w:sectPr w:rsidR="00622E49"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EFF" w:rsidRDefault="00FD7EFF">
      <w:r>
        <w:separator/>
      </w:r>
    </w:p>
  </w:endnote>
  <w:endnote w:type="continuationSeparator" w:id="0">
    <w:p w:rsidR="00FD7EFF" w:rsidRDefault="00FD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622E49" w:rsidRDefault="00622E49" w:rsidP="00622E49">
    <w:pPr>
      <w:pStyle w:val="Footer"/>
      <w:rPr>
        <w:lang w:val="fr-CH"/>
      </w:rPr>
    </w:pPr>
    <w:r w:rsidRPr="00622E49">
      <w:rPr>
        <w:lang w:val="en-US"/>
      </w:rPr>
      <w:fldChar w:fldCharType="begin"/>
    </w:r>
    <w:r w:rsidRPr="00622E49">
      <w:rPr>
        <w:lang w:val="fr-CH"/>
      </w:rPr>
      <w:instrText xml:space="preserve"> FILENAME \p  \* MERGEFORMAT </w:instrText>
    </w:r>
    <w:r w:rsidRPr="00622E49">
      <w:rPr>
        <w:lang w:val="en-US"/>
      </w:rPr>
      <w:fldChar w:fldCharType="separate"/>
    </w:r>
    <w:r w:rsidR="00393020">
      <w:rPr>
        <w:lang w:val="fr-CH"/>
      </w:rPr>
      <w:t>P:\ESP\SG\CONSEIL\C19\000\007REV1S.docx</w:t>
    </w:r>
    <w:r w:rsidRPr="00622E49">
      <w:rPr>
        <w:lang w:val="en-US"/>
      </w:rPr>
      <w:fldChar w:fldCharType="end"/>
    </w:r>
    <w:r w:rsidRPr="00622E49">
      <w:rPr>
        <w:lang w:val="fr-CH"/>
      </w:rPr>
      <w:t xml:space="preserve"> (</w:t>
    </w:r>
    <w:r>
      <w:rPr>
        <w:lang w:val="fr-CH"/>
      </w:rPr>
      <w:t>456905</w:t>
    </w:r>
    <w:r w:rsidRPr="00622E49">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622E49" w:rsidRDefault="00760F1C" w:rsidP="00622E4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EFF" w:rsidRDefault="00FD7EFF">
      <w:r>
        <w:t>____________________</w:t>
      </w:r>
    </w:p>
  </w:footnote>
  <w:footnote w:type="continuationSeparator" w:id="0">
    <w:p w:rsidR="00FD7EFF" w:rsidRDefault="00FD7EFF">
      <w:r>
        <w:continuationSeparator/>
      </w:r>
    </w:p>
  </w:footnote>
  <w:footnote w:id="1">
    <w:p w:rsidR="00197B9D" w:rsidRPr="00197B9D" w:rsidRDefault="00197B9D" w:rsidP="00197B9D">
      <w:pPr>
        <w:pStyle w:val="FootnoteText"/>
        <w:rPr>
          <w:lang w:val="es-ES"/>
        </w:rPr>
      </w:pPr>
      <w:r>
        <w:rPr>
          <w:rStyle w:val="FootnoteReference"/>
        </w:rPr>
        <w:footnoteRef/>
      </w:r>
      <w:r>
        <w:tab/>
      </w:r>
      <w:r w:rsidRPr="00197B9D">
        <w:t>Previa aprobación del Consejo 2019</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393020" w:rsidRDefault="000B7C15" w:rsidP="007657F0">
    <w:pPr>
      <w:pStyle w:val="Header"/>
      <w:rPr>
        <w:lang w:val="en-US"/>
      </w:rPr>
    </w:pPr>
    <w:r>
      <w:fldChar w:fldCharType="begin"/>
    </w:r>
    <w:r>
      <w:instrText>PAGE</w:instrText>
    </w:r>
    <w:r>
      <w:fldChar w:fldCharType="separate"/>
    </w:r>
    <w:r w:rsidR="001C51CD">
      <w:rPr>
        <w:noProof/>
      </w:rPr>
      <w:t>9</w:t>
    </w:r>
    <w:r>
      <w:rPr>
        <w:noProof/>
      </w:rPr>
      <w:fldChar w:fldCharType="end"/>
    </w:r>
  </w:p>
  <w:p w:rsidR="00760F1C" w:rsidRPr="00393020" w:rsidRDefault="00760F1C" w:rsidP="00622E49">
    <w:pPr>
      <w:pStyle w:val="Header"/>
      <w:rPr>
        <w:lang w:val="en-US"/>
      </w:rPr>
    </w:pPr>
    <w:r w:rsidRPr="00393020">
      <w:rPr>
        <w:lang w:val="en-US"/>
      </w:rPr>
      <w:t>C</w:t>
    </w:r>
    <w:r w:rsidR="007F350B" w:rsidRPr="00393020">
      <w:rPr>
        <w:lang w:val="en-US"/>
      </w:rPr>
      <w:t>1</w:t>
    </w:r>
    <w:r w:rsidR="00C2727F" w:rsidRPr="00393020">
      <w:rPr>
        <w:lang w:val="en-US"/>
      </w:rPr>
      <w:t>9</w:t>
    </w:r>
    <w:r w:rsidRPr="00393020">
      <w:rPr>
        <w:lang w:val="en-US"/>
      </w:rPr>
      <w:t>/</w:t>
    </w:r>
    <w:r w:rsidR="00622E49" w:rsidRPr="00393020">
      <w:rPr>
        <w:lang w:val="en-US"/>
      </w:rPr>
      <w:t>7</w:t>
    </w:r>
    <w:r w:rsidR="00393020" w:rsidRPr="00393020">
      <w:rPr>
        <w:lang w:val="en-US"/>
      </w:rPr>
      <w:t>(Rev.</w:t>
    </w:r>
    <w:r w:rsidR="00393020">
      <w:rPr>
        <w:lang w:val="en-US"/>
      </w:rPr>
      <w:t>1)</w:t>
    </w:r>
    <w:r w:rsidRPr="00393020">
      <w:rPr>
        <w:lang w:val="en-U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53D4C"/>
    <w:multiLevelType w:val="hybridMultilevel"/>
    <w:tmpl w:val="C47C746A"/>
    <w:lvl w:ilvl="0" w:tplc="D044474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FF"/>
    <w:rsid w:val="00093EEB"/>
    <w:rsid w:val="000B0D00"/>
    <w:rsid w:val="000B7C15"/>
    <w:rsid w:val="000D1D0F"/>
    <w:rsid w:val="000F1F86"/>
    <w:rsid w:val="000F5290"/>
    <w:rsid w:val="0010165C"/>
    <w:rsid w:val="00146BFB"/>
    <w:rsid w:val="00197B9D"/>
    <w:rsid w:val="001C51CD"/>
    <w:rsid w:val="001F14A2"/>
    <w:rsid w:val="002801AA"/>
    <w:rsid w:val="002C4676"/>
    <w:rsid w:val="002C70B0"/>
    <w:rsid w:val="002F3CC4"/>
    <w:rsid w:val="00393020"/>
    <w:rsid w:val="00513630"/>
    <w:rsid w:val="00560125"/>
    <w:rsid w:val="00585553"/>
    <w:rsid w:val="005B34D9"/>
    <w:rsid w:val="005D0CCF"/>
    <w:rsid w:val="005F3BCB"/>
    <w:rsid w:val="005F410F"/>
    <w:rsid w:val="0060149A"/>
    <w:rsid w:val="00601924"/>
    <w:rsid w:val="00622E49"/>
    <w:rsid w:val="006447EA"/>
    <w:rsid w:val="0064731F"/>
    <w:rsid w:val="006710F6"/>
    <w:rsid w:val="006728DE"/>
    <w:rsid w:val="006C1B56"/>
    <w:rsid w:val="006D4761"/>
    <w:rsid w:val="00726872"/>
    <w:rsid w:val="00760F1C"/>
    <w:rsid w:val="007657F0"/>
    <w:rsid w:val="0077252D"/>
    <w:rsid w:val="007E5DD3"/>
    <w:rsid w:val="007F350B"/>
    <w:rsid w:val="00820BE4"/>
    <w:rsid w:val="008451E8"/>
    <w:rsid w:val="00913B9C"/>
    <w:rsid w:val="00956E77"/>
    <w:rsid w:val="009F4811"/>
    <w:rsid w:val="00AA390C"/>
    <w:rsid w:val="00AD6687"/>
    <w:rsid w:val="00B0200A"/>
    <w:rsid w:val="00B43175"/>
    <w:rsid w:val="00B574DB"/>
    <w:rsid w:val="00B826C2"/>
    <w:rsid w:val="00B8298E"/>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3592D"/>
    <w:rsid w:val="00E92DE8"/>
    <w:rsid w:val="00EB1212"/>
    <w:rsid w:val="00ED65AB"/>
    <w:rsid w:val="00EF6DEA"/>
    <w:rsid w:val="00F12850"/>
    <w:rsid w:val="00F33BF4"/>
    <w:rsid w:val="00F7105E"/>
    <w:rsid w:val="00F75F57"/>
    <w:rsid w:val="00F82FEE"/>
    <w:rsid w:val="00FD57D3"/>
    <w:rsid w:val="00FD7EFF"/>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BEBC8F-0B5C-4967-B303-4089DD90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622E49"/>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character" w:customStyle="1" w:styleId="FootnoteTextChar">
    <w:name w:val="Footnote Text Char"/>
    <w:basedOn w:val="DefaultParagraphFont"/>
    <w:link w:val="FootnoteText"/>
    <w:locked/>
    <w:rsid w:val="00622E49"/>
    <w:rPr>
      <w:rFonts w:ascii="Calibri" w:hAnsi="Calibri"/>
      <w:sz w:val="24"/>
      <w:lang w:val="es-ES_tradnl" w:eastAsia="en-US"/>
    </w:rPr>
  </w:style>
  <w:style w:type="table" w:styleId="TableGrid">
    <w:name w:val="Table Grid"/>
    <w:basedOn w:val="TableNormal"/>
    <w:uiPriority w:val="39"/>
    <w:rsid w:val="00622E4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22E49"/>
    <w:rPr>
      <w:sz w:val="16"/>
      <w:szCs w:val="16"/>
    </w:rPr>
  </w:style>
  <w:style w:type="paragraph" w:styleId="CommentText">
    <w:name w:val="annotation text"/>
    <w:basedOn w:val="Normal"/>
    <w:link w:val="CommentTextChar"/>
    <w:semiHidden/>
    <w:unhideWhenUsed/>
    <w:rsid w:val="00622E49"/>
    <w:rPr>
      <w:sz w:val="20"/>
    </w:rPr>
  </w:style>
  <w:style w:type="character" w:customStyle="1" w:styleId="CommentTextChar">
    <w:name w:val="Comment Text Char"/>
    <w:basedOn w:val="DefaultParagraphFont"/>
    <w:link w:val="CommentText"/>
    <w:semiHidden/>
    <w:rsid w:val="00622E49"/>
    <w:rPr>
      <w:rFonts w:ascii="Calibri" w:hAnsi="Calibri"/>
      <w:lang w:val="es-ES_tradnl" w:eastAsia="en-US"/>
    </w:rPr>
  </w:style>
  <w:style w:type="paragraph" w:styleId="Revision">
    <w:name w:val="Revision"/>
    <w:hidden/>
    <w:uiPriority w:val="99"/>
    <w:semiHidden/>
    <w:rsid w:val="00622E49"/>
    <w:rPr>
      <w:rFonts w:ascii="Calibri" w:hAnsi="Calibri"/>
      <w:sz w:val="24"/>
      <w:lang w:val="es-ES_tradnl" w:eastAsia="en-US"/>
    </w:rPr>
  </w:style>
  <w:style w:type="paragraph" w:styleId="BalloonText">
    <w:name w:val="Balloon Text"/>
    <w:basedOn w:val="Normal"/>
    <w:link w:val="BalloonTextChar"/>
    <w:semiHidden/>
    <w:unhideWhenUsed/>
    <w:rsid w:val="00622E4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22E4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6-CL-C-0124/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123/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council/Documents/basic-texts/RES-212-S.pdf" TargetMode="External"/><Relationship Id="rId4" Type="http://schemas.openxmlformats.org/officeDocument/2006/relationships/settings" Target="settings.xml"/><Relationship Id="rId9" Type="http://schemas.openxmlformats.org/officeDocument/2006/relationships/hyperlink" Target="https://www.itu.int/md/S16-CL-C-0124/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8366B-3C7B-4924-98B2-9A61CF50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24</TotalTime>
  <Pages>9</Pages>
  <Words>2531</Words>
  <Characters>13501</Characters>
  <Application>Microsoft Office Word</Application>
  <DocSecurity>0</DocSecurity>
  <Lines>112</Lines>
  <Paragraphs>31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16001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Spanish83</cp:lastModifiedBy>
  <cp:revision>9</cp:revision>
  <cp:lastPrinted>2019-06-12T18:18:00Z</cp:lastPrinted>
  <dcterms:created xsi:type="dcterms:W3CDTF">2019-06-12T17:58:00Z</dcterms:created>
  <dcterms:modified xsi:type="dcterms:W3CDTF">2019-06-12T18:44:00Z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