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1600E">
        <w:trPr>
          <w:cantSplit/>
        </w:trPr>
        <w:tc>
          <w:tcPr>
            <w:tcW w:w="6912" w:type="dxa"/>
          </w:tcPr>
          <w:p w:rsidR="00093EEB" w:rsidRPr="0011600E" w:rsidRDefault="00093EEB" w:rsidP="00C2727F">
            <w:pPr>
              <w:spacing w:before="360"/>
              <w:rPr>
                <w:szCs w:val="24"/>
              </w:rPr>
            </w:pPr>
            <w:bookmarkStart w:id="0" w:name="dc06"/>
            <w:bookmarkStart w:id="1" w:name="dbluepink" w:colFirst="0" w:colLast="0"/>
            <w:bookmarkEnd w:id="0"/>
            <w:r w:rsidRPr="0011600E">
              <w:rPr>
                <w:b/>
                <w:bCs/>
                <w:sz w:val="30"/>
                <w:szCs w:val="30"/>
              </w:rPr>
              <w:t>Consejo 201</w:t>
            </w:r>
            <w:r w:rsidR="00C2727F" w:rsidRPr="0011600E">
              <w:rPr>
                <w:b/>
                <w:bCs/>
                <w:sz w:val="30"/>
                <w:szCs w:val="30"/>
              </w:rPr>
              <w:t>9</w:t>
            </w:r>
            <w:r w:rsidRPr="0011600E">
              <w:rPr>
                <w:b/>
                <w:bCs/>
                <w:sz w:val="26"/>
                <w:szCs w:val="26"/>
              </w:rPr>
              <w:br/>
            </w:r>
            <w:r w:rsidRPr="0011600E">
              <w:rPr>
                <w:b/>
                <w:bCs/>
                <w:szCs w:val="24"/>
              </w:rPr>
              <w:t>Ginebra, 1</w:t>
            </w:r>
            <w:r w:rsidR="00C2727F" w:rsidRPr="0011600E">
              <w:rPr>
                <w:b/>
                <w:bCs/>
                <w:szCs w:val="24"/>
              </w:rPr>
              <w:t>0</w:t>
            </w:r>
            <w:r w:rsidRPr="0011600E">
              <w:rPr>
                <w:b/>
                <w:bCs/>
                <w:szCs w:val="24"/>
              </w:rPr>
              <w:t>-2</w:t>
            </w:r>
            <w:r w:rsidR="00C2727F" w:rsidRPr="0011600E">
              <w:rPr>
                <w:b/>
                <w:bCs/>
                <w:szCs w:val="24"/>
              </w:rPr>
              <w:t>0</w:t>
            </w:r>
            <w:r w:rsidRPr="0011600E">
              <w:rPr>
                <w:b/>
                <w:bCs/>
                <w:szCs w:val="24"/>
              </w:rPr>
              <w:t xml:space="preserve"> de </w:t>
            </w:r>
            <w:r w:rsidR="00C2727F" w:rsidRPr="0011600E">
              <w:rPr>
                <w:b/>
                <w:bCs/>
                <w:szCs w:val="24"/>
              </w:rPr>
              <w:t>junio</w:t>
            </w:r>
            <w:r w:rsidRPr="0011600E">
              <w:rPr>
                <w:b/>
                <w:bCs/>
                <w:szCs w:val="24"/>
              </w:rPr>
              <w:t xml:space="preserve"> de 201</w:t>
            </w:r>
            <w:r w:rsidR="00C2727F" w:rsidRPr="0011600E">
              <w:rPr>
                <w:b/>
                <w:bCs/>
                <w:szCs w:val="24"/>
              </w:rPr>
              <w:t>9</w:t>
            </w:r>
          </w:p>
        </w:tc>
        <w:tc>
          <w:tcPr>
            <w:tcW w:w="3261" w:type="dxa"/>
          </w:tcPr>
          <w:p w:rsidR="00093EEB" w:rsidRPr="0011600E" w:rsidRDefault="00093EEB" w:rsidP="00093EEB">
            <w:pPr>
              <w:spacing w:before="0"/>
              <w:jc w:val="right"/>
              <w:rPr>
                <w:szCs w:val="24"/>
              </w:rPr>
            </w:pPr>
            <w:bookmarkStart w:id="2" w:name="ditulogo"/>
            <w:bookmarkEnd w:id="2"/>
            <w:r w:rsidRPr="0011600E">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1600E">
        <w:trPr>
          <w:cantSplit/>
          <w:trHeight w:val="20"/>
        </w:trPr>
        <w:tc>
          <w:tcPr>
            <w:tcW w:w="10173" w:type="dxa"/>
            <w:gridSpan w:val="2"/>
            <w:tcBorders>
              <w:bottom w:val="single" w:sz="12" w:space="0" w:color="auto"/>
            </w:tcBorders>
          </w:tcPr>
          <w:p w:rsidR="00093EEB" w:rsidRPr="0011600E" w:rsidRDefault="00093EEB">
            <w:pPr>
              <w:spacing w:before="0"/>
              <w:rPr>
                <w:b/>
                <w:bCs/>
                <w:szCs w:val="24"/>
              </w:rPr>
            </w:pPr>
          </w:p>
        </w:tc>
      </w:tr>
      <w:tr w:rsidR="00093EEB" w:rsidRPr="0011600E">
        <w:trPr>
          <w:cantSplit/>
          <w:trHeight w:val="20"/>
        </w:trPr>
        <w:tc>
          <w:tcPr>
            <w:tcW w:w="6912" w:type="dxa"/>
            <w:tcBorders>
              <w:top w:val="single" w:sz="12" w:space="0" w:color="auto"/>
            </w:tcBorders>
          </w:tcPr>
          <w:p w:rsidR="00093EEB" w:rsidRPr="0011600E"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1600E" w:rsidRDefault="00093EEB">
            <w:pPr>
              <w:spacing w:before="0"/>
              <w:rPr>
                <w:b/>
                <w:bCs/>
                <w:szCs w:val="24"/>
              </w:rPr>
            </w:pPr>
          </w:p>
        </w:tc>
      </w:tr>
      <w:tr w:rsidR="00093EEB" w:rsidRPr="0011600E">
        <w:trPr>
          <w:cantSplit/>
          <w:trHeight w:val="20"/>
        </w:trPr>
        <w:tc>
          <w:tcPr>
            <w:tcW w:w="6912" w:type="dxa"/>
            <w:shd w:val="clear" w:color="auto" w:fill="auto"/>
          </w:tcPr>
          <w:p w:rsidR="00093EEB" w:rsidRPr="0011600E" w:rsidRDefault="00214A04">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11600E">
              <w:rPr>
                <w:rFonts w:cs="Times"/>
                <w:b/>
                <w:szCs w:val="24"/>
              </w:rPr>
              <w:t>Punto del orden del día: ADM 1</w:t>
            </w:r>
          </w:p>
        </w:tc>
        <w:tc>
          <w:tcPr>
            <w:tcW w:w="3261" w:type="dxa"/>
          </w:tcPr>
          <w:p w:rsidR="00093EEB" w:rsidRPr="0011600E" w:rsidRDefault="00093EEB" w:rsidP="00214A04">
            <w:pPr>
              <w:spacing w:before="0"/>
              <w:rPr>
                <w:b/>
                <w:bCs/>
                <w:szCs w:val="24"/>
              </w:rPr>
            </w:pPr>
            <w:r w:rsidRPr="0011600E">
              <w:rPr>
                <w:b/>
                <w:bCs/>
                <w:szCs w:val="24"/>
              </w:rPr>
              <w:t>Documento C1</w:t>
            </w:r>
            <w:r w:rsidR="00C2727F" w:rsidRPr="0011600E">
              <w:rPr>
                <w:b/>
                <w:bCs/>
                <w:szCs w:val="24"/>
              </w:rPr>
              <w:t>9</w:t>
            </w:r>
            <w:r w:rsidRPr="0011600E">
              <w:rPr>
                <w:b/>
                <w:bCs/>
                <w:szCs w:val="24"/>
              </w:rPr>
              <w:t>/</w:t>
            </w:r>
            <w:r w:rsidR="00214A04" w:rsidRPr="0011600E">
              <w:rPr>
                <w:b/>
                <w:bCs/>
                <w:szCs w:val="24"/>
              </w:rPr>
              <w:t>9</w:t>
            </w:r>
            <w:r w:rsidRPr="0011600E">
              <w:rPr>
                <w:b/>
                <w:bCs/>
                <w:szCs w:val="24"/>
              </w:rPr>
              <w:t>-S</w:t>
            </w:r>
          </w:p>
        </w:tc>
      </w:tr>
      <w:tr w:rsidR="00093EEB" w:rsidRPr="0011600E">
        <w:trPr>
          <w:cantSplit/>
          <w:trHeight w:val="20"/>
        </w:trPr>
        <w:tc>
          <w:tcPr>
            <w:tcW w:w="6912" w:type="dxa"/>
            <w:shd w:val="clear" w:color="auto" w:fill="auto"/>
          </w:tcPr>
          <w:p w:rsidR="00093EEB" w:rsidRPr="0011600E"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11600E" w:rsidRDefault="00214A04" w:rsidP="00C2727F">
            <w:pPr>
              <w:spacing w:before="0"/>
              <w:rPr>
                <w:b/>
                <w:bCs/>
                <w:szCs w:val="24"/>
              </w:rPr>
            </w:pPr>
            <w:r w:rsidRPr="0011600E">
              <w:rPr>
                <w:b/>
                <w:bCs/>
                <w:szCs w:val="24"/>
              </w:rPr>
              <w:t>1 de abril de 2019</w:t>
            </w:r>
          </w:p>
        </w:tc>
      </w:tr>
      <w:tr w:rsidR="00093EEB" w:rsidRPr="0011600E">
        <w:trPr>
          <w:cantSplit/>
          <w:trHeight w:val="20"/>
        </w:trPr>
        <w:tc>
          <w:tcPr>
            <w:tcW w:w="6912" w:type="dxa"/>
            <w:shd w:val="clear" w:color="auto" w:fill="auto"/>
          </w:tcPr>
          <w:p w:rsidR="00093EEB" w:rsidRPr="0011600E" w:rsidRDefault="00093EEB">
            <w:pPr>
              <w:shd w:val="solid" w:color="FFFFFF" w:fill="FFFFFF"/>
              <w:spacing w:before="0"/>
              <w:rPr>
                <w:smallCaps/>
                <w:szCs w:val="24"/>
              </w:rPr>
            </w:pPr>
            <w:bookmarkStart w:id="6" w:name="dorlang" w:colFirst="1" w:colLast="1"/>
            <w:bookmarkEnd w:id="5"/>
          </w:p>
        </w:tc>
        <w:tc>
          <w:tcPr>
            <w:tcW w:w="3261" w:type="dxa"/>
          </w:tcPr>
          <w:p w:rsidR="00093EEB" w:rsidRPr="0011600E" w:rsidRDefault="00093EEB" w:rsidP="00093EEB">
            <w:pPr>
              <w:spacing w:before="0"/>
              <w:rPr>
                <w:b/>
                <w:bCs/>
                <w:szCs w:val="24"/>
              </w:rPr>
            </w:pPr>
            <w:r w:rsidRPr="0011600E">
              <w:rPr>
                <w:b/>
                <w:bCs/>
                <w:szCs w:val="24"/>
              </w:rPr>
              <w:t>Original: inglés</w:t>
            </w:r>
          </w:p>
        </w:tc>
      </w:tr>
      <w:tr w:rsidR="00093EEB" w:rsidRPr="0011600E">
        <w:trPr>
          <w:cantSplit/>
        </w:trPr>
        <w:tc>
          <w:tcPr>
            <w:tcW w:w="10173" w:type="dxa"/>
            <w:gridSpan w:val="2"/>
          </w:tcPr>
          <w:p w:rsidR="00093EEB" w:rsidRPr="0011600E" w:rsidRDefault="00214A04">
            <w:pPr>
              <w:pStyle w:val="Source"/>
            </w:pPr>
            <w:bookmarkStart w:id="7" w:name="dsource" w:colFirst="0" w:colLast="0"/>
            <w:bookmarkEnd w:id="1"/>
            <w:bookmarkEnd w:id="6"/>
            <w:r w:rsidRPr="0011600E">
              <w:t>Informe del Secretario General</w:t>
            </w:r>
          </w:p>
        </w:tc>
      </w:tr>
      <w:tr w:rsidR="00093EEB" w:rsidRPr="0011600E">
        <w:trPr>
          <w:cantSplit/>
        </w:trPr>
        <w:tc>
          <w:tcPr>
            <w:tcW w:w="10173" w:type="dxa"/>
            <w:gridSpan w:val="2"/>
          </w:tcPr>
          <w:p w:rsidR="00093EEB" w:rsidRPr="0011600E" w:rsidRDefault="00214A04">
            <w:pPr>
              <w:pStyle w:val="Title1"/>
            </w:pPr>
            <w:bookmarkStart w:id="8" w:name="dtitle1" w:colFirst="0" w:colLast="0"/>
            <w:bookmarkEnd w:id="7"/>
            <w:r w:rsidRPr="0011600E">
              <w:t>EXAMEN ANUAL DE INGRESOS Y GASTOS</w:t>
            </w:r>
          </w:p>
        </w:tc>
      </w:tr>
      <w:bookmarkEnd w:id="8"/>
    </w:tbl>
    <w:p w:rsidR="00093EEB" w:rsidRPr="0011600E"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11600E">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11600E" w:rsidRDefault="00093EEB">
            <w:pPr>
              <w:pStyle w:val="Headingb"/>
            </w:pPr>
            <w:r w:rsidRPr="0011600E">
              <w:t>Resumen</w:t>
            </w:r>
          </w:p>
          <w:p w:rsidR="00093EEB" w:rsidRPr="0011600E" w:rsidRDefault="00214A04">
            <w:r w:rsidRPr="0011600E">
              <w:t>El presente documento contiene los elementos esenciales de la ejecución del presupuesto de 2018-2019, con arreglo a lo dispuesto en el número 73 del Convenio de la UIT, en el cual se estipula que el Consejo efectuará un examen anual de los ingresos y gastos.</w:t>
            </w:r>
          </w:p>
          <w:p w:rsidR="00093EEB" w:rsidRPr="0011600E" w:rsidRDefault="00093EEB">
            <w:pPr>
              <w:pStyle w:val="Headingb"/>
            </w:pPr>
            <w:r w:rsidRPr="0011600E">
              <w:t>Acción solicitada</w:t>
            </w:r>
          </w:p>
          <w:p w:rsidR="00093EEB" w:rsidRPr="0011600E" w:rsidRDefault="00214A04">
            <w:r w:rsidRPr="0011600E">
              <w:t xml:space="preserve">Se invita al Consejo a </w:t>
            </w:r>
            <w:r w:rsidRPr="0011600E">
              <w:rPr>
                <w:b/>
                <w:bCs/>
              </w:rPr>
              <w:t>tomar nota</w:t>
            </w:r>
            <w:r w:rsidRPr="0011600E">
              <w:t xml:space="preserve"> del presente documento.</w:t>
            </w:r>
          </w:p>
          <w:p w:rsidR="00093EEB" w:rsidRPr="0011600E" w:rsidRDefault="00093EEB">
            <w:pPr>
              <w:pStyle w:val="Table"/>
              <w:keepNext w:val="0"/>
              <w:spacing w:before="0" w:after="0"/>
              <w:rPr>
                <w:caps w:val="0"/>
                <w:sz w:val="22"/>
                <w:lang w:val="es-ES_tradnl"/>
              </w:rPr>
            </w:pPr>
            <w:r w:rsidRPr="0011600E">
              <w:rPr>
                <w:caps w:val="0"/>
                <w:sz w:val="22"/>
                <w:lang w:val="es-ES_tradnl"/>
              </w:rPr>
              <w:t>____________</w:t>
            </w:r>
          </w:p>
          <w:p w:rsidR="00093EEB" w:rsidRPr="0011600E" w:rsidRDefault="00093EEB">
            <w:pPr>
              <w:pStyle w:val="Headingb"/>
            </w:pPr>
            <w:r w:rsidRPr="0011600E">
              <w:t>Referencia</w:t>
            </w:r>
            <w:r w:rsidR="00214A04" w:rsidRPr="0011600E">
              <w:t>s</w:t>
            </w:r>
          </w:p>
          <w:p w:rsidR="00214A04" w:rsidRPr="0011600E" w:rsidRDefault="00B7645E" w:rsidP="00214A04">
            <w:pPr>
              <w:spacing w:after="120"/>
              <w:rPr>
                <w:i/>
                <w:iCs/>
              </w:rPr>
            </w:pPr>
            <w:hyperlink r:id="rId7" w:history="1">
              <w:r w:rsidR="00214A04" w:rsidRPr="00B7645E">
                <w:rPr>
                  <w:rStyle w:val="Hyperlink"/>
                  <w:i/>
                  <w:iCs/>
                </w:rPr>
                <w:t>CV/</w:t>
              </w:r>
              <w:r w:rsidR="00214A04" w:rsidRPr="00B7645E">
                <w:rPr>
                  <w:rStyle w:val="Hyperlink"/>
                  <w:i/>
                  <w:iCs/>
                  <w:szCs w:val="24"/>
                </w:rPr>
                <w:t>Art. 4</w:t>
              </w:r>
              <w:r w:rsidR="00214A04" w:rsidRPr="00B7645E">
                <w:rPr>
                  <w:rStyle w:val="Hyperlink"/>
                  <w:i/>
                  <w:iCs/>
                </w:rPr>
                <w:t>, número</w:t>
              </w:r>
              <w:r w:rsidR="00214A04" w:rsidRPr="00B7645E">
                <w:rPr>
                  <w:rStyle w:val="Hyperlink"/>
                  <w:szCs w:val="24"/>
                </w:rPr>
                <w:t xml:space="preserve"> </w:t>
              </w:r>
              <w:r w:rsidR="00214A04" w:rsidRPr="00B7645E">
                <w:rPr>
                  <w:rStyle w:val="Hyperlink"/>
                  <w:i/>
                  <w:iCs/>
                  <w:szCs w:val="24"/>
                </w:rPr>
                <w:t>73</w:t>
              </w:r>
            </w:hyperlink>
          </w:p>
          <w:p w:rsidR="00093EEB" w:rsidRPr="0011600E" w:rsidRDefault="00214A04" w:rsidP="00214A04">
            <w:pPr>
              <w:spacing w:after="120"/>
              <w:rPr>
                <w:i/>
                <w:iCs/>
              </w:rPr>
            </w:pPr>
            <w:r w:rsidRPr="0011600E">
              <w:rPr>
                <w:i/>
                <w:iCs/>
                <w:szCs w:val="24"/>
              </w:rPr>
              <w:t xml:space="preserve">Resolución </w:t>
            </w:r>
            <w:hyperlink r:id="rId8" w:history="1">
              <w:r w:rsidRPr="0011600E">
                <w:rPr>
                  <w:rStyle w:val="Hyperlink"/>
                  <w:i/>
                  <w:iCs/>
                  <w:szCs w:val="24"/>
                </w:rPr>
                <w:t>1387</w:t>
              </w:r>
            </w:hyperlink>
            <w:r w:rsidRPr="0011600E">
              <w:rPr>
                <w:i/>
                <w:iCs/>
                <w:szCs w:val="24"/>
              </w:rPr>
              <w:t xml:space="preserve"> del Consejo</w:t>
            </w:r>
            <w:r w:rsidRPr="0011600E">
              <w:rPr>
                <w:i/>
                <w:iCs/>
              </w:rPr>
              <w:t xml:space="preserve"> (Presupuesto bienal de la Unión para 2018-2019)</w:t>
            </w:r>
          </w:p>
        </w:tc>
      </w:tr>
    </w:tbl>
    <w:p w:rsidR="00214A04" w:rsidRPr="0011600E" w:rsidRDefault="00214A04" w:rsidP="00214A04">
      <w:pPr>
        <w:pStyle w:val="Heading1"/>
      </w:pPr>
      <w:r w:rsidRPr="0011600E">
        <w:t>1</w:t>
      </w:r>
      <w:r w:rsidRPr="0011600E">
        <w:tab/>
        <w:t>Introducción</w:t>
      </w:r>
    </w:p>
    <w:p w:rsidR="00214A04" w:rsidRPr="0011600E" w:rsidRDefault="00214A04" w:rsidP="00214A04">
      <w:r w:rsidRPr="0011600E">
        <w:rPr>
          <w:szCs w:val="24"/>
        </w:rPr>
        <w:t>1.1</w:t>
      </w:r>
      <w:r w:rsidRPr="0011600E">
        <w:rPr>
          <w:szCs w:val="24"/>
        </w:rPr>
        <w:tab/>
      </w:r>
      <w:r w:rsidRPr="0011600E">
        <w:t>El presente documento tiene por objeto informar sobre el estado de aplicación del presupuesto de la Unión para el bienio 2018-2019 en lo que respecta a los ingresos y los gastos.</w:t>
      </w:r>
    </w:p>
    <w:p w:rsidR="00214A04" w:rsidRPr="0011600E" w:rsidRDefault="00214A04" w:rsidP="006B5D3F">
      <w:pPr>
        <w:pStyle w:val="Heading1"/>
      </w:pPr>
      <w:r w:rsidRPr="0011600E">
        <w:t>2</w:t>
      </w:r>
      <w:r w:rsidRPr="0011600E">
        <w:tab/>
        <w:t>Visión general del Presupuesto para 2018-2019 (Resolución 1387</w:t>
      </w:r>
      <w:proofErr w:type="gramStart"/>
      <w:r w:rsidRPr="0011600E">
        <w:t>)</w:t>
      </w:r>
      <w:proofErr w:type="gramEnd"/>
    </w:p>
    <w:p w:rsidR="00214A04" w:rsidRPr="0011600E" w:rsidRDefault="00214A04" w:rsidP="00214A04">
      <w:r w:rsidRPr="0011600E">
        <w:t>2.1</w:t>
      </w:r>
      <w:r w:rsidRPr="0011600E">
        <w:tab/>
        <w:t xml:space="preserve">En su reunión de 2017, el Consejo adoptó mediante su Resolución 1387 el presupuesto de la Unión para 2018-2019, que asciende a 324 617 000 CHF para el bienio y se subdivide como sigue: 159 877 000 CHF para 2018 y 164 740 000 CHF para 2019. Se basa en una unidad contributiva anual de los Estados Miembros de 318 000 CHF, lo que corresponde a un crecimiento nominal </w:t>
      </w:r>
      <w:proofErr w:type="gramStart"/>
      <w:r w:rsidRPr="0011600E">
        <w:t>cero</w:t>
      </w:r>
      <w:proofErr w:type="gramEnd"/>
      <w:r w:rsidRPr="0011600E">
        <w:t xml:space="preserve"> comparado con los bienios anteriores. El Presupuesto de la Unión se está aplicando de conformidad con el Artículo 10 del Reglamento Financiero de la Unión.</w:t>
      </w:r>
    </w:p>
    <w:p w:rsidR="00214A04" w:rsidRPr="0011600E" w:rsidRDefault="00214A04" w:rsidP="00214A04">
      <w:r w:rsidRPr="0011600E">
        <w:t>2.2</w:t>
      </w:r>
      <w:r w:rsidRPr="0011600E">
        <w:tab/>
        <w:t>En el Cuadro 1 siguiente se indica la situación del bienio 2018-2019. Muestra los resultados reales para 2018 al 18 de febrero de 20</w:t>
      </w:r>
      <w:r w:rsidR="00D20F33" w:rsidRPr="0011600E">
        <w:t xml:space="preserve">19, sujetos a pequeños cambios </w:t>
      </w:r>
      <w:r w:rsidRPr="0011600E">
        <w:t>en espera de la clausura de las cuentas, y los resultados reales para 2019 al 18 de febrero de 2019 con arreglo a la previsión hasta el final del ejercicio de 2019</w:t>
      </w:r>
      <w:r w:rsidR="006B5D3F" w:rsidRPr="0011600E">
        <w:t>.</w:t>
      </w:r>
    </w:p>
    <w:p w:rsidR="00214A04" w:rsidRPr="0011600E" w:rsidRDefault="00214A04" w:rsidP="00214A04">
      <w:r w:rsidRPr="0011600E">
        <w:lastRenderedPageBreak/>
        <w:t>2.3</w:t>
      </w:r>
      <w:r w:rsidRPr="0011600E">
        <w:tab/>
        <w:t>La previsión de gasto para el bienio indica que habrá más ahorros a raíz de la implementación del presupuesto, según se indica en el proyecto de presupuesto para 2018-2019, debidos esencialmente a la aplicación de la decisión de la CAPI respecto del ajuste por lugar de destino en Ginebra y a resultas de la aplicación de medidas de eficiencia. Por consiguiente, se espera que el resultado global esperado para el bienio 2018-2019 sea positivo.</w:t>
      </w:r>
    </w:p>
    <w:p w:rsidR="00214A04" w:rsidRPr="0011600E" w:rsidRDefault="00214A04" w:rsidP="00957E8B">
      <w:pPr>
        <w:pStyle w:val="Tabletitle"/>
        <w:spacing w:before="360"/>
      </w:pPr>
      <w:r w:rsidRPr="0011600E">
        <w:t>Cuadro 1 – Aplicación del presupuesto con arreglo a la Resolución 1387</w:t>
      </w:r>
    </w:p>
    <w:p w:rsidR="00186016" w:rsidRPr="0011600E" w:rsidRDefault="00186016" w:rsidP="00186016">
      <w:pPr>
        <w:pStyle w:val="Tabletext"/>
      </w:pPr>
      <w:r w:rsidRPr="0011600E">
        <w:rPr>
          <w:noProof/>
          <w:lang w:val="en-GB" w:eastAsia="zh-CN"/>
        </w:rPr>
        <w:drawing>
          <wp:inline distT="0" distB="0" distL="0" distR="0">
            <wp:extent cx="6120765" cy="3167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167065"/>
                    </a:xfrm>
                    <a:prstGeom prst="rect">
                      <a:avLst/>
                    </a:prstGeom>
                    <a:noFill/>
                    <a:ln>
                      <a:noFill/>
                    </a:ln>
                  </pic:spPr>
                </pic:pic>
              </a:graphicData>
            </a:graphic>
          </wp:inline>
        </w:drawing>
      </w:r>
    </w:p>
    <w:p w:rsidR="00214A04" w:rsidRPr="0011600E" w:rsidRDefault="00214A04" w:rsidP="00214A04">
      <w:pPr>
        <w:pStyle w:val="Heading1"/>
      </w:pPr>
      <w:r w:rsidRPr="0011600E">
        <w:t>3</w:t>
      </w:r>
      <w:r w:rsidRPr="0011600E">
        <w:tab/>
        <w:t>Ingresos</w:t>
      </w:r>
    </w:p>
    <w:p w:rsidR="00214A04" w:rsidRPr="0011600E" w:rsidRDefault="00214A04" w:rsidP="00214A04">
      <w:r w:rsidRPr="0011600E">
        <w:t>3.1</w:t>
      </w:r>
      <w:r w:rsidRPr="0011600E">
        <w:tab/>
        <w:t xml:space="preserve">Los ingresos de la Unión en concepto de contribuciones previstas, la recuperación de costes, los intereses/otros ingresos y las detracciones globalmente negativas de la Cuenta de Provisión (punto 13 del Documento </w:t>
      </w:r>
      <w:hyperlink r:id="rId10" w:history="1">
        <w:r w:rsidRPr="0011600E">
          <w:rPr>
            <w:rStyle w:val="Hyperlink"/>
          </w:rPr>
          <w:t>C17/10</w:t>
        </w:r>
      </w:hyperlink>
      <w:r w:rsidRPr="0011600E">
        <w:t>).</w:t>
      </w:r>
      <w:r w:rsidRPr="0011600E">
        <w:rPr>
          <w:szCs w:val="24"/>
        </w:rPr>
        <w:t xml:space="preserve"> Los ingresos más elevados en concepto de contribuciones previstas de los Estados Miembros ayudarán a compensar el déficit previsto en concepto de contribuciones de Miembros de Sector y de recuperación de costes.</w:t>
      </w:r>
    </w:p>
    <w:p w:rsidR="00214A04" w:rsidRPr="0011600E" w:rsidRDefault="00214A04" w:rsidP="00B441E0">
      <w:r w:rsidRPr="0011600E">
        <w:t>3.2</w:t>
      </w:r>
      <w:r w:rsidRPr="0011600E">
        <w:tab/>
        <w:t>Los ingresos en concepto de contribuciones previstas representan el 77% del presupuesto total para 2018</w:t>
      </w:r>
      <w:r w:rsidR="00B441E0" w:rsidRPr="0011600E">
        <w:t>-2019</w:t>
      </w:r>
      <w:r w:rsidRPr="0011600E">
        <w:t>, que incluyen las contribuciones de los Estados Miembros, Miembros de Sector, Asociados e Instituciones Académicas. En el Cuadro 2 se muestra el desglose de las contribuciones previstas.</w:t>
      </w:r>
    </w:p>
    <w:p w:rsidR="00BD20FA" w:rsidRPr="0011600E" w:rsidRDefault="00BD20FA" w:rsidP="00B441E0">
      <w:r w:rsidRPr="0011600E">
        <w:br w:type="page"/>
      </w:r>
      <w:bookmarkStart w:id="9" w:name="_GoBack"/>
      <w:bookmarkEnd w:id="9"/>
    </w:p>
    <w:p w:rsidR="00214A04" w:rsidRPr="0011600E" w:rsidRDefault="00214A04" w:rsidP="00BD20FA">
      <w:pPr>
        <w:pStyle w:val="Tabletitle"/>
        <w:spacing w:before="360"/>
      </w:pPr>
      <w:r w:rsidRPr="0011600E">
        <w:lastRenderedPageBreak/>
        <w:t>Cuadro 2 – Ingresos en concepto de contribuciones previstas</w:t>
      </w:r>
    </w:p>
    <w:p w:rsidR="005868C8" w:rsidRPr="0011600E" w:rsidRDefault="005868C8" w:rsidP="005868C8">
      <w:pPr>
        <w:pStyle w:val="Tabletext"/>
      </w:pPr>
      <w:r w:rsidRPr="0011600E">
        <w:rPr>
          <w:noProof/>
          <w:lang w:val="en-GB" w:eastAsia="zh-CN"/>
        </w:rPr>
        <w:drawing>
          <wp:inline distT="0" distB="0" distL="0" distR="0">
            <wp:extent cx="6120765" cy="1815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815422"/>
                    </a:xfrm>
                    <a:prstGeom prst="rect">
                      <a:avLst/>
                    </a:prstGeom>
                    <a:noFill/>
                    <a:ln>
                      <a:noFill/>
                    </a:ln>
                  </pic:spPr>
                </pic:pic>
              </a:graphicData>
            </a:graphic>
          </wp:inline>
        </w:drawing>
      </w:r>
    </w:p>
    <w:p w:rsidR="00214A04" w:rsidRPr="0011600E" w:rsidRDefault="00214A04" w:rsidP="003D7F97">
      <w:r w:rsidRPr="0011600E">
        <w:t>3.3</w:t>
      </w:r>
      <w:r w:rsidRPr="0011600E">
        <w:tab/>
        <w:t xml:space="preserve">El importe de la unidad contributiva anual para 2018-2019 se fija en 318 000 CHF. El número de unidades de los Estados Miembros al 31 de enero de 2018 es de 344 </w:t>
      </w:r>
      <w:r w:rsidR="003D7F97" w:rsidRPr="0011600E">
        <w:rPr>
          <w:szCs w:val="24"/>
        </w:rPr>
        <w:t>½</w:t>
      </w:r>
      <w:r w:rsidRPr="0011600E">
        <w:t xml:space="preserve">, es decir 10 </w:t>
      </w:r>
      <w:r w:rsidR="003D7F97" w:rsidRPr="0011600E">
        <w:rPr>
          <w:szCs w:val="24"/>
        </w:rPr>
        <w:t>¼</w:t>
      </w:r>
      <w:r w:rsidRPr="0011600E">
        <w:t xml:space="preserve"> unidades más que el número de unidades presupuestados de 334 </w:t>
      </w:r>
      <w:r w:rsidR="003D7F97" w:rsidRPr="0011600E">
        <w:rPr>
          <w:szCs w:val="24"/>
        </w:rPr>
        <w:t>¼</w:t>
      </w:r>
      <w:r w:rsidRPr="0011600E">
        <w:t xml:space="preserve"> (China aumentó 6 unidades, Pakistán aumentó 1 unidad, Paraguay aumentó ¼ de unidad, Kuwait aumentó 2 unidades, y Qatar aumentó 1 unidad respecto de sus compromisos anteriores).</w:t>
      </w:r>
    </w:p>
    <w:p w:rsidR="00214A04" w:rsidRPr="0011600E" w:rsidRDefault="00214A04" w:rsidP="00214A04">
      <w:r w:rsidRPr="0011600E">
        <w:t>3.4</w:t>
      </w:r>
      <w:r w:rsidRPr="0011600E">
        <w:tab/>
        <w:t>Importe de la unidad contributiva anual de los Miembros de Sector para 2018-2019 se fija en 63</w:t>
      </w:r>
      <w:r w:rsidR="001616D0" w:rsidRPr="0011600E">
        <w:t> 600 CHF y en 10 600 CHF para los asociados.</w:t>
      </w:r>
    </w:p>
    <w:p w:rsidR="00214A04" w:rsidRPr="0011600E" w:rsidRDefault="00214A04" w:rsidP="00CF1BF5">
      <w:r w:rsidRPr="0011600E">
        <w:t>3.5</w:t>
      </w:r>
      <w:r w:rsidRPr="0011600E">
        <w:tab/>
        <w:t xml:space="preserve">Desde 2011 la aplicación de la Resolución 169 (Rev. </w:t>
      </w:r>
      <w:proofErr w:type="spellStart"/>
      <w:r w:rsidRPr="0011600E">
        <w:t>Busán</w:t>
      </w:r>
      <w:proofErr w:type="spellEnd"/>
      <w:r w:rsidRPr="0011600E">
        <w:t>, 2014) ha generado nuevas fuentes de ingresos procedentes de instituciones académicas, universidades y sus establecimientos de investigación asociados. Al 31 de diciembre de 2018 había en total 145</w:t>
      </w:r>
      <w:r w:rsidR="00CF1BF5" w:rsidRPr="0011600E">
        <w:t> </w:t>
      </w:r>
      <w:r w:rsidRPr="0011600E">
        <w:t>instituciones académicas activas.</w:t>
      </w:r>
    </w:p>
    <w:p w:rsidR="00214A04" w:rsidRPr="0011600E" w:rsidRDefault="00214A04" w:rsidP="00214A04">
      <w:r w:rsidRPr="0011600E">
        <w:t>3.6</w:t>
      </w:r>
      <w:r w:rsidRPr="0011600E">
        <w:tab/>
        <w:t>Los ingresos en concepto de ventas de publicaciones para 2018 fue inferior, debido directamente al calendario de programación único de las publicaciones más vendidas del servicio marítimo de la UIT. La publicación confirmada de nuevas ediciones en el segundo y el cuarto trimestres de 2019 proporcionará a la UIT un incremento de los ingresos en concepto de ventas para 2019, según lo previsto en el presupuesto.</w:t>
      </w:r>
    </w:p>
    <w:p w:rsidR="00214A04" w:rsidRPr="0011600E" w:rsidRDefault="00214A04" w:rsidP="00214A04">
      <w:r w:rsidRPr="0011600E">
        <w:t>3.7</w:t>
      </w:r>
      <w:r w:rsidRPr="0011600E">
        <w:tab/>
        <w:t>Los ingresos en concepto de recuperación de costes fueron más elevados que lo previsto en el presupuesto dado que el importe de las facturas aplazadas para el ejercicio de 2018 fue muy inferior al de ejercicios anteriores. Para el ejercicio de 2019 se prevé que el importe real se corresponda con el import</w:t>
      </w:r>
      <w:r w:rsidR="00F5625F" w:rsidRPr="0011600E">
        <w:t>e presupuestado.</w:t>
      </w:r>
    </w:p>
    <w:p w:rsidR="00214A04" w:rsidRPr="0011600E" w:rsidRDefault="00214A04" w:rsidP="003E302D">
      <w:r w:rsidRPr="0011600E">
        <w:t>3.8</w:t>
      </w:r>
      <w:r w:rsidRPr="0011600E">
        <w:tab/>
        <w:t>Los ingresos en concepto de recuperación de costes representan el 22 por ciento de los ingresos presupuestados totales de 2018-2019. En el Cuadro 3 se presenta el desglose.</w:t>
      </w:r>
    </w:p>
    <w:p w:rsidR="001C70EF" w:rsidRPr="0011600E" w:rsidRDefault="001C70EF" w:rsidP="003E302D">
      <w:r w:rsidRPr="0011600E">
        <w:br w:type="page"/>
      </w:r>
    </w:p>
    <w:p w:rsidR="00214A04" w:rsidRPr="0011600E" w:rsidRDefault="00EB043A" w:rsidP="00FA31C6">
      <w:pPr>
        <w:pStyle w:val="Tabletitle"/>
        <w:spacing w:before="360"/>
      </w:pPr>
      <w:proofErr w:type="spellStart"/>
      <w:proofErr w:type="gramStart"/>
      <w:r>
        <w:lastRenderedPageBreak/>
        <w:t>c</w:t>
      </w:r>
      <w:r w:rsidR="00214A04" w:rsidRPr="0011600E">
        <w:t>Cuadro</w:t>
      </w:r>
      <w:proofErr w:type="spellEnd"/>
      <w:proofErr w:type="gramEnd"/>
      <w:r w:rsidR="00214A04" w:rsidRPr="0011600E">
        <w:t xml:space="preserve"> 3 – Ingresos en concepto de recuperación de costes</w:t>
      </w:r>
    </w:p>
    <w:p w:rsidR="001147AD" w:rsidRPr="0011600E" w:rsidRDefault="001147AD" w:rsidP="001147AD">
      <w:pPr>
        <w:pStyle w:val="Tabletext"/>
      </w:pPr>
      <w:r w:rsidRPr="0011600E">
        <w:rPr>
          <w:noProof/>
          <w:lang w:val="en-GB" w:eastAsia="zh-CN"/>
        </w:rPr>
        <w:drawing>
          <wp:inline distT="0" distB="0" distL="0" distR="0">
            <wp:extent cx="6120765" cy="182879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828797"/>
                    </a:xfrm>
                    <a:prstGeom prst="rect">
                      <a:avLst/>
                    </a:prstGeom>
                    <a:noFill/>
                    <a:ln>
                      <a:noFill/>
                    </a:ln>
                  </pic:spPr>
                </pic:pic>
              </a:graphicData>
            </a:graphic>
          </wp:inline>
        </w:drawing>
      </w:r>
    </w:p>
    <w:p w:rsidR="00214A04" w:rsidRPr="0011600E" w:rsidRDefault="00214A04" w:rsidP="00214A04">
      <w:pPr>
        <w:pStyle w:val="Heading1"/>
      </w:pPr>
      <w:r w:rsidRPr="0011600E">
        <w:t>4</w:t>
      </w:r>
      <w:r w:rsidRPr="0011600E">
        <w:tab/>
        <w:t>Gastos</w:t>
      </w:r>
    </w:p>
    <w:p w:rsidR="00214A04" w:rsidRPr="0011600E" w:rsidRDefault="00214A04" w:rsidP="00214A04">
      <w:r w:rsidRPr="0011600E">
        <w:t>4.1</w:t>
      </w:r>
      <w:r w:rsidRPr="0011600E">
        <w:tab/>
        <w:t>En lo que respecta a los gastos, se están aplicando continuamente medidas y esfuerzos para incrementar la eficiencia, con arreglo a lo dispuesto en la Resolución 1387. El objetivo es mantener los gastos dentro de lo presupuestado.</w:t>
      </w:r>
    </w:p>
    <w:p w:rsidR="00214A04" w:rsidRPr="0011600E" w:rsidRDefault="00BF7241" w:rsidP="00214A04">
      <w:pPr>
        <w:pStyle w:val="Heading1"/>
      </w:pPr>
      <w:r w:rsidRPr="0011600E">
        <w:t>5</w:t>
      </w:r>
      <w:r w:rsidRPr="0011600E">
        <w:tab/>
        <w:t>Cuenta de Provisión</w:t>
      </w:r>
    </w:p>
    <w:p w:rsidR="00214A04" w:rsidRPr="0011600E" w:rsidRDefault="00214A04" w:rsidP="00214A04">
      <w:r w:rsidRPr="0011600E">
        <w:t>5.1</w:t>
      </w:r>
      <w:r w:rsidRPr="0011600E">
        <w:tab/>
        <w:t xml:space="preserve">Debía depositarse un importe de 1,15 millones CHF en la Cuenta de Provisión durante el periodo 2018-2019 conforme a la Resolución 1387, ya que ese mismo importe había sido detraído para el bienio 2016-2017. Además, la administración se ha comprometido a realizar ahorros en la aplicación del presupuesto, por un importe de </w:t>
      </w:r>
      <w:r w:rsidR="003261BB" w:rsidRPr="0011600E">
        <w:t>3</w:t>
      </w:r>
      <w:r w:rsidR="00FB74FF" w:rsidRPr="0011600E">
        <w:t>,</w:t>
      </w:r>
      <w:r w:rsidRPr="0011600E">
        <w:t>415 millones CHF, a fin de equilibrar el presupuesto de 2018-2019 según se refleja en la Resolución 1387.</w:t>
      </w:r>
    </w:p>
    <w:p w:rsidR="00214A04" w:rsidRPr="0011600E" w:rsidRDefault="00214A04" w:rsidP="00214A04">
      <w:r w:rsidRPr="0011600E">
        <w:t>5.2</w:t>
      </w:r>
      <w:r w:rsidRPr="0011600E">
        <w:tab/>
        <w:t>Al cierre de las cuentas de 2018 y 2019 se determinará el importe real que será depositado/detraído de la Cuenta de Provisión.</w:t>
      </w:r>
    </w:p>
    <w:p w:rsidR="00214A04" w:rsidRPr="0011600E" w:rsidRDefault="00214A04" w:rsidP="00214A04">
      <w:r w:rsidRPr="0011600E">
        <w:t>5.3</w:t>
      </w:r>
      <w:r w:rsidRPr="0011600E">
        <w:tab/>
        <w:t>Según lo dispuesto por el Consejo, el Secretario General detrajo 1 millón CHF de la Cuenta de Provisión el 1 de enero de 2018, que fue transferido al fondo ASHI a fin de responder al pasivo a largo plazo no financiado.</w:t>
      </w:r>
    </w:p>
    <w:p w:rsidR="00214A04" w:rsidRPr="0011600E" w:rsidRDefault="00214A04" w:rsidP="00D522C8">
      <w:r w:rsidRPr="0011600E">
        <w:t>5.4</w:t>
      </w:r>
      <w:r w:rsidRPr="0011600E">
        <w:tab/>
        <w:t>Al 31 de diciembre de 2017, el saldo de la Cuenta de Provisi</w:t>
      </w:r>
      <w:r w:rsidR="00D522C8" w:rsidRPr="0011600E">
        <w:t>ón se cifraba en 27,77 millones </w:t>
      </w:r>
      <w:r w:rsidRPr="0011600E">
        <w:t>CHF. El resultado del ejercicio de 2018 se reflejará tras</w:t>
      </w:r>
      <w:r w:rsidR="00D522C8" w:rsidRPr="0011600E">
        <w:t xml:space="preserve"> la clausura del ejercicio. Las </w:t>
      </w:r>
      <w:r w:rsidRPr="0011600E">
        <w:t>cifras definitivas se reflejarán en el Informe de gestión financiera para 2018.</w:t>
      </w:r>
    </w:p>
    <w:p w:rsidR="0063057B" w:rsidRPr="0011600E" w:rsidRDefault="0063057B" w:rsidP="0032202E">
      <w:pPr>
        <w:pStyle w:val="Reasons"/>
      </w:pPr>
    </w:p>
    <w:p w:rsidR="0063057B" w:rsidRPr="0011600E" w:rsidRDefault="0063057B">
      <w:pPr>
        <w:jc w:val="center"/>
      </w:pPr>
      <w:r w:rsidRPr="0011600E">
        <w:t>______________</w:t>
      </w:r>
    </w:p>
    <w:sectPr w:rsidR="0063057B" w:rsidRPr="0011600E"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04" w:rsidRDefault="00214A04">
      <w:r>
        <w:separator/>
      </w:r>
    </w:p>
  </w:endnote>
  <w:endnote w:type="continuationSeparator" w:id="0">
    <w:p w:rsidR="00214A04" w:rsidRDefault="0021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5E" w:rsidRPr="00B7645E" w:rsidRDefault="00542A5E" w:rsidP="00542A5E">
    <w:pPr>
      <w:pStyle w:val="Footer"/>
      <w:rPr>
        <w:color w:val="D9D9D9" w:themeColor="background1" w:themeShade="D9"/>
        <w:lang w:val="fr-CH"/>
      </w:rPr>
    </w:pPr>
    <w:r w:rsidRPr="00B7645E">
      <w:rPr>
        <w:color w:val="D9D9D9" w:themeColor="background1" w:themeShade="D9"/>
        <w:lang w:val="en-US"/>
      </w:rPr>
      <w:fldChar w:fldCharType="begin"/>
    </w:r>
    <w:r w:rsidRPr="00B7645E">
      <w:rPr>
        <w:color w:val="D9D9D9" w:themeColor="background1" w:themeShade="D9"/>
        <w:lang w:val="fr-CH"/>
      </w:rPr>
      <w:instrText xml:space="preserve"> FILENAME \p \* MERGEFORMAT </w:instrText>
    </w:r>
    <w:r w:rsidRPr="00B7645E">
      <w:rPr>
        <w:color w:val="D9D9D9" w:themeColor="background1" w:themeShade="D9"/>
        <w:lang w:val="en-US"/>
      </w:rPr>
      <w:fldChar w:fldCharType="separate"/>
    </w:r>
    <w:r w:rsidRPr="00B7645E">
      <w:rPr>
        <w:color w:val="D9D9D9" w:themeColor="background1" w:themeShade="D9"/>
        <w:lang w:val="fr-CH"/>
      </w:rPr>
      <w:t>P:\ESP\SG\CONSEIL\C19\000\009S.docx</w:t>
    </w:r>
    <w:r w:rsidRPr="00B7645E">
      <w:rPr>
        <w:color w:val="D9D9D9" w:themeColor="background1" w:themeShade="D9"/>
        <w:lang w:val="en-US"/>
      </w:rPr>
      <w:fldChar w:fldCharType="end"/>
    </w:r>
    <w:r w:rsidRPr="00B7645E">
      <w:rPr>
        <w:color w:val="D9D9D9" w:themeColor="background1" w:themeShade="D9"/>
        <w:lang w:val="fr-CH"/>
      </w:rPr>
      <w:t xml:space="preserve"> (450218)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04" w:rsidRDefault="00214A04">
      <w:r>
        <w:t>____________________</w:t>
      </w:r>
    </w:p>
  </w:footnote>
  <w:footnote w:type="continuationSeparator" w:id="0">
    <w:p w:rsidR="00214A04" w:rsidRDefault="00214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7645E">
      <w:rPr>
        <w:noProof/>
      </w:rPr>
      <w:t>4</w:t>
    </w:r>
    <w:r>
      <w:rPr>
        <w:noProof/>
      </w:rPr>
      <w:fldChar w:fldCharType="end"/>
    </w:r>
  </w:p>
  <w:p w:rsidR="00760F1C" w:rsidRDefault="00760F1C" w:rsidP="00214A04">
    <w:pPr>
      <w:pStyle w:val="Header"/>
    </w:pPr>
    <w:r>
      <w:t>C</w:t>
    </w:r>
    <w:r w:rsidR="007F350B">
      <w:t>1</w:t>
    </w:r>
    <w:r w:rsidR="00C2727F">
      <w:t>9</w:t>
    </w:r>
    <w:r>
      <w:t>/</w:t>
    </w:r>
    <w:r w:rsidR="00214A04">
      <w:t>9</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04"/>
    <w:rsid w:val="000105ED"/>
    <w:rsid w:val="00086B09"/>
    <w:rsid w:val="00093EEB"/>
    <w:rsid w:val="000B0D00"/>
    <w:rsid w:val="000B7C15"/>
    <w:rsid w:val="000D1D0F"/>
    <w:rsid w:val="000F5290"/>
    <w:rsid w:val="0010165C"/>
    <w:rsid w:val="001147AD"/>
    <w:rsid w:val="0011600E"/>
    <w:rsid w:val="00146BFB"/>
    <w:rsid w:val="001616D0"/>
    <w:rsid w:val="00162948"/>
    <w:rsid w:val="00186016"/>
    <w:rsid w:val="001C70EF"/>
    <w:rsid w:val="001F14A2"/>
    <w:rsid w:val="00214A04"/>
    <w:rsid w:val="002801AA"/>
    <w:rsid w:val="002B5020"/>
    <w:rsid w:val="002C4676"/>
    <w:rsid w:val="002C70B0"/>
    <w:rsid w:val="002F3CC4"/>
    <w:rsid w:val="003261BB"/>
    <w:rsid w:val="003D7F97"/>
    <w:rsid w:val="003E302D"/>
    <w:rsid w:val="00513630"/>
    <w:rsid w:val="00542A5E"/>
    <w:rsid w:val="00557018"/>
    <w:rsid w:val="00560125"/>
    <w:rsid w:val="00572017"/>
    <w:rsid w:val="00585553"/>
    <w:rsid w:val="005868C8"/>
    <w:rsid w:val="005B34D9"/>
    <w:rsid w:val="005D0CCF"/>
    <w:rsid w:val="005D357A"/>
    <w:rsid w:val="005F3810"/>
    <w:rsid w:val="005F3BCB"/>
    <w:rsid w:val="005F410F"/>
    <w:rsid w:val="0060149A"/>
    <w:rsid w:val="00601924"/>
    <w:rsid w:val="0063057B"/>
    <w:rsid w:val="006447EA"/>
    <w:rsid w:val="0064731F"/>
    <w:rsid w:val="006710F6"/>
    <w:rsid w:val="006B5D3F"/>
    <w:rsid w:val="006C1B56"/>
    <w:rsid w:val="006D4761"/>
    <w:rsid w:val="0070092D"/>
    <w:rsid w:val="00726872"/>
    <w:rsid w:val="00760F1C"/>
    <w:rsid w:val="007657F0"/>
    <w:rsid w:val="0077252D"/>
    <w:rsid w:val="007D4175"/>
    <w:rsid w:val="007E5DD3"/>
    <w:rsid w:val="007F350B"/>
    <w:rsid w:val="00820BE4"/>
    <w:rsid w:val="0083541A"/>
    <w:rsid w:val="008451E8"/>
    <w:rsid w:val="00913B9C"/>
    <w:rsid w:val="009376DE"/>
    <w:rsid w:val="00941903"/>
    <w:rsid w:val="00956E77"/>
    <w:rsid w:val="00957E8B"/>
    <w:rsid w:val="00972516"/>
    <w:rsid w:val="009B13DB"/>
    <w:rsid w:val="009F4811"/>
    <w:rsid w:val="00AA390C"/>
    <w:rsid w:val="00AE0559"/>
    <w:rsid w:val="00B00358"/>
    <w:rsid w:val="00B0200A"/>
    <w:rsid w:val="00B441E0"/>
    <w:rsid w:val="00B574DB"/>
    <w:rsid w:val="00B7645E"/>
    <w:rsid w:val="00B826C2"/>
    <w:rsid w:val="00B8298E"/>
    <w:rsid w:val="00BD0723"/>
    <w:rsid w:val="00BD20FA"/>
    <w:rsid w:val="00BD2518"/>
    <w:rsid w:val="00BD3594"/>
    <w:rsid w:val="00BF1D1C"/>
    <w:rsid w:val="00BF7241"/>
    <w:rsid w:val="00C05F7B"/>
    <w:rsid w:val="00C06374"/>
    <w:rsid w:val="00C20C59"/>
    <w:rsid w:val="00C2409C"/>
    <w:rsid w:val="00C246D0"/>
    <w:rsid w:val="00C2727F"/>
    <w:rsid w:val="00C55B1F"/>
    <w:rsid w:val="00CF1A67"/>
    <w:rsid w:val="00CF1BF5"/>
    <w:rsid w:val="00D20F33"/>
    <w:rsid w:val="00D2750E"/>
    <w:rsid w:val="00D522C8"/>
    <w:rsid w:val="00D62446"/>
    <w:rsid w:val="00DA4EA2"/>
    <w:rsid w:val="00DC3D3E"/>
    <w:rsid w:val="00DD7A7E"/>
    <w:rsid w:val="00DE2C90"/>
    <w:rsid w:val="00DE3B24"/>
    <w:rsid w:val="00E06947"/>
    <w:rsid w:val="00E3592D"/>
    <w:rsid w:val="00E50005"/>
    <w:rsid w:val="00E92DE8"/>
    <w:rsid w:val="00EA413C"/>
    <w:rsid w:val="00EB043A"/>
    <w:rsid w:val="00EB1212"/>
    <w:rsid w:val="00ED65AB"/>
    <w:rsid w:val="00F12850"/>
    <w:rsid w:val="00F33BF4"/>
    <w:rsid w:val="00F4291C"/>
    <w:rsid w:val="00F5625F"/>
    <w:rsid w:val="00F7105E"/>
    <w:rsid w:val="00F75F57"/>
    <w:rsid w:val="00F82FEE"/>
    <w:rsid w:val="00F96796"/>
    <w:rsid w:val="00FA31C6"/>
    <w:rsid w:val="00FB74FF"/>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BAD5D9-CF78-4A45-A502-EE6D0A51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214A04"/>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132/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tu.int/en/council/Documents/basic-texts/Convention-S.pdf"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tu.int/md/S17-CL-C-0010/es"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TotalTime>
  <Pages>4</Pages>
  <Words>1046</Words>
  <Characters>5470</Characters>
  <Application>Microsoft Office Word</Application>
  <DocSecurity>0</DocSecurity>
  <Lines>45</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6503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revenue and expenses</dc:title>
  <dc:subject>Consejo 2019</dc:subject>
  <dc:creator>Spanish</dc:creator>
  <cp:keywords>C2019, C19</cp:keywords>
  <dc:description/>
  <cp:lastModifiedBy>Brouard, Ricarda</cp:lastModifiedBy>
  <cp:revision>2</cp:revision>
  <cp:lastPrinted>2006-03-24T09:51:00Z</cp:lastPrinted>
  <dcterms:created xsi:type="dcterms:W3CDTF">2019-05-10T13:57:00Z</dcterms:created>
  <dcterms:modified xsi:type="dcterms:W3CDTF">2019-05-10T13:57:00Z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