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BD5BA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BD5BA2">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BD5BA2">
            <w:pPr>
              <w:spacing w:before="0" w:after="48"/>
              <w:rPr>
                <w:b/>
                <w:smallCaps/>
                <w:szCs w:val="24"/>
              </w:rPr>
            </w:pPr>
          </w:p>
        </w:tc>
        <w:tc>
          <w:tcPr>
            <w:tcW w:w="3120" w:type="dxa"/>
            <w:tcBorders>
              <w:bottom w:val="single" w:sz="12" w:space="0" w:color="auto"/>
            </w:tcBorders>
          </w:tcPr>
          <w:p w:rsidR="00700D1F" w:rsidRPr="00617BE4" w:rsidRDefault="00700D1F" w:rsidP="00BD5BA2">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BD5BA2">
            <w:pPr>
              <w:spacing w:before="0" w:after="48"/>
              <w:rPr>
                <w:b/>
                <w:smallCaps/>
                <w:szCs w:val="24"/>
              </w:rPr>
            </w:pPr>
          </w:p>
        </w:tc>
        <w:tc>
          <w:tcPr>
            <w:tcW w:w="3120" w:type="dxa"/>
            <w:tcBorders>
              <w:top w:val="single" w:sz="12" w:space="0" w:color="auto"/>
            </w:tcBorders>
          </w:tcPr>
          <w:p w:rsidR="00700D1F" w:rsidRPr="00617BE4" w:rsidRDefault="00700D1F" w:rsidP="00BD5BA2">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BD5BA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D3A11" w:rsidRPr="00BD3A11">
              <w:rPr>
                <w:b/>
                <w:lang w:val="en-US"/>
              </w:rPr>
              <w:t xml:space="preserve">ADM </w:t>
            </w:r>
            <w:r w:rsidR="00DA54C8">
              <w:rPr>
                <w:rFonts w:cs="Calibri"/>
                <w:b/>
                <w:szCs w:val="24"/>
                <w:lang w:val="en-US"/>
              </w:rPr>
              <w:t>19</w:t>
            </w:r>
          </w:p>
        </w:tc>
        <w:tc>
          <w:tcPr>
            <w:tcW w:w="3120" w:type="dxa"/>
          </w:tcPr>
          <w:p w:rsidR="00700D1F" w:rsidRPr="00700D1F" w:rsidRDefault="00700D1F" w:rsidP="00BD5BA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DA54C8">
              <w:rPr>
                <w:b/>
                <w:bCs/>
                <w:szCs w:val="24"/>
                <w:lang w:eastAsia="zh-CN"/>
              </w:rPr>
              <w:t>10</w:t>
            </w:r>
            <w:r w:rsidRPr="00FC5386">
              <w:rPr>
                <w:b/>
                <w:bCs/>
                <w:szCs w:val="24"/>
                <w:lang w:eastAsia="zh-CN"/>
              </w:rPr>
              <w:t>-C</w:t>
            </w:r>
          </w:p>
        </w:tc>
      </w:tr>
      <w:bookmarkEnd w:id="1"/>
      <w:tr w:rsidR="00700D1F">
        <w:trPr>
          <w:cantSplit/>
          <w:trHeight w:val="23"/>
        </w:trPr>
        <w:tc>
          <w:tcPr>
            <w:tcW w:w="6911" w:type="dxa"/>
            <w:vMerge/>
          </w:tcPr>
          <w:p w:rsidR="00700D1F" w:rsidRDefault="00700D1F" w:rsidP="00BD5BA2">
            <w:pPr>
              <w:tabs>
                <w:tab w:val="left" w:pos="851"/>
              </w:tabs>
              <w:rPr>
                <w:b/>
                <w:lang w:eastAsia="zh-CN"/>
              </w:rPr>
            </w:pPr>
          </w:p>
        </w:tc>
        <w:tc>
          <w:tcPr>
            <w:tcW w:w="3120" w:type="dxa"/>
          </w:tcPr>
          <w:p w:rsidR="00700D1F" w:rsidRPr="00FC5386" w:rsidRDefault="00700D1F" w:rsidP="00BD5BA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BD3A11">
              <w:rPr>
                <w:rFonts w:asciiTheme="minorHAnsi" w:hAnsiTheme="minorHAnsi" w:cstheme="minorHAnsi"/>
                <w:b/>
                <w:bCs/>
                <w:szCs w:val="24"/>
                <w:lang w:eastAsia="zh-CN"/>
              </w:rPr>
              <w:t>4</w:t>
            </w:r>
            <w:r w:rsidRPr="00FC5386">
              <w:rPr>
                <w:rFonts w:hint="eastAsia"/>
                <w:b/>
                <w:bCs/>
                <w:szCs w:val="24"/>
                <w:lang w:eastAsia="zh-CN"/>
              </w:rPr>
              <w:t>月</w:t>
            </w:r>
            <w:r w:rsidR="00BD3A11">
              <w:rPr>
                <w:rFonts w:asciiTheme="minorHAnsi" w:hAnsiTheme="minorHAnsi" w:cstheme="minorHAnsi"/>
                <w:b/>
                <w:bCs/>
                <w:szCs w:val="24"/>
                <w:lang w:eastAsia="zh-CN"/>
              </w:rPr>
              <w:t>18</w:t>
            </w:r>
            <w:r w:rsidRPr="00FC5386">
              <w:rPr>
                <w:rFonts w:hint="eastAsia"/>
                <w:b/>
                <w:bCs/>
                <w:szCs w:val="24"/>
                <w:lang w:eastAsia="zh-CN"/>
              </w:rPr>
              <w:t>日</w:t>
            </w:r>
          </w:p>
        </w:tc>
      </w:tr>
      <w:tr w:rsidR="00700D1F">
        <w:trPr>
          <w:cantSplit/>
          <w:trHeight w:val="23"/>
        </w:trPr>
        <w:tc>
          <w:tcPr>
            <w:tcW w:w="6911" w:type="dxa"/>
            <w:vMerge/>
          </w:tcPr>
          <w:p w:rsidR="00700D1F" w:rsidRDefault="00700D1F" w:rsidP="00BD5BA2">
            <w:pPr>
              <w:tabs>
                <w:tab w:val="left" w:pos="851"/>
              </w:tabs>
              <w:rPr>
                <w:b/>
                <w:lang w:eastAsia="zh-CN"/>
              </w:rPr>
            </w:pPr>
          </w:p>
        </w:tc>
        <w:tc>
          <w:tcPr>
            <w:tcW w:w="3120" w:type="dxa"/>
          </w:tcPr>
          <w:p w:rsidR="00700D1F" w:rsidRPr="00FC5386" w:rsidRDefault="00700D1F" w:rsidP="00BD5BA2">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BD3A11" w:rsidRPr="005C6AC2" w:rsidTr="00BD3A11">
        <w:trPr>
          <w:cantSplit/>
        </w:trPr>
        <w:tc>
          <w:tcPr>
            <w:tcW w:w="10031" w:type="dxa"/>
          </w:tcPr>
          <w:p w:rsidR="00BD3A11" w:rsidRPr="005C6AC2" w:rsidRDefault="00BD3A11" w:rsidP="00BD5BA2">
            <w:pPr>
              <w:pStyle w:val="Source"/>
              <w:rPr>
                <w:lang w:eastAsia="zh-CN"/>
              </w:rPr>
            </w:pPr>
            <w:proofErr w:type="spellStart"/>
            <w:r w:rsidRPr="009E3F80">
              <w:rPr>
                <w:rFonts w:hint="eastAsia"/>
                <w:lang w:val="en-US"/>
              </w:rPr>
              <w:t>秘书长的报告</w:t>
            </w:r>
            <w:proofErr w:type="spellEnd"/>
          </w:p>
        </w:tc>
      </w:tr>
      <w:tr w:rsidR="00BD3A11" w:rsidRPr="005C6AC2" w:rsidTr="00BD3A11">
        <w:trPr>
          <w:cantSplit/>
        </w:trPr>
        <w:tc>
          <w:tcPr>
            <w:tcW w:w="10031" w:type="dxa"/>
          </w:tcPr>
          <w:p w:rsidR="00BD3A11" w:rsidRPr="005C6AC2" w:rsidRDefault="008275A4" w:rsidP="00BD5BA2">
            <w:pPr>
              <w:pStyle w:val="Title1"/>
              <w:rPr>
                <w:bCs/>
                <w:lang w:eastAsia="zh-CN"/>
              </w:rPr>
            </w:pPr>
            <w:bookmarkStart w:id="2" w:name="_Toc413838405"/>
            <w:bookmarkStart w:id="3" w:name="_Toc536172375"/>
            <w:bookmarkStart w:id="4" w:name="_Toc407024788"/>
            <w:bookmarkStart w:id="5" w:name="_Toc413838406"/>
            <w:bookmarkStart w:id="6" w:name="_Toc536172376"/>
            <w:r>
              <w:rPr>
                <w:rStyle w:val="href"/>
                <w:rFonts w:hint="eastAsia"/>
                <w:lang w:eastAsia="zh-CN"/>
              </w:rPr>
              <w:t>落实</w:t>
            </w:r>
            <w:r w:rsidRPr="00550EBE">
              <w:rPr>
                <w:rStyle w:val="href"/>
                <w:rFonts w:hint="eastAsia"/>
                <w:lang w:eastAsia="zh-CN"/>
              </w:rPr>
              <w:t>第</w:t>
            </w:r>
            <w:r>
              <w:rPr>
                <w:rStyle w:val="href"/>
                <w:rFonts w:hint="eastAsia"/>
                <w:lang w:eastAsia="zh-CN"/>
              </w:rPr>
              <w:t>131</w:t>
            </w:r>
            <w:r w:rsidRPr="00550EBE">
              <w:rPr>
                <w:rStyle w:val="href"/>
                <w:rFonts w:hint="eastAsia"/>
                <w:lang w:eastAsia="zh-CN"/>
              </w:rPr>
              <w:t>号决议</w:t>
            </w:r>
            <w:r w:rsidRPr="006717FB">
              <w:rPr>
                <w:rFonts w:hint="eastAsia"/>
                <w:lang w:eastAsia="zh-CN"/>
              </w:rPr>
              <w:t>（</w:t>
            </w:r>
            <w:r>
              <w:rPr>
                <w:rFonts w:hint="eastAsia"/>
                <w:lang w:eastAsia="zh-CN"/>
              </w:rPr>
              <w:t>2018</w:t>
            </w:r>
            <w:r>
              <w:rPr>
                <w:rFonts w:hint="eastAsia"/>
                <w:lang w:eastAsia="zh-CN"/>
              </w:rPr>
              <w:t>年，</w:t>
            </w:r>
            <w:r>
              <w:rPr>
                <w:lang w:eastAsia="zh-CN"/>
              </w:rPr>
              <w:t>迪拜</w:t>
            </w:r>
            <w:r w:rsidRPr="006717FB">
              <w:rPr>
                <w:rFonts w:hint="eastAsia"/>
                <w:lang w:eastAsia="zh-CN"/>
              </w:rPr>
              <w:t>，修订版）</w:t>
            </w:r>
            <w:bookmarkEnd w:id="2"/>
            <w:bookmarkEnd w:id="3"/>
            <w:r w:rsidR="00182636">
              <w:rPr>
                <w:rFonts w:hint="eastAsia"/>
                <w:lang w:eastAsia="zh-CN"/>
              </w:rPr>
              <w:t>的实施情况</w:t>
            </w:r>
            <w:r w:rsidR="00FE54A5">
              <w:rPr>
                <w:lang w:eastAsia="zh-CN"/>
              </w:rPr>
              <w:br/>
            </w:r>
            <w:r w:rsidR="00DA54C8" w:rsidRPr="00B63A06">
              <w:rPr>
                <w:lang w:eastAsia="zh-CN"/>
              </w:rPr>
              <w:t xml:space="preserve"> – </w:t>
            </w:r>
            <w:r w:rsidR="00DA54C8">
              <w:rPr>
                <w:rFonts w:hint="eastAsia"/>
                <w:lang w:eastAsia="zh-CN"/>
              </w:rPr>
              <w:t>为建设综合型包容性信息社会进行</w:t>
            </w:r>
            <w:r w:rsidR="00DA54C8" w:rsidRPr="006717FB">
              <w:rPr>
                <w:rFonts w:hint="eastAsia"/>
                <w:lang w:eastAsia="zh-CN"/>
              </w:rPr>
              <w:t>信息通信技术</w:t>
            </w:r>
            <w:r w:rsidR="00DA54C8">
              <w:rPr>
                <w:rFonts w:hint="eastAsia"/>
                <w:lang w:eastAsia="zh-CN"/>
              </w:rPr>
              <w:t>的</w:t>
            </w:r>
            <w:r w:rsidR="00DA54C8">
              <w:rPr>
                <w:lang w:eastAsia="zh-CN"/>
              </w:rPr>
              <w:t>衡量</w:t>
            </w:r>
            <w:bookmarkEnd w:id="4"/>
            <w:bookmarkEnd w:id="5"/>
            <w:bookmarkEnd w:id="6"/>
          </w:p>
        </w:tc>
      </w:tr>
    </w:tbl>
    <w:p w:rsidR="00BD3A11" w:rsidRPr="005C6AC2" w:rsidRDefault="00BD3A11" w:rsidP="00BD5BA2">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D3A11" w:rsidRPr="002E742A" w:rsidTr="00BD3A11">
        <w:trPr>
          <w:trHeight w:val="3372"/>
        </w:trPr>
        <w:tc>
          <w:tcPr>
            <w:tcW w:w="8080" w:type="dxa"/>
            <w:tcBorders>
              <w:top w:val="single" w:sz="12" w:space="0" w:color="auto"/>
              <w:left w:val="single" w:sz="12" w:space="0" w:color="auto"/>
              <w:bottom w:val="single" w:sz="12" w:space="0" w:color="auto"/>
              <w:right w:val="single" w:sz="12" w:space="0" w:color="auto"/>
            </w:tcBorders>
          </w:tcPr>
          <w:p w:rsidR="00BD3A11" w:rsidRDefault="00BD3A11" w:rsidP="00BD5BA2">
            <w:pPr>
              <w:pStyle w:val="Headingb"/>
              <w:rPr>
                <w:lang w:val="fr-FR" w:eastAsia="zh-CN"/>
              </w:rPr>
            </w:pPr>
            <w:r>
              <w:rPr>
                <w:rFonts w:hint="eastAsia"/>
                <w:lang w:val="fr-FR" w:eastAsia="zh-CN"/>
              </w:rPr>
              <w:t>概</w:t>
            </w:r>
            <w:r>
              <w:rPr>
                <w:rFonts w:hint="eastAsia"/>
                <w:lang w:eastAsia="zh-CN"/>
              </w:rPr>
              <w:t>要</w:t>
            </w:r>
          </w:p>
          <w:p w:rsidR="00BD3A11" w:rsidRPr="009E3F80" w:rsidRDefault="00DA54C8" w:rsidP="00BD5BA2">
            <w:pPr>
              <w:ind w:firstLineChars="200" w:firstLine="480"/>
              <w:jc w:val="both"/>
              <w:rPr>
                <w:lang w:val="en-US" w:eastAsia="zh-CN"/>
              </w:rPr>
            </w:pPr>
            <w:r w:rsidRPr="00EB5818">
              <w:rPr>
                <w:rFonts w:hint="eastAsia"/>
                <w:szCs w:val="24"/>
                <w:lang w:eastAsia="zh-CN"/>
              </w:rPr>
              <w:t>国际电联与其他区域性组织和国际组织密切合作，并且通过各</w:t>
            </w:r>
            <w:r w:rsidR="008275A4">
              <w:rPr>
                <w:rFonts w:hint="eastAsia"/>
                <w:szCs w:val="24"/>
                <w:lang w:eastAsia="zh-CN"/>
              </w:rPr>
              <w:t>主</w:t>
            </w:r>
            <w:r w:rsidRPr="00EB5818">
              <w:rPr>
                <w:rFonts w:hint="eastAsia"/>
                <w:szCs w:val="24"/>
                <w:lang w:eastAsia="zh-CN"/>
              </w:rPr>
              <w:t>题专家组制定衡量信息社会和</w:t>
            </w:r>
            <w:r w:rsidR="004B06B7">
              <w:rPr>
                <w:rFonts w:hint="eastAsia"/>
                <w:szCs w:val="24"/>
                <w:lang w:eastAsia="zh-CN"/>
              </w:rPr>
              <w:t>数字</w:t>
            </w:r>
            <w:r w:rsidRPr="00EB5818">
              <w:rPr>
                <w:rFonts w:hint="eastAsia"/>
                <w:szCs w:val="24"/>
                <w:lang w:eastAsia="zh-CN"/>
              </w:rPr>
              <w:t>经济方面的国际定义、标准和方法。</w:t>
            </w:r>
            <w:r w:rsidR="008275A4" w:rsidRPr="00236DA6">
              <w:rPr>
                <w:rFonts w:hint="eastAsia"/>
                <w:szCs w:val="24"/>
                <w:lang w:eastAsia="zh-CN"/>
              </w:rPr>
              <w:t>数据收集</w:t>
            </w:r>
            <w:r w:rsidR="008275A4">
              <w:rPr>
                <w:rFonts w:hint="eastAsia"/>
                <w:szCs w:val="24"/>
                <w:lang w:eastAsia="zh-CN"/>
              </w:rPr>
              <w:t>自</w:t>
            </w:r>
            <w:r w:rsidR="00182636" w:rsidRPr="00236DA6">
              <w:rPr>
                <w:rFonts w:hint="eastAsia"/>
                <w:szCs w:val="24"/>
                <w:lang w:eastAsia="zh-CN"/>
              </w:rPr>
              <w:t>成员国，然后通过国际电联世界电信</w:t>
            </w:r>
            <w:r w:rsidR="00182636" w:rsidRPr="00236DA6">
              <w:rPr>
                <w:rFonts w:hint="eastAsia"/>
                <w:szCs w:val="24"/>
                <w:lang w:eastAsia="zh-CN"/>
              </w:rPr>
              <w:t>/I</w:t>
            </w:r>
            <w:r w:rsidR="00182636" w:rsidRPr="00236DA6">
              <w:rPr>
                <w:szCs w:val="24"/>
                <w:lang w:eastAsia="zh-CN"/>
              </w:rPr>
              <w:t>CT</w:t>
            </w:r>
            <w:r w:rsidR="00182636" w:rsidRPr="00236DA6">
              <w:rPr>
                <w:rFonts w:hint="eastAsia"/>
                <w:szCs w:val="24"/>
                <w:lang w:eastAsia="zh-CN"/>
              </w:rPr>
              <w:t>指标</w:t>
            </w:r>
            <w:r w:rsidR="008275A4">
              <w:rPr>
                <w:rFonts w:hint="eastAsia"/>
                <w:szCs w:val="24"/>
                <w:lang w:eastAsia="zh-CN"/>
              </w:rPr>
              <w:t>（</w:t>
            </w:r>
            <w:r w:rsidR="008275A4">
              <w:rPr>
                <w:rFonts w:hint="eastAsia"/>
                <w:szCs w:val="24"/>
                <w:lang w:eastAsia="zh-CN"/>
              </w:rPr>
              <w:t>W</w:t>
            </w:r>
            <w:r w:rsidR="008275A4">
              <w:rPr>
                <w:szCs w:val="24"/>
                <w:lang w:eastAsia="zh-CN"/>
              </w:rPr>
              <w:t>TI</w:t>
            </w:r>
            <w:r w:rsidR="008275A4">
              <w:rPr>
                <w:rFonts w:hint="eastAsia"/>
                <w:szCs w:val="24"/>
                <w:lang w:eastAsia="zh-CN"/>
              </w:rPr>
              <w:t>）</w:t>
            </w:r>
            <w:r w:rsidR="00182636" w:rsidRPr="00236DA6">
              <w:rPr>
                <w:rFonts w:hint="eastAsia"/>
                <w:szCs w:val="24"/>
                <w:lang w:eastAsia="zh-CN"/>
              </w:rPr>
              <w:t>数据库传播，并在《衡量信息社会报告》中</w:t>
            </w:r>
            <w:r w:rsidR="008275A4">
              <w:rPr>
                <w:rFonts w:hint="eastAsia"/>
                <w:szCs w:val="24"/>
                <w:lang w:eastAsia="zh-CN"/>
              </w:rPr>
              <w:t>加以</w:t>
            </w:r>
            <w:r w:rsidR="00182636" w:rsidRPr="00236DA6">
              <w:rPr>
                <w:rFonts w:hint="eastAsia"/>
                <w:szCs w:val="24"/>
                <w:lang w:eastAsia="zh-CN"/>
              </w:rPr>
              <w:t>分析。</w:t>
            </w:r>
            <w:bookmarkStart w:id="7" w:name="lt_pId017"/>
            <w:r w:rsidR="00182636" w:rsidRPr="00EB5818">
              <w:rPr>
                <w:rFonts w:asciiTheme="minorHAnsi" w:hAnsiTheme="minorHAnsi" w:cs="Segoe UI" w:hint="eastAsia"/>
                <w:szCs w:val="24"/>
                <w:lang w:eastAsia="zh-CN"/>
              </w:rPr>
              <w:t>本文件汇报有关</w:t>
            </w:r>
            <w:r w:rsidR="00182636" w:rsidRPr="00EB5818">
              <w:rPr>
                <w:rFonts w:ascii="STKaiti" w:eastAsia="STKaiti" w:hAnsi="STKaiti" w:hint="eastAsia"/>
                <w:szCs w:val="24"/>
                <w:lang w:eastAsia="zh-CN"/>
              </w:rPr>
              <w:t>为建设综合型包容性信息社会进行信息通信技术</w:t>
            </w:r>
            <w:r w:rsidR="00182636" w:rsidRPr="00EB5818">
              <w:rPr>
                <w:rFonts w:ascii="STKaiti" w:eastAsia="STKaiti" w:hAnsi="STKaiti"/>
                <w:szCs w:val="24"/>
                <w:lang w:eastAsia="zh-CN"/>
              </w:rPr>
              <w:t>衡量</w:t>
            </w:r>
            <w:r w:rsidR="00182636" w:rsidRPr="00EB5818">
              <w:rPr>
                <w:rFonts w:hint="eastAsia"/>
                <w:szCs w:val="24"/>
                <w:lang w:eastAsia="zh-CN"/>
              </w:rPr>
              <w:t>的</w:t>
            </w:r>
            <w:r w:rsidR="00182636" w:rsidRPr="00EB5818">
              <w:rPr>
                <w:rFonts w:asciiTheme="minorHAnsi" w:hAnsiTheme="minorHAnsi" w:cs="Segoe UI" w:hint="eastAsia"/>
                <w:szCs w:val="24"/>
                <w:lang w:eastAsia="zh-CN"/>
              </w:rPr>
              <w:t>第</w:t>
            </w:r>
            <w:r w:rsidR="00182636" w:rsidRPr="00EB5818">
              <w:rPr>
                <w:rFonts w:asciiTheme="minorHAnsi" w:hAnsiTheme="minorHAnsi" w:cs="Segoe UI"/>
                <w:szCs w:val="24"/>
                <w:lang w:eastAsia="zh-CN"/>
              </w:rPr>
              <w:t>131</w:t>
            </w:r>
            <w:r w:rsidR="00182636" w:rsidRPr="00EB5818">
              <w:rPr>
                <w:rFonts w:asciiTheme="minorHAnsi" w:hAnsiTheme="minorHAnsi" w:cs="Segoe UI" w:hint="eastAsia"/>
                <w:szCs w:val="24"/>
                <w:lang w:eastAsia="zh-CN"/>
              </w:rPr>
              <w:t>号决议（</w:t>
            </w:r>
            <w:r w:rsidR="00182636" w:rsidRPr="00EB5818">
              <w:rPr>
                <w:rFonts w:asciiTheme="minorHAnsi" w:hAnsiTheme="minorHAnsi" w:cs="Segoe UI" w:hint="eastAsia"/>
                <w:szCs w:val="24"/>
                <w:lang w:eastAsia="zh-CN"/>
              </w:rPr>
              <w:t>201</w:t>
            </w:r>
            <w:r w:rsidR="008275A4">
              <w:rPr>
                <w:rFonts w:asciiTheme="minorHAnsi" w:hAnsiTheme="minorHAnsi" w:cs="Segoe UI" w:hint="eastAsia"/>
                <w:szCs w:val="24"/>
                <w:lang w:eastAsia="zh-CN"/>
              </w:rPr>
              <w:t>8</w:t>
            </w:r>
            <w:r w:rsidR="00182636" w:rsidRPr="00EB5818">
              <w:rPr>
                <w:rFonts w:asciiTheme="minorHAnsi" w:hAnsiTheme="minorHAnsi" w:cs="Segoe UI" w:hint="eastAsia"/>
                <w:szCs w:val="24"/>
                <w:lang w:eastAsia="zh-CN"/>
              </w:rPr>
              <w:t>年，</w:t>
            </w:r>
            <w:r w:rsidR="00182636">
              <w:rPr>
                <w:rFonts w:asciiTheme="minorHAnsi" w:hAnsiTheme="minorHAnsi" w:cs="Segoe UI" w:hint="eastAsia"/>
                <w:szCs w:val="24"/>
                <w:lang w:eastAsia="zh-CN"/>
              </w:rPr>
              <w:t>迪拜</w:t>
            </w:r>
            <w:r w:rsidR="00182636" w:rsidRPr="00EB5818">
              <w:rPr>
                <w:rFonts w:asciiTheme="minorHAnsi" w:hAnsiTheme="minorHAnsi" w:cs="Segoe UI" w:hint="eastAsia"/>
                <w:szCs w:val="24"/>
                <w:lang w:eastAsia="zh-CN"/>
              </w:rPr>
              <w:t>，修订版）的实施情况</w:t>
            </w:r>
            <w:r w:rsidR="00182636" w:rsidRPr="00EB5818">
              <w:rPr>
                <w:rFonts w:hint="eastAsia"/>
                <w:szCs w:val="24"/>
                <w:lang w:eastAsia="zh-CN"/>
              </w:rPr>
              <w:t>。</w:t>
            </w:r>
            <w:bookmarkEnd w:id="7"/>
            <w:r w:rsidR="008275A4">
              <w:rPr>
                <w:rFonts w:hint="eastAsia"/>
                <w:lang w:eastAsia="zh-CN"/>
              </w:rPr>
              <w:t>此外，本文件审</w:t>
            </w:r>
            <w:r w:rsidR="002E742A">
              <w:rPr>
                <w:rFonts w:hint="eastAsia"/>
                <w:lang w:eastAsia="zh-CN"/>
              </w:rPr>
              <w:t>查</w:t>
            </w:r>
            <w:r w:rsidR="008275A4">
              <w:rPr>
                <w:rFonts w:hint="eastAsia"/>
                <w:lang w:eastAsia="zh-CN"/>
              </w:rPr>
              <w:t>了</w:t>
            </w:r>
            <w:r w:rsidR="002E742A">
              <w:rPr>
                <w:lang w:eastAsia="zh-CN"/>
              </w:rPr>
              <w:t>国际</w:t>
            </w:r>
            <w:r w:rsidR="002E742A">
              <w:rPr>
                <w:rFonts w:hint="eastAsia"/>
                <w:lang w:eastAsia="zh-CN"/>
              </w:rPr>
              <w:t>电联</w:t>
            </w:r>
            <w:r w:rsidR="008275A4">
              <w:rPr>
                <w:rFonts w:hint="eastAsia"/>
                <w:lang w:eastAsia="zh-CN"/>
              </w:rPr>
              <w:t>开展</w:t>
            </w:r>
            <w:r w:rsidR="002E742A">
              <w:rPr>
                <w:rFonts w:hint="eastAsia"/>
                <w:lang w:eastAsia="zh-CN"/>
              </w:rPr>
              <w:t>收集</w:t>
            </w:r>
            <w:r w:rsidR="002E742A">
              <w:rPr>
                <w:lang w:eastAsia="zh-CN"/>
              </w:rPr>
              <w:t>、编制和</w:t>
            </w:r>
            <w:r w:rsidR="002E742A">
              <w:rPr>
                <w:rFonts w:hint="eastAsia"/>
                <w:lang w:eastAsia="zh-CN"/>
              </w:rPr>
              <w:t>发布</w:t>
            </w:r>
            <w:r w:rsidR="002E742A">
              <w:rPr>
                <w:lang w:eastAsia="zh-CN"/>
              </w:rPr>
              <w:t>有</w:t>
            </w:r>
            <w:r w:rsidR="002E742A">
              <w:rPr>
                <w:rFonts w:hint="eastAsia"/>
                <w:lang w:eastAsia="zh-CN"/>
              </w:rPr>
              <w:t>用</w:t>
            </w:r>
            <w:r w:rsidR="002E742A">
              <w:rPr>
                <w:lang w:eastAsia="zh-CN"/>
              </w:rPr>
              <w:t>数据、信息、统计和报告工作</w:t>
            </w:r>
            <w:r w:rsidR="008275A4">
              <w:rPr>
                <w:rFonts w:hint="eastAsia"/>
                <w:lang w:eastAsia="zh-CN"/>
              </w:rPr>
              <w:t>所</w:t>
            </w:r>
            <w:r w:rsidR="002E742A">
              <w:rPr>
                <w:rFonts w:hint="eastAsia"/>
                <w:lang w:eastAsia="zh-CN"/>
              </w:rPr>
              <w:t>需</w:t>
            </w:r>
            <w:r w:rsidR="008275A4">
              <w:rPr>
                <w:rFonts w:hint="eastAsia"/>
                <w:lang w:eastAsia="zh-CN"/>
              </w:rPr>
              <w:t>的</w:t>
            </w:r>
            <w:r w:rsidR="002E742A">
              <w:rPr>
                <w:lang w:eastAsia="zh-CN"/>
              </w:rPr>
              <w:t>人力和财务资源。</w:t>
            </w:r>
          </w:p>
          <w:p w:rsidR="00BD3A11" w:rsidRPr="003C2E37" w:rsidRDefault="00BD3A11" w:rsidP="00BD5BA2">
            <w:pPr>
              <w:pStyle w:val="Headingb"/>
              <w:rPr>
                <w:lang w:eastAsia="zh-CN"/>
              </w:rPr>
            </w:pPr>
            <w:r>
              <w:rPr>
                <w:rFonts w:hint="eastAsia"/>
                <w:lang w:eastAsia="zh-CN"/>
              </w:rPr>
              <w:t>需采取的行动</w:t>
            </w:r>
          </w:p>
          <w:p w:rsidR="00BD3A11" w:rsidRPr="002E742A" w:rsidRDefault="00BD3A11" w:rsidP="00BD5BA2">
            <w:pPr>
              <w:snapToGrid w:val="0"/>
              <w:spacing w:after="120"/>
              <w:ind w:firstLineChars="200" w:firstLine="480"/>
              <w:jc w:val="both"/>
              <w:rPr>
                <w:color w:val="000000" w:themeColor="text1"/>
                <w:szCs w:val="24"/>
                <w:lang w:eastAsia="zh-CN"/>
              </w:rPr>
            </w:pPr>
            <w:r>
              <w:rPr>
                <w:rFonts w:hint="eastAsia"/>
                <w:lang w:val="en-US" w:eastAsia="zh-CN"/>
              </w:rPr>
              <w:t>请理事会</w:t>
            </w:r>
            <w:r w:rsidR="002E742A" w:rsidRPr="00EB5818">
              <w:rPr>
                <w:rFonts w:hint="eastAsia"/>
                <w:color w:val="000000" w:themeColor="text1"/>
                <w:szCs w:val="24"/>
                <w:lang w:eastAsia="zh-CN"/>
              </w:rPr>
              <w:t>将本报告</w:t>
            </w:r>
            <w:r w:rsidR="002E742A" w:rsidRPr="008275A4">
              <w:rPr>
                <w:rFonts w:hint="eastAsia"/>
                <w:b/>
                <w:color w:val="000000" w:themeColor="text1"/>
                <w:szCs w:val="24"/>
                <w:lang w:eastAsia="zh-CN"/>
              </w:rPr>
              <w:t>记录在案</w:t>
            </w:r>
            <w:r w:rsidR="008275A4">
              <w:rPr>
                <w:rFonts w:hint="eastAsia"/>
                <w:color w:val="000000" w:themeColor="text1"/>
                <w:szCs w:val="24"/>
                <w:lang w:eastAsia="zh-CN"/>
              </w:rPr>
              <w:t>并</w:t>
            </w:r>
            <w:r w:rsidR="008275A4" w:rsidRPr="008275A4">
              <w:rPr>
                <w:rFonts w:hint="eastAsia"/>
                <w:b/>
                <w:color w:val="000000" w:themeColor="text1"/>
                <w:szCs w:val="24"/>
                <w:lang w:eastAsia="zh-CN"/>
              </w:rPr>
              <w:t>做出</w:t>
            </w:r>
            <w:r w:rsidR="008275A4">
              <w:rPr>
                <w:rFonts w:hint="eastAsia"/>
                <w:color w:val="000000" w:themeColor="text1"/>
                <w:szCs w:val="24"/>
                <w:lang w:eastAsia="zh-CN"/>
              </w:rPr>
              <w:t>必要</w:t>
            </w:r>
            <w:r w:rsidR="008275A4" w:rsidRPr="008275A4">
              <w:rPr>
                <w:rFonts w:hint="eastAsia"/>
                <w:b/>
                <w:color w:val="000000" w:themeColor="text1"/>
                <w:szCs w:val="24"/>
                <w:lang w:eastAsia="zh-CN"/>
              </w:rPr>
              <w:t>决定</w:t>
            </w:r>
            <w:r w:rsidR="002E742A" w:rsidRPr="00EB5818">
              <w:rPr>
                <w:rFonts w:hint="eastAsia"/>
                <w:color w:val="000000" w:themeColor="text1"/>
                <w:szCs w:val="24"/>
                <w:lang w:eastAsia="zh-CN"/>
              </w:rPr>
              <w:t>。</w:t>
            </w:r>
          </w:p>
          <w:p w:rsidR="00BD3A11" w:rsidRDefault="00BD3A11" w:rsidP="00BD5BA2">
            <w:pPr>
              <w:jc w:val="center"/>
              <w:rPr>
                <w:sz w:val="28"/>
                <w:szCs w:val="22"/>
                <w:lang w:eastAsia="zh-CN"/>
              </w:rPr>
            </w:pPr>
            <w:r>
              <w:rPr>
                <w:sz w:val="28"/>
                <w:szCs w:val="22"/>
                <w:lang w:eastAsia="zh-CN"/>
              </w:rPr>
              <w:t>______________</w:t>
            </w:r>
          </w:p>
          <w:p w:rsidR="00BD3A11" w:rsidRPr="00FC5386" w:rsidRDefault="00BD3A11" w:rsidP="00BD5BA2">
            <w:pPr>
              <w:pStyle w:val="Headingb"/>
              <w:rPr>
                <w:lang w:val="fr-FR" w:eastAsia="zh-CN"/>
              </w:rPr>
            </w:pPr>
            <w:r w:rsidRPr="00FC5386">
              <w:rPr>
                <w:rFonts w:hint="eastAsia"/>
                <w:lang w:eastAsia="zh-CN"/>
              </w:rPr>
              <w:t>参考文件</w:t>
            </w:r>
          </w:p>
          <w:p w:rsidR="00BD3A11" w:rsidRPr="002E742A" w:rsidRDefault="00092316" w:rsidP="00BD5BA2">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2E742A" w:rsidRPr="00092316">
                <w:rPr>
                  <w:rStyle w:val="Hyperlink"/>
                  <w:rFonts w:hint="eastAsia"/>
                  <w:sz w:val="24"/>
                  <w:szCs w:val="24"/>
                  <w:lang w:eastAsia="zh-CN"/>
                </w:rPr>
                <w:t>第</w:t>
              </w:r>
              <w:r w:rsidR="002E742A" w:rsidRPr="00092316">
                <w:rPr>
                  <w:rStyle w:val="Hyperlink"/>
                  <w:sz w:val="24"/>
                  <w:szCs w:val="24"/>
                  <w:lang w:val="fr-FR" w:eastAsia="zh-CN"/>
                </w:rPr>
                <w:t>13</w:t>
              </w:r>
              <w:r w:rsidR="002E742A" w:rsidRPr="00092316">
                <w:rPr>
                  <w:rStyle w:val="Hyperlink"/>
                  <w:rFonts w:hint="eastAsia"/>
                  <w:sz w:val="24"/>
                  <w:szCs w:val="24"/>
                  <w:lang w:val="fr-FR" w:eastAsia="zh-CN"/>
                </w:rPr>
                <w:t>1</w:t>
              </w:r>
              <w:r w:rsidR="002E742A" w:rsidRPr="00092316">
                <w:rPr>
                  <w:rStyle w:val="Hyperlink"/>
                  <w:rFonts w:hint="eastAsia"/>
                  <w:sz w:val="24"/>
                  <w:szCs w:val="24"/>
                  <w:lang w:eastAsia="zh-CN"/>
                </w:rPr>
                <w:t>号决议</w:t>
              </w:r>
            </w:hyperlink>
            <w:r w:rsidR="002E742A" w:rsidRPr="002E742A">
              <w:rPr>
                <w:rFonts w:hint="eastAsia"/>
                <w:sz w:val="24"/>
                <w:szCs w:val="24"/>
                <w:lang w:val="fr-FR" w:eastAsia="zh-CN"/>
              </w:rPr>
              <w:t>（</w:t>
            </w:r>
            <w:r w:rsidR="002E742A" w:rsidRPr="002E742A">
              <w:rPr>
                <w:sz w:val="24"/>
                <w:szCs w:val="24"/>
                <w:lang w:val="fr-FR" w:eastAsia="zh-CN"/>
              </w:rPr>
              <w:t>2018</w:t>
            </w:r>
            <w:r w:rsidR="002E742A">
              <w:rPr>
                <w:rFonts w:hint="eastAsia"/>
                <w:sz w:val="24"/>
                <w:szCs w:val="24"/>
                <w:lang w:eastAsia="zh-CN"/>
              </w:rPr>
              <w:t>年</w:t>
            </w:r>
            <w:r w:rsidR="002E742A" w:rsidRPr="002E742A">
              <w:rPr>
                <w:rFonts w:hint="eastAsia"/>
                <w:sz w:val="24"/>
                <w:szCs w:val="24"/>
                <w:lang w:val="fr-FR" w:eastAsia="zh-CN"/>
              </w:rPr>
              <w:t>，</w:t>
            </w:r>
            <w:r w:rsidR="002E742A">
              <w:rPr>
                <w:rFonts w:hint="eastAsia"/>
                <w:sz w:val="24"/>
                <w:szCs w:val="24"/>
                <w:lang w:eastAsia="zh-CN"/>
              </w:rPr>
              <w:t>迪拜</w:t>
            </w:r>
            <w:r w:rsidR="002E742A" w:rsidRPr="002E742A">
              <w:rPr>
                <w:rFonts w:hint="eastAsia"/>
                <w:sz w:val="24"/>
                <w:szCs w:val="24"/>
                <w:lang w:val="fr-FR" w:eastAsia="zh-CN"/>
              </w:rPr>
              <w:t>，</w:t>
            </w:r>
            <w:r w:rsidR="002E742A" w:rsidRPr="00EB5818">
              <w:rPr>
                <w:rFonts w:hint="eastAsia"/>
                <w:sz w:val="24"/>
                <w:szCs w:val="24"/>
                <w:lang w:eastAsia="zh-CN"/>
              </w:rPr>
              <w:t>修订版</w:t>
            </w:r>
            <w:r w:rsidR="002E742A" w:rsidRPr="002E742A">
              <w:rPr>
                <w:rFonts w:hint="eastAsia"/>
                <w:sz w:val="24"/>
                <w:szCs w:val="24"/>
                <w:lang w:val="fr-FR" w:eastAsia="zh-CN"/>
              </w:rPr>
              <w:t>）；</w:t>
            </w:r>
            <w:r w:rsidR="002E742A" w:rsidRPr="00EB5818">
              <w:rPr>
                <w:rFonts w:hint="eastAsia"/>
                <w:sz w:val="24"/>
                <w:szCs w:val="24"/>
                <w:lang w:eastAsia="zh-CN"/>
              </w:rPr>
              <w:t>理事会</w:t>
            </w:r>
            <w:hyperlink r:id="rId10" w:history="1">
              <w:r w:rsidR="002E742A" w:rsidRPr="002E742A">
                <w:rPr>
                  <w:rStyle w:val="Hyperlink"/>
                  <w:sz w:val="24"/>
                  <w:szCs w:val="24"/>
                  <w:lang w:val="fr-FR" w:eastAsia="zh-CN"/>
                </w:rPr>
                <w:t>C18/96</w:t>
              </w:r>
            </w:hyperlink>
            <w:r w:rsidR="002E742A" w:rsidRPr="00EB5818">
              <w:rPr>
                <w:rFonts w:hint="eastAsia"/>
                <w:sz w:val="24"/>
                <w:szCs w:val="24"/>
                <w:lang w:eastAsia="zh-CN"/>
              </w:rPr>
              <w:t>、</w:t>
            </w:r>
            <w:r w:rsidR="002E742A" w:rsidRPr="002E742A">
              <w:rPr>
                <w:rStyle w:val="Hyperlink"/>
                <w:sz w:val="24"/>
                <w:szCs w:val="24"/>
              </w:rPr>
              <w:fldChar w:fldCharType="begin"/>
            </w:r>
            <w:r w:rsidR="002E742A" w:rsidRPr="002E742A">
              <w:rPr>
                <w:rStyle w:val="Hyperlink"/>
                <w:sz w:val="24"/>
                <w:szCs w:val="24"/>
                <w:lang w:val="fr-FR" w:eastAsia="zh-CN"/>
              </w:rPr>
              <w:instrText xml:space="preserve"> HYPERLINK "https://www.itu.int/md/S18-CL-C-0105/en" </w:instrText>
            </w:r>
            <w:r w:rsidR="002E742A" w:rsidRPr="002E742A">
              <w:rPr>
                <w:rStyle w:val="Hyperlink"/>
                <w:sz w:val="24"/>
                <w:szCs w:val="24"/>
              </w:rPr>
              <w:fldChar w:fldCharType="separate"/>
            </w:r>
            <w:r w:rsidR="002E742A" w:rsidRPr="002E742A">
              <w:rPr>
                <w:rStyle w:val="Hyperlink"/>
                <w:sz w:val="24"/>
                <w:szCs w:val="24"/>
                <w:lang w:val="fr-FR" w:eastAsia="zh-CN"/>
              </w:rPr>
              <w:t>C18/105</w:t>
            </w:r>
            <w:r w:rsidR="002E742A" w:rsidRPr="002E742A">
              <w:rPr>
                <w:rStyle w:val="Hyperlink"/>
                <w:sz w:val="24"/>
                <w:szCs w:val="24"/>
              </w:rPr>
              <w:fldChar w:fldCharType="end"/>
            </w:r>
            <w:r w:rsidR="002E742A" w:rsidRPr="00EB5818">
              <w:rPr>
                <w:rFonts w:hint="eastAsia"/>
                <w:sz w:val="24"/>
                <w:szCs w:val="24"/>
                <w:lang w:eastAsia="zh-CN"/>
              </w:rPr>
              <w:t>号文件</w:t>
            </w:r>
            <w:r w:rsidR="002E742A">
              <w:rPr>
                <w:rFonts w:hint="eastAsia"/>
                <w:sz w:val="24"/>
                <w:szCs w:val="24"/>
                <w:lang w:eastAsia="zh-CN"/>
              </w:rPr>
              <w:t>、</w:t>
            </w:r>
            <w:hyperlink r:id="rId11" w:history="1">
              <w:r w:rsidR="002E742A" w:rsidRPr="008275A4">
                <w:rPr>
                  <w:rStyle w:val="Hyperlink"/>
                  <w:sz w:val="24"/>
                  <w:szCs w:val="28"/>
                  <w:lang w:val="fr-FR" w:eastAsia="zh-CN"/>
                </w:rPr>
                <w:t>WTDC</w:t>
              </w:r>
              <w:r w:rsidR="002E742A" w:rsidRPr="008275A4">
                <w:rPr>
                  <w:rStyle w:val="Hyperlink"/>
                  <w:sz w:val="24"/>
                  <w:szCs w:val="28"/>
                  <w:lang w:val="fr-FR" w:eastAsia="zh-CN"/>
                </w:rPr>
                <w:noBreakHyphen/>
                <w:t>17</w:t>
              </w:r>
              <w:r w:rsidR="008275A4" w:rsidRPr="008275A4">
                <w:rPr>
                  <w:rStyle w:val="Hyperlink"/>
                  <w:rFonts w:hint="eastAsia"/>
                  <w:sz w:val="24"/>
                  <w:szCs w:val="28"/>
                  <w:lang w:val="fr-FR" w:eastAsia="zh-CN"/>
                </w:rPr>
                <w:t>第</w:t>
              </w:r>
              <w:r w:rsidR="002E742A" w:rsidRPr="008275A4">
                <w:rPr>
                  <w:rStyle w:val="Hyperlink"/>
                  <w:sz w:val="24"/>
                  <w:szCs w:val="28"/>
                  <w:lang w:val="fr-FR" w:eastAsia="zh-CN"/>
                </w:rPr>
                <w:t>8</w:t>
              </w:r>
            </w:hyperlink>
            <w:r w:rsidR="008275A4" w:rsidRPr="008275A4">
              <w:rPr>
                <w:rStyle w:val="Hyperlink"/>
                <w:rFonts w:hint="eastAsia"/>
                <w:sz w:val="24"/>
                <w:szCs w:val="28"/>
                <w:lang w:val="fr-FR" w:eastAsia="zh-CN"/>
              </w:rPr>
              <w:t>号决议</w:t>
            </w:r>
          </w:p>
        </w:tc>
        <w:bookmarkStart w:id="8" w:name="_GoBack"/>
        <w:bookmarkEnd w:id="8"/>
      </w:tr>
    </w:tbl>
    <w:p w:rsidR="00BD03EF" w:rsidRDefault="008275A4" w:rsidP="00BD03EF">
      <w:pPr>
        <w:spacing w:before="360"/>
        <w:ind w:firstLineChars="200" w:firstLine="480"/>
        <w:rPr>
          <w:rFonts w:asciiTheme="minorHAnsi" w:hAnsiTheme="minorHAnsi" w:cs="Segoe UI"/>
          <w:szCs w:val="24"/>
          <w:lang w:eastAsia="zh-CN"/>
        </w:rPr>
      </w:pPr>
      <w:r>
        <w:rPr>
          <w:rFonts w:hint="eastAsia"/>
          <w:lang w:eastAsia="zh-CN"/>
        </w:rPr>
        <w:t>本报告审查了</w:t>
      </w:r>
      <w:r>
        <w:rPr>
          <w:lang w:eastAsia="zh-CN"/>
        </w:rPr>
        <w:t>国际</w:t>
      </w:r>
      <w:r>
        <w:rPr>
          <w:rFonts w:hint="eastAsia"/>
          <w:lang w:eastAsia="zh-CN"/>
        </w:rPr>
        <w:t>电联开展收集</w:t>
      </w:r>
      <w:r>
        <w:rPr>
          <w:lang w:eastAsia="zh-CN"/>
        </w:rPr>
        <w:t>、编制和</w:t>
      </w:r>
      <w:r>
        <w:rPr>
          <w:rFonts w:hint="eastAsia"/>
          <w:lang w:eastAsia="zh-CN"/>
        </w:rPr>
        <w:t>发布</w:t>
      </w:r>
      <w:r>
        <w:rPr>
          <w:lang w:eastAsia="zh-CN"/>
        </w:rPr>
        <w:t>有</w:t>
      </w:r>
      <w:r>
        <w:rPr>
          <w:rFonts w:hint="eastAsia"/>
          <w:lang w:eastAsia="zh-CN"/>
        </w:rPr>
        <w:t>用</w:t>
      </w:r>
      <w:r>
        <w:rPr>
          <w:lang w:eastAsia="zh-CN"/>
        </w:rPr>
        <w:t>数据、信息、统计和报告工作</w:t>
      </w:r>
      <w:r>
        <w:rPr>
          <w:rFonts w:hint="eastAsia"/>
          <w:lang w:eastAsia="zh-CN"/>
        </w:rPr>
        <w:t>所需的</w:t>
      </w:r>
      <w:r>
        <w:rPr>
          <w:lang w:eastAsia="zh-CN"/>
        </w:rPr>
        <w:t>人力和财务资源。</w:t>
      </w:r>
      <w:r>
        <w:rPr>
          <w:rFonts w:hint="eastAsia"/>
          <w:lang w:eastAsia="zh-CN"/>
        </w:rPr>
        <w:t>此外，报告亦分析了国际电联全权代表大会修正</w:t>
      </w:r>
      <w:r w:rsidRPr="00EB5818">
        <w:rPr>
          <w:rFonts w:asciiTheme="minorHAnsi" w:hAnsiTheme="minorHAnsi" w:cs="Segoe UI" w:hint="eastAsia"/>
          <w:szCs w:val="24"/>
          <w:lang w:eastAsia="zh-CN"/>
        </w:rPr>
        <w:t>第</w:t>
      </w:r>
      <w:r w:rsidRPr="00EB5818">
        <w:rPr>
          <w:rFonts w:asciiTheme="minorHAnsi" w:hAnsiTheme="minorHAnsi" w:cs="Segoe UI"/>
          <w:szCs w:val="24"/>
          <w:lang w:eastAsia="zh-CN"/>
        </w:rPr>
        <w:t>131</w:t>
      </w:r>
      <w:r w:rsidRPr="00EB5818">
        <w:rPr>
          <w:rFonts w:asciiTheme="minorHAnsi" w:hAnsiTheme="minorHAnsi" w:cs="Segoe UI" w:hint="eastAsia"/>
          <w:szCs w:val="24"/>
          <w:lang w:eastAsia="zh-CN"/>
        </w:rPr>
        <w:t>号决议（</w:t>
      </w:r>
      <w:r w:rsidRPr="00EB5818">
        <w:rPr>
          <w:rFonts w:asciiTheme="minorHAnsi" w:hAnsiTheme="minorHAnsi" w:cs="Segoe UI" w:hint="eastAsia"/>
          <w:szCs w:val="24"/>
          <w:lang w:eastAsia="zh-CN"/>
        </w:rPr>
        <w:t>201</w:t>
      </w:r>
      <w:r>
        <w:rPr>
          <w:rFonts w:asciiTheme="minorHAnsi" w:hAnsiTheme="minorHAnsi" w:cs="Segoe UI" w:hint="eastAsia"/>
          <w:szCs w:val="24"/>
          <w:lang w:eastAsia="zh-CN"/>
        </w:rPr>
        <w:t>8</w:t>
      </w:r>
      <w:r w:rsidRPr="00EB5818">
        <w:rPr>
          <w:rFonts w:asciiTheme="minorHAnsi" w:hAnsiTheme="minorHAnsi" w:cs="Segoe UI" w:hint="eastAsia"/>
          <w:szCs w:val="24"/>
          <w:lang w:eastAsia="zh-CN"/>
        </w:rPr>
        <w:t>年，</w:t>
      </w:r>
      <w:r>
        <w:rPr>
          <w:rFonts w:asciiTheme="minorHAnsi" w:hAnsiTheme="minorHAnsi" w:cs="Segoe UI" w:hint="eastAsia"/>
          <w:szCs w:val="24"/>
          <w:lang w:eastAsia="zh-CN"/>
        </w:rPr>
        <w:t>迪拜</w:t>
      </w:r>
      <w:r w:rsidRPr="00EB5818">
        <w:rPr>
          <w:rFonts w:asciiTheme="minorHAnsi" w:hAnsiTheme="minorHAnsi" w:cs="Segoe UI" w:hint="eastAsia"/>
          <w:szCs w:val="24"/>
          <w:lang w:eastAsia="zh-CN"/>
        </w:rPr>
        <w:t>，修订版）</w:t>
      </w:r>
      <w:r>
        <w:rPr>
          <w:rFonts w:asciiTheme="minorHAnsi" w:hAnsiTheme="minorHAnsi" w:cs="Segoe UI" w:hint="eastAsia"/>
          <w:szCs w:val="24"/>
          <w:lang w:eastAsia="zh-CN"/>
        </w:rPr>
        <w:t>产生的影响。</w:t>
      </w:r>
    </w:p>
    <w:p w:rsidR="00BD03EF" w:rsidRDefault="00BD03E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2183F" w:rsidRPr="00224583" w:rsidRDefault="00C2183F" w:rsidP="00403ECD">
      <w:pPr>
        <w:pStyle w:val="Heading1"/>
        <w:rPr>
          <w:lang w:eastAsia="zh-CN"/>
        </w:rPr>
      </w:pPr>
      <w:r w:rsidRPr="00224583">
        <w:rPr>
          <w:lang w:eastAsia="zh-CN"/>
        </w:rPr>
        <w:lastRenderedPageBreak/>
        <w:t>1.</w:t>
      </w:r>
      <w:r w:rsidRPr="00224583">
        <w:rPr>
          <w:lang w:eastAsia="zh-CN"/>
        </w:rPr>
        <w:tab/>
      </w:r>
      <w:r w:rsidR="008275A4">
        <w:rPr>
          <w:rFonts w:hint="eastAsia"/>
          <w:lang w:eastAsia="zh-CN"/>
        </w:rPr>
        <w:t>背景</w:t>
      </w:r>
    </w:p>
    <w:p w:rsidR="00C2183F" w:rsidRDefault="00C2183F" w:rsidP="00403ECD">
      <w:pPr>
        <w:rPr>
          <w:lang w:eastAsia="zh-CN"/>
        </w:rPr>
      </w:pPr>
      <w:r>
        <w:rPr>
          <w:lang w:eastAsia="zh-CN"/>
        </w:rPr>
        <w:t>1.1</w:t>
      </w:r>
      <w:r>
        <w:rPr>
          <w:lang w:eastAsia="zh-CN"/>
        </w:rPr>
        <w:tab/>
      </w:r>
      <w:r w:rsidR="008275A4">
        <w:rPr>
          <w:rFonts w:hint="eastAsia"/>
          <w:lang w:eastAsia="zh-CN"/>
        </w:rPr>
        <w:t>国际电联每年组织</w:t>
      </w:r>
      <w:r w:rsidR="00157174">
        <w:rPr>
          <w:rFonts w:hint="eastAsia"/>
          <w:lang w:eastAsia="zh-CN"/>
        </w:rPr>
        <w:t>的</w:t>
      </w:r>
      <w:hyperlink r:id="rId12" w:history="1">
        <w:r w:rsidR="008275A4" w:rsidRPr="00092316">
          <w:rPr>
            <w:rStyle w:val="Hyperlink"/>
            <w:rFonts w:cs="Calibri" w:hint="eastAsia"/>
            <w:lang w:eastAsia="zh-CN"/>
          </w:rPr>
          <w:t>世界电信</w:t>
        </w:r>
        <w:r w:rsidR="008275A4" w:rsidRPr="00092316">
          <w:rPr>
            <w:rStyle w:val="Hyperlink"/>
            <w:rFonts w:cs="Calibri" w:hint="eastAsia"/>
            <w:lang w:eastAsia="zh-CN"/>
          </w:rPr>
          <w:t>/ICT</w:t>
        </w:r>
        <w:r w:rsidR="008275A4" w:rsidRPr="00092316">
          <w:rPr>
            <w:rStyle w:val="Hyperlink"/>
            <w:rFonts w:cs="Calibri" w:hint="eastAsia"/>
            <w:lang w:eastAsia="zh-CN"/>
          </w:rPr>
          <w:t>指标专题研讨会</w:t>
        </w:r>
      </w:hyperlink>
      <w:hyperlink r:id="rId13" w:history="1"/>
      <w:r w:rsidR="008275A4" w:rsidRPr="009505B5">
        <w:rPr>
          <w:rFonts w:cs="Calibri" w:hint="eastAsia"/>
          <w:lang w:eastAsia="zh-CN"/>
        </w:rPr>
        <w:t>（</w:t>
      </w:r>
      <w:r w:rsidRPr="009505B5">
        <w:rPr>
          <w:rFonts w:cs="Calibri"/>
          <w:lang w:eastAsia="zh-CN"/>
        </w:rPr>
        <w:t>WTIS</w:t>
      </w:r>
      <w:r w:rsidR="008275A4" w:rsidRPr="009505B5">
        <w:rPr>
          <w:rFonts w:cs="Calibri" w:hint="eastAsia"/>
          <w:lang w:eastAsia="zh-CN"/>
        </w:rPr>
        <w:t>）</w:t>
      </w:r>
      <w:r w:rsidR="00157174" w:rsidRPr="009505B5">
        <w:rPr>
          <w:rFonts w:cs="Calibri" w:hint="eastAsia"/>
          <w:lang w:eastAsia="zh-CN"/>
        </w:rPr>
        <w:t>是衡量电信和信息社会的主要全球论坛。国际电联通过电信</w:t>
      </w:r>
      <w:r w:rsidR="00157174" w:rsidRPr="009505B5">
        <w:rPr>
          <w:rFonts w:cs="Calibri" w:hint="eastAsia"/>
          <w:lang w:eastAsia="zh-CN"/>
        </w:rPr>
        <w:t>/ICT</w:t>
      </w:r>
      <w:r w:rsidR="00157174" w:rsidRPr="009505B5">
        <w:rPr>
          <w:rFonts w:cs="Calibri" w:hint="eastAsia"/>
          <w:lang w:eastAsia="zh-CN"/>
        </w:rPr>
        <w:t>指标专家组（</w:t>
      </w:r>
      <w:r w:rsidR="00157174" w:rsidRPr="009505B5">
        <w:rPr>
          <w:rFonts w:cs="Calibri" w:hint="eastAsia"/>
          <w:lang w:eastAsia="zh-CN"/>
        </w:rPr>
        <w:t>EGTI</w:t>
      </w:r>
      <w:r w:rsidR="00157174" w:rsidRPr="009505B5">
        <w:rPr>
          <w:rFonts w:cs="Calibri" w:hint="eastAsia"/>
          <w:lang w:eastAsia="zh-CN"/>
        </w:rPr>
        <w:t>）和家庭指标专家组（</w:t>
      </w:r>
      <w:r w:rsidR="00157174" w:rsidRPr="009505B5">
        <w:rPr>
          <w:rFonts w:cs="Calibri" w:hint="eastAsia"/>
          <w:lang w:eastAsia="zh-CN"/>
        </w:rPr>
        <w:t>EGH</w:t>
      </w:r>
      <w:r w:rsidR="00157174" w:rsidRPr="009505B5">
        <w:rPr>
          <w:rFonts w:cs="Calibri" w:hint="eastAsia"/>
          <w:lang w:eastAsia="zh-CN"/>
        </w:rPr>
        <w:t>）开展数据和统计工作。</w:t>
      </w:r>
      <w:r w:rsidRPr="009505B5">
        <w:rPr>
          <w:rStyle w:val="FootnoteReference"/>
          <w:rFonts w:cs="Calibri"/>
        </w:rPr>
        <w:footnoteReference w:id="1"/>
      </w:r>
      <w:r w:rsidR="00403ECD" w:rsidRPr="009505B5">
        <w:rPr>
          <w:rFonts w:cs="Calibri" w:hint="eastAsia"/>
          <w:lang w:eastAsia="zh-CN"/>
        </w:rPr>
        <w:t xml:space="preserve"> </w:t>
      </w:r>
      <w:r w:rsidR="00157174" w:rsidRPr="009505B5">
        <w:rPr>
          <w:rFonts w:cs="Calibri" w:hint="eastAsia"/>
          <w:lang w:eastAsia="zh-CN"/>
        </w:rPr>
        <w:t>自</w:t>
      </w:r>
      <w:r w:rsidRPr="009505B5">
        <w:rPr>
          <w:rFonts w:cs="Calibri"/>
          <w:lang w:eastAsia="zh-CN"/>
        </w:rPr>
        <w:t>2009</w:t>
      </w:r>
      <w:r w:rsidR="00157174" w:rsidRPr="009505B5">
        <w:rPr>
          <w:rFonts w:cs="Calibri" w:hint="eastAsia"/>
          <w:lang w:eastAsia="zh-CN"/>
        </w:rPr>
        <w:t>年起，该组织便开始出版《衡量信息社会报告》。</w:t>
      </w:r>
      <w:r w:rsidR="00157174">
        <w:rPr>
          <w:rFonts w:hint="eastAsia"/>
          <w:lang w:eastAsia="zh-CN"/>
        </w:rPr>
        <w:t>此报告使用关键电信</w:t>
      </w:r>
      <w:r w:rsidR="00157174">
        <w:rPr>
          <w:lang w:eastAsia="zh-CN"/>
        </w:rPr>
        <w:t>/ICT</w:t>
      </w:r>
      <w:r w:rsidR="00157174">
        <w:rPr>
          <w:rFonts w:hint="eastAsia"/>
          <w:lang w:eastAsia="zh-CN"/>
        </w:rPr>
        <w:t>数据和基准工具衡量信息社会，对信息社会进行定量分析，突出介绍新方向和新兴趋势以及衡量方面的问题。除此之外，报告还在</w:t>
      </w:r>
      <w:r w:rsidR="00157174">
        <w:rPr>
          <w:rFonts w:hint="eastAsia"/>
          <w:lang w:eastAsia="zh-CN"/>
        </w:rPr>
        <w:t>14</w:t>
      </w:r>
      <w:r w:rsidR="00157174">
        <w:rPr>
          <w:rFonts w:hint="eastAsia"/>
          <w:lang w:eastAsia="zh-CN"/>
        </w:rPr>
        <w:t>项指标的基础之上汇报</w:t>
      </w:r>
      <w:r w:rsidR="00157174">
        <w:rPr>
          <w:rFonts w:hint="eastAsia"/>
          <w:lang w:eastAsia="zh-CN"/>
        </w:rPr>
        <w:t>I</w:t>
      </w:r>
      <w:r w:rsidR="00157174">
        <w:rPr>
          <w:lang w:eastAsia="zh-CN"/>
        </w:rPr>
        <w:t>CT</w:t>
      </w:r>
      <w:r w:rsidR="00157174">
        <w:rPr>
          <w:rFonts w:hint="eastAsia"/>
          <w:lang w:eastAsia="zh-CN"/>
        </w:rPr>
        <w:t>发展指数（</w:t>
      </w:r>
      <w:r w:rsidR="00157174">
        <w:rPr>
          <w:lang w:eastAsia="zh-CN"/>
        </w:rPr>
        <w:t>IDI</w:t>
      </w:r>
      <w:r w:rsidR="00157174">
        <w:rPr>
          <w:rFonts w:hint="eastAsia"/>
          <w:lang w:eastAsia="zh-CN"/>
        </w:rPr>
        <w:t>），在</w:t>
      </w:r>
      <w:r w:rsidR="00157174">
        <w:rPr>
          <w:rFonts w:hint="eastAsia"/>
          <w:lang w:eastAsia="zh-CN"/>
        </w:rPr>
        <w:t>2017</w:t>
      </w:r>
      <w:r w:rsidR="00157174">
        <w:rPr>
          <w:rFonts w:hint="eastAsia"/>
          <w:lang w:eastAsia="zh-CN"/>
        </w:rPr>
        <w:t>年</w:t>
      </w:r>
      <w:r w:rsidR="00157174">
        <w:rPr>
          <w:lang w:eastAsia="zh-CN"/>
        </w:rPr>
        <w:t>EGTI</w:t>
      </w:r>
      <w:r w:rsidR="00157174">
        <w:rPr>
          <w:rFonts w:hint="eastAsia"/>
          <w:lang w:eastAsia="zh-CN"/>
        </w:rPr>
        <w:t>和</w:t>
      </w:r>
      <w:r w:rsidR="00157174">
        <w:rPr>
          <w:lang w:eastAsia="zh-CN"/>
        </w:rPr>
        <w:t>EGH</w:t>
      </w:r>
      <w:r w:rsidR="00157174">
        <w:rPr>
          <w:rFonts w:hint="eastAsia"/>
          <w:lang w:eastAsia="zh-CN"/>
        </w:rPr>
        <w:t>非常会议修订之前此指标仅有</w:t>
      </w:r>
      <w:r w:rsidR="00157174">
        <w:rPr>
          <w:rFonts w:hint="eastAsia"/>
          <w:lang w:eastAsia="zh-CN"/>
        </w:rPr>
        <w:t>11</w:t>
      </w:r>
      <w:r w:rsidR="00157174">
        <w:rPr>
          <w:rFonts w:hint="eastAsia"/>
          <w:lang w:eastAsia="zh-CN"/>
        </w:rPr>
        <w:t>项。</w:t>
      </w:r>
    </w:p>
    <w:p w:rsidR="00C2183F" w:rsidRDefault="00C2183F" w:rsidP="00403ECD">
      <w:pPr>
        <w:rPr>
          <w:lang w:eastAsia="zh-CN"/>
        </w:rPr>
      </w:pPr>
      <w:r>
        <w:rPr>
          <w:spacing w:val="2"/>
          <w:lang w:eastAsia="zh-CN"/>
        </w:rPr>
        <w:t>1.2</w:t>
      </w:r>
      <w:r>
        <w:rPr>
          <w:spacing w:val="2"/>
          <w:lang w:eastAsia="zh-CN"/>
        </w:rPr>
        <w:tab/>
      </w:r>
      <w:r w:rsidR="00157174">
        <w:rPr>
          <w:rFonts w:hint="eastAsia"/>
          <w:spacing w:val="2"/>
          <w:lang w:eastAsia="zh-CN"/>
        </w:rPr>
        <w:t>国际电联在统计问题上与</w:t>
      </w:r>
      <w:r w:rsidR="002E6646">
        <w:rPr>
          <w:rStyle w:val="Hyperlink"/>
          <w:spacing w:val="2"/>
          <w:lang w:eastAsia="zh-CN"/>
        </w:rPr>
        <w:fldChar w:fldCharType="begin"/>
      </w:r>
      <w:r w:rsidR="002E6646">
        <w:rPr>
          <w:rStyle w:val="Hyperlink"/>
          <w:spacing w:val="2"/>
          <w:lang w:eastAsia="zh-CN"/>
        </w:rPr>
        <w:instrText xml:space="preserve"> HYPERLINK "https://www.itu.int/en/ITU-D/Statistics/Pages/intlcoop/default.aspx" </w:instrText>
      </w:r>
      <w:r w:rsidR="002E6646">
        <w:rPr>
          <w:rStyle w:val="Hyperlink"/>
          <w:spacing w:val="2"/>
          <w:lang w:eastAsia="zh-CN"/>
        </w:rPr>
        <w:fldChar w:fldCharType="separate"/>
      </w:r>
      <w:r w:rsidR="00157174">
        <w:rPr>
          <w:rStyle w:val="Hyperlink"/>
          <w:rFonts w:hint="eastAsia"/>
          <w:spacing w:val="2"/>
          <w:lang w:eastAsia="zh-CN"/>
        </w:rPr>
        <w:t>国际机构</w:t>
      </w:r>
      <w:r w:rsidR="002E6646">
        <w:rPr>
          <w:rStyle w:val="Hyperlink"/>
          <w:spacing w:val="2"/>
          <w:lang w:eastAsia="zh-CN"/>
        </w:rPr>
        <w:fldChar w:fldCharType="end"/>
      </w:r>
      <w:r w:rsidR="00B0731E">
        <w:rPr>
          <w:rFonts w:hint="eastAsia"/>
          <w:spacing w:val="2"/>
          <w:lang w:eastAsia="zh-CN"/>
        </w:rPr>
        <w:t>开展了积极的合作。</w:t>
      </w:r>
    </w:p>
    <w:p w:rsidR="00C2183F" w:rsidRDefault="00C2183F" w:rsidP="00BD616C">
      <w:pPr>
        <w:pStyle w:val="Heading1"/>
        <w:rPr>
          <w:lang w:eastAsia="zh-CN"/>
        </w:rPr>
      </w:pPr>
      <w:r>
        <w:rPr>
          <w:bCs/>
          <w:lang w:eastAsia="zh-CN"/>
        </w:rPr>
        <w:t>2.</w:t>
      </w:r>
      <w:r w:rsidRPr="00224583">
        <w:rPr>
          <w:bCs/>
          <w:lang w:eastAsia="zh-CN"/>
        </w:rPr>
        <w:tab/>
      </w:r>
      <w:r w:rsidR="00B0731E">
        <w:rPr>
          <w:rFonts w:hint="eastAsia"/>
          <w:bCs/>
          <w:lang w:eastAsia="zh-CN"/>
        </w:rPr>
        <w:t>国际电联</w:t>
      </w:r>
      <w:r w:rsidR="00B0731E" w:rsidRPr="00BD616C">
        <w:rPr>
          <w:rFonts w:hint="eastAsia"/>
          <w:lang w:eastAsia="zh-CN"/>
        </w:rPr>
        <w:t>全权代表</w:t>
      </w:r>
      <w:r w:rsidR="00B0731E">
        <w:rPr>
          <w:rFonts w:hint="eastAsia"/>
          <w:bCs/>
          <w:lang w:eastAsia="zh-CN"/>
        </w:rPr>
        <w:t>大会（</w:t>
      </w:r>
      <w:r w:rsidR="00B0731E">
        <w:rPr>
          <w:bCs/>
          <w:lang w:eastAsia="zh-CN"/>
        </w:rPr>
        <w:t>PP-18</w:t>
      </w:r>
      <w:r w:rsidR="00B0731E">
        <w:rPr>
          <w:rFonts w:hint="eastAsia"/>
          <w:bCs/>
          <w:lang w:eastAsia="zh-CN"/>
        </w:rPr>
        <w:t>）对第</w:t>
      </w:r>
      <w:r w:rsidR="00B0731E">
        <w:rPr>
          <w:rFonts w:hint="eastAsia"/>
          <w:bCs/>
          <w:lang w:eastAsia="zh-CN"/>
        </w:rPr>
        <w:t>131</w:t>
      </w:r>
      <w:r w:rsidR="00B0731E">
        <w:rPr>
          <w:rFonts w:hint="eastAsia"/>
          <w:bCs/>
          <w:lang w:eastAsia="zh-CN"/>
        </w:rPr>
        <w:t>号决议修订的审议</w:t>
      </w:r>
    </w:p>
    <w:p w:rsidR="00C2183F" w:rsidRDefault="00C2183F" w:rsidP="00403ECD">
      <w:pPr>
        <w:ind w:firstLineChars="200" w:firstLine="480"/>
        <w:rPr>
          <w:lang w:eastAsia="zh-CN"/>
        </w:rPr>
      </w:pPr>
      <w:r>
        <w:rPr>
          <w:lang w:eastAsia="zh-CN"/>
        </w:rPr>
        <w:t>PP-18</w:t>
      </w:r>
      <w:r w:rsidR="00B0731E">
        <w:rPr>
          <w:rFonts w:hint="eastAsia"/>
          <w:lang w:eastAsia="zh-CN"/>
        </w:rPr>
        <w:t>通过的对第</w:t>
      </w:r>
      <w:r w:rsidR="00B0731E">
        <w:rPr>
          <w:rFonts w:hint="eastAsia"/>
          <w:lang w:eastAsia="zh-CN"/>
        </w:rPr>
        <w:t>131</w:t>
      </w:r>
      <w:r w:rsidR="00B0731E">
        <w:rPr>
          <w:rFonts w:hint="eastAsia"/>
          <w:lang w:eastAsia="zh-CN"/>
        </w:rPr>
        <w:t>号决议的一些修订会给统计部门的职能与资源需求造成影响。</w:t>
      </w:r>
    </w:p>
    <w:p w:rsidR="00C2183F" w:rsidRPr="00224583" w:rsidRDefault="00C2183F" w:rsidP="00BD616C">
      <w:pPr>
        <w:pStyle w:val="Heading1"/>
        <w:rPr>
          <w:b w:val="0"/>
          <w:bCs/>
          <w:lang w:eastAsia="zh-CN"/>
        </w:rPr>
      </w:pPr>
      <w:r>
        <w:rPr>
          <w:bCs/>
          <w:lang w:eastAsia="zh-CN"/>
        </w:rPr>
        <w:t>3.</w:t>
      </w:r>
      <w:r>
        <w:rPr>
          <w:bCs/>
          <w:lang w:eastAsia="zh-CN"/>
        </w:rPr>
        <w:tab/>
      </w:r>
      <w:r w:rsidR="00B0731E">
        <w:rPr>
          <w:rFonts w:hint="eastAsia"/>
          <w:bCs/>
          <w:lang w:eastAsia="zh-CN"/>
        </w:rPr>
        <w:t>国际电联</w:t>
      </w:r>
      <w:r w:rsidR="00B0731E" w:rsidRPr="00BD616C">
        <w:rPr>
          <w:rFonts w:hint="eastAsia"/>
          <w:lang w:eastAsia="zh-CN"/>
        </w:rPr>
        <w:t>数据</w:t>
      </w:r>
      <w:r w:rsidR="00B0731E">
        <w:rPr>
          <w:rFonts w:hint="eastAsia"/>
          <w:bCs/>
          <w:lang w:eastAsia="zh-CN"/>
        </w:rPr>
        <w:t>和统计工作的资源调配评估</w:t>
      </w:r>
    </w:p>
    <w:p w:rsidR="00C2183F" w:rsidRDefault="00C2183F" w:rsidP="00403ECD">
      <w:pPr>
        <w:rPr>
          <w:lang w:eastAsia="zh-CN"/>
        </w:rPr>
      </w:pPr>
      <w:r>
        <w:rPr>
          <w:lang w:eastAsia="zh-CN"/>
        </w:rPr>
        <w:t>3.1</w:t>
      </w:r>
      <w:r>
        <w:rPr>
          <w:lang w:eastAsia="zh-CN"/>
        </w:rPr>
        <w:tab/>
      </w:r>
      <w:r w:rsidR="00B0731E">
        <w:rPr>
          <w:rFonts w:hint="eastAsia"/>
          <w:lang w:eastAsia="zh-CN"/>
        </w:rPr>
        <w:t>第</w:t>
      </w:r>
      <w:r w:rsidR="00B0731E">
        <w:rPr>
          <w:rFonts w:hint="eastAsia"/>
          <w:lang w:eastAsia="zh-CN"/>
        </w:rPr>
        <w:t>131</w:t>
      </w:r>
      <w:r w:rsidR="00B0731E">
        <w:rPr>
          <w:rFonts w:hint="eastAsia"/>
          <w:lang w:eastAsia="zh-CN"/>
        </w:rPr>
        <w:t>号决议责成秘书长</w:t>
      </w:r>
      <w:r w:rsidR="004D09A7">
        <w:rPr>
          <w:rFonts w:hint="eastAsia"/>
          <w:lang w:eastAsia="zh-CN"/>
        </w:rPr>
        <w:t>审查</w:t>
      </w:r>
      <w:r w:rsidR="004D09A7">
        <w:rPr>
          <w:lang w:eastAsia="zh-CN"/>
        </w:rPr>
        <w:t>国际</w:t>
      </w:r>
      <w:r w:rsidR="004D09A7">
        <w:rPr>
          <w:rFonts w:hint="eastAsia"/>
          <w:lang w:eastAsia="zh-CN"/>
        </w:rPr>
        <w:t>电联</w:t>
      </w:r>
      <w:r w:rsidR="004D09A7">
        <w:rPr>
          <w:lang w:eastAsia="zh-CN"/>
        </w:rPr>
        <w:t>开展</w:t>
      </w:r>
      <w:r w:rsidR="004D09A7">
        <w:rPr>
          <w:rFonts w:hint="eastAsia"/>
          <w:lang w:eastAsia="zh-CN"/>
        </w:rPr>
        <w:t>收集</w:t>
      </w:r>
      <w:r w:rsidR="004D09A7">
        <w:rPr>
          <w:lang w:eastAsia="zh-CN"/>
        </w:rPr>
        <w:t>、编制和</w:t>
      </w:r>
      <w:r w:rsidR="004D09A7">
        <w:rPr>
          <w:rFonts w:hint="eastAsia"/>
          <w:lang w:eastAsia="zh-CN"/>
        </w:rPr>
        <w:t>发布</w:t>
      </w:r>
      <w:r w:rsidR="004D09A7">
        <w:rPr>
          <w:lang w:eastAsia="zh-CN"/>
        </w:rPr>
        <w:t>有</w:t>
      </w:r>
      <w:r w:rsidR="004D09A7">
        <w:rPr>
          <w:rFonts w:hint="eastAsia"/>
          <w:lang w:eastAsia="zh-CN"/>
        </w:rPr>
        <w:t>用</w:t>
      </w:r>
      <w:r w:rsidR="004D09A7">
        <w:rPr>
          <w:lang w:eastAsia="zh-CN"/>
        </w:rPr>
        <w:t>数据、信息、统计和报告工作</w:t>
      </w:r>
      <w:r w:rsidR="00B0731E">
        <w:rPr>
          <w:rFonts w:hint="eastAsia"/>
          <w:lang w:eastAsia="zh-CN"/>
        </w:rPr>
        <w:t>所</w:t>
      </w:r>
      <w:r w:rsidR="004D09A7">
        <w:rPr>
          <w:rFonts w:hint="eastAsia"/>
          <w:lang w:eastAsia="zh-CN"/>
        </w:rPr>
        <w:t>需的</w:t>
      </w:r>
      <w:r w:rsidR="004D09A7">
        <w:rPr>
          <w:lang w:eastAsia="zh-CN"/>
        </w:rPr>
        <w:t>人力和财务资源，并向理事会通报</w:t>
      </w:r>
      <w:r w:rsidR="00B0731E">
        <w:rPr>
          <w:rFonts w:hint="eastAsia"/>
          <w:lang w:eastAsia="zh-CN"/>
        </w:rPr>
        <w:t>此</w:t>
      </w:r>
      <w:r w:rsidR="004D09A7">
        <w:rPr>
          <w:lang w:eastAsia="zh-CN"/>
        </w:rPr>
        <w:t>研究</w:t>
      </w:r>
      <w:r w:rsidR="00B0731E">
        <w:rPr>
          <w:rFonts w:hint="eastAsia"/>
          <w:lang w:eastAsia="zh-CN"/>
        </w:rPr>
        <w:t>的</w:t>
      </w:r>
      <w:r w:rsidR="004D09A7">
        <w:rPr>
          <w:lang w:eastAsia="zh-CN"/>
        </w:rPr>
        <w:t>结果。</w:t>
      </w:r>
    </w:p>
    <w:p w:rsidR="00C2183F" w:rsidRDefault="00C2183F" w:rsidP="009679CC">
      <w:pPr>
        <w:rPr>
          <w:lang w:eastAsia="zh-CN"/>
        </w:rPr>
      </w:pPr>
      <w:r>
        <w:rPr>
          <w:lang w:eastAsia="zh-CN"/>
        </w:rPr>
        <w:t>3.2</w:t>
      </w:r>
      <w:r>
        <w:rPr>
          <w:lang w:eastAsia="zh-CN"/>
        </w:rPr>
        <w:tab/>
      </w:r>
      <w:r w:rsidR="005A10C6" w:rsidRPr="004E51FD">
        <w:rPr>
          <w:rFonts w:hint="eastAsia"/>
          <w:lang w:val="en-US" w:eastAsia="zh-CN"/>
        </w:rPr>
        <w:t>目前，国际电联</w:t>
      </w:r>
      <w:r w:rsidR="005A10C6" w:rsidRPr="00224583">
        <w:rPr>
          <w:lang w:val="en-US" w:eastAsia="zh-CN"/>
        </w:rPr>
        <w:t>ICT</w:t>
      </w:r>
      <w:r w:rsidR="005A10C6" w:rsidRPr="004E51FD">
        <w:rPr>
          <w:rFonts w:hint="eastAsia"/>
          <w:lang w:val="en-US" w:eastAsia="zh-CN"/>
        </w:rPr>
        <w:t>数据和统计处由五名专业人员和两名行政人员</w:t>
      </w:r>
      <w:r w:rsidR="00B0731E">
        <w:rPr>
          <w:rFonts w:hint="eastAsia"/>
          <w:lang w:val="en-US" w:eastAsia="zh-CN"/>
        </w:rPr>
        <w:t>（包括一名统计助理）</w:t>
      </w:r>
      <w:r w:rsidR="005A10C6" w:rsidRPr="004E51FD">
        <w:rPr>
          <w:rFonts w:hint="eastAsia"/>
          <w:lang w:val="en-US" w:eastAsia="zh-CN"/>
        </w:rPr>
        <w:t>组成，他们负责数据收集</w:t>
      </w:r>
      <w:r w:rsidR="005A10C6">
        <w:rPr>
          <w:rFonts w:hint="eastAsia"/>
          <w:lang w:val="en-US" w:eastAsia="zh-CN"/>
        </w:rPr>
        <w:t>、</w:t>
      </w:r>
      <w:r w:rsidR="005A10C6" w:rsidRPr="004E51FD">
        <w:rPr>
          <w:rFonts w:hint="eastAsia"/>
          <w:lang w:val="en-US" w:eastAsia="zh-CN"/>
        </w:rPr>
        <w:t>核查</w:t>
      </w:r>
      <w:r w:rsidR="00B0731E">
        <w:rPr>
          <w:rFonts w:hint="eastAsia"/>
          <w:lang w:val="en-US" w:eastAsia="zh-CN"/>
        </w:rPr>
        <w:t>和录入；确定相关格式并通过各种媒体进行</w:t>
      </w:r>
      <w:r w:rsidR="005A10C6" w:rsidRPr="004E51FD">
        <w:rPr>
          <w:rFonts w:hint="eastAsia"/>
          <w:lang w:val="en-US" w:eastAsia="zh-CN"/>
        </w:rPr>
        <w:t>传播</w:t>
      </w:r>
      <w:r w:rsidR="00B0731E">
        <w:rPr>
          <w:rFonts w:hint="eastAsia"/>
          <w:lang w:val="en-US" w:eastAsia="zh-CN"/>
        </w:rPr>
        <w:t>；对趋势加以</w:t>
      </w:r>
      <w:r w:rsidR="005A10C6" w:rsidRPr="004E51FD">
        <w:rPr>
          <w:rFonts w:hint="eastAsia"/>
          <w:lang w:val="en-US" w:eastAsia="zh-CN"/>
        </w:rPr>
        <w:t>分析</w:t>
      </w:r>
      <w:r w:rsidR="00B0731E">
        <w:rPr>
          <w:rFonts w:hint="eastAsia"/>
          <w:lang w:val="en-US" w:eastAsia="zh-CN"/>
        </w:rPr>
        <w:t>；</w:t>
      </w:r>
      <w:r w:rsidR="005A10C6">
        <w:rPr>
          <w:rFonts w:hint="eastAsia"/>
          <w:lang w:val="en-US" w:eastAsia="zh-CN"/>
        </w:rPr>
        <w:t>提供培训，</w:t>
      </w:r>
      <w:r w:rsidR="00B0731E">
        <w:rPr>
          <w:lang w:val="en-US" w:eastAsia="zh-CN"/>
        </w:rPr>
        <w:t>并</w:t>
      </w:r>
      <w:r w:rsidR="005A10C6">
        <w:rPr>
          <w:lang w:val="en-US" w:eastAsia="zh-CN"/>
        </w:rPr>
        <w:t>开展</w:t>
      </w:r>
      <w:r w:rsidR="005A10C6" w:rsidRPr="004E51FD">
        <w:rPr>
          <w:rFonts w:hint="eastAsia"/>
          <w:lang w:val="en-US" w:eastAsia="zh-CN"/>
        </w:rPr>
        <w:t>国际统计</w:t>
      </w:r>
      <w:r w:rsidR="005A10C6">
        <w:rPr>
          <w:rFonts w:hint="eastAsia"/>
          <w:lang w:val="en-US" w:eastAsia="zh-CN"/>
        </w:rPr>
        <w:t>工作的</w:t>
      </w:r>
      <w:r w:rsidR="005A10C6" w:rsidRPr="004E51FD">
        <w:rPr>
          <w:rFonts w:hint="eastAsia"/>
          <w:lang w:val="en-US" w:eastAsia="zh-CN"/>
        </w:rPr>
        <w:t>协调与合作</w:t>
      </w:r>
      <w:r w:rsidR="005A10C6">
        <w:rPr>
          <w:rFonts w:hint="eastAsia"/>
          <w:lang w:val="en-US" w:eastAsia="zh-CN"/>
        </w:rPr>
        <w:t>。</w:t>
      </w:r>
      <w:r w:rsidR="00B0731E">
        <w:rPr>
          <w:rFonts w:hint="eastAsia"/>
          <w:lang w:val="en-US" w:eastAsia="zh-CN"/>
        </w:rPr>
        <w:t>国际电联统计团队人员不足且活动预算划拨有限</w:t>
      </w:r>
      <w:r w:rsidR="0096261C">
        <w:rPr>
          <w:rFonts w:hint="eastAsia"/>
          <w:lang w:val="en-US" w:eastAsia="zh-CN"/>
        </w:rPr>
        <w:t>造成的挑战不仅会影响该决议的落实，而且对日常工作的执行亦有影响。</w:t>
      </w:r>
    </w:p>
    <w:p w:rsidR="00C2183F" w:rsidRDefault="00C2183F" w:rsidP="00092316">
      <w:pPr>
        <w:spacing w:after="120"/>
        <w:rPr>
          <w:lang w:eastAsia="zh-CN"/>
        </w:rPr>
      </w:pPr>
      <w:r>
        <w:rPr>
          <w:lang w:eastAsia="zh-CN"/>
        </w:rPr>
        <w:t>3.3</w:t>
      </w:r>
      <w:r>
        <w:rPr>
          <w:lang w:eastAsia="zh-CN"/>
        </w:rPr>
        <w:tab/>
      </w:r>
      <w:r w:rsidR="005A10C6">
        <w:rPr>
          <w:rFonts w:hint="eastAsia"/>
          <w:lang w:eastAsia="zh-CN"/>
        </w:rPr>
        <w:t>人们</w:t>
      </w:r>
      <w:r w:rsidR="005A10C6">
        <w:rPr>
          <w:lang w:eastAsia="zh-CN"/>
        </w:rPr>
        <w:t>常将</w:t>
      </w:r>
      <w:r w:rsidR="005A10C6" w:rsidRPr="00F156DA">
        <w:rPr>
          <w:rFonts w:hint="eastAsia"/>
          <w:lang w:val="en-US" w:eastAsia="zh-CN"/>
        </w:rPr>
        <w:t>国际电联在</w:t>
      </w:r>
      <w:r w:rsidR="005A10C6" w:rsidRPr="00F156DA">
        <w:rPr>
          <w:rFonts w:hint="eastAsia"/>
          <w:lang w:val="en-US" w:eastAsia="zh-CN"/>
        </w:rPr>
        <w:t>ICT</w:t>
      </w:r>
      <w:r w:rsidR="005A10C6" w:rsidRPr="00F156DA">
        <w:rPr>
          <w:rFonts w:hint="eastAsia"/>
          <w:lang w:val="en-US" w:eastAsia="zh-CN"/>
        </w:rPr>
        <w:t>统计</w:t>
      </w:r>
      <w:r w:rsidR="005A10C6">
        <w:rPr>
          <w:rFonts w:hint="eastAsia"/>
          <w:lang w:val="en-US" w:eastAsia="zh-CN"/>
        </w:rPr>
        <w:t>方面</w:t>
      </w:r>
      <w:r w:rsidR="005A10C6" w:rsidRPr="00403ECD">
        <w:rPr>
          <w:rFonts w:hint="eastAsia"/>
          <w:lang w:eastAsia="zh-CN"/>
        </w:rPr>
        <w:t>开展</w:t>
      </w:r>
      <w:r w:rsidR="005A10C6">
        <w:rPr>
          <w:rFonts w:hint="eastAsia"/>
          <w:lang w:val="en-US" w:eastAsia="zh-CN"/>
        </w:rPr>
        <w:t>的工作</w:t>
      </w:r>
      <w:r w:rsidR="005A10C6" w:rsidRPr="00F156DA">
        <w:rPr>
          <w:rFonts w:hint="eastAsia"/>
          <w:lang w:val="en-US" w:eastAsia="zh-CN"/>
        </w:rPr>
        <w:t>与其他国际组织的</w:t>
      </w:r>
      <w:r w:rsidR="005A10C6">
        <w:rPr>
          <w:rFonts w:hint="eastAsia"/>
          <w:lang w:val="en-US" w:eastAsia="zh-CN"/>
        </w:rPr>
        <w:t>相关</w:t>
      </w:r>
      <w:r w:rsidR="005A10C6" w:rsidRPr="00F156DA">
        <w:rPr>
          <w:rFonts w:hint="eastAsia"/>
          <w:lang w:val="en-US" w:eastAsia="zh-CN"/>
        </w:rPr>
        <w:t>工作进行比较</w:t>
      </w:r>
      <w:r w:rsidR="0096261C">
        <w:rPr>
          <w:rFonts w:hint="eastAsia"/>
          <w:lang w:val="en-US" w:eastAsia="zh-CN"/>
        </w:rPr>
        <w:t>。</w:t>
      </w:r>
      <w:r w:rsidR="005A10C6" w:rsidRPr="00F156DA">
        <w:rPr>
          <w:rFonts w:hint="eastAsia"/>
          <w:lang w:val="en-US" w:eastAsia="zh-CN"/>
        </w:rPr>
        <w:t>但</w:t>
      </w:r>
      <w:r w:rsidR="005A10C6">
        <w:rPr>
          <w:rFonts w:hint="eastAsia"/>
          <w:lang w:val="en-US" w:eastAsia="zh-CN"/>
        </w:rPr>
        <w:t>那</w:t>
      </w:r>
      <w:r w:rsidR="005A10C6" w:rsidRPr="00F156DA">
        <w:rPr>
          <w:rFonts w:hint="eastAsia"/>
          <w:lang w:val="en-US" w:eastAsia="zh-CN"/>
        </w:rPr>
        <w:t>些组织</w:t>
      </w:r>
      <w:r w:rsidR="005A10C6">
        <w:rPr>
          <w:rFonts w:hint="eastAsia"/>
          <w:lang w:val="en-US" w:eastAsia="zh-CN"/>
        </w:rPr>
        <w:t>所划拨</w:t>
      </w:r>
      <w:r w:rsidR="005A10C6" w:rsidRPr="00F156DA">
        <w:rPr>
          <w:rFonts w:hint="eastAsia"/>
          <w:lang w:val="en-US" w:eastAsia="zh-CN"/>
        </w:rPr>
        <w:t>的资源与国际电联可用于类似活动的资源不同</w:t>
      </w:r>
      <w:r w:rsidR="005A10C6">
        <w:rPr>
          <w:rFonts w:hint="eastAsia"/>
          <w:lang w:val="en-US" w:eastAsia="zh-CN"/>
        </w:rPr>
        <w:t>。</w:t>
      </w:r>
      <w:r w:rsidR="0096261C">
        <w:rPr>
          <w:rFonts w:hint="eastAsia"/>
          <w:lang w:val="en-US" w:eastAsia="zh-CN"/>
        </w:rPr>
        <w:t>与</w:t>
      </w:r>
      <w:r w:rsidR="005A10C6" w:rsidRPr="00F156DA">
        <w:rPr>
          <w:rFonts w:hint="eastAsia"/>
          <w:lang w:val="en-US" w:eastAsia="zh-CN"/>
        </w:rPr>
        <w:t>其他国际组织</w:t>
      </w:r>
      <w:r w:rsidR="0096261C">
        <w:rPr>
          <w:rFonts w:hint="eastAsia"/>
          <w:lang w:val="en-US" w:eastAsia="zh-CN"/>
        </w:rPr>
        <w:t>为</w:t>
      </w:r>
      <w:r w:rsidR="0096261C" w:rsidRPr="00F156DA">
        <w:rPr>
          <w:rFonts w:hint="eastAsia"/>
          <w:lang w:val="en-US" w:eastAsia="zh-CN"/>
        </w:rPr>
        <w:t>统计</w:t>
      </w:r>
      <w:r w:rsidR="0096261C">
        <w:rPr>
          <w:rFonts w:hint="eastAsia"/>
          <w:lang w:val="en-US" w:eastAsia="zh-CN"/>
        </w:rPr>
        <w:t>活动划拨</w:t>
      </w:r>
      <w:r w:rsidR="0096261C" w:rsidRPr="00F156DA">
        <w:rPr>
          <w:rFonts w:hint="eastAsia"/>
          <w:lang w:val="en-US" w:eastAsia="zh-CN"/>
        </w:rPr>
        <w:t>的人力资源</w:t>
      </w:r>
      <w:r w:rsidR="0096261C">
        <w:rPr>
          <w:rFonts w:hint="eastAsia"/>
          <w:lang w:val="en-US" w:eastAsia="zh-CN"/>
        </w:rPr>
        <w:t>相比，</w:t>
      </w:r>
      <w:r w:rsidR="005A10C6" w:rsidRPr="00F156DA">
        <w:rPr>
          <w:rFonts w:hint="eastAsia"/>
          <w:lang w:val="en-US" w:eastAsia="zh-CN"/>
        </w:rPr>
        <w:t>国际电联</w:t>
      </w:r>
      <w:r w:rsidR="0096261C">
        <w:rPr>
          <w:rFonts w:hint="eastAsia"/>
          <w:lang w:val="en-US" w:eastAsia="zh-CN"/>
        </w:rPr>
        <w:t>服务于统计工作的人员相对不足</w:t>
      </w:r>
      <w:r w:rsidR="005A10C6">
        <w:rPr>
          <w:rFonts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85"/>
        <w:gridCol w:w="1134"/>
        <w:gridCol w:w="2404"/>
      </w:tblGrid>
      <w:tr w:rsidR="00C2183F" w:rsidRPr="003B1591" w:rsidTr="005013BC">
        <w:tc>
          <w:tcPr>
            <w:tcW w:w="4106" w:type="dxa"/>
            <w:shd w:val="clear" w:color="auto" w:fill="auto"/>
            <w:hideMark/>
          </w:tcPr>
          <w:p w:rsidR="00C2183F" w:rsidRPr="003B1591" w:rsidRDefault="00A53DFC" w:rsidP="002E6646">
            <w:pPr>
              <w:keepNext/>
              <w:keepLines/>
              <w:overflowPunct/>
              <w:autoSpaceDE/>
              <w:autoSpaceDN/>
              <w:adjustRightInd/>
              <w:spacing w:before="0"/>
              <w:textAlignment w:val="auto"/>
              <w:rPr>
                <w:rFonts w:cs="Calibri"/>
                <w:b/>
                <w:bCs/>
                <w:color w:val="000000"/>
                <w:szCs w:val="24"/>
                <w:lang w:val="en-US"/>
              </w:rPr>
            </w:pPr>
            <w:proofErr w:type="spellStart"/>
            <w:r w:rsidRPr="00A53DFC">
              <w:rPr>
                <w:rFonts w:cs="Calibri" w:hint="eastAsia"/>
                <w:b/>
                <w:bCs/>
                <w:color w:val="000000"/>
                <w:szCs w:val="24"/>
                <w:lang w:val="en-US"/>
              </w:rPr>
              <w:t>组织名称</w:t>
            </w:r>
            <w:proofErr w:type="spellEnd"/>
          </w:p>
        </w:tc>
        <w:tc>
          <w:tcPr>
            <w:tcW w:w="1985" w:type="dxa"/>
            <w:shd w:val="clear" w:color="auto" w:fill="auto"/>
            <w:hideMark/>
          </w:tcPr>
          <w:p w:rsidR="00C2183F" w:rsidRPr="003B1591" w:rsidRDefault="00A53DFC" w:rsidP="002E6646">
            <w:pPr>
              <w:keepNext/>
              <w:keepLines/>
              <w:overflowPunct/>
              <w:autoSpaceDE/>
              <w:autoSpaceDN/>
              <w:adjustRightInd/>
              <w:spacing w:before="0"/>
              <w:jc w:val="center"/>
              <w:textAlignment w:val="auto"/>
              <w:rPr>
                <w:rFonts w:cs="Calibri"/>
                <w:b/>
                <w:bCs/>
                <w:color w:val="000000"/>
                <w:szCs w:val="24"/>
                <w:lang w:val="en-US" w:eastAsia="zh-CN"/>
              </w:rPr>
            </w:pPr>
            <w:r w:rsidRPr="00A53DFC">
              <w:rPr>
                <w:rFonts w:cs="Calibri" w:hint="eastAsia"/>
                <w:b/>
                <w:bCs/>
                <w:color w:val="000000"/>
                <w:szCs w:val="24"/>
                <w:lang w:val="en-US" w:eastAsia="zh-CN"/>
              </w:rPr>
              <w:t>开展统计工作的</w:t>
            </w:r>
            <w:r w:rsidRPr="00A53DFC">
              <w:rPr>
                <w:rFonts w:cs="Calibri"/>
                <w:b/>
                <w:bCs/>
                <w:color w:val="000000"/>
                <w:szCs w:val="24"/>
                <w:lang w:val="en-US" w:eastAsia="zh-CN"/>
              </w:rPr>
              <w:br/>
            </w:r>
            <w:r w:rsidRPr="00A53DFC">
              <w:rPr>
                <w:rFonts w:cs="Calibri" w:hint="eastAsia"/>
                <w:b/>
                <w:bCs/>
                <w:color w:val="000000"/>
                <w:szCs w:val="24"/>
                <w:lang w:val="en-US" w:eastAsia="zh-CN"/>
              </w:rPr>
              <w:t>人员数量</w:t>
            </w:r>
          </w:p>
        </w:tc>
        <w:tc>
          <w:tcPr>
            <w:tcW w:w="1134" w:type="dxa"/>
            <w:shd w:val="clear" w:color="auto" w:fill="auto"/>
            <w:hideMark/>
          </w:tcPr>
          <w:p w:rsidR="00C2183F" w:rsidRPr="003B1591" w:rsidRDefault="0096261C" w:rsidP="002E6646">
            <w:pPr>
              <w:keepNext/>
              <w:keepLines/>
              <w:overflowPunct/>
              <w:autoSpaceDE/>
              <w:autoSpaceDN/>
              <w:adjustRightInd/>
              <w:spacing w:before="0"/>
              <w:jc w:val="center"/>
              <w:textAlignment w:val="auto"/>
              <w:rPr>
                <w:rFonts w:cs="Calibri"/>
                <w:b/>
                <w:bCs/>
                <w:color w:val="000000"/>
                <w:szCs w:val="24"/>
                <w:lang w:val="en-US"/>
              </w:rPr>
            </w:pPr>
            <w:r>
              <w:rPr>
                <w:rFonts w:cs="Calibri" w:hint="eastAsia"/>
                <w:b/>
                <w:bCs/>
                <w:color w:val="000000"/>
                <w:szCs w:val="24"/>
                <w:lang w:val="en-US" w:eastAsia="zh-CN"/>
              </w:rPr>
              <w:t>人员</w:t>
            </w:r>
            <w:r w:rsidR="009679CC">
              <w:rPr>
                <w:rFonts w:cs="Calibri"/>
                <w:b/>
                <w:bCs/>
                <w:color w:val="000000"/>
                <w:szCs w:val="24"/>
                <w:lang w:val="en-US" w:eastAsia="zh-CN"/>
              </w:rPr>
              <w:br/>
            </w:r>
            <w:r>
              <w:rPr>
                <w:rFonts w:cs="Calibri" w:hint="eastAsia"/>
                <w:b/>
                <w:bCs/>
                <w:color w:val="000000"/>
                <w:szCs w:val="24"/>
                <w:lang w:val="en-US" w:eastAsia="zh-CN"/>
              </w:rPr>
              <w:t>总数</w:t>
            </w:r>
          </w:p>
        </w:tc>
        <w:tc>
          <w:tcPr>
            <w:tcW w:w="2404" w:type="dxa"/>
            <w:shd w:val="clear" w:color="auto" w:fill="auto"/>
            <w:hideMark/>
          </w:tcPr>
          <w:p w:rsidR="00C2183F" w:rsidRPr="003B1591" w:rsidRDefault="0096261C" w:rsidP="002E6646">
            <w:pPr>
              <w:keepNext/>
              <w:keepLines/>
              <w:overflowPunct/>
              <w:autoSpaceDE/>
              <w:autoSpaceDN/>
              <w:adjustRightInd/>
              <w:spacing w:before="0"/>
              <w:jc w:val="center"/>
              <w:textAlignment w:val="auto"/>
              <w:rPr>
                <w:rFonts w:cs="Calibri"/>
                <w:b/>
                <w:bCs/>
                <w:color w:val="000000"/>
                <w:szCs w:val="24"/>
                <w:lang w:val="en-US" w:eastAsia="zh-CN"/>
              </w:rPr>
            </w:pPr>
            <w:r>
              <w:rPr>
                <w:rFonts w:cs="Calibri" w:hint="eastAsia"/>
                <w:b/>
                <w:bCs/>
                <w:color w:val="000000"/>
                <w:szCs w:val="24"/>
                <w:lang w:val="en-US" w:eastAsia="zh-CN"/>
              </w:rPr>
              <w:t>统计人员占人员总数的百分比</w:t>
            </w:r>
          </w:p>
        </w:tc>
      </w:tr>
      <w:tr w:rsidR="00A53DFC" w:rsidRPr="003B1591" w:rsidTr="005013BC">
        <w:tc>
          <w:tcPr>
            <w:tcW w:w="4106" w:type="dxa"/>
            <w:shd w:val="clear" w:color="auto" w:fill="auto"/>
            <w:hideMark/>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hint="eastAsia"/>
                <w:color w:val="000000"/>
                <w:szCs w:val="24"/>
                <w:lang w:val="en-US" w:eastAsia="zh-CN"/>
              </w:rPr>
              <w:t>国际</w:t>
            </w:r>
            <w:r w:rsidRPr="005A10C6">
              <w:rPr>
                <w:rFonts w:cs="Calibri"/>
                <w:color w:val="000000"/>
                <w:szCs w:val="24"/>
                <w:lang w:val="en-US" w:eastAsia="zh-CN"/>
              </w:rPr>
              <w:t>货币基金组织</w:t>
            </w:r>
            <w:r w:rsidRPr="005A10C6">
              <w:rPr>
                <w:rFonts w:cs="Calibri" w:hint="eastAsia"/>
                <w:color w:val="000000"/>
                <w:szCs w:val="24"/>
                <w:lang w:val="en-US" w:eastAsia="zh-CN"/>
              </w:rPr>
              <w:t>（</w:t>
            </w:r>
            <w:r w:rsidRPr="005A10C6">
              <w:rPr>
                <w:rFonts w:cs="Calibri" w:hint="eastAsia"/>
                <w:color w:val="000000"/>
                <w:szCs w:val="24"/>
                <w:lang w:val="en-US" w:eastAsia="zh-CN"/>
              </w:rPr>
              <w:t>IMF</w:t>
            </w:r>
            <w:r w:rsidRPr="005A10C6">
              <w:rPr>
                <w:rFonts w:cs="Calibri" w:hint="eastAsia"/>
                <w:color w:val="000000"/>
                <w:szCs w:val="24"/>
                <w:lang w:val="en-US" w:eastAsia="zh-CN"/>
              </w:rPr>
              <w:t>）</w:t>
            </w:r>
          </w:p>
        </w:tc>
        <w:tc>
          <w:tcPr>
            <w:tcW w:w="1985"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190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2,400</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7.9%</w:t>
            </w:r>
          </w:p>
        </w:tc>
      </w:tr>
      <w:tr w:rsidR="00A53DFC" w:rsidRPr="003B1591" w:rsidTr="005013BC">
        <w:tc>
          <w:tcPr>
            <w:tcW w:w="4106"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Pr>
                <w:rFonts w:hint="eastAsia"/>
                <w:color w:val="000000"/>
                <w:szCs w:val="24"/>
                <w:lang w:val="en-US" w:eastAsia="zh-CN"/>
              </w:rPr>
              <w:t>联合国</w:t>
            </w:r>
            <w:r w:rsidRPr="001319B5">
              <w:rPr>
                <w:color w:val="000000"/>
                <w:szCs w:val="24"/>
                <w:lang w:val="en-US" w:eastAsia="zh-CN"/>
              </w:rPr>
              <w:t>粮食及农业组织</w:t>
            </w:r>
            <w:r>
              <w:rPr>
                <w:rFonts w:hint="eastAsia"/>
                <w:color w:val="000000"/>
                <w:szCs w:val="24"/>
                <w:lang w:val="en-US" w:eastAsia="zh-CN"/>
              </w:rPr>
              <w:t>（</w:t>
            </w:r>
            <w:r w:rsidRPr="00932C2C">
              <w:rPr>
                <w:color w:val="000000"/>
                <w:szCs w:val="24"/>
                <w:lang w:val="en-US" w:eastAsia="zh-CN"/>
              </w:rPr>
              <w:t>FAO</w:t>
            </w:r>
            <w:r>
              <w:rPr>
                <w:rFonts w:hint="eastAsia"/>
                <w:color w:val="000000"/>
                <w:szCs w:val="24"/>
                <w:lang w:val="en-US" w:eastAsia="zh-CN"/>
              </w:rPr>
              <w:t>）</w:t>
            </w:r>
          </w:p>
        </w:tc>
        <w:tc>
          <w:tcPr>
            <w:tcW w:w="1985"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100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3,317</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3.0%</w:t>
            </w:r>
          </w:p>
        </w:tc>
      </w:tr>
      <w:tr w:rsidR="00A53DFC" w:rsidRPr="003B1591" w:rsidTr="005013BC">
        <w:tc>
          <w:tcPr>
            <w:tcW w:w="4106" w:type="dxa"/>
            <w:shd w:val="clear" w:color="auto" w:fill="auto"/>
          </w:tcPr>
          <w:p w:rsidR="00A53DFC" w:rsidRPr="005A10C6" w:rsidRDefault="00A53DFC" w:rsidP="002E6646">
            <w:pPr>
              <w:keepNext/>
              <w:keepLines/>
              <w:overflowPunct/>
              <w:autoSpaceDE/>
              <w:autoSpaceDN/>
              <w:adjustRightInd/>
              <w:spacing w:before="0"/>
              <w:textAlignment w:val="auto"/>
              <w:rPr>
                <w:color w:val="000000"/>
                <w:szCs w:val="24"/>
                <w:lang w:val="en-US" w:eastAsia="zh-CN"/>
              </w:rPr>
            </w:pPr>
            <w:r w:rsidRPr="005A10C6">
              <w:rPr>
                <w:rFonts w:hint="eastAsia"/>
                <w:color w:val="000000"/>
                <w:szCs w:val="24"/>
                <w:lang w:val="en-US" w:eastAsia="zh-CN"/>
              </w:rPr>
              <w:lastRenderedPageBreak/>
              <w:t>世界卫生组织（</w:t>
            </w:r>
            <w:r w:rsidRPr="005A10C6">
              <w:rPr>
                <w:color w:val="000000"/>
                <w:szCs w:val="24"/>
                <w:lang w:val="en-US" w:eastAsia="zh-CN"/>
              </w:rPr>
              <w:t>WHO</w:t>
            </w:r>
            <w:r w:rsidRPr="005A10C6">
              <w:rPr>
                <w:rFonts w:hint="eastAsia"/>
                <w:color w:val="000000"/>
                <w:szCs w:val="24"/>
                <w:lang w:val="en-US" w:eastAsia="zh-CN"/>
              </w:rPr>
              <w:t>）</w:t>
            </w:r>
          </w:p>
        </w:tc>
        <w:tc>
          <w:tcPr>
            <w:tcW w:w="1985"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100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5,541</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1.8%</w:t>
            </w:r>
          </w:p>
        </w:tc>
      </w:tr>
      <w:tr w:rsidR="00A53DFC" w:rsidRPr="003B1591" w:rsidTr="005013BC">
        <w:tc>
          <w:tcPr>
            <w:tcW w:w="4106"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color w:val="000000"/>
                <w:szCs w:val="24"/>
                <w:lang w:eastAsia="zh-CN"/>
              </w:rPr>
              <w:t>经济合作与发展组织（</w:t>
            </w:r>
            <w:r w:rsidRPr="005A10C6">
              <w:rPr>
                <w:rFonts w:cs="Calibri"/>
                <w:color w:val="000000"/>
                <w:szCs w:val="24"/>
                <w:lang w:eastAsia="zh-CN"/>
              </w:rPr>
              <w:t>OECD</w:t>
            </w:r>
            <w:r w:rsidRPr="005A10C6">
              <w:rPr>
                <w:rFonts w:cs="Calibri"/>
                <w:color w:val="000000"/>
                <w:szCs w:val="24"/>
                <w:lang w:eastAsia="zh-CN"/>
              </w:rPr>
              <w:t>）</w:t>
            </w:r>
          </w:p>
        </w:tc>
        <w:tc>
          <w:tcPr>
            <w:tcW w:w="1985"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85</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2,500</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3.4%</w:t>
            </w:r>
          </w:p>
        </w:tc>
      </w:tr>
      <w:tr w:rsidR="00A53DFC" w:rsidRPr="003B1591" w:rsidTr="005013BC">
        <w:tc>
          <w:tcPr>
            <w:tcW w:w="4106"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color w:val="000000"/>
                <w:szCs w:val="24"/>
                <w:lang w:eastAsia="zh-CN"/>
              </w:rPr>
              <w:t>联合国教科文组织</w:t>
            </w:r>
            <w:r w:rsidR="00C86E9D">
              <w:rPr>
                <w:rFonts w:cs="Calibri"/>
                <w:color w:val="000000"/>
                <w:szCs w:val="24"/>
                <w:lang w:eastAsia="zh-CN"/>
              </w:rPr>
              <w:t>（</w:t>
            </w:r>
            <w:r w:rsidRPr="005A10C6">
              <w:rPr>
                <w:rFonts w:cs="Calibri"/>
                <w:color w:val="000000"/>
                <w:szCs w:val="24"/>
                <w:lang w:eastAsia="zh-CN"/>
              </w:rPr>
              <w:t>UNESCO</w:t>
            </w:r>
            <w:r w:rsidR="00C86E9D">
              <w:rPr>
                <w:rFonts w:cs="Calibri"/>
                <w:color w:val="000000"/>
                <w:szCs w:val="24"/>
                <w:lang w:eastAsia="zh-CN"/>
              </w:rPr>
              <w:t>）</w:t>
            </w:r>
            <w:r w:rsidRPr="005A10C6">
              <w:rPr>
                <w:rFonts w:cs="Calibri" w:hint="eastAsia"/>
                <w:color w:val="000000"/>
                <w:szCs w:val="24"/>
                <w:lang w:val="en-US" w:eastAsia="zh-CN"/>
              </w:rPr>
              <w:t>统计所</w:t>
            </w:r>
            <w:r w:rsidR="00C86E9D">
              <w:rPr>
                <w:rFonts w:cs="Calibri"/>
                <w:color w:val="000000"/>
                <w:szCs w:val="24"/>
                <w:lang w:val="en-US" w:eastAsia="zh-CN"/>
              </w:rPr>
              <w:t>（</w:t>
            </w:r>
            <w:r w:rsidR="00C86E9D" w:rsidRPr="00C86E9D">
              <w:rPr>
                <w:rFonts w:cs="Calibri"/>
                <w:color w:val="000000"/>
                <w:szCs w:val="24"/>
                <w:lang w:val="en-US" w:eastAsia="zh-CN"/>
              </w:rPr>
              <w:t>UIS</w:t>
            </w:r>
            <w:r w:rsidR="00C86E9D">
              <w:rPr>
                <w:rFonts w:cs="Calibri"/>
                <w:color w:val="000000"/>
                <w:szCs w:val="24"/>
                <w:lang w:val="en-US" w:eastAsia="zh-CN"/>
              </w:rPr>
              <w:t>）</w:t>
            </w:r>
          </w:p>
        </w:tc>
        <w:tc>
          <w:tcPr>
            <w:tcW w:w="1985"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70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2,051</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3.4%</w:t>
            </w:r>
          </w:p>
        </w:tc>
      </w:tr>
      <w:tr w:rsidR="00A53DFC" w:rsidRPr="003B1591" w:rsidTr="005013BC">
        <w:tc>
          <w:tcPr>
            <w:tcW w:w="4106"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hint="eastAsia"/>
                <w:color w:val="000000"/>
                <w:szCs w:val="24"/>
                <w:lang w:val="en-US" w:eastAsia="zh-CN"/>
              </w:rPr>
              <w:t>国际劳工组织</w:t>
            </w:r>
            <w:r w:rsidR="00C86E9D">
              <w:rPr>
                <w:rFonts w:cs="Calibri" w:hint="eastAsia"/>
                <w:color w:val="000000"/>
                <w:szCs w:val="24"/>
                <w:lang w:val="en-US" w:eastAsia="zh-CN"/>
              </w:rPr>
              <w:t>（</w:t>
            </w:r>
            <w:r w:rsidRPr="005A10C6">
              <w:rPr>
                <w:rFonts w:cs="Calibri"/>
                <w:color w:val="000000"/>
                <w:szCs w:val="24"/>
                <w:lang w:val="en-US" w:eastAsia="zh-CN"/>
              </w:rPr>
              <w:t>ILO</w:t>
            </w:r>
            <w:r w:rsidR="00C86E9D">
              <w:rPr>
                <w:rFonts w:cs="Calibri" w:hint="eastAsia"/>
                <w:color w:val="000000"/>
                <w:szCs w:val="24"/>
                <w:lang w:val="en-US" w:eastAsia="zh-CN"/>
              </w:rPr>
              <w:t>）</w:t>
            </w:r>
          </w:p>
        </w:tc>
        <w:tc>
          <w:tcPr>
            <w:tcW w:w="1985"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28</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2,337</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1.2%</w:t>
            </w:r>
          </w:p>
        </w:tc>
      </w:tr>
      <w:tr w:rsidR="00A53DFC" w:rsidRPr="003B1591" w:rsidTr="005013BC">
        <w:tc>
          <w:tcPr>
            <w:tcW w:w="4106"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hint="eastAsia"/>
                <w:color w:val="000000"/>
                <w:szCs w:val="24"/>
                <w:lang w:val="en-US" w:eastAsia="zh-CN"/>
              </w:rPr>
              <w:t>世界贸易组织</w:t>
            </w:r>
            <w:r w:rsidR="00C86E9D">
              <w:rPr>
                <w:rFonts w:cs="Calibri" w:hint="eastAsia"/>
                <w:color w:val="000000"/>
                <w:szCs w:val="24"/>
                <w:lang w:val="en-US" w:eastAsia="zh-CN"/>
              </w:rPr>
              <w:t>（</w:t>
            </w:r>
            <w:r w:rsidRPr="005A10C6">
              <w:rPr>
                <w:rFonts w:cs="Calibri"/>
                <w:color w:val="000000"/>
                <w:szCs w:val="24"/>
                <w:lang w:val="en-US" w:eastAsia="zh-CN"/>
              </w:rPr>
              <w:t>WTO</w:t>
            </w:r>
            <w:r w:rsidR="00C86E9D">
              <w:rPr>
                <w:rFonts w:cs="Calibri" w:hint="eastAsia"/>
                <w:color w:val="000000"/>
                <w:szCs w:val="24"/>
                <w:lang w:val="en-US" w:eastAsia="zh-CN"/>
              </w:rPr>
              <w:t>）</w:t>
            </w:r>
          </w:p>
        </w:tc>
        <w:tc>
          <w:tcPr>
            <w:tcW w:w="1985"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23</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625</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3.7%</w:t>
            </w:r>
          </w:p>
        </w:tc>
      </w:tr>
      <w:tr w:rsidR="00A53DFC" w:rsidRPr="003B1591" w:rsidTr="005013BC">
        <w:tc>
          <w:tcPr>
            <w:tcW w:w="4106" w:type="dxa"/>
            <w:shd w:val="clear" w:color="auto" w:fill="auto"/>
          </w:tcPr>
          <w:p w:rsidR="00A53DFC" w:rsidRPr="003B1591" w:rsidRDefault="00A53DFC" w:rsidP="002E6646">
            <w:pPr>
              <w:keepNext/>
              <w:keepLines/>
              <w:overflowPunct/>
              <w:autoSpaceDE/>
              <w:autoSpaceDN/>
              <w:adjustRightInd/>
              <w:spacing w:before="0"/>
              <w:textAlignment w:val="auto"/>
              <w:rPr>
                <w:rFonts w:cs="Calibri"/>
                <w:color w:val="000000"/>
                <w:szCs w:val="24"/>
                <w:lang w:val="en-US" w:eastAsia="zh-CN"/>
              </w:rPr>
            </w:pPr>
            <w:r w:rsidRPr="005A10C6">
              <w:rPr>
                <w:rFonts w:cs="Calibri"/>
                <w:color w:val="000000"/>
                <w:szCs w:val="24"/>
                <w:lang w:eastAsia="zh-CN"/>
              </w:rPr>
              <w:t>联合国贸易和发展会议</w:t>
            </w:r>
            <w:r w:rsidR="00C86E9D">
              <w:rPr>
                <w:rFonts w:cs="Calibri"/>
                <w:color w:val="000000"/>
                <w:szCs w:val="24"/>
                <w:lang w:eastAsia="zh-CN"/>
              </w:rPr>
              <w:t>（</w:t>
            </w:r>
            <w:r w:rsidRPr="005A10C6">
              <w:rPr>
                <w:rFonts w:cs="Calibri"/>
                <w:color w:val="000000"/>
                <w:szCs w:val="24"/>
                <w:lang w:eastAsia="zh-CN"/>
              </w:rPr>
              <w:t>UNCTAD</w:t>
            </w:r>
            <w:r w:rsidR="00C86E9D">
              <w:rPr>
                <w:rFonts w:cs="Calibri"/>
                <w:color w:val="000000"/>
                <w:szCs w:val="24"/>
                <w:lang w:eastAsia="zh-CN"/>
              </w:rPr>
              <w:t>）</w:t>
            </w:r>
          </w:p>
        </w:tc>
        <w:tc>
          <w:tcPr>
            <w:tcW w:w="1985" w:type="dxa"/>
            <w:shd w:val="clear" w:color="auto" w:fill="auto"/>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20</w:t>
            </w:r>
          </w:p>
        </w:tc>
        <w:tc>
          <w:tcPr>
            <w:tcW w:w="1134" w:type="dxa"/>
            <w:shd w:val="clear" w:color="auto" w:fill="auto"/>
            <w:noWrap/>
            <w:hideMark/>
          </w:tcPr>
          <w:p w:rsidR="00A53DFC" w:rsidRPr="003B1591" w:rsidRDefault="00A53DFC" w:rsidP="002E6646">
            <w:pPr>
              <w:keepNext/>
              <w:keepLine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470</w:t>
            </w:r>
          </w:p>
        </w:tc>
        <w:tc>
          <w:tcPr>
            <w:tcW w:w="2404" w:type="dxa"/>
            <w:shd w:val="clear" w:color="auto" w:fill="auto"/>
            <w:noWrap/>
            <w:hideMark/>
          </w:tcPr>
          <w:p w:rsidR="00A53DFC" w:rsidRPr="003B1591" w:rsidRDefault="00A53DFC" w:rsidP="002E6646">
            <w:pPr>
              <w:keepNext/>
              <w:keepLine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4.3%</w:t>
            </w:r>
          </w:p>
        </w:tc>
      </w:tr>
      <w:tr w:rsidR="005A10C6" w:rsidRPr="003B1591" w:rsidTr="005013BC">
        <w:tc>
          <w:tcPr>
            <w:tcW w:w="4106" w:type="dxa"/>
            <w:shd w:val="clear" w:color="auto" w:fill="auto"/>
          </w:tcPr>
          <w:p w:rsidR="005A10C6" w:rsidRPr="00AD6402" w:rsidRDefault="00A53DFC" w:rsidP="002E6646">
            <w:pPr>
              <w:keepNext/>
              <w:keepLines/>
              <w:overflowPunct/>
              <w:autoSpaceDE/>
              <w:autoSpaceDN/>
              <w:adjustRightInd/>
              <w:spacing w:before="0"/>
              <w:textAlignment w:val="auto"/>
              <w:rPr>
                <w:rFonts w:cs="Calibri"/>
                <w:b/>
                <w:bCs/>
                <w:color w:val="1F497D" w:themeColor="text2"/>
                <w:szCs w:val="24"/>
                <w:lang w:val="en-US" w:eastAsia="zh-CN"/>
              </w:rPr>
            </w:pPr>
            <w:r w:rsidRPr="00A53DFC">
              <w:rPr>
                <w:rFonts w:cs="Calibri" w:hint="eastAsia"/>
                <w:b/>
                <w:bCs/>
                <w:color w:val="1F497D" w:themeColor="text2"/>
                <w:szCs w:val="24"/>
                <w:lang w:val="en-US" w:eastAsia="zh-CN"/>
              </w:rPr>
              <w:t>国际电信联盟</w:t>
            </w:r>
            <w:r w:rsidR="00C86E9D">
              <w:rPr>
                <w:rFonts w:cs="Calibri"/>
                <w:b/>
                <w:bCs/>
                <w:color w:val="1F497D" w:themeColor="text2"/>
                <w:szCs w:val="24"/>
                <w:lang w:val="en-US" w:eastAsia="zh-CN"/>
              </w:rPr>
              <w:t>（</w:t>
            </w:r>
            <w:r w:rsidR="00C86E9D" w:rsidRPr="00C86E9D">
              <w:rPr>
                <w:rFonts w:cs="Calibri"/>
                <w:b/>
                <w:bCs/>
                <w:color w:val="1F497D" w:themeColor="text2"/>
                <w:szCs w:val="24"/>
                <w:lang w:val="en-US" w:eastAsia="zh-CN"/>
              </w:rPr>
              <w:t>ITU</w:t>
            </w:r>
            <w:r w:rsidR="00C86E9D">
              <w:rPr>
                <w:rFonts w:cs="Calibri"/>
                <w:b/>
                <w:bCs/>
                <w:color w:val="1F497D" w:themeColor="text2"/>
                <w:szCs w:val="24"/>
                <w:lang w:val="en-US" w:eastAsia="zh-CN"/>
              </w:rPr>
              <w:t>）</w:t>
            </w:r>
          </w:p>
        </w:tc>
        <w:tc>
          <w:tcPr>
            <w:tcW w:w="1985" w:type="dxa"/>
            <w:shd w:val="clear" w:color="auto" w:fill="auto"/>
            <w:hideMark/>
          </w:tcPr>
          <w:p w:rsidR="005A10C6" w:rsidRPr="00AD6402" w:rsidRDefault="005A10C6" w:rsidP="002E6646">
            <w:pPr>
              <w:keepNext/>
              <w:keepLines/>
              <w:overflowPunct/>
              <w:autoSpaceDE/>
              <w:autoSpaceDN/>
              <w:adjustRightInd/>
              <w:spacing w:before="0"/>
              <w:jc w:val="center"/>
              <w:textAlignment w:val="auto"/>
              <w:rPr>
                <w:rFonts w:cs="Calibri"/>
                <w:b/>
                <w:bCs/>
                <w:color w:val="1F497D" w:themeColor="text2"/>
                <w:szCs w:val="24"/>
                <w:lang w:val="en-US"/>
              </w:rPr>
            </w:pPr>
            <w:r w:rsidRPr="00AD6402">
              <w:rPr>
                <w:rFonts w:cs="Calibri"/>
                <w:b/>
                <w:bCs/>
                <w:color w:val="1F497D" w:themeColor="text2"/>
                <w:szCs w:val="24"/>
                <w:lang w:val="en-US"/>
              </w:rPr>
              <w:t>7</w:t>
            </w:r>
          </w:p>
        </w:tc>
        <w:tc>
          <w:tcPr>
            <w:tcW w:w="1134" w:type="dxa"/>
            <w:shd w:val="clear" w:color="auto" w:fill="auto"/>
            <w:noWrap/>
            <w:hideMark/>
          </w:tcPr>
          <w:p w:rsidR="005A10C6" w:rsidRPr="00AD6402" w:rsidRDefault="005A10C6" w:rsidP="002E6646">
            <w:pPr>
              <w:keepNext/>
              <w:keepLines/>
              <w:overflowPunct/>
              <w:autoSpaceDE/>
              <w:autoSpaceDN/>
              <w:adjustRightInd/>
              <w:spacing w:before="0"/>
              <w:jc w:val="right"/>
              <w:textAlignment w:val="auto"/>
              <w:rPr>
                <w:rFonts w:cs="Calibri"/>
                <w:b/>
                <w:color w:val="1F497D" w:themeColor="text2"/>
                <w:szCs w:val="24"/>
                <w:lang w:val="en-US"/>
              </w:rPr>
            </w:pPr>
            <w:r w:rsidRPr="00AD6402">
              <w:rPr>
                <w:rFonts w:cs="Calibri"/>
                <w:b/>
                <w:color w:val="1F497D" w:themeColor="text2"/>
                <w:szCs w:val="24"/>
                <w:lang w:val="en-US"/>
              </w:rPr>
              <w:t>749</w:t>
            </w:r>
          </w:p>
        </w:tc>
        <w:tc>
          <w:tcPr>
            <w:tcW w:w="2404" w:type="dxa"/>
            <w:shd w:val="clear" w:color="auto" w:fill="auto"/>
            <w:noWrap/>
            <w:hideMark/>
          </w:tcPr>
          <w:p w:rsidR="005A10C6" w:rsidRPr="00AD6402" w:rsidRDefault="005A10C6" w:rsidP="002E6646">
            <w:pPr>
              <w:keepNext/>
              <w:keepLines/>
              <w:overflowPunct/>
              <w:autoSpaceDE/>
              <w:autoSpaceDN/>
              <w:adjustRightInd/>
              <w:spacing w:before="0"/>
              <w:jc w:val="center"/>
              <w:textAlignment w:val="auto"/>
              <w:rPr>
                <w:rFonts w:cs="Calibri"/>
                <w:b/>
                <w:color w:val="1F497D" w:themeColor="text2"/>
                <w:szCs w:val="24"/>
                <w:lang w:val="en-US"/>
              </w:rPr>
            </w:pPr>
            <w:r w:rsidRPr="00AD6402">
              <w:rPr>
                <w:rFonts w:cs="Calibri"/>
                <w:b/>
                <w:color w:val="1F497D" w:themeColor="text2"/>
                <w:szCs w:val="24"/>
                <w:lang w:val="en-US"/>
              </w:rPr>
              <w:t>0.9%</w:t>
            </w:r>
          </w:p>
        </w:tc>
      </w:tr>
    </w:tbl>
    <w:p w:rsidR="00C2183F" w:rsidRPr="00FE54A5" w:rsidRDefault="0096261C" w:rsidP="002E6646">
      <w:pPr>
        <w:overflowPunct/>
        <w:autoSpaceDE/>
        <w:autoSpaceDN/>
        <w:adjustRightInd/>
        <w:textAlignment w:val="auto"/>
        <w:rPr>
          <w:rFonts w:ascii="Times New Roman" w:hAnsi="Times New Roman"/>
          <w:sz w:val="20"/>
          <w:lang w:eastAsia="zh-CN"/>
        </w:rPr>
      </w:pPr>
      <w:r>
        <w:rPr>
          <w:rFonts w:cs="Calibri" w:hint="eastAsia"/>
          <w:color w:val="000000"/>
          <w:sz w:val="20"/>
          <w:lang w:val="fr-CH" w:eastAsia="zh-CN"/>
        </w:rPr>
        <w:t>来源</w:t>
      </w:r>
      <w:r w:rsidRPr="00FE54A5">
        <w:rPr>
          <w:rFonts w:cs="Calibri" w:hint="eastAsia"/>
          <w:color w:val="000000"/>
          <w:sz w:val="20"/>
          <w:lang w:eastAsia="zh-CN"/>
        </w:rPr>
        <w:t>：</w:t>
      </w:r>
      <w:r w:rsidR="00C2183F" w:rsidRPr="00FE54A5">
        <w:rPr>
          <w:rFonts w:cs="Calibri"/>
          <w:color w:val="000000"/>
          <w:sz w:val="20"/>
          <w:lang w:eastAsia="zh-CN"/>
        </w:rPr>
        <w:br/>
      </w:r>
      <w:hyperlink r:id="rId14" w:history="1">
        <w:r w:rsidR="00C2183F" w:rsidRPr="00FE54A5">
          <w:rPr>
            <w:rStyle w:val="Hyperlink"/>
            <w:rFonts w:cs="Calibri"/>
            <w:sz w:val="20"/>
            <w:lang w:eastAsia="zh-CN"/>
          </w:rPr>
          <w:t>https://unstats.un.org/unsd/accsub-public/members.htm</w:t>
        </w:r>
      </w:hyperlink>
      <w:r w:rsidR="00C2183F" w:rsidRPr="00FE54A5">
        <w:rPr>
          <w:rFonts w:cs="Calibri"/>
          <w:color w:val="000000"/>
          <w:sz w:val="20"/>
          <w:lang w:eastAsia="zh-CN"/>
        </w:rPr>
        <w:t xml:space="preserve">, </w:t>
      </w:r>
      <w:r w:rsidR="00C2183F" w:rsidRPr="00FE54A5">
        <w:rPr>
          <w:rFonts w:cs="Calibri"/>
          <w:color w:val="000000"/>
          <w:sz w:val="20"/>
          <w:lang w:eastAsia="zh-CN"/>
        </w:rPr>
        <w:br/>
      </w:r>
      <w:hyperlink r:id="rId15" w:history="1">
        <w:r w:rsidR="00C2183F" w:rsidRPr="00FE54A5">
          <w:rPr>
            <w:rStyle w:val="Hyperlink"/>
            <w:rFonts w:cs="Calibri"/>
            <w:sz w:val="20"/>
            <w:lang w:eastAsia="zh-CN"/>
          </w:rPr>
          <w:t>https://www.unsystem.org/content/total-staff-organization</w:t>
        </w:r>
      </w:hyperlink>
      <w:r w:rsidR="00C2183F" w:rsidRPr="00FE54A5">
        <w:rPr>
          <w:rFonts w:cs="Calibri"/>
          <w:color w:val="000000"/>
          <w:sz w:val="20"/>
          <w:lang w:eastAsia="zh-CN"/>
        </w:rPr>
        <w:t xml:space="preserve">, </w:t>
      </w:r>
      <w:r w:rsidR="00C2183F" w:rsidRPr="00FE54A5">
        <w:rPr>
          <w:rFonts w:cs="Calibri"/>
          <w:color w:val="000000"/>
          <w:sz w:val="20"/>
          <w:lang w:eastAsia="zh-CN"/>
        </w:rPr>
        <w:br/>
      </w:r>
      <w:hyperlink r:id="rId16" w:history="1">
        <w:r w:rsidR="00C2183F" w:rsidRPr="00FE54A5">
          <w:rPr>
            <w:rStyle w:val="Hyperlink"/>
            <w:rFonts w:cs="Calibri"/>
            <w:sz w:val="20"/>
            <w:lang w:eastAsia="zh-CN"/>
          </w:rPr>
          <w:t>http://www.worldbank.org/en/news/infographic/2015/10/27/where-is-staff-from</w:t>
        </w:r>
      </w:hyperlink>
      <w:r w:rsidR="00C2183F" w:rsidRPr="00FE54A5">
        <w:rPr>
          <w:rFonts w:cs="Calibri"/>
          <w:color w:val="000000"/>
          <w:sz w:val="20"/>
          <w:lang w:eastAsia="zh-CN"/>
        </w:rPr>
        <w:t xml:space="preserve">, </w:t>
      </w:r>
      <w:hyperlink r:id="rId17" w:history="1">
        <w:r w:rsidR="00C2183F" w:rsidRPr="00FE54A5">
          <w:rPr>
            <w:rStyle w:val="Hyperlink"/>
            <w:rFonts w:cs="Calibri"/>
            <w:sz w:val="20"/>
            <w:lang w:eastAsia="zh-CN"/>
          </w:rPr>
          <w:t>https://www.wto.org/english/thewto_e/secre_e/intro_e.htm</w:t>
        </w:r>
      </w:hyperlink>
      <w:r w:rsidR="00C2183F" w:rsidRPr="00FE54A5">
        <w:rPr>
          <w:rFonts w:cs="Calibri"/>
          <w:color w:val="000000"/>
          <w:sz w:val="20"/>
          <w:lang w:eastAsia="zh-CN"/>
        </w:rPr>
        <w:t xml:space="preserve">, </w:t>
      </w:r>
      <w:hyperlink r:id="rId18" w:history="1">
        <w:r w:rsidR="00C2183F" w:rsidRPr="00FE54A5">
          <w:rPr>
            <w:rStyle w:val="Hyperlink"/>
            <w:rFonts w:cs="Calibri"/>
            <w:sz w:val="20"/>
            <w:lang w:eastAsia="zh-CN"/>
          </w:rPr>
          <w:t>https://unctad.org/en/PublicationsLibrary/osgciomisc2017_en.pdf?user=17</w:t>
        </w:r>
      </w:hyperlink>
      <w:r w:rsidR="00C2183F" w:rsidRPr="00FE54A5">
        <w:rPr>
          <w:rFonts w:cs="Calibri"/>
          <w:color w:val="000000"/>
          <w:sz w:val="20"/>
          <w:lang w:eastAsia="zh-CN"/>
        </w:rPr>
        <w:t xml:space="preserve">, </w:t>
      </w:r>
      <w:hyperlink r:id="rId19" w:history="1">
        <w:r w:rsidR="00C2183F" w:rsidRPr="00FE54A5">
          <w:rPr>
            <w:rStyle w:val="Hyperlink"/>
            <w:rFonts w:cs="Calibri"/>
            <w:sz w:val="20"/>
            <w:lang w:eastAsia="zh-CN"/>
          </w:rPr>
          <w:t>http://www.oecd.org/about/whodoeswhat/</w:t>
        </w:r>
      </w:hyperlink>
      <w:r w:rsidR="00C2183F" w:rsidRPr="00FE54A5">
        <w:rPr>
          <w:rFonts w:cs="Calibri"/>
          <w:color w:val="000000"/>
          <w:sz w:val="20"/>
          <w:lang w:eastAsia="zh-CN"/>
        </w:rPr>
        <w:t xml:space="preserve">, </w:t>
      </w:r>
      <w:hyperlink r:id="rId20" w:history="1">
        <w:r w:rsidR="00C2183F" w:rsidRPr="00FE54A5">
          <w:rPr>
            <w:rStyle w:val="Hyperlink"/>
            <w:rFonts w:cs="Calibri"/>
            <w:sz w:val="20"/>
            <w:lang w:eastAsia="zh-CN"/>
          </w:rPr>
          <w:t>https://www.imf.org/external/about/staff.htm</w:t>
        </w:r>
      </w:hyperlink>
    </w:p>
    <w:p w:rsidR="00C2183F" w:rsidRPr="00224583" w:rsidRDefault="00C2183F" w:rsidP="00BD616C">
      <w:pPr>
        <w:pStyle w:val="Heading1"/>
        <w:rPr>
          <w:b w:val="0"/>
          <w:bCs/>
          <w:lang w:eastAsia="zh-CN"/>
        </w:rPr>
      </w:pPr>
      <w:r>
        <w:rPr>
          <w:bCs/>
          <w:lang w:eastAsia="zh-CN"/>
        </w:rPr>
        <w:t>4.</w:t>
      </w:r>
      <w:r w:rsidRPr="00224583">
        <w:rPr>
          <w:bCs/>
          <w:lang w:eastAsia="zh-CN"/>
        </w:rPr>
        <w:tab/>
      </w:r>
      <w:r w:rsidR="0096261C">
        <w:rPr>
          <w:rFonts w:hint="eastAsia"/>
          <w:bCs/>
          <w:lang w:eastAsia="zh-CN"/>
        </w:rPr>
        <w:t>基于资源要求评估的建议</w:t>
      </w:r>
    </w:p>
    <w:p w:rsidR="00C2183F" w:rsidRPr="00224583" w:rsidRDefault="00C2183F" w:rsidP="009505B5">
      <w:pPr>
        <w:rPr>
          <w:lang w:eastAsia="zh-CN"/>
        </w:rPr>
      </w:pPr>
      <w:r>
        <w:rPr>
          <w:lang w:eastAsia="zh-CN"/>
        </w:rPr>
        <w:t>4</w:t>
      </w:r>
      <w:r w:rsidRPr="00224583">
        <w:rPr>
          <w:lang w:eastAsia="zh-CN"/>
        </w:rPr>
        <w:t>.1</w:t>
      </w:r>
      <w:r w:rsidRPr="00224583">
        <w:rPr>
          <w:lang w:eastAsia="zh-CN"/>
        </w:rPr>
        <w:tab/>
      </w:r>
      <w:r w:rsidR="0096261C">
        <w:rPr>
          <w:rFonts w:hint="eastAsia"/>
          <w:lang w:eastAsia="zh-CN"/>
        </w:rPr>
        <w:t>统计项目的成功实施严重有赖于强力</w:t>
      </w:r>
      <w:r w:rsidR="00B0652B">
        <w:rPr>
          <w:rFonts w:hint="eastAsia"/>
          <w:lang w:eastAsia="zh-CN"/>
        </w:rPr>
        <w:t>的</w:t>
      </w:r>
      <w:r w:rsidR="0096261C">
        <w:rPr>
          <w:rFonts w:hint="eastAsia"/>
          <w:lang w:eastAsia="zh-CN"/>
        </w:rPr>
        <w:t>信息技术（</w:t>
      </w:r>
      <w:r w:rsidR="0096261C">
        <w:rPr>
          <w:rFonts w:hint="eastAsia"/>
          <w:lang w:eastAsia="zh-CN"/>
        </w:rPr>
        <w:t>I</w:t>
      </w:r>
      <w:r w:rsidR="0096261C">
        <w:rPr>
          <w:lang w:eastAsia="zh-CN"/>
        </w:rPr>
        <w:t>T</w:t>
      </w:r>
      <w:r w:rsidR="0096261C">
        <w:rPr>
          <w:rFonts w:hint="eastAsia"/>
          <w:lang w:eastAsia="zh-CN"/>
        </w:rPr>
        <w:t>）支持。目前迫切需要一名专职的</w:t>
      </w:r>
      <w:r w:rsidR="0096261C">
        <w:rPr>
          <w:rFonts w:hint="eastAsia"/>
          <w:lang w:eastAsia="zh-CN"/>
        </w:rPr>
        <w:t>I</w:t>
      </w:r>
      <w:r w:rsidR="0096261C">
        <w:rPr>
          <w:lang w:eastAsia="zh-CN"/>
        </w:rPr>
        <w:t>CT</w:t>
      </w:r>
      <w:r w:rsidR="0096261C">
        <w:rPr>
          <w:rFonts w:hint="eastAsia"/>
          <w:lang w:eastAsia="zh-CN"/>
        </w:rPr>
        <w:t>专业人士为数据可视化、</w:t>
      </w:r>
      <w:r w:rsidR="0096261C" w:rsidRPr="00BD616C">
        <w:rPr>
          <w:rFonts w:hint="eastAsia"/>
          <w:lang w:val="en-US" w:eastAsia="zh-CN"/>
        </w:rPr>
        <w:t>引入</w:t>
      </w:r>
      <w:r w:rsidR="0096261C">
        <w:rPr>
          <w:rFonts w:hint="eastAsia"/>
          <w:lang w:eastAsia="zh-CN"/>
        </w:rPr>
        <w:t>并维护相关</w:t>
      </w:r>
      <w:r w:rsidR="0096261C">
        <w:rPr>
          <w:rFonts w:hint="eastAsia"/>
          <w:lang w:eastAsia="zh-CN"/>
        </w:rPr>
        <w:t>I</w:t>
      </w:r>
      <w:r w:rsidR="0096261C">
        <w:rPr>
          <w:lang w:eastAsia="zh-CN"/>
        </w:rPr>
        <w:t>T</w:t>
      </w:r>
      <w:r w:rsidR="0096261C">
        <w:rPr>
          <w:rFonts w:hint="eastAsia"/>
          <w:lang w:eastAsia="zh-CN"/>
        </w:rPr>
        <w:t>工具（例如，新的</w:t>
      </w:r>
      <w:r w:rsidR="00122DA0" w:rsidRPr="00122DA0">
        <w:rPr>
          <w:rFonts w:hint="eastAsia"/>
          <w:lang w:eastAsia="zh-CN"/>
        </w:rPr>
        <w:t>ICT</w:t>
      </w:r>
      <w:r w:rsidR="00122DA0" w:rsidRPr="00122DA0">
        <w:rPr>
          <w:rFonts w:hint="eastAsia"/>
          <w:lang w:eastAsia="zh-CN"/>
        </w:rPr>
        <w:t>窗口</w:t>
      </w:r>
      <w:r w:rsidR="00122DA0">
        <w:rPr>
          <w:rFonts w:hint="eastAsia"/>
          <w:lang w:eastAsia="zh-CN"/>
        </w:rPr>
        <w:t>工具）以及管理统计数据库提供支持。</w:t>
      </w:r>
    </w:p>
    <w:p w:rsidR="00C2183F" w:rsidRDefault="00C2183F" w:rsidP="00BD616C">
      <w:pPr>
        <w:rPr>
          <w:lang w:eastAsia="zh-CN"/>
        </w:rPr>
      </w:pPr>
      <w:r>
        <w:rPr>
          <w:lang w:eastAsia="zh-CN"/>
        </w:rPr>
        <w:t>4.2</w:t>
      </w:r>
      <w:r>
        <w:rPr>
          <w:lang w:eastAsia="zh-CN"/>
        </w:rPr>
        <w:tab/>
      </w:r>
      <w:r w:rsidR="00122DA0">
        <w:rPr>
          <w:rFonts w:hint="eastAsia"/>
          <w:lang w:eastAsia="zh-CN"/>
        </w:rPr>
        <w:t>此外亦急需招聘一位统计助理，</w:t>
      </w:r>
      <w:r w:rsidR="00C00908">
        <w:rPr>
          <w:rFonts w:hint="eastAsia"/>
          <w:lang w:eastAsia="zh-CN"/>
        </w:rPr>
        <w:t>负责</w:t>
      </w:r>
      <w:r w:rsidR="00122DA0">
        <w:rPr>
          <w:rFonts w:hint="eastAsia"/>
          <w:lang w:eastAsia="zh-CN"/>
        </w:rPr>
        <w:t>分发问卷调查表并处理各国返回的</w:t>
      </w:r>
      <w:r w:rsidR="00F04903">
        <w:rPr>
          <w:rFonts w:hint="eastAsia"/>
          <w:lang w:eastAsia="zh-CN"/>
        </w:rPr>
        <w:t>数据，包括进行跟进，验证和数据录入工作。</w:t>
      </w:r>
    </w:p>
    <w:p w:rsidR="00C2183F" w:rsidRDefault="00C2183F" w:rsidP="00BD616C">
      <w:pPr>
        <w:rPr>
          <w:lang w:eastAsia="zh-CN"/>
        </w:rPr>
      </w:pPr>
      <w:r>
        <w:rPr>
          <w:lang w:eastAsia="zh-CN"/>
        </w:rPr>
        <w:t>4.3</w:t>
      </w:r>
      <w:r>
        <w:rPr>
          <w:lang w:eastAsia="zh-CN"/>
        </w:rPr>
        <w:tab/>
      </w:r>
      <w:r w:rsidR="00F04903">
        <w:rPr>
          <w:rFonts w:hint="eastAsia"/>
          <w:lang w:eastAsia="zh-CN"/>
        </w:rPr>
        <w:t>大数据逐渐成为正式统计数据的补充。</w:t>
      </w:r>
      <w:r>
        <w:rPr>
          <w:rStyle w:val="FootnoteReference"/>
        </w:rPr>
        <w:footnoteReference w:id="2"/>
      </w:r>
      <w:r w:rsidR="009505B5">
        <w:rPr>
          <w:rFonts w:hint="eastAsia"/>
          <w:lang w:eastAsia="zh-CN"/>
        </w:rPr>
        <w:t xml:space="preserve"> </w:t>
      </w:r>
      <w:r w:rsidR="00F04903">
        <w:rPr>
          <w:rFonts w:hint="eastAsia"/>
          <w:lang w:eastAsia="zh-CN"/>
        </w:rPr>
        <w:t>许多发展中国家使用大数据的财务、技术和人力资源有限。有能力将大数据用于正式统计数据的国家与不具备此能力的国家之间存在出现新数字鸿沟的风险，这将在统计数据的广度、</w:t>
      </w:r>
      <w:r w:rsidR="00C00908">
        <w:rPr>
          <w:rFonts w:hint="eastAsia"/>
          <w:lang w:eastAsia="zh-CN"/>
        </w:rPr>
        <w:t>时效</w:t>
      </w:r>
      <w:r w:rsidR="00F04903">
        <w:rPr>
          <w:rFonts w:hint="eastAsia"/>
          <w:lang w:eastAsia="zh-CN"/>
        </w:rPr>
        <w:t>性和相关性方面造成严重后果。国际电联有多种手段可降低此风险。方法之一便是自身建立此领域的专业技能，包括试点将大数据作为数据收集活动的补充。另一方式是参</w:t>
      </w:r>
      <w:r w:rsidR="00794905">
        <w:rPr>
          <w:rFonts w:hint="eastAsia"/>
          <w:lang w:eastAsia="zh-CN"/>
        </w:rPr>
        <w:t>与</w:t>
      </w:r>
      <w:r w:rsidR="00F04903">
        <w:rPr>
          <w:lang w:eastAsia="zh-CN"/>
        </w:rPr>
        <w:t>GSMA</w:t>
      </w:r>
      <w:r w:rsidR="00F04903">
        <w:rPr>
          <w:rFonts w:hint="eastAsia"/>
          <w:lang w:eastAsia="zh-CN"/>
        </w:rPr>
        <w:t>的大数据服务社会公益和联合国的大数据促进可持续发展等举措</w:t>
      </w:r>
      <w:r w:rsidR="00794905">
        <w:rPr>
          <w:rFonts w:hint="eastAsia"/>
          <w:lang w:eastAsia="zh-CN"/>
        </w:rPr>
        <w:t>。此领域获得的专业技能将可利用大数据技术，支持相关国家开展提升</w:t>
      </w:r>
      <w:r w:rsidR="00794905">
        <w:rPr>
          <w:rFonts w:hint="eastAsia"/>
          <w:lang w:eastAsia="zh-CN"/>
        </w:rPr>
        <w:t>I</w:t>
      </w:r>
      <w:r w:rsidR="00794905">
        <w:rPr>
          <w:lang w:eastAsia="zh-CN"/>
        </w:rPr>
        <w:t>CT</w:t>
      </w:r>
      <w:r w:rsidR="00794905">
        <w:rPr>
          <w:rFonts w:hint="eastAsia"/>
          <w:lang w:eastAsia="zh-CN"/>
        </w:rPr>
        <w:t>统计水平的能力建设。</w:t>
      </w:r>
    </w:p>
    <w:p w:rsidR="00C2183F" w:rsidRDefault="00C2183F" w:rsidP="00BD616C">
      <w:pPr>
        <w:rPr>
          <w:lang w:eastAsia="zh-CN"/>
        </w:rPr>
      </w:pPr>
      <w:r>
        <w:rPr>
          <w:lang w:eastAsia="zh-CN"/>
        </w:rPr>
        <w:t>4.4</w:t>
      </w:r>
      <w:r>
        <w:rPr>
          <w:lang w:eastAsia="zh-CN"/>
        </w:rPr>
        <w:tab/>
      </w:r>
      <w:r w:rsidR="00794905">
        <w:rPr>
          <w:rFonts w:hint="eastAsia"/>
          <w:lang w:eastAsia="zh-CN"/>
        </w:rPr>
        <w:t>有必要增设一名</w:t>
      </w:r>
      <w:r w:rsidR="00794905" w:rsidRPr="00BD616C">
        <w:rPr>
          <w:rFonts w:hint="eastAsia"/>
          <w:lang w:val="en-US" w:eastAsia="zh-CN"/>
        </w:rPr>
        <w:t>统计员</w:t>
      </w:r>
      <w:r w:rsidR="00794905">
        <w:rPr>
          <w:rFonts w:hint="eastAsia"/>
          <w:lang w:eastAsia="zh-CN"/>
        </w:rPr>
        <w:t>，从事采集、验证和汇总工作，确保供（行政）需（调查）双方指标的数据质量。此举将强化国际电联全面落实第</w:t>
      </w:r>
      <w:r w:rsidR="00794905">
        <w:rPr>
          <w:rFonts w:hint="eastAsia"/>
          <w:lang w:eastAsia="zh-CN"/>
        </w:rPr>
        <w:t>131</w:t>
      </w:r>
      <w:r w:rsidR="00794905">
        <w:rPr>
          <w:rFonts w:hint="eastAsia"/>
          <w:lang w:eastAsia="zh-CN"/>
        </w:rPr>
        <w:t>号决议和</w:t>
      </w:r>
      <w:r>
        <w:rPr>
          <w:lang w:eastAsia="zh-CN"/>
        </w:rPr>
        <w:t>WTDC-17</w:t>
      </w:r>
      <w:r w:rsidR="00794905">
        <w:rPr>
          <w:rFonts w:hint="eastAsia"/>
          <w:lang w:eastAsia="zh-CN"/>
        </w:rPr>
        <w:t>第</w:t>
      </w:r>
      <w:r w:rsidR="00794905">
        <w:rPr>
          <w:rFonts w:hint="eastAsia"/>
          <w:lang w:eastAsia="zh-CN"/>
        </w:rPr>
        <w:t>8</w:t>
      </w:r>
      <w:r w:rsidR="00794905">
        <w:rPr>
          <w:rFonts w:hint="eastAsia"/>
          <w:lang w:eastAsia="zh-CN"/>
        </w:rPr>
        <w:t>号决议的能力。</w:t>
      </w:r>
    </w:p>
    <w:p w:rsidR="00C2183F" w:rsidRPr="00224583" w:rsidRDefault="00C2183F" w:rsidP="00BD616C">
      <w:pPr>
        <w:rPr>
          <w:lang w:eastAsia="zh-CN"/>
        </w:rPr>
      </w:pPr>
      <w:r>
        <w:rPr>
          <w:lang w:eastAsia="zh-CN"/>
        </w:rPr>
        <w:lastRenderedPageBreak/>
        <w:t>4.5</w:t>
      </w:r>
      <w:r>
        <w:rPr>
          <w:lang w:eastAsia="zh-CN"/>
        </w:rPr>
        <w:tab/>
      </w:r>
      <w:r w:rsidR="00794905">
        <w:rPr>
          <w:rFonts w:hint="eastAsia"/>
          <w:lang w:eastAsia="zh-CN"/>
        </w:rPr>
        <w:t>总之，为支持落实</w:t>
      </w:r>
      <w:r w:rsidR="00794905" w:rsidRPr="00BD616C">
        <w:rPr>
          <w:rFonts w:hint="eastAsia"/>
          <w:lang w:val="en-US" w:eastAsia="zh-CN"/>
        </w:rPr>
        <w:t>全权代表</w:t>
      </w:r>
      <w:r w:rsidR="00794905">
        <w:rPr>
          <w:rFonts w:hint="eastAsia"/>
          <w:lang w:eastAsia="zh-CN"/>
        </w:rPr>
        <w:t>大会第</w:t>
      </w:r>
      <w:r w:rsidR="00794905">
        <w:rPr>
          <w:rFonts w:hint="eastAsia"/>
          <w:lang w:eastAsia="zh-CN"/>
        </w:rPr>
        <w:t>131</w:t>
      </w:r>
      <w:r w:rsidR="00794905">
        <w:rPr>
          <w:rFonts w:hint="eastAsia"/>
          <w:lang w:eastAsia="zh-CN"/>
        </w:rPr>
        <w:t>号决议并提升国际电联的统计能力，需要增加以下人员：</w:t>
      </w:r>
    </w:p>
    <w:p w:rsidR="00C2183F" w:rsidRPr="005E14A4" w:rsidRDefault="00C00908" w:rsidP="00C00908">
      <w:pPr>
        <w:pStyle w:val="enumlev1"/>
        <w:rPr>
          <w:lang w:eastAsia="zh-CN"/>
        </w:rPr>
      </w:pPr>
      <w:r>
        <w:rPr>
          <w:lang w:eastAsia="zh-CN"/>
        </w:rPr>
        <w:t>–</w:t>
      </w:r>
      <w:r>
        <w:rPr>
          <w:lang w:eastAsia="zh-CN"/>
        </w:rPr>
        <w:tab/>
      </w:r>
      <w:r w:rsidR="00C2183F">
        <w:rPr>
          <w:lang w:eastAsia="zh-CN"/>
        </w:rPr>
        <w:t>1</w:t>
      </w:r>
      <w:r w:rsidR="00794905">
        <w:rPr>
          <w:rFonts w:hint="eastAsia"/>
          <w:lang w:eastAsia="zh-CN"/>
        </w:rPr>
        <w:t>位负责开发并支持自动数据采集、录入和分发；数据库管理</w:t>
      </w:r>
      <w:r w:rsidR="001E202C">
        <w:rPr>
          <w:rFonts w:hint="eastAsia"/>
          <w:lang w:eastAsia="zh-CN"/>
        </w:rPr>
        <w:t>和可视化管理的</w:t>
      </w:r>
      <w:r w:rsidR="001E202C" w:rsidRPr="005E14A4">
        <w:rPr>
          <w:lang w:eastAsia="zh-CN"/>
        </w:rPr>
        <w:t>P3</w:t>
      </w:r>
      <w:r w:rsidR="001E202C">
        <w:rPr>
          <w:rFonts w:hint="eastAsia"/>
          <w:lang w:eastAsia="zh-CN"/>
        </w:rPr>
        <w:t>级</w:t>
      </w:r>
      <w:r w:rsidR="009E57A1">
        <w:rPr>
          <w:rFonts w:hint="eastAsia"/>
          <w:lang w:eastAsia="zh-CN"/>
        </w:rPr>
        <w:t>别</w:t>
      </w:r>
      <w:r w:rsidR="00C2183F" w:rsidRPr="005E14A4">
        <w:rPr>
          <w:lang w:eastAsia="zh-CN"/>
        </w:rPr>
        <w:t>IT</w:t>
      </w:r>
      <w:r w:rsidR="001E202C">
        <w:rPr>
          <w:rFonts w:hint="eastAsia"/>
          <w:lang w:eastAsia="zh-CN"/>
        </w:rPr>
        <w:t>专员。</w:t>
      </w:r>
    </w:p>
    <w:p w:rsidR="00C2183F" w:rsidRPr="005E14A4" w:rsidRDefault="00C00908" w:rsidP="00C00908">
      <w:pPr>
        <w:pStyle w:val="enumlev1"/>
        <w:rPr>
          <w:lang w:eastAsia="zh-CN"/>
        </w:rPr>
      </w:pPr>
      <w:r>
        <w:rPr>
          <w:lang w:eastAsia="zh-CN"/>
        </w:rPr>
        <w:t>–</w:t>
      </w:r>
      <w:r>
        <w:rPr>
          <w:lang w:eastAsia="zh-CN"/>
        </w:rPr>
        <w:tab/>
      </w:r>
      <w:r w:rsidR="00C2183F">
        <w:rPr>
          <w:lang w:eastAsia="zh-CN"/>
        </w:rPr>
        <w:t>1</w:t>
      </w:r>
      <w:r w:rsidR="001E202C">
        <w:rPr>
          <w:rFonts w:hint="eastAsia"/>
          <w:lang w:eastAsia="zh-CN"/>
        </w:rPr>
        <w:t>位</w:t>
      </w:r>
      <w:r w:rsidR="001E202C">
        <w:rPr>
          <w:lang w:eastAsia="zh-CN"/>
        </w:rPr>
        <w:t>G5</w:t>
      </w:r>
      <w:r w:rsidR="009E57A1">
        <w:rPr>
          <w:rFonts w:hint="eastAsia"/>
          <w:lang w:eastAsia="zh-CN"/>
        </w:rPr>
        <w:t>级别的</w:t>
      </w:r>
      <w:r w:rsidR="001E202C">
        <w:rPr>
          <w:rFonts w:hint="eastAsia"/>
          <w:lang w:eastAsia="zh-CN"/>
        </w:rPr>
        <w:t>级统计助理。</w:t>
      </w:r>
    </w:p>
    <w:p w:rsidR="00C2183F" w:rsidRPr="00AD6402" w:rsidRDefault="00C00908" w:rsidP="00C00908">
      <w:pPr>
        <w:pStyle w:val="enumlev1"/>
        <w:rPr>
          <w:lang w:eastAsia="zh-CN"/>
        </w:rPr>
      </w:pPr>
      <w:r>
        <w:rPr>
          <w:lang w:eastAsia="zh-CN"/>
        </w:rPr>
        <w:t>–</w:t>
      </w:r>
      <w:r>
        <w:rPr>
          <w:lang w:eastAsia="zh-CN"/>
        </w:rPr>
        <w:tab/>
      </w:r>
      <w:r w:rsidR="00C2183F">
        <w:rPr>
          <w:lang w:eastAsia="zh-CN"/>
        </w:rPr>
        <w:t>1</w:t>
      </w:r>
      <w:r w:rsidR="001E202C">
        <w:rPr>
          <w:rFonts w:hint="eastAsia"/>
          <w:lang w:eastAsia="zh-CN"/>
        </w:rPr>
        <w:t>位</w:t>
      </w:r>
      <w:r w:rsidR="009E57A1">
        <w:rPr>
          <w:lang w:eastAsia="zh-CN"/>
        </w:rPr>
        <w:t>P</w:t>
      </w:r>
      <w:r w:rsidR="009E57A1" w:rsidRPr="009E57A1">
        <w:rPr>
          <w:rFonts w:hint="eastAsia"/>
          <w:lang w:eastAsia="zh-CN"/>
        </w:rPr>
        <w:t>4</w:t>
      </w:r>
      <w:r w:rsidR="009E57A1">
        <w:rPr>
          <w:rFonts w:hint="eastAsia"/>
          <w:lang w:eastAsia="zh-CN"/>
        </w:rPr>
        <w:t>级别的</w:t>
      </w:r>
      <w:r w:rsidR="001E202C">
        <w:rPr>
          <w:rFonts w:hint="eastAsia"/>
          <w:lang w:eastAsia="zh-CN"/>
        </w:rPr>
        <w:t>数据科学家（</w:t>
      </w:r>
      <w:r>
        <w:rPr>
          <w:rFonts w:hint="eastAsia"/>
          <w:lang w:eastAsia="zh-CN"/>
        </w:rPr>
        <w:t>从事</w:t>
      </w:r>
      <w:r w:rsidR="001E202C">
        <w:rPr>
          <w:rFonts w:hint="eastAsia"/>
          <w:lang w:eastAsia="zh-CN"/>
        </w:rPr>
        <w:t>大数据分析、机器学习、人工智能等</w:t>
      </w:r>
      <w:r>
        <w:rPr>
          <w:rFonts w:hint="eastAsia"/>
          <w:lang w:eastAsia="zh-CN"/>
        </w:rPr>
        <w:t>方面的工作</w:t>
      </w:r>
      <w:r w:rsidR="001E202C">
        <w:rPr>
          <w:rFonts w:hint="eastAsia"/>
          <w:lang w:eastAsia="zh-CN"/>
        </w:rPr>
        <w:t>）。</w:t>
      </w:r>
    </w:p>
    <w:p w:rsidR="00C2183F" w:rsidRDefault="00C00908" w:rsidP="00C00908">
      <w:pPr>
        <w:pStyle w:val="enumlev1"/>
        <w:rPr>
          <w:lang w:eastAsia="zh-CN"/>
        </w:rPr>
      </w:pPr>
      <w:r>
        <w:rPr>
          <w:lang w:eastAsia="zh-CN"/>
        </w:rPr>
        <w:t>–</w:t>
      </w:r>
      <w:r>
        <w:rPr>
          <w:lang w:eastAsia="zh-CN"/>
        </w:rPr>
        <w:tab/>
      </w:r>
      <w:r w:rsidR="00C2183F">
        <w:rPr>
          <w:lang w:eastAsia="zh-CN"/>
        </w:rPr>
        <w:t>1</w:t>
      </w:r>
      <w:r w:rsidR="001E202C">
        <w:rPr>
          <w:rFonts w:hint="eastAsia"/>
          <w:lang w:eastAsia="zh-CN"/>
        </w:rPr>
        <w:t>位</w:t>
      </w:r>
      <w:r w:rsidR="001E202C" w:rsidRPr="005E14A4">
        <w:rPr>
          <w:lang w:eastAsia="zh-CN"/>
        </w:rPr>
        <w:t>P3</w:t>
      </w:r>
      <w:r w:rsidR="001E202C">
        <w:rPr>
          <w:rFonts w:hint="eastAsia"/>
          <w:lang w:eastAsia="zh-CN"/>
        </w:rPr>
        <w:t>级</w:t>
      </w:r>
      <w:r w:rsidR="009E57A1">
        <w:rPr>
          <w:rFonts w:hint="eastAsia"/>
          <w:lang w:eastAsia="zh-CN"/>
        </w:rPr>
        <w:t>别的</w:t>
      </w:r>
      <w:r w:rsidR="001E202C">
        <w:rPr>
          <w:rFonts w:hint="eastAsia"/>
          <w:lang w:eastAsia="zh-CN"/>
        </w:rPr>
        <w:t>统计员。</w:t>
      </w:r>
    </w:p>
    <w:p w:rsidR="00C2183F" w:rsidRDefault="00C2183F" w:rsidP="00373E95">
      <w:pPr>
        <w:keepNext/>
        <w:spacing w:after="120"/>
        <w:rPr>
          <w:lang w:eastAsia="zh-CN"/>
        </w:rPr>
      </w:pPr>
      <w:r>
        <w:rPr>
          <w:lang w:eastAsia="zh-CN"/>
        </w:rPr>
        <w:t>4.5.1</w:t>
      </w:r>
      <w:r>
        <w:rPr>
          <w:lang w:eastAsia="zh-CN"/>
        </w:rPr>
        <w:tab/>
      </w:r>
      <w:r w:rsidR="001E202C">
        <w:rPr>
          <w:rFonts w:hint="eastAsia"/>
          <w:lang w:eastAsia="zh-CN"/>
        </w:rPr>
        <w:t>下表提供了增强当前人员水平所需额外资源的成本。</w:t>
      </w:r>
    </w:p>
    <w:tbl>
      <w:tblPr>
        <w:tblW w:w="9356" w:type="dxa"/>
        <w:tblCellMar>
          <w:left w:w="0" w:type="dxa"/>
          <w:right w:w="0" w:type="dxa"/>
        </w:tblCellMar>
        <w:tblLook w:val="04A0" w:firstRow="1" w:lastRow="0" w:firstColumn="1" w:lastColumn="0" w:noHBand="0" w:noVBand="1"/>
      </w:tblPr>
      <w:tblGrid>
        <w:gridCol w:w="5529"/>
        <w:gridCol w:w="1559"/>
        <w:gridCol w:w="2268"/>
      </w:tblGrid>
      <w:tr w:rsidR="00C2183F" w:rsidTr="00D11C47">
        <w:trPr>
          <w:trHeight w:val="288"/>
        </w:trPr>
        <w:tc>
          <w:tcPr>
            <w:tcW w:w="5529" w:type="dxa"/>
            <w:noWrap/>
            <w:tcMar>
              <w:top w:w="0" w:type="dxa"/>
              <w:left w:w="108" w:type="dxa"/>
              <w:bottom w:w="0" w:type="dxa"/>
              <w:right w:w="108" w:type="dxa"/>
            </w:tcMar>
            <w:vAlign w:val="bottom"/>
            <w:hideMark/>
          </w:tcPr>
          <w:p w:rsidR="00C2183F" w:rsidRPr="007E2C59" w:rsidRDefault="00C2183F" w:rsidP="00BA55FB">
            <w:pPr>
              <w:keepNext/>
              <w:keepLines/>
              <w:rPr>
                <w:lang w:eastAsia="zh-CN"/>
              </w:rPr>
            </w:pPr>
          </w:p>
        </w:tc>
        <w:tc>
          <w:tcPr>
            <w:tcW w:w="3827" w:type="dxa"/>
            <w:gridSpan w:val="2"/>
            <w:noWrap/>
            <w:tcMar>
              <w:top w:w="0" w:type="dxa"/>
              <w:left w:w="108" w:type="dxa"/>
              <w:bottom w:w="0" w:type="dxa"/>
              <w:right w:w="108" w:type="dxa"/>
            </w:tcMar>
            <w:vAlign w:val="bottom"/>
            <w:hideMark/>
          </w:tcPr>
          <w:p w:rsidR="00C2183F" w:rsidRPr="009E57A1" w:rsidRDefault="001E202C" w:rsidP="00BA55FB">
            <w:pPr>
              <w:keepNext/>
              <w:keepLines/>
              <w:jc w:val="center"/>
              <w:rPr>
                <w:rFonts w:ascii="STKaiti" w:eastAsia="STKaiti" w:hAnsi="STKaiti"/>
                <w:b/>
                <w:bCs/>
                <w:iCs/>
                <w:color w:val="44546A"/>
              </w:rPr>
            </w:pPr>
            <w:r w:rsidRPr="009E57A1">
              <w:rPr>
                <w:rFonts w:ascii="STKaiti" w:eastAsia="STKaiti" w:hAnsi="STKaiti" w:hint="eastAsia"/>
                <w:b/>
                <w:bCs/>
                <w:iCs/>
                <w:color w:val="44546A"/>
                <w:lang w:eastAsia="zh-CN"/>
              </w:rPr>
              <w:t>单位：千瑞郎</w:t>
            </w:r>
          </w:p>
        </w:tc>
      </w:tr>
      <w:tr w:rsidR="00C2183F" w:rsidTr="00D11C47">
        <w:trPr>
          <w:trHeight w:val="288"/>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rPr>
                <w:color w:val="000000"/>
              </w:rPr>
            </w:pPr>
            <w:r>
              <w:rPr>
                <w:color w:val="000000"/>
              </w:rPr>
              <w:t>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183F" w:rsidRDefault="00D11C47" w:rsidP="00D11C47">
            <w:pPr>
              <w:keepNext/>
              <w:keepLines/>
              <w:spacing w:before="100"/>
              <w:jc w:val="right"/>
              <w:rPr>
                <w:b/>
                <w:bCs/>
                <w:color w:val="44546A"/>
              </w:rPr>
            </w:pPr>
            <w:r>
              <w:rPr>
                <w:rFonts w:hint="eastAsia"/>
                <w:b/>
                <w:bCs/>
                <w:color w:val="44546A"/>
                <w:lang w:eastAsia="zh-CN"/>
              </w:rPr>
              <w:t>年度</w:t>
            </w:r>
            <w:r w:rsidR="009E57A1">
              <w:rPr>
                <w:rFonts w:hint="eastAsia"/>
                <w:b/>
                <w:bCs/>
                <w:color w:val="44546A"/>
                <w:lang w:eastAsia="zh-CN"/>
              </w:rPr>
              <w:t>成本</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b/>
                <w:bCs/>
                <w:color w:val="44546A"/>
              </w:rPr>
            </w:pPr>
            <w:r>
              <w:rPr>
                <w:b/>
                <w:bCs/>
                <w:color w:val="44546A"/>
              </w:rPr>
              <w:t>2020-2023</w:t>
            </w:r>
            <w:r w:rsidR="009E57A1">
              <w:rPr>
                <w:rFonts w:hint="eastAsia"/>
                <w:b/>
                <w:bCs/>
                <w:color w:val="44546A"/>
                <w:lang w:eastAsia="zh-CN"/>
              </w:rPr>
              <w:t>年的成本</w:t>
            </w:r>
          </w:p>
        </w:tc>
      </w:tr>
      <w:tr w:rsidR="00C2183F" w:rsidTr="00D11C47">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C2183F" w:rsidRDefault="001E202C" w:rsidP="00BA55FB">
            <w:pPr>
              <w:keepNext/>
              <w:keepLines/>
              <w:spacing w:before="100"/>
              <w:rPr>
                <w:color w:val="000000"/>
              </w:rPr>
            </w:pPr>
            <w:r>
              <w:rPr>
                <w:szCs w:val="24"/>
              </w:rPr>
              <w:t>1</w:t>
            </w:r>
            <w:r>
              <w:rPr>
                <w:rFonts w:asciiTheme="minorEastAsia" w:eastAsiaTheme="minorEastAsia" w:hAnsiTheme="minorEastAsia" w:hint="eastAsia"/>
                <w:szCs w:val="24"/>
                <w:lang w:eastAsia="zh-CN"/>
              </w:rPr>
              <w:t>位</w:t>
            </w:r>
            <w:r w:rsidRPr="005E14A4">
              <w:rPr>
                <w:szCs w:val="24"/>
              </w:rPr>
              <w:t>P3</w:t>
            </w:r>
            <w:r>
              <w:rPr>
                <w:rFonts w:asciiTheme="minorEastAsia" w:eastAsiaTheme="minorEastAsia" w:hAnsiTheme="minorEastAsia" w:hint="eastAsia"/>
                <w:szCs w:val="24"/>
                <w:lang w:eastAsia="zh-CN"/>
              </w:rPr>
              <w:t>级</w:t>
            </w:r>
            <w:r w:rsidR="009E57A1">
              <w:rPr>
                <w:rFonts w:asciiTheme="minorEastAsia" w:eastAsiaTheme="minorEastAsia" w:hAnsiTheme="minorEastAsia" w:hint="eastAsia"/>
                <w:szCs w:val="24"/>
                <w:lang w:eastAsia="zh-CN"/>
              </w:rPr>
              <w:t>别的</w:t>
            </w:r>
            <w:r>
              <w:rPr>
                <w:rFonts w:asciiTheme="minorEastAsia" w:eastAsiaTheme="minorEastAsia" w:hAnsiTheme="minorEastAsia" w:hint="eastAsia"/>
                <w:szCs w:val="24"/>
                <w:lang w:eastAsia="zh-CN"/>
              </w:rPr>
              <w:t>统计员</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132</w:t>
            </w:r>
          </w:p>
        </w:tc>
        <w:tc>
          <w:tcPr>
            <w:tcW w:w="2268" w:type="dxa"/>
            <w:tcBorders>
              <w:top w:val="nil"/>
              <w:left w:val="nil"/>
              <w:bottom w:val="nil"/>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528</w:t>
            </w:r>
          </w:p>
        </w:tc>
      </w:tr>
      <w:tr w:rsidR="00C2183F" w:rsidTr="00D11C47">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C2183F" w:rsidDel="00AE4872" w:rsidRDefault="001E202C" w:rsidP="00BA55FB">
            <w:pPr>
              <w:keepNext/>
              <w:keepLines/>
              <w:spacing w:before="100"/>
              <w:rPr>
                <w:color w:val="000000"/>
              </w:rPr>
            </w:pPr>
            <w:r>
              <w:rPr>
                <w:szCs w:val="24"/>
              </w:rPr>
              <w:t>1</w:t>
            </w:r>
            <w:r>
              <w:rPr>
                <w:rFonts w:asciiTheme="minorEastAsia" w:eastAsiaTheme="minorEastAsia" w:hAnsiTheme="minorEastAsia" w:hint="eastAsia"/>
                <w:szCs w:val="24"/>
                <w:lang w:eastAsia="zh-CN"/>
              </w:rPr>
              <w:t>位</w:t>
            </w:r>
            <w:r>
              <w:rPr>
                <w:szCs w:val="24"/>
              </w:rPr>
              <w:t>G5</w:t>
            </w:r>
            <w:r>
              <w:rPr>
                <w:rFonts w:asciiTheme="minorEastAsia" w:eastAsiaTheme="minorEastAsia" w:hAnsiTheme="minorEastAsia" w:hint="eastAsia"/>
                <w:szCs w:val="24"/>
                <w:lang w:eastAsia="zh-CN"/>
              </w:rPr>
              <w:t>级</w:t>
            </w:r>
            <w:r w:rsidR="009E57A1">
              <w:rPr>
                <w:rFonts w:asciiTheme="minorEastAsia" w:eastAsiaTheme="minorEastAsia" w:hAnsiTheme="minorEastAsia" w:hint="eastAsia"/>
                <w:szCs w:val="24"/>
                <w:lang w:eastAsia="zh-CN"/>
              </w:rPr>
              <w:t>别的</w:t>
            </w:r>
            <w:r>
              <w:rPr>
                <w:rFonts w:asciiTheme="minorEastAsia" w:eastAsiaTheme="minorEastAsia" w:hAnsiTheme="minorEastAsia" w:hint="eastAsia"/>
                <w:szCs w:val="24"/>
                <w:lang w:eastAsia="zh-CN"/>
              </w:rPr>
              <w:t>统计助理</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C2183F" w:rsidRPr="009D3B9C" w:rsidRDefault="00C2183F" w:rsidP="00BA55FB">
            <w:pPr>
              <w:keepNext/>
              <w:keepLines/>
              <w:spacing w:before="100"/>
              <w:jc w:val="right"/>
              <w:rPr>
                <w:color w:val="000000"/>
              </w:rPr>
            </w:pPr>
            <w:r w:rsidRPr="009D3B9C">
              <w:rPr>
                <w:color w:val="000000"/>
              </w:rPr>
              <w:t>101</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C2183F" w:rsidRPr="009D3B9C" w:rsidRDefault="00C2183F" w:rsidP="00BA55FB">
            <w:pPr>
              <w:keepNext/>
              <w:keepLines/>
              <w:spacing w:before="100"/>
              <w:jc w:val="right"/>
              <w:rPr>
                <w:color w:val="000000"/>
              </w:rPr>
            </w:pPr>
            <w:r w:rsidRPr="009D3B9C">
              <w:rPr>
                <w:color w:val="000000"/>
              </w:rPr>
              <w:t>404</w:t>
            </w:r>
          </w:p>
        </w:tc>
      </w:tr>
      <w:tr w:rsidR="00C2183F" w:rsidTr="00D11C47">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rsidR="00C2183F" w:rsidRDefault="009E57A1" w:rsidP="00BA55FB">
            <w:pPr>
              <w:keepNext/>
              <w:keepLines/>
              <w:spacing w:before="100"/>
              <w:rPr>
                <w:color w:val="000000"/>
                <w:lang w:eastAsia="zh-CN"/>
              </w:rPr>
            </w:pPr>
            <w:r>
              <w:rPr>
                <w:szCs w:val="24"/>
                <w:lang w:eastAsia="zh-CN"/>
              </w:rPr>
              <w:t>1</w:t>
            </w:r>
            <w:r>
              <w:rPr>
                <w:rFonts w:asciiTheme="minorEastAsia" w:eastAsiaTheme="minorEastAsia" w:hAnsiTheme="minorEastAsia" w:hint="eastAsia"/>
                <w:szCs w:val="24"/>
                <w:lang w:eastAsia="zh-CN"/>
              </w:rPr>
              <w:t>位</w:t>
            </w:r>
            <w:r>
              <w:rPr>
                <w:szCs w:val="24"/>
                <w:lang w:eastAsia="zh-CN"/>
              </w:rPr>
              <w:t>P</w:t>
            </w:r>
            <w:r w:rsidRPr="009E57A1">
              <w:rPr>
                <w:rFonts w:eastAsia="Times New Roman" w:hint="eastAsia"/>
                <w:szCs w:val="24"/>
                <w:lang w:eastAsia="zh-CN"/>
              </w:rPr>
              <w:t>4</w:t>
            </w:r>
            <w:r>
              <w:rPr>
                <w:rFonts w:asciiTheme="minorEastAsia" w:eastAsiaTheme="minorEastAsia" w:hAnsiTheme="minorEastAsia" w:hint="eastAsia"/>
                <w:szCs w:val="24"/>
                <w:lang w:eastAsia="zh-CN"/>
              </w:rPr>
              <w:t>级别的数据科学家</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157</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628</w:t>
            </w:r>
          </w:p>
        </w:tc>
      </w:tr>
      <w:tr w:rsidR="00C2183F" w:rsidTr="00D11C47">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2183F" w:rsidRDefault="009E57A1" w:rsidP="00BA55FB">
            <w:pPr>
              <w:keepNext/>
              <w:keepLines/>
              <w:spacing w:before="100"/>
              <w:rPr>
                <w:color w:val="000000"/>
              </w:rPr>
            </w:pPr>
            <w:r>
              <w:rPr>
                <w:szCs w:val="24"/>
              </w:rPr>
              <w:t>1</w:t>
            </w:r>
            <w:r>
              <w:rPr>
                <w:rFonts w:asciiTheme="minorEastAsia" w:eastAsiaTheme="minorEastAsia" w:hAnsiTheme="minorEastAsia" w:hint="eastAsia"/>
                <w:szCs w:val="24"/>
                <w:lang w:eastAsia="zh-CN"/>
              </w:rPr>
              <w:t>位</w:t>
            </w:r>
            <w:r w:rsidRPr="005E14A4">
              <w:rPr>
                <w:szCs w:val="24"/>
              </w:rPr>
              <w:t>P3</w:t>
            </w:r>
            <w:r w:rsidRPr="009E57A1">
              <w:rPr>
                <w:rFonts w:hint="eastAsia"/>
                <w:szCs w:val="24"/>
              </w:rPr>
              <w:t>级别的</w:t>
            </w:r>
            <w:r w:rsidRPr="009E57A1">
              <w:rPr>
                <w:rFonts w:hint="eastAsia"/>
                <w:szCs w:val="24"/>
              </w:rPr>
              <w:t>I</w:t>
            </w:r>
            <w:r w:rsidRPr="009E57A1">
              <w:rPr>
                <w:szCs w:val="24"/>
              </w:rPr>
              <w:t>T</w:t>
            </w:r>
            <w:r w:rsidRPr="009E57A1">
              <w:rPr>
                <w:rFonts w:hint="eastAsia"/>
                <w:szCs w:val="24"/>
              </w:rPr>
              <w:t>专员</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132</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183F" w:rsidRDefault="00C2183F" w:rsidP="00BA55FB">
            <w:pPr>
              <w:keepNext/>
              <w:keepLines/>
              <w:spacing w:before="100"/>
              <w:jc w:val="right"/>
              <w:rPr>
                <w:color w:val="000000"/>
              </w:rPr>
            </w:pPr>
            <w:r>
              <w:rPr>
                <w:color w:val="000000"/>
              </w:rPr>
              <w:t>528</w:t>
            </w:r>
          </w:p>
        </w:tc>
      </w:tr>
      <w:tr w:rsidR="00C2183F" w:rsidTr="00D11C47">
        <w:trPr>
          <w:trHeight w:val="288"/>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C2183F" w:rsidRDefault="009E57A1" w:rsidP="00BA55FB">
            <w:pPr>
              <w:keepNext/>
              <w:keepLines/>
              <w:spacing w:before="100"/>
              <w:rPr>
                <w:b/>
                <w:bCs/>
                <w:color w:val="44546A"/>
              </w:rPr>
            </w:pPr>
            <w:r>
              <w:rPr>
                <w:rFonts w:hint="eastAsia"/>
                <w:b/>
                <w:bCs/>
                <w:color w:val="44546A"/>
                <w:lang w:eastAsia="zh-CN"/>
              </w:rPr>
              <w:t>合计</w:t>
            </w:r>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C2183F" w:rsidRDefault="00C2183F" w:rsidP="00BA55FB">
            <w:pPr>
              <w:keepNext/>
              <w:keepLines/>
              <w:spacing w:before="100"/>
              <w:jc w:val="right"/>
              <w:rPr>
                <w:b/>
                <w:bCs/>
                <w:color w:val="44546A"/>
              </w:rPr>
            </w:pPr>
            <w:r>
              <w:rPr>
                <w:b/>
                <w:bCs/>
                <w:color w:val="44546A"/>
              </w:rPr>
              <w:t>522</w:t>
            </w:r>
          </w:p>
        </w:tc>
        <w:tc>
          <w:tcPr>
            <w:tcW w:w="2268"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C2183F" w:rsidRDefault="00C2183F" w:rsidP="00BA55FB">
            <w:pPr>
              <w:keepNext/>
              <w:keepLines/>
              <w:spacing w:before="100"/>
              <w:jc w:val="right"/>
              <w:rPr>
                <w:b/>
                <w:bCs/>
                <w:color w:val="44546A"/>
              </w:rPr>
            </w:pPr>
            <w:r>
              <w:rPr>
                <w:b/>
                <w:bCs/>
                <w:color w:val="44546A"/>
              </w:rPr>
              <w:t>2088</w:t>
            </w:r>
          </w:p>
        </w:tc>
      </w:tr>
    </w:tbl>
    <w:p w:rsidR="00C2183F" w:rsidRPr="00E96BB7" w:rsidRDefault="00C2183F" w:rsidP="00BD616C">
      <w:pPr>
        <w:rPr>
          <w:lang w:eastAsia="zh-CN"/>
        </w:rPr>
      </w:pPr>
      <w:r>
        <w:rPr>
          <w:lang w:eastAsia="zh-CN"/>
        </w:rPr>
        <w:t>4.5.2</w:t>
      </w:r>
      <w:r>
        <w:rPr>
          <w:lang w:eastAsia="zh-CN"/>
        </w:rPr>
        <w:tab/>
      </w:r>
      <w:r w:rsidR="009E57A1">
        <w:rPr>
          <w:rFonts w:hint="eastAsia"/>
          <w:lang w:eastAsia="zh-CN"/>
        </w:rPr>
        <w:t>这些数字不包括在</w:t>
      </w:r>
      <w:r w:rsidRPr="00E96BB7">
        <w:rPr>
          <w:lang w:eastAsia="zh-CN"/>
        </w:rPr>
        <w:t>2020-2021</w:t>
      </w:r>
      <w:r w:rsidR="009E57A1">
        <w:rPr>
          <w:rFonts w:hint="eastAsia"/>
          <w:lang w:eastAsia="zh-CN"/>
        </w:rPr>
        <w:t>年的预算草案内。</w:t>
      </w:r>
    </w:p>
    <w:p w:rsidR="00C2183F" w:rsidRPr="008F6646" w:rsidRDefault="00C2183F" w:rsidP="00BD616C">
      <w:pPr>
        <w:pStyle w:val="Heading1"/>
        <w:rPr>
          <w:b w:val="0"/>
          <w:bCs/>
          <w:lang w:eastAsia="zh-CN"/>
        </w:rPr>
      </w:pPr>
      <w:r>
        <w:rPr>
          <w:bCs/>
          <w:lang w:eastAsia="zh-CN"/>
        </w:rPr>
        <w:t>5</w:t>
      </w:r>
      <w:r w:rsidRPr="008F6646">
        <w:rPr>
          <w:bCs/>
          <w:lang w:eastAsia="zh-CN"/>
        </w:rPr>
        <w:t>.</w:t>
      </w:r>
      <w:r w:rsidRPr="008F6646">
        <w:rPr>
          <w:bCs/>
          <w:lang w:eastAsia="zh-CN"/>
        </w:rPr>
        <w:tab/>
      </w:r>
      <w:r w:rsidR="00763114" w:rsidRPr="00BD616C">
        <w:rPr>
          <w:rFonts w:hint="eastAsia"/>
          <w:lang w:eastAsia="zh-CN"/>
        </w:rPr>
        <w:t>结论</w:t>
      </w:r>
    </w:p>
    <w:p w:rsidR="00C2183F" w:rsidRDefault="00F618E6" w:rsidP="00BD616C">
      <w:pPr>
        <w:ind w:firstLineChars="200" w:firstLine="480"/>
        <w:rPr>
          <w:color w:val="000000" w:themeColor="text1"/>
          <w:lang w:eastAsia="zh-CN"/>
        </w:rPr>
      </w:pPr>
      <w:r w:rsidRPr="00F618E6">
        <w:rPr>
          <w:rFonts w:hint="eastAsia"/>
          <w:color w:val="000000" w:themeColor="text1"/>
          <w:lang w:eastAsia="zh-CN"/>
        </w:rPr>
        <w:t>各国正在</w:t>
      </w:r>
      <w:r w:rsidRPr="00F618E6">
        <w:rPr>
          <w:color w:val="000000" w:themeColor="text1"/>
          <w:lang w:eastAsia="zh-CN"/>
        </w:rPr>
        <w:t>做出</w:t>
      </w:r>
      <w:r w:rsidRPr="00F618E6">
        <w:rPr>
          <w:rFonts w:hint="eastAsia"/>
          <w:color w:val="000000" w:themeColor="text1"/>
          <w:lang w:eastAsia="zh-CN"/>
        </w:rPr>
        <w:t>努力，</w:t>
      </w:r>
      <w:r w:rsidRPr="00F618E6">
        <w:rPr>
          <w:color w:val="000000" w:themeColor="text1"/>
          <w:lang w:eastAsia="zh-CN"/>
        </w:rPr>
        <w:t>希望</w:t>
      </w:r>
      <w:r w:rsidRPr="00F618E6">
        <w:rPr>
          <w:rFonts w:hint="eastAsia"/>
          <w:color w:val="000000" w:themeColor="text1"/>
          <w:lang w:eastAsia="zh-CN"/>
        </w:rPr>
        <w:t>到</w:t>
      </w:r>
      <w:r w:rsidRPr="00F618E6">
        <w:rPr>
          <w:color w:val="000000" w:themeColor="text1"/>
          <w:lang w:eastAsia="zh-CN"/>
        </w:rPr>
        <w:t>2030</w:t>
      </w:r>
      <w:r w:rsidRPr="00F618E6">
        <w:rPr>
          <w:rFonts w:hint="eastAsia"/>
          <w:color w:val="000000" w:themeColor="text1"/>
          <w:lang w:eastAsia="zh-CN"/>
        </w:rPr>
        <w:t>年实现可持续发展目标（</w:t>
      </w:r>
      <w:r w:rsidRPr="00F618E6">
        <w:rPr>
          <w:color w:val="000000" w:themeColor="text1"/>
          <w:lang w:eastAsia="zh-CN"/>
        </w:rPr>
        <w:t>SDG</w:t>
      </w:r>
      <w:r w:rsidRPr="00F618E6">
        <w:rPr>
          <w:rFonts w:hint="eastAsia"/>
          <w:color w:val="000000" w:themeColor="text1"/>
          <w:lang w:eastAsia="zh-CN"/>
        </w:rPr>
        <w:t>）。在此过程中，</w:t>
      </w:r>
      <w:r w:rsidR="009E57A1">
        <w:rPr>
          <w:rFonts w:hint="eastAsia"/>
          <w:color w:val="000000" w:themeColor="text1"/>
          <w:lang w:eastAsia="zh-CN"/>
        </w:rPr>
        <w:t>鉴于</w:t>
      </w:r>
      <w:r w:rsidR="009E57A1" w:rsidRPr="00F618E6">
        <w:rPr>
          <w:color w:val="000000" w:themeColor="text1"/>
          <w:lang w:eastAsia="zh-CN"/>
        </w:rPr>
        <w:t>ICT</w:t>
      </w:r>
      <w:r w:rsidR="009E57A1" w:rsidRPr="00F618E6">
        <w:rPr>
          <w:rFonts w:hint="eastAsia"/>
          <w:color w:val="000000" w:themeColor="text1"/>
          <w:lang w:eastAsia="zh-CN"/>
        </w:rPr>
        <w:t>在各国</w:t>
      </w:r>
      <w:r w:rsidR="009E57A1">
        <w:rPr>
          <w:rFonts w:hint="eastAsia"/>
          <w:color w:val="000000" w:themeColor="text1"/>
          <w:lang w:eastAsia="zh-CN"/>
        </w:rPr>
        <w:t>社会经济</w:t>
      </w:r>
      <w:r w:rsidR="009E57A1" w:rsidRPr="00F618E6">
        <w:rPr>
          <w:rFonts w:hint="eastAsia"/>
          <w:color w:val="000000" w:themeColor="text1"/>
          <w:lang w:eastAsia="zh-CN"/>
        </w:rPr>
        <w:t>发展中发挥着推动作用</w:t>
      </w:r>
      <w:r w:rsidR="009E57A1">
        <w:rPr>
          <w:rFonts w:hint="eastAsia"/>
          <w:color w:val="000000" w:themeColor="text1"/>
          <w:lang w:eastAsia="zh-CN"/>
        </w:rPr>
        <w:t>，因此</w:t>
      </w:r>
      <w:r w:rsidR="00FE415A" w:rsidRPr="00F618E6">
        <w:rPr>
          <w:rFonts w:hint="eastAsia"/>
          <w:color w:val="000000" w:themeColor="text1"/>
          <w:lang w:eastAsia="zh-CN"/>
        </w:rPr>
        <w:t>衡量</w:t>
      </w:r>
      <w:r w:rsidRPr="00F618E6">
        <w:rPr>
          <w:rFonts w:hint="eastAsia"/>
          <w:color w:val="000000" w:themeColor="text1"/>
          <w:lang w:eastAsia="zh-CN"/>
        </w:rPr>
        <w:t>信息社会</w:t>
      </w:r>
      <w:r w:rsidR="009E57A1">
        <w:rPr>
          <w:rFonts w:hint="eastAsia"/>
          <w:color w:val="000000" w:themeColor="text1"/>
          <w:lang w:eastAsia="zh-CN"/>
        </w:rPr>
        <w:t>和数字经济</w:t>
      </w:r>
      <w:r w:rsidRPr="00F618E6">
        <w:rPr>
          <w:rFonts w:hint="eastAsia"/>
          <w:color w:val="000000" w:themeColor="text1"/>
          <w:lang w:eastAsia="zh-CN"/>
        </w:rPr>
        <w:t>至关重要。国际电联在</w:t>
      </w:r>
      <w:r w:rsidRPr="00F618E6">
        <w:rPr>
          <w:color w:val="000000" w:themeColor="text1"/>
          <w:lang w:eastAsia="zh-CN"/>
        </w:rPr>
        <w:t>ICT</w:t>
      </w:r>
      <w:r w:rsidRPr="00F618E6">
        <w:rPr>
          <w:rFonts w:hint="eastAsia"/>
          <w:color w:val="000000" w:themeColor="text1"/>
          <w:lang w:eastAsia="zh-CN"/>
        </w:rPr>
        <w:t>指标方面的工作必须</w:t>
      </w:r>
      <w:r w:rsidR="009E57A1" w:rsidRPr="00F618E6">
        <w:rPr>
          <w:color w:val="000000" w:themeColor="text1"/>
          <w:lang w:eastAsia="zh-CN"/>
        </w:rPr>
        <w:t>不断完善</w:t>
      </w:r>
      <w:r w:rsidRPr="00F618E6">
        <w:rPr>
          <w:rFonts w:hint="eastAsia"/>
          <w:color w:val="000000" w:themeColor="text1"/>
          <w:lang w:eastAsia="zh-CN"/>
        </w:rPr>
        <w:t>数据</w:t>
      </w:r>
      <w:r w:rsidR="00FE415A">
        <w:rPr>
          <w:rFonts w:hint="eastAsia"/>
          <w:color w:val="000000" w:themeColor="text1"/>
          <w:lang w:eastAsia="zh-CN"/>
        </w:rPr>
        <w:t>采</w:t>
      </w:r>
      <w:r w:rsidRPr="00F618E6">
        <w:rPr>
          <w:rFonts w:hint="eastAsia"/>
          <w:color w:val="000000" w:themeColor="text1"/>
          <w:lang w:eastAsia="zh-CN"/>
        </w:rPr>
        <w:t>集、分析和报告</w:t>
      </w:r>
      <w:r w:rsidR="009E57A1">
        <w:rPr>
          <w:rFonts w:hint="eastAsia"/>
          <w:color w:val="000000" w:themeColor="text1"/>
          <w:lang w:eastAsia="zh-CN"/>
        </w:rPr>
        <w:t>，</w:t>
      </w:r>
      <w:r w:rsidRPr="00F618E6">
        <w:rPr>
          <w:rFonts w:hint="eastAsia"/>
          <w:color w:val="000000" w:themeColor="text1"/>
          <w:lang w:eastAsia="zh-CN"/>
        </w:rPr>
        <w:t>从而</w:t>
      </w:r>
      <w:r w:rsidR="009E57A1">
        <w:rPr>
          <w:rFonts w:hint="eastAsia"/>
          <w:color w:val="000000" w:themeColor="text1"/>
          <w:lang w:eastAsia="zh-CN"/>
        </w:rPr>
        <w:t>保持此</w:t>
      </w:r>
      <w:r w:rsidRPr="00F618E6">
        <w:rPr>
          <w:color w:val="000000" w:themeColor="text1"/>
          <w:lang w:eastAsia="zh-CN"/>
        </w:rPr>
        <w:t>项工作</w:t>
      </w:r>
      <w:r w:rsidR="00D11C47">
        <w:rPr>
          <w:rFonts w:hint="eastAsia"/>
          <w:color w:val="000000" w:themeColor="text1"/>
          <w:lang w:eastAsia="zh-CN"/>
        </w:rPr>
        <w:t>对</w:t>
      </w:r>
      <w:r w:rsidR="009E57A1">
        <w:rPr>
          <w:rFonts w:hint="eastAsia"/>
          <w:color w:val="000000" w:themeColor="text1"/>
          <w:lang w:eastAsia="zh-CN"/>
        </w:rPr>
        <w:t>各国、</w:t>
      </w:r>
      <w:r w:rsidRPr="00F618E6">
        <w:rPr>
          <w:rFonts w:hint="eastAsia"/>
          <w:color w:val="000000" w:themeColor="text1"/>
          <w:lang w:eastAsia="zh-CN"/>
        </w:rPr>
        <w:t>私营</w:t>
      </w:r>
      <w:r w:rsidR="009E57A1">
        <w:rPr>
          <w:rFonts w:hint="eastAsia"/>
          <w:color w:val="000000" w:themeColor="text1"/>
          <w:lang w:eastAsia="zh-CN"/>
        </w:rPr>
        <w:t>部门、其它国际机构和研究界</w:t>
      </w:r>
      <w:r w:rsidRPr="00F618E6">
        <w:rPr>
          <w:rFonts w:hint="eastAsia"/>
          <w:color w:val="000000" w:themeColor="text1"/>
          <w:lang w:eastAsia="zh-CN"/>
        </w:rPr>
        <w:t>的价值。</w:t>
      </w:r>
    </w:p>
    <w:p w:rsidR="00BD3A11" w:rsidRPr="00D07A74" w:rsidRDefault="00C2183F" w:rsidP="00BD5BA2">
      <w:pPr>
        <w:spacing w:before="840"/>
        <w:jc w:val="center"/>
        <w:rPr>
          <w:sz w:val="16"/>
          <w:szCs w:val="16"/>
        </w:rPr>
      </w:pPr>
      <w:r w:rsidRPr="004377DA">
        <w:rPr>
          <w:sz w:val="16"/>
          <w:szCs w:val="16"/>
        </w:rPr>
        <w:t>___________________</w:t>
      </w:r>
    </w:p>
    <w:sectPr w:rsidR="00BD3A11" w:rsidRPr="00D07A74" w:rsidSect="006C36CD">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03" w:rsidRDefault="00F04903">
      <w:r>
        <w:separator/>
      </w:r>
    </w:p>
  </w:endnote>
  <w:endnote w:type="continuationSeparator" w:id="0">
    <w:p w:rsidR="00F04903" w:rsidRDefault="00F0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03" w:rsidRDefault="00092316" w:rsidP="00BD3A11">
    <w:pPr>
      <w:pStyle w:val="Footer"/>
    </w:pPr>
    <w:r w:rsidRPr="00092316">
      <w:rPr>
        <w:color w:val="D9D9D9" w:themeColor="background1" w:themeShade="D9"/>
      </w:rPr>
      <w:fldChar w:fldCharType="begin"/>
    </w:r>
    <w:r w:rsidRPr="00092316">
      <w:rPr>
        <w:color w:val="D9D9D9" w:themeColor="background1" w:themeShade="D9"/>
      </w:rPr>
      <w:instrText xml:space="preserve"> FILENAME \p  \* MERGEFORMAT </w:instrText>
    </w:r>
    <w:r w:rsidRPr="00092316">
      <w:rPr>
        <w:color w:val="D9D9D9" w:themeColor="background1" w:themeShade="D9"/>
      </w:rPr>
      <w:fldChar w:fldCharType="separate"/>
    </w:r>
    <w:r w:rsidR="00B0652B" w:rsidRPr="00092316">
      <w:rPr>
        <w:color w:val="D9D9D9" w:themeColor="background1" w:themeShade="D9"/>
      </w:rPr>
      <w:t>P:\CHI\SG\CONSEIL\C19\000\010C.docx</w:t>
    </w:r>
    <w:r w:rsidRPr="00092316">
      <w:rPr>
        <w:color w:val="D9D9D9" w:themeColor="background1" w:themeShade="D9"/>
      </w:rPr>
      <w:fldChar w:fldCharType="end"/>
    </w:r>
    <w:r w:rsidR="00F04903" w:rsidRPr="00092316">
      <w:rPr>
        <w:color w:val="D9D9D9" w:themeColor="background1" w:themeShade="D9"/>
      </w:rPr>
      <w:t xml:space="preserve"> (450219)</w:t>
    </w:r>
    <w:r w:rsidR="00F0490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03" w:rsidRDefault="00F0490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03" w:rsidRDefault="00F04903">
      <w:r>
        <w:t>____________________</w:t>
      </w:r>
    </w:p>
  </w:footnote>
  <w:footnote w:type="continuationSeparator" w:id="0">
    <w:p w:rsidR="00F04903" w:rsidRDefault="00F04903">
      <w:r>
        <w:continuationSeparator/>
      </w:r>
    </w:p>
  </w:footnote>
  <w:footnote w:id="1">
    <w:p w:rsidR="00F04903" w:rsidRPr="006F7765" w:rsidRDefault="00F04903" w:rsidP="00C2183F">
      <w:pPr>
        <w:pStyle w:val="FootnoteText"/>
        <w:rPr>
          <w:lang w:val="en-US"/>
        </w:rPr>
      </w:pPr>
      <w:r>
        <w:rPr>
          <w:rStyle w:val="FootnoteReference"/>
        </w:rPr>
        <w:footnoteRef/>
      </w:r>
      <w:r>
        <w:t xml:space="preserve"> </w:t>
      </w:r>
      <w:r>
        <w:tab/>
      </w:r>
      <w:hyperlink r:id="rId1" w:history="1">
        <w:r w:rsidRPr="009D3B9C">
          <w:rPr>
            <w:rStyle w:val="Hyperlink"/>
            <w:sz w:val="20"/>
          </w:rPr>
          <w:t>https://www.itu.int/en/ITU-D/Statistics/Pages/events/egh2018/default.aspx</w:t>
        </w:r>
      </w:hyperlink>
      <w:r>
        <w:rPr>
          <w:rFonts w:hint="eastAsia"/>
          <w:sz w:val="20"/>
          <w:lang w:eastAsia="zh-CN"/>
        </w:rPr>
        <w:t>；和</w:t>
      </w:r>
      <w:r>
        <w:rPr>
          <w:sz w:val="20"/>
        </w:rPr>
        <w:br/>
      </w:r>
      <w:hyperlink r:id="rId2" w:history="1">
        <w:r w:rsidRPr="009D3B9C">
          <w:rPr>
            <w:rStyle w:val="Hyperlink"/>
            <w:sz w:val="20"/>
          </w:rPr>
          <w:t>https://www.itu.int/en/ITU-D/Statistics/Pages/events/egti2018/default.aspx</w:t>
        </w:r>
      </w:hyperlink>
    </w:p>
  </w:footnote>
  <w:footnote w:id="2">
    <w:p w:rsidR="00F04903" w:rsidRPr="001B5B79" w:rsidRDefault="00F04903" w:rsidP="00C00908">
      <w:pPr>
        <w:pStyle w:val="FootnoteText"/>
        <w:spacing w:before="60"/>
        <w:rPr>
          <w:lang w:val="en-US" w:eastAsia="zh-CN"/>
        </w:rPr>
      </w:pPr>
      <w:r>
        <w:rPr>
          <w:rStyle w:val="FootnoteReference"/>
        </w:rPr>
        <w:footnoteRef/>
      </w:r>
      <w:r>
        <w:rPr>
          <w:lang w:eastAsia="zh-CN"/>
        </w:rPr>
        <w:t xml:space="preserve"> </w:t>
      </w:r>
      <w:r>
        <w:rPr>
          <w:lang w:eastAsia="zh-CN"/>
        </w:rPr>
        <w:tab/>
      </w:r>
      <w:r w:rsidR="00C00908">
        <w:rPr>
          <w:rFonts w:hint="eastAsia"/>
          <w:lang w:eastAsia="zh-CN"/>
        </w:rPr>
        <w:t>国际电联在六个国家启动了大数据试点项目，探索将大数据作为当前统计数据之补充的可能性。更多细节见：</w:t>
      </w:r>
      <w:r w:rsidR="00C00908">
        <w:rPr>
          <w:lang w:eastAsia="zh-CN"/>
        </w:rPr>
        <w:br/>
      </w:r>
      <w:hyperlink r:id="rId3" w:history="1">
        <w:r w:rsidRPr="00416169">
          <w:rPr>
            <w:rStyle w:val="Hyperlink"/>
            <w:sz w:val="20"/>
            <w:lang w:eastAsia="zh-CN"/>
          </w:rPr>
          <w:t>https://www.itu.int/en/ITU-D/Statistics/Documents/events/wtis2016/BigData_Tiru.pdf</w:t>
        </w:r>
      </w:hyperlink>
      <w:r w:rsidR="00C00908">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03" w:rsidRDefault="00F04903" w:rsidP="00CE6F22">
    <w:pPr>
      <w:pStyle w:val="Header"/>
    </w:pPr>
    <w:r>
      <w:fldChar w:fldCharType="begin"/>
    </w:r>
    <w:r>
      <w:instrText>PAGE</w:instrText>
    </w:r>
    <w:r>
      <w:fldChar w:fldCharType="separate"/>
    </w:r>
    <w:r w:rsidR="00092316">
      <w:rPr>
        <w:noProof/>
      </w:rPr>
      <w:t>2</w:t>
    </w:r>
    <w:r>
      <w:rPr>
        <w:noProof/>
      </w:rPr>
      <w:fldChar w:fldCharType="end"/>
    </w:r>
  </w:p>
  <w:p w:rsidR="00F04903" w:rsidRDefault="00F04903" w:rsidP="00D453EE">
    <w:pPr>
      <w:pStyle w:val="Header"/>
      <w:rPr>
        <w:lang w:eastAsia="zh-CN"/>
      </w:rPr>
    </w:pPr>
    <w:r>
      <w:t>C1</w:t>
    </w:r>
    <w:r>
      <w:rPr>
        <w:lang w:eastAsia="zh-CN"/>
      </w:rPr>
      <w:t>9</w:t>
    </w:r>
    <w:r>
      <w:t>/</w:t>
    </w:r>
    <w:r>
      <w:rPr>
        <w:lang w:eastAsia="zh-CN"/>
      </w:rPr>
      <w:t>10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07D4"/>
    <w:multiLevelType w:val="hybridMultilevel"/>
    <w:tmpl w:val="8E8066DE"/>
    <w:lvl w:ilvl="0" w:tplc="D7BCFC62">
      <w:start w:val="1"/>
      <w:numFmt w:val="lowerLetter"/>
      <w:lvlText w:val="%1)"/>
      <w:lvlJc w:val="left"/>
      <w:pPr>
        <w:ind w:left="1080" w:hanging="360"/>
      </w:pPr>
      <w:rPr>
        <w:rFonts w:hint="default"/>
      </w:rPr>
    </w:lvl>
    <w:lvl w:ilvl="1" w:tplc="FA1CAACA" w:tentative="1">
      <w:start w:val="1"/>
      <w:numFmt w:val="lowerLetter"/>
      <w:lvlText w:val="%2."/>
      <w:lvlJc w:val="left"/>
      <w:pPr>
        <w:ind w:left="1800" w:hanging="360"/>
      </w:pPr>
    </w:lvl>
    <w:lvl w:ilvl="2" w:tplc="86A63250" w:tentative="1">
      <w:start w:val="1"/>
      <w:numFmt w:val="lowerRoman"/>
      <w:lvlText w:val="%3."/>
      <w:lvlJc w:val="right"/>
      <w:pPr>
        <w:ind w:left="2520" w:hanging="180"/>
      </w:pPr>
    </w:lvl>
    <w:lvl w:ilvl="3" w:tplc="A59A8C12" w:tentative="1">
      <w:start w:val="1"/>
      <w:numFmt w:val="decimal"/>
      <w:lvlText w:val="%4."/>
      <w:lvlJc w:val="left"/>
      <w:pPr>
        <w:ind w:left="3240" w:hanging="360"/>
      </w:pPr>
    </w:lvl>
    <w:lvl w:ilvl="4" w:tplc="06BCD98C" w:tentative="1">
      <w:start w:val="1"/>
      <w:numFmt w:val="lowerLetter"/>
      <w:lvlText w:val="%5."/>
      <w:lvlJc w:val="left"/>
      <w:pPr>
        <w:ind w:left="3960" w:hanging="360"/>
      </w:pPr>
    </w:lvl>
    <w:lvl w:ilvl="5" w:tplc="6974F732" w:tentative="1">
      <w:start w:val="1"/>
      <w:numFmt w:val="lowerRoman"/>
      <w:lvlText w:val="%6."/>
      <w:lvlJc w:val="right"/>
      <w:pPr>
        <w:ind w:left="4680" w:hanging="180"/>
      </w:pPr>
    </w:lvl>
    <w:lvl w:ilvl="6" w:tplc="F634DD1C" w:tentative="1">
      <w:start w:val="1"/>
      <w:numFmt w:val="decimal"/>
      <w:lvlText w:val="%7."/>
      <w:lvlJc w:val="left"/>
      <w:pPr>
        <w:ind w:left="5400" w:hanging="360"/>
      </w:pPr>
    </w:lvl>
    <w:lvl w:ilvl="7" w:tplc="2522D3BC" w:tentative="1">
      <w:start w:val="1"/>
      <w:numFmt w:val="lowerLetter"/>
      <w:lvlText w:val="%8."/>
      <w:lvlJc w:val="left"/>
      <w:pPr>
        <w:ind w:left="6120" w:hanging="360"/>
      </w:pPr>
    </w:lvl>
    <w:lvl w:ilvl="8" w:tplc="61569F48" w:tentative="1">
      <w:start w:val="1"/>
      <w:numFmt w:val="lowerRoman"/>
      <w:lvlText w:val="%9."/>
      <w:lvlJc w:val="right"/>
      <w:pPr>
        <w:ind w:left="6840" w:hanging="180"/>
      </w:pPr>
    </w:lvl>
  </w:abstractNum>
  <w:abstractNum w:abstractNumId="2" w15:restartNumberingAfterBreak="0">
    <w:nsid w:val="11412A0C"/>
    <w:multiLevelType w:val="hybridMultilevel"/>
    <w:tmpl w:val="3B7C8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F34A6A"/>
    <w:multiLevelType w:val="multilevel"/>
    <w:tmpl w:val="9DC0403A"/>
    <w:lvl w:ilvl="0">
      <w:start w:val="1"/>
      <w:numFmt w:val="decimal"/>
      <w:lvlText w:val="%1."/>
      <w:lvlJc w:val="left"/>
      <w:pPr>
        <w:ind w:left="502" w:hanging="360"/>
      </w:pPr>
    </w:lvl>
    <w:lvl w:ilvl="1">
      <w:start w:val="1"/>
      <w:numFmt w:val="decimal"/>
      <w:isLgl/>
      <w:lvlText w:val="%1.%2"/>
      <w:lvlJc w:val="left"/>
      <w:pPr>
        <w:ind w:left="942" w:hanging="800"/>
      </w:pPr>
      <w:rPr>
        <w:rFonts w:hint="default"/>
      </w:rPr>
    </w:lvl>
    <w:lvl w:ilvl="2">
      <w:start w:val="1"/>
      <w:numFmt w:val="decimal"/>
      <w:isLgl/>
      <w:lvlText w:val="%1.%2.%3"/>
      <w:lvlJc w:val="left"/>
      <w:pPr>
        <w:ind w:left="942" w:hanging="800"/>
      </w:pPr>
      <w:rPr>
        <w:rFonts w:hint="default"/>
      </w:rPr>
    </w:lvl>
    <w:lvl w:ilvl="3">
      <w:start w:val="1"/>
      <w:numFmt w:val="decimal"/>
      <w:isLgl/>
      <w:lvlText w:val="%1.%2.%3.%4"/>
      <w:lvlJc w:val="left"/>
      <w:pPr>
        <w:ind w:left="942" w:hanging="80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122DC"/>
    <w:multiLevelType w:val="hybridMultilevel"/>
    <w:tmpl w:val="99F85190"/>
    <w:lvl w:ilvl="0" w:tplc="B30208CA">
      <w:start w:val="1"/>
      <w:numFmt w:val="decimal"/>
      <w:lvlText w:val="%1."/>
      <w:lvlJc w:val="left"/>
      <w:pPr>
        <w:ind w:left="720" w:hanging="360"/>
      </w:pPr>
      <w:rPr>
        <w:rFonts w:hint="default"/>
      </w:rPr>
    </w:lvl>
    <w:lvl w:ilvl="1" w:tplc="6BCCE2BC">
      <w:start w:val="1"/>
      <w:numFmt w:val="lowerLetter"/>
      <w:lvlText w:val="%2."/>
      <w:lvlJc w:val="left"/>
      <w:pPr>
        <w:ind w:left="1440" w:hanging="360"/>
      </w:pPr>
      <w:rPr>
        <w:b w:val="0"/>
        <w:bCs w:val="0"/>
      </w:rPr>
    </w:lvl>
    <w:lvl w:ilvl="2" w:tplc="C47E8F96" w:tentative="1">
      <w:start w:val="1"/>
      <w:numFmt w:val="lowerRoman"/>
      <w:lvlText w:val="%3."/>
      <w:lvlJc w:val="right"/>
      <w:pPr>
        <w:ind w:left="2160" w:hanging="180"/>
      </w:pPr>
    </w:lvl>
    <w:lvl w:ilvl="3" w:tplc="151E97CA" w:tentative="1">
      <w:start w:val="1"/>
      <w:numFmt w:val="decimal"/>
      <w:lvlText w:val="%4."/>
      <w:lvlJc w:val="left"/>
      <w:pPr>
        <w:ind w:left="2880" w:hanging="360"/>
      </w:pPr>
    </w:lvl>
    <w:lvl w:ilvl="4" w:tplc="BBBCC2D2" w:tentative="1">
      <w:start w:val="1"/>
      <w:numFmt w:val="lowerLetter"/>
      <w:lvlText w:val="%5."/>
      <w:lvlJc w:val="left"/>
      <w:pPr>
        <w:ind w:left="3600" w:hanging="360"/>
      </w:pPr>
    </w:lvl>
    <w:lvl w:ilvl="5" w:tplc="9E4C6FC0" w:tentative="1">
      <w:start w:val="1"/>
      <w:numFmt w:val="lowerRoman"/>
      <w:lvlText w:val="%6."/>
      <w:lvlJc w:val="right"/>
      <w:pPr>
        <w:ind w:left="4320" w:hanging="180"/>
      </w:pPr>
    </w:lvl>
    <w:lvl w:ilvl="6" w:tplc="74EA920E" w:tentative="1">
      <w:start w:val="1"/>
      <w:numFmt w:val="decimal"/>
      <w:lvlText w:val="%7."/>
      <w:lvlJc w:val="left"/>
      <w:pPr>
        <w:ind w:left="5040" w:hanging="360"/>
      </w:pPr>
    </w:lvl>
    <w:lvl w:ilvl="7" w:tplc="D10E7BD6" w:tentative="1">
      <w:start w:val="1"/>
      <w:numFmt w:val="lowerLetter"/>
      <w:lvlText w:val="%8."/>
      <w:lvlJc w:val="left"/>
      <w:pPr>
        <w:ind w:left="5760" w:hanging="360"/>
      </w:pPr>
    </w:lvl>
    <w:lvl w:ilvl="8" w:tplc="38CEC89E" w:tentative="1">
      <w:start w:val="1"/>
      <w:numFmt w:val="lowerRoman"/>
      <w:lvlText w:val="%9."/>
      <w:lvlJc w:val="right"/>
      <w:pPr>
        <w:ind w:left="6480" w:hanging="180"/>
      </w:pPr>
    </w:lvl>
  </w:abstractNum>
  <w:abstractNum w:abstractNumId="6" w15:restartNumberingAfterBreak="0">
    <w:nsid w:val="26537ED7"/>
    <w:multiLevelType w:val="hybridMultilevel"/>
    <w:tmpl w:val="44106A32"/>
    <w:lvl w:ilvl="0" w:tplc="E710EB24">
      <w:start w:val="1"/>
      <w:numFmt w:val="bullet"/>
      <w:lvlText w:val=""/>
      <w:lvlJc w:val="left"/>
      <w:pPr>
        <w:ind w:left="720" w:hanging="360"/>
      </w:pPr>
      <w:rPr>
        <w:rFonts w:ascii="Symbol" w:hAnsi="Symbol" w:hint="default"/>
      </w:rPr>
    </w:lvl>
    <w:lvl w:ilvl="1" w:tplc="79F2D442" w:tentative="1">
      <w:start w:val="1"/>
      <w:numFmt w:val="bullet"/>
      <w:lvlText w:val="o"/>
      <w:lvlJc w:val="left"/>
      <w:pPr>
        <w:ind w:left="1440" w:hanging="360"/>
      </w:pPr>
      <w:rPr>
        <w:rFonts w:ascii="Courier New" w:hAnsi="Courier New" w:cs="Courier New" w:hint="default"/>
      </w:rPr>
    </w:lvl>
    <w:lvl w:ilvl="2" w:tplc="63C035C4" w:tentative="1">
      <w:start w:val="1"/>
      <w:numFmt w:val="bullet"/>
      <w:lvlText w:val=""/>
      <w:lvlJc w:val="left"/>
      <w:pPr>
        <w:ind w:left="2160" w:hanging="360"/>
      </w:pPr>
      <w:rPr>
        <w:rFonts w:ascii="Wingdings" w:hAnsi="Wingdings" w:hint="default"/>
      </w:rPr>
    </w:lvl>
    <w:lvl w:ilvl="3" w:tplc="EDCC626E" w:tentative="1">
      <w:start w:val="1"/>
      <w:numFmt w:val="bullet"/>
      <w:lvlText w:val=""/>
      <w:lvlJc w:val="left"/>
      <w:pPr>
        <w:ind w:left="2880" w:hanging="360"/>
      </w:pPr>
      <w:rPr>
        <w:rFonts w:ascii="Symbol" w:hAnsi="Symbol" w:hint="default"/>
      </w:rPr>
    </w:lvl>
    <w:lvl w:ilvl="4" w:tplc="99C6E29C" w:tentative="1">
      <w:start w:val="1"/>
      <w:numFmt w:val="bullet"/>
      <w:lvlText w:val="o"/>
      <w:lvlJc w:val="left"/>
      <w:pPr>
        <w:ind w:left="3600" w:hanging="360"/>
      </w:pPr>
      <w:rPr>
        <w:rFonts w:ascii="Courier New" w:hAnsi="Courier New" w:cs="Courier New" w:hint="default"/>
      </w:rPr>
    </w:lvl>
    <w:lvl w:ilvl="5" w:tplc="34864738" w:tentative="1">
      <w:start w:val="1"/>
      <w:numFmt w:val="bullet"/>
      <w:lvlText w:val=""/>
      <w:lvlJc w:val="left"/>
      <w:pPr>
        <w:ind w:left="4320" w:hanging="360"/>
      </w:pPr>
      <w:rPr>
        <w:rFonts w:ascii="Wingdings" w:hAnsi="Wingdings" w:hint="default"/>
      </w:rPr>
    </w:lvl>
    <w:lvl w:ilvl="6" w:tplc="95A679C6" w:tentative="1">
      <w:start w:val="1"/>
      <w:numFmt w:val="bullet"/>
      <w:lvlText w:val=""/>
      <w:lvlJc w:val="left"/>
      <w:pPr>
        <w:ind w:left="5040" w:hanging="360"/>
      </w:pPr>
      <w:rPr>
        <w:rFonts w:ascii="Symbol" w:hAnsi="Symbol" w:hint="default"/>
      </w:rPr>
    </w:lvl>
    <w:lvl w:ilvl="7" w:tplc="055A9640" w:tentative="1">
      <w:start w:val="1"/>
      <w:numFmt w:val="bullet"/>
      <w:lvlText w:val="o"/>
      <w:lvlJc w:val="left"/>
      <w:pPr>
        <w:ind w:left="5760" w:hanging="360"/>
      </w:pPr>
      <w:rPr>
        <w:rFonts w:ascii="Courier New" w:hAnsi="Courier New" w:cs="Courier New" w:hint="default"/>
      </w:rPr>
    </w:lvl>
    <w:lvl w:ilvl="8" w:tplc="B67AF4CC" w:tentative="1">
      <w:start w:val="1"/>
      <w:numFmt w:val="bullet"/>
      <w:lvlText w:val=""/>
      <w:lvlJc w:val="left"/>
      <w:pPr>
        <w:ind w:left="6480" w:hanging="360"/>
      </w:pPr>
      <w:rPr>
        <w:rFonts w:ascii="Wingdings" w:hAnsi="Wingdings" w:hint="default"/>
      </w:rPr>
    </w:lvl>
  </w:abstractNum>
  <w:abstractNum w:abstractNumId="7" w15:restartNumberingAfterBreak="0">
    <w:nsid w:val="269B547B"/>
    <w:multiLevelType w:val="hybridMultilevel"/>
    <w:tmpl w:val="579C6AD6"/>
    <w:lvl w:ilvl="0" w:tplc="E580F958">
      <w:start w:val="1"/>
      <w:numFmt w:val="bullet"/>
      <w:lvlText w:val=""/>
      <w:lvlJc w:val="left"/>
      <w:pPr>
        <w:ind w:left="720" w:hanging="360"/>
      </w:pPr>
      <w:rPr>
        <w:rFonts w:ascii="Wingdings" w:hAnsi="Wingdings" w:hint="default"/>
      </w:rPr>
    </w:lvl>
    <w:lvl w:ilvl="1" w:tplc="408CB7C0" w:tentative="1">
      <w:start w:val="1"/>
      <w:numFmt w:val="bullet"/>
      <w:lvlText w:val="o"/>
      <w:lvlJc w:val="left"/>
      <w:pPr>
        <w:ind w:left="1440" w:hanging="360"/>
      </w:pPr>
      <w:rPr>
        <w:rFonts w:ascii="Courier New" w:hAnsi="Courier New" w:cs="Courier New" w:hint="default"/>
      </w:rPr>
    </w:lvl>
    <w:lvl w:ilvl="2" w:tplc="EF182180" w:tentative="1">
      <w:start w:val="1"/>
      <w:numFmt w:val="bullet"/>
      <w:lvlText w:val=""/>
      <w:lvlJc w:val="left"/>
      <w:pPr>
        <w:ind w:left="2160" w:hanging="360"/>
      </w:pPr>
      <w:rPr>
        <w:rFonts w:ascii="Wingdings" w:hAnsi="Wingdings" w:hint="default"/>
      </w:rPr>
    </w:lvl>
    <w:lvl w:ilvl="3" w:tplc="8D743F58" w:tentative="1">
      <w:start w:val="1"/>
      <w:numFmt w:val="bullet"/>
      <w:lvlText w:val=""/>
      <w:lvlJc w:val="left"/>
      <w:pPr>
        <w:ind w:left="2880" w:hanging="360"/>
      </w:pPr>
      <w:rPr>
        <w:rFonts w:ascii="Symbol" w:hAnsi="Symbol" w:hint="default"/>
      </w:rPr>
    </w:lvl>
    <w:lvl w:ilvl="4" w:tplc="65C84A62" w:tentative="1">
      <w:start w:val="1"/>
      <w:numFmt w:val="bullet"/>
      <w:lvlText w:val="o"/>
      <w:lvlJc w:val="left"/>
      <w:pPr>
        <w:ind w:left="3600" w:hanging="360"/>
      </w:pPr>
      <w:rPr>
        <w:rFonts w:ascii="Courier New" w:hAnsi="Courier New" w:cs="Courier New" w:hint="default"/>
      </w:rPr>
    </w:lvl>
    <w:lvl w:ilvl="5" w:tplc="2256B1DA" w:tentative="1">
      <w:start w:val="1"/>
      <w:numFmt w:val="bullet"/>
      <w:lvlText w:val=""/>
      <w:lvlJc w:val="left"/>
      <w:pPr>
        <w:ind w:left="4320" w:hanging="360"/>
      </w:pPr>
      <w:rPr>
        <w:rFonts w:ascii="Wingdings" w:hAnsi="Wingdings" w:hint="default"/>
      </w:rPr>
    </w:lvl>
    <w:lvl w:ilvl="6" w:tplc="AF8E7B70" w:tentative="1">
      <w:start w:val="1"/>
      <w:numFmt w:val="bullet"/>
      <w:lvlText w:val=""/>
      <w:lvlJc w:val="left"/>
      <w:pPr>
        <w:ind w:left="5040" w:hanging="360"/>
      </w:pPr>
      <w:rPr>
        <w:rFonts w:ascii="Symbol" w:hAnsi="Symbol" w:hint="default"/>
      </w:rPr>
    </w:lvl>
    <w:lvl w:ilvl="7" w:tplc="03A08520" w:tentative="1">
      <w:start w:val="1"/>
      <w:numFmt w:val="bullet"/>
      <w:lvlText w:val="o"/>
      <w:lvlJc w:val="left"/>
      <w:pPr>
        <w:ind w:left="5760" w:hanging="360"/>
      </w:pPr>
      <w:rPr>
        <w:rFonts w:ascii="Courier New" w:hAnsi="Courier New" w:cs="Courier New" w:hint="default"/>
      </w:rPr>
    </w:lvl>
    <w:lvl w:ilvl="8" w:tplc="9C5CE6A0"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D32A1"/>
    <w:multiLevelType w:val="hybridMultilevel"/>
    <w:tmpl w:val="EFD8EF08"/>
    <w:lvl w:ilvl="0" w:tplc="8772CAF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12D8C"/>
    <w:multiLevelType w:val="hybridMultilevel"/>
    <w:tmpl w:val="376A6B46"/>
    <w:lvl w:ilvl="0" w:tplc="7F5C8152">
      <w:start w:val="1"/>
      <w:numFmt w:val="bullet"/>
      <w:lvlText w:val=""/>
      <w:lvlJc w:val="left"/>
      <w:pPr>
        <w:ind w:left="720" w:hanging="360"/>
      </w:pPr>
      <w:rPr>
        <w:rFonts w:ascii="Wingdings" w:hAnsi="Wingdings" w:hint="default"/>
      </w:rPr>
    </w:lvl>
    <w:lvl w:ilvl="1" w:tplc="97D07AD0" w:tentative="1">
      <w:start w:val="1"/>
      <w:numFmt w:val="bullet"/>
      <w:lvlText w:val="o"/>
      <w:lvlJc w:val="left"/>
      <w:pPr>
        <w:ind w:left="1440" w:hanging="360"/>
      </w:pPr>
      <w:rPr>
        <w:rFonts w:ascii="Courier New" w:hAnsi="Courier New" w:cs="Courier New" w:hint="default"/>
      </w:rPr>
    </w:lvl>
    <w:lvl w:ilvl="2" w:tplc="0A9694EE" w:tentative="1">
      <w:start w:val="1"/>
      <w:numFmt w:val="bullet"/>
      <w:lvlText w:val=""/>
      <w:lvlJc w:val="left"/>
      <w:pPr>
        <w:ind w:left="2160" w:hanging="360"/>
      </w:pPr>
      <w:rPr>
        <w:rFonts w:ascii="Wingdings" w:hAnsi="Wingdings" w:hint="default"/>
      </w:rPr>
    </w:lvl>
    <w:lvl w:ilvl="3" w:tplc="E398C276" w:tentative="1">
      <w:start w:val="1"/>
      <w:numFmt w:val="bullet"/>
      <w:lvlText w:val=""/>
      <w:lvlJc w:val="left"/>
      <w:pPr>
        <w:ind w:left="2880" w:hanging="360"/>
      </w:pPr>
      <w:rPr>
        <w:rFonts w:ascii="Symbol" w:hAnsi="Symbol" w:hint="default"/>
      </w:rPr>
    </w:lvl>
    <w:lvl w:ilvl="4" w:tplc="CA5A5194" w:tentative="1">
      <w:start w:val="1"/>
      <w:numFmt w:val="bullet"/>
      <w:lvlText w:val="o"/>
      <w:lvlJc w:val="left"/>
      <w:pPr>
        <w:ind w:left="3600" w:hanging="360"/>
      </w:pPr>
      <w:rPr>
        <w:rFonts w:ascii="Courier New" w:hAnsi="Courier New" w:cs="Courier New" w:hint="default"/>
      </w:rPr>
    </w:lvl>
    <w:lvl w:ilvl="5" w:tplc="18F85B1C" w:tentative="1">
      <w:start w:val="1"/>
      <w:numFmt w:val="bullet"/>
      <w:lvlText w:val=""/>
      <w:lvlJc w:val="left"/>
      <w:pPr>
        <w:ind w:left="4320" w:hanging="360"/>
      </w:pPr>
      <w:rPr>
        <w:rFonts w:ascii="Wingdings" w:hAnsi="Wingdings" w:hint="default"/>
      </w:rPr>
    </w:lvl>
    <w:lvl w:ilvl="6" w:tplc="CF3E1BE2" w:tentative="1">
      <w:start w:val="1"/>
      <w:numFmt w:val="bullet"/>
      <w:lvlText w:val=""/>
      <w:lvlJc w:val="left"/>
      <w:pPr>
        <w:ind w:left="5040" w:hanging="360"/>
      </w:pPr>
      <w:rPr>
        <w:rFonts w:ascii="Symbol" w:hAnsi="Symbol" w:hint="default"/>
      </w:rPr>
    </w:lvl>
    <w:lvl w:ilvl="7" w:tplc="0E2E730E" w:tentative="1">
      <w:start w:val="1"/>
      <w:numFmt w:val="bullet"/>
      <w:lvlText w:val="o"/>
      <w:lvlJc w:val="left"/>
      <w:pPr>
        <w:ind w:left="5760" w:hanging="360"/>
      </w:pPr>
      <w:rPr>
        <w:rFonts w:ascii="Courier New" w:hAnsi="Courier New" w:cs="Courier New" w:hint="default"/>
      </w:rPr>
    </w:lvl>
    <w:lvl w:ilvl="8" w:tplc="702011A6" w:tentative="1">
      <w:start w:val="1"/>
      <w:numFmt w:val="bullet"/>
      <w:lvlText w:val=""/>
      <w:lvlJc w:val="left"/>
      <w:pPr>
        <w:ind w:left="6480" w:hanging="360"/>
      </w:pPr>
      <w:rPr>
        <w:rFonts w:ascii="Wingdings" w:hAnsi="Wingdings" w:hint="default"/>
      </w:rPr>
    </w:lvl>
  </w:abstractNum>
  <w:abstractNum w:abstractNumId="11" w15:restartNumberingAfterBreak="0">
    <w:nsid w:val="33C95A9E"/>
    <w:multiLevelType w:val="multilevel"/>
    <w:tmpl w:val="6DEC62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FB4958"/>
    <w:multiLevelType w:val="hybridMultilevel"/>
    <w:tmpl w:val="BE7E86AE"/>
    <w:lvl w:ilvl="0" w:tplc="7664742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75603"/>
    <w:multiLevelType w:val="hybridMultilevel"/>
    <w:tmpl w:val="DBB40D88"/>
    <w:lvl w:ilvl="0" w:tplc="5ABE857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70D0C"/>
    <w:multiLevelType w:val="hybridMultilevel"/>
    <w:tmpl w:val="7AD6DF4E"/>
    <w:lvl w:ilvl="0" w:tplc="D0920DB0">
      <w:start w:val="1"/>
      <w:numFmt w:val="bullet"/>
      <w:lvlText w:val=""/>
      <w:lvlJc w:val="left"/>
      <w:pPr>
        <w:ind w:left="720" w:hanging="360"/>
      </w:pPr>
      <w:rPr>
        <w:rFonts w:ascii="Wingdings" w:hAnsi="Wingdings" w:hint="default"/>
      </w:rPr>
    </w:lvl>
    <w:lvl w:ilvl="1" w:tplc="545E0636" w:tentative="1">
      <w:start w:val="1"/>
      <w:numFmt w:val="bullet"/>
      <w:lvlText w:val="o"/>
      <w:lvlJc w:val="left"/>
      <w:pPr>
        <w:ind w:left="1440" w:hanging="360"/>
      </w:pPr>
      <w:rPr>
        <w:rFonts w:ascii="Courier New" w:hAnsi="Courier New" w:cs="Courier New" w:hint="default"/>
      </w:rPr>
    </w:lvl>
    <w:lvl w:ilvl="2" w:tplc="C9F8ED94" w:tentative="1">
      <w:start w:val="1"/>
      <w:numFmt w:val="bullet"/>
      <w:lvlText w:val=""/>
      <w:lvlJc w:val="left"/>
      <w:pPr>
        <w:ind w:left="2160" w:hanging="360"/>
      </w:pPr>
      <w:rPr>
        <w:rFonts w:ascii="Wingdings" w:hAnsi="Wingdings" w:hint="default"/>
      </w:rPr>
    </w:lvl>
    <w:lvl w:ilvl="3" w:tplc="EE12D7EA" w:tentative="1">
      <w:start w:val="1"/>
      <w:numFmt w:val="bullet"/>
      <w:lvlText w:val=""/>
      <w:lvlJc w:val="left"/>
      <w:pPr>
        <w:ind w:left="2880" w:hanging="360"/>
      </w:pPr>
      <w:rPr>
        <w:rFonts w:ascii="Symbol" w:hAnsi="Symbol" w:hint="default"/>
      </w:rPr>
    </w:lvl>
    <w:lvl w:ilvl="4" w:tplc="B58AFA76" w:tentative="1">
      <w:start w:val="1"/>
      <w:numFmt w:val="bullet"/>
      <w:lvlText w:val="o"/>
      <w:lvlJc w:val="left"/>
      <w:pPr>
        <w:ind w:left="3600" w:hanging="360"/>
      </w:pPr>
      <w:rPr>
        <w:rFonts w:ascii="Courier New" w:hAnsi="Courier New" w:cs="Courier New" w:hint="default"/>
      </w:rPr>
    </w:lvl>
    <w:lvl w:ilvl="5" w:tplc="1A14CDC0" w:tentative="1">
      <w:start w:val="1"/>
      <w:numFmt w:val="bullet"/>
      <w:lvlText w:val=""/>
      <w:lvlJc w:val="left"/>
      <w:pPr>
        <w:ind w:left="4320" w:hanging="360"/>
      </w:pPr>
      <w:rPr>
        <w:rFonts w:ascii="Wingdings" w:hAnsi="Wingdings" w:hint="default"/>
      </w:rPr>
    </w:lvl>
    <w:lvl w:ilvl="6" w:tplc="E020A596" w:tentative="1">
      <w:start w:val="1"/>
      <w:numFmt w:val="bullet"/>
      <w:lvlText w:val=""/>
      <w:lvlJc w:val="left"/>
      <w:pPr>
        <w:ind w:left="5040" w:hanging="360"/>
      </w:pPr>
      <w:rPr>
        <w:rFonts w:ascii="Symbol" w:hAnsi="Symbol" w:hint="default"/>
      </w:rPr>
    </w:lvl>
    <w:lvl w:ilvl="7" w:tplc="1A020108" w:tentative="1">
      <w:start w:val="1"/>
      <w:numFmt w:val="bullet"/>
      <w:lvlText w:val="o"/>
      <w:lvlJc w:val="left"/>
      <w:pPr>
        <w:ind w:left="5760" w:hanging="360"/>
      </w:pPr>
      <w:rPr>
        <w:rFonts w:ascii="Courier New" w:hAnsi="Courier New" w:cs="Courier New" w:hint="default"/>
      </w:rPr>
    </w:lvl>
    <w:lvl w:ilvl="8" w:tplc="DEBEC292" w:tentative="1">
      <w:start w:val="1"/>
      <w:numFmt w:val="bullet"/>
      <w:lvlText w:val=""/>
      <w:lvlJc w:val="left"/>
      <w:pPr>
        <w:ind w:left="6480" w:hanging="360"/>
      </w:pPr>
      <w:rPr>
        <w:rFonts w:ascii="Wingdings" w:hAnsi="Wingdings" w:hint="default"/>
      </w:rPr>
    </w:lvl>
  </w:abstractNum>
  <w:abstractNum w:abstractNumId="17" w15:restartNumberingAfterBreak="0">
    <w:nsid w:val="49836975"/>
    <w:multiLevelType w:val="hybridMultilevel"/>
    <w:tmpl w:val="F6F83AF2"/>
    <w:lvl w:ilvl="0" w:tplc="06D0D2FA">
      <w:start w:val="1"/>
      <w:numFmt w:val="decimal"/>
      <w:lvlText w:val="%1."/>
      <w:lvlJc w:val="left"/>
      <w:pPr>
        <w:ind w:left="720" w:hanging="360"/>
      </w:pPr>
      <w:rPr>
        <w:rFonts w:hint="default"/>
      </w:rPr>
    </w:lvl>
    <w:lvl w:ilvl="1" w:tplc="69CE8E8A" w:tentative="1">
      <w:start w:val="1"/>
      <w:numFmt w:val="bullet"/>
      <w:lvlText w:val="o"/>
      <w:lvlJc w:val="left"/>
      <w:pPr>
        <w:ind w:left="1440" w:hanging="360"/>
      </w:pPr>
      <w:rPr>
        <w:rFonts w:ascii="Courier New" w:hAnsi="Courier New" w:cs="Courier New" w:hint="default"/>
      </w:rPr>
    </w:lvl>
    <w:lvl w:ilvl="2" w:tplc="B9686B66" w:tentative="1">
      <w:start w:val="1"/>
      <w:numFmt w:val="bullet"/>
      <w:lvlText w:val=""/>
      <w:lvlJc w:val="left"/>
      <w:pPr>
        <w:ind w:left="2160" w:hanging="360"/>
      </w:pPr>
      <w:rPr>
        <w:rFonts w:ascii="Wingdings" w:hAnsi="Wingdings" w:hint="default"/>
      </w:rPr>
    </w:lvl>
    <w:lvl w:ilvl="3" w:tplc="802E0478" w:tentative="1">
      <w:start w:val="1"/>
      <w:numFmt w:val="bullet"/>
      <w:lvlText w:val=""/>
      <w:lvlJc w:val="left"/>
      <w:pPr>
        <w:ind w:left="2880" w:hanging="360"/>
      </w:pPr>
      <w:rPr>
        <w:rFonts w:ascii="Symbol" w:hAnsi="Symbol" w:hint="default"/>
      </w:rPr>
    </w:lvl>
    <w:lvl w:ilvl="4" w:tplc="EAD8F25C" w:tentative="1">
      <w:start w:val="1"/>
      <w:numFmt w:val="bullet"/>
      <w:lvlText w:val="o"/>
      <w:lvlJc w:val="left"/>
      <w:pPr>
        <w:ind w:left="3600" w:hanging="360"/>
      </w:pPr>
      <w:rPr>
        <w:rFonts w:ascii="Courier New" w:hAnsi="Courier New" w:cs="Courier New" w:hint="default"/>
      </w:rPr>
    </w:lvl>
    <w:lvl w:ilvl="5" w:tplc="7A64CF36" w:tentative="1">
      <w:start w:val="1"/>
      <w:numFmt w:val="bullet"/>
      <w:lvlText w:val=""/>
      <w:lvlJc w:val="left"/>
      <w:pPr>
        <w:ind w:left="4320" w:hanging="360"/>
      </w:pPr>
      <w:rPr>
        <w:rFonts w:ascii="Wingdings" w:hAnsi="Wingdings" w:hint="default"/>
      </w:rPr>
    </w:lvl>
    <w:lvl w:ilvl="6" w:tplc="E46C9100" w:tentative="1">
      <w:start w:val="1"/>
      <w:numFmt w:val="bullet"/>
      <w:lvlText w:val=""/>
      <w:lvlJc w:val="left"/>
      <w:pPr>
        <w:ind w:left="5040" w:hanging="360"/>
      </w:pPr>
      <w:rPr>
        <w:rFonts w:ascii="Symbol" w:hAnsi="Symbol" w:hint="default"/>
      </w:rPr>
    </w:lvl>
    <w:lvl w:ilvl="7" w:tplc="3886F32E" w:tentative="1">
      <w:start w:val="1"/>
      <w:numFmt w:val="bullet"/>
      <w:lvlText w:val="o"/>
      <w:lvlJc w:val="left"/>
      <w:pPr>
        <w:ind w:left="5760" w:hanging="360"/>
      </w:pPr>
      <w:rPr>
        <w:rFonts w:ascii="Courier New" w:hAnsi="Courier New" w:cs="Courier New" w:hint="default"/>
      </w:rPr>
    </w:lvl>
    <w:lvl w:ilvl="8" w:tplc="B02AE500" w:tentative="1">
      <w:start w:val="1"/>
      <w:numFmt w:val="bullet"/>
      <w:lvlText w:val=""/>
      <w:lvlJc w:val="left"/>
      <w:pPr>
        <w:ind w:left="6480" w:hanging="360"/>
      </w:pPr>
      <w:rPr>
        <w:rFonts w:ascii="Wingdings" w:hAnsi="Wingdings" w:hint="default"/>
      </w:rPr>
    </w:lvl>
  </w:abstractNum>
  <w:abstractNum w:abstractNumId="18" w15:restartNumberingAfterBreak="0">
    <w:nsid w:val="4D091B33"/>
    <w:multiLevelType w:val="hybridMultilevel"/>
    <w:tmpl w:val="8D821866"/>
    <w:lvl w:ilvl="0" w:tplc="EFD6A8F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77BFD"/>
    <w:multiLevelType w:val="hybridMultilevel"/>
    <w:tmpl w:val="D11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2"/>
  </w:num>
  <w:num w:numId="4">
    <w:abstractNumId w:val="20"/>
  </w:num>
  <w:num w:numId="5">
    <w:abstractNumId w:val="22"/>
  </w:num>
  <w:num w:numId="6">
    <w:abstractNumId w:val="21"/>
  </w:num>
  <w:num w:numId="7">
    <w:abstractNumId w:val="4"/>
  </w:num>
  <w:num w:numId="8">
    <w:abstractNumId w:val="11"/>
  </w:num>
  <w:num w:numId="9">
    <w:abstractNumId w:val="6"/>
  </w:num>
  <w:num w:numId="10">
    <w:abstractNumId w:val="17"/>
  </w:num>
  <w:num w:numId="11">
    <w:abstractNumId w:val="5"/>
  </w:num>
  <w:num w:numId="12">
    <w:abstractNumId w:val="1"/>
  </w:num>
  <w:num w:numId="13">
    <w:abstractNumId w:val="10"/>
  </w:num>
  <w:num w:numId="14">
    <w:abstractNumId w:val="7"/>
  </w:num>
  <w:num w:numId="15">
    <w:abstractNumId w:val="16"/>
  </w:num>
  <w:num w:numId="16">
    <w:abstractNumId w:val="3"/>
  </w:num>
  <w:num w:numId="17">
    <w:abstractNumId w:val="9"/>
  </w:num>
  <w:num w:numId="18">
    <w:abstractNumId w:val="13"/>
  </w:num>
  <w:num w:numId="19">
    <w:abstractNumId w:val="14"/>
  </w:num>
  <w:num w:numId="20">
    <w:abstractNumId w:val="18"/>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19"/>
    <w:rsid w:val="00001B77"/>
    <w:rsid w:val="0000517A"/>
    <w:rsid w:val="00031E72"/>
    <w:rsid w:val="000404D2"/>
    <w:rsid w:val="000853C0"/>
    <w:rsid w:val="00092316"/>
    <w:rsid w:val="000A1C21"/>
    <w:rsid w:val="000D15EA"/>
    <w:rsid w:val="00100D84"/>
    <w:rsid w:val="00122DA0"/>
    <w:rsid w:val="00124C9D"/>
    <w:rsid w:val="0015548D"/>
    <w:rsid w:val="00157174"/>
    <w:rsid w:val="00157773"/>
    <w:rsid w:val="00167119"/>
    <w:rsid w:val="0018251A"/>
    <w:rsid w:val="00182636"/>
    <w:rsid w:val="00190272"/>
    <w:rsid w:val="00193244"/>
    <w:rsid w:val="00195C6C"/>
    <w:rsid w:val="00195FED"/>
    <w:rsid w:val="001A4BD6"/>
    <w:rsid w:val="001D5A18"/>
    <w:rsid w:val="001E202C"/>
    <w:rsid w:val="00280EB8"/>
    <w:rsid w:val="002A6670"/>
    <w:rsid w:val="002E6646"/>
    <w:rsid w:val="002E742A"/>
    <w:rsid w:val="00303502"/>
    <w:rsid w:val="00325C25"/>
    <w:rsid w:val="00372C8F"/>
    <w:rsid w:val="00373E95"/>
    <w:rsid w:val="00380ECE"/>
    <w:rsid w:val="00393DDF"/>
    <w:rsid w:val="00397F55"/>
    <w:rsid w:val="003B4454"/>
    <w:rsid w:val="003C2E37"/>
    <w:rsid w:val="003F1415"/>
    <w:rsid w:val="0040144C"/>
    <w:rsid w:val="00403EB7"/>
    <w:rsid w:val="00403ECD"/>
    <w:rsid w:val="00430BF0"/>
    <w:rsid w:val="004672E6"/>
    <w:rsid w:val="00474ED1"/>
    <w:rsid w:val="00493085"/>
    <w:rsid w:val="004A36EC"/>
    <w:rsid w:val="004B06B7"/>
    <w:rsid w:val="004D09A7"/>
    <w:rsid w:val="004D163F"/>
    <w:rsid w:val="004E4BFF"/>
    <w:rsid w:val="004F2598"/>
    <w:rsid w:val="005013BC"/>
    <w:rsid w:val="005403F7"/>
    <w:rsid w:val="00540632"/>
    <w:rsid w:val="00541CF4"/>
    <w:rsid w:val="005451E8"/>
    <w:rsid w:val="005507F2"/>
    <w:rsid w:val="005759CC"/>
    <w:rsid w:val="005A10C6"/>
    <w:rsid w:val="005A72E1"/>
    <w:rsid w:val="005C6632"/>
    <w:rsid w:val="005D1C9E"/>
    <w:rsid w:val="00615EF7"/>
    <w:rsid w:val="0062183C"/>
    <w:rsid w:val="006368F9"/>
    <w:rsid w:val="00654257"/>
    <w:rsid w:val="0065435A"/>
    <w:rsid w:val="00685927"/>
    <w:rsid w:val="006A2DD3"/>
    <w:rsid w:val="006A5AF8"/>
    <w:rsid w:val="006B0156"/>
    <w:rsid w:val="006C0938"/>
    <w:rsid w:val="006C36CD"/>
    <w:rsid w:val="00700D1F"/>
    <w:rsid w:val="007205CB"/>
    <w:rsid w:val="00726073"/>
    <w:rsid w:val="00734FE8"/>
    <w:rsid w:val="007360CE"/>
    <w:rsid w:val="00763114"/>
    <w:rsid w:val="00772315"/>
    <w:rsid w:val="00775157"/>
    <w:rsid w:val="007813AE"/>
    <w:rsid w:val="00794905"/>
    <w:rsid w:val="007A37DB"/>
    <w:rsid w:val="007D385E"/>
    <w:rsid w:val="007E189D"/>
    <w:rsid w:val="00811259"/>
    <w:rsid w:val="00813AA2"/>
    <w:rsid w:val="008173A3"/>
    <w:rsid w:val="008275A4"/>
    <w:rsid w:val="00833855"/>
    <w:rsid w:val="0086059C"/>
    <w:rsid w:val="00864589"/>
    <w:rsid w:val="0087359C"/>
    <w:rsid w:val="00890AFB"/>
    <w:rsid w:val="00890FC4"/>
    <w:rsid w:val="00895905"/>
    <w:rsid w:val="009164A9"/>
    <w:rsid w:val="009258CB"/>
    <w:rsid w:val="0093362E"/>
    <w:rsid w:val="00944563"/>
    <w:rsid w:val="009505B5"/>
    <w:rsid w:val="00953160"/>
    <w:rsid w:val="009625D8"/>
    <w:rsid w:val="0096261C"/>
    <w:rsid w:val="009679CC"/>
    <w:rsid w:val="0098459B"/>
    <w:rsid w:val="00997185"/>
    <w:rsid w:val="009C2458"/>
    <w:rsid w:val="009C4A7B"/>
    <w:rsid w:val="009C6123"/>
    <w:rsid w:val="009E57A1"/>
    <w:rsid w:val="009F1E3E"/>
    <w:rsid w:val="00A1213C"/>
    <w:rsid w:val="00A15DC5"/>
    <w:rsid w:val="00A272FF"/>
    <w:rsid w:val="00A5354B"/>
    <w:rsid w:val="00A53DFC"/>
    <w:rsid w:val="00A71B57"/>
    <w:rsid w:val="00AB42C1"/>
    <w:rsid w:val="00AC516F"/>
    <w:rsid w:val="00AE2926"/>
    <w:rsid w:val="00B0184B"/>
    <w:rsid w:val="00B035CD"/>
    <w:rsid w:val="00B0652B"/>
    <w:rsid w:val="00B0731E"/>
    <w:rsid w:val="00B0769D"/>
    <w:rsid w:val="00B217F8"/>
    <w:rsid w:val="00B332EA"/>
    <w:rsid w:val="00B33B8C"/>
    <w:rsid w:val="00B40A53"/>
    <w:rsid w:val="00B43B10"/>
    <w:rsid w:val="00B45365"/>
    <w:rsid w:val="00B46A65"/>
    <w:rsid w:val="00B60184"/>
    <w:rsid w:val="00B62D20"/>
    <w:rsid w:val="00B63A06"/>
    <w:rsid w:val="00B81E75"/>
    <w:rsid w:val="00BA55FB"/>
    <w:rsid w:val="00BD03EF"/>
    <w:rsid w:val="00BD1A5A"/>
    <w:rsid w:val="00BD3A11"/>
    <w:rsid w:val="00BD5BA2"/>
    <w:rsid w:val="00BD616C"/>
    <w:rsid w:val="00BD7A9B"/>
    <w:rsid w:val="00BD7BE1"/>
    <w:rsid w:val="00BF416B"/>
    <w:rsid w:val="00C00908"/>
    <w:rsid w:val="00C2183F"/>
    <w:rsid w:val="00C64E4E"/>
    <w:rsid w:val="00C66E64"/>
    <w:rsid w:val="00C761A0"/>
    <w:rsid w:val="00C85F7E"/>
    <w:rsid w:val="00C86E9D"/>
    <w:rsid w:val="00C90D53"/>
    <w:rsid w:val="00CC4926"/>
    <w:rsid w:val="00CD47F0"/>
    <w:rsid w:val="00CD5566"/>
    <w:rsid w:val="00CD64D7"/>
    <w:rsid w:val="00CE6F22"/>
    <w:rsid w:val="00CF41F6"/>
    <w:rsid w:val="00CF7D3E"/>
    <w:rsid w:val="00D02B4E"/>
    <w:rsid w:val="00D07A74"/>
    <w:rsid w:val="00D11C47"/>
    <w:rsid w:val="00D21F11"/>
    <w:rsid w:val="00D36817"/>
    <w:rsid w:val="00D453EE"/>
    <w:rsid w:val="00D5660E"/>
    <w:rsid w:val="00D5666C"/>
    <w:rsid w:val="00D666BC"/>
    <w:rsid w:val="00D83542"/>
    <w:rsid w:val="00D92F45"/>
    <w:rsid w:val="00D94637"/>
    <w:rsid w:val="00D9725C"/>
    <w:rsid w:val="00DA54C8"/>
    <w:rsid w:val="00DA7006"/>
    <w:rsid w:val="00DC6427"/>
    <w:rsid w:val="00DD66A1"/>
    <w:rsid w:val="00DE196D"/>
    <w:rsid w:val="00DF6B49"/>
    <w:rsid w:val="00E067C5"/>
    <w:rsid w:val="00E143AF"/>
    <w:rsid w:val="00E265BF"/>
    <w:rsid w:val="00E378D8"/>
    <w:rsid w:val="00E43A12"/>
    <w:rsid w:val="00E67C67"/>
    <w:rsid w:val="00E77476"/>
    <w:rsid w:val="00E8228B"/>
    <w:rsid w:val="00EE5706"/>
    <w:rsid w:val="00EF373D"/>
    <w:rsid w:val="00F04700"/>
    <w:rsid w:val="00F04903"/>
    <w:rsid w:val="00F11595"/>
    <w:rsid w:val="00F13BC9"/>
    <w:rsid w:val="00F357B2"/>
    <w:rsid w:val="00F36556"/>
    <w:rsid w:val="00F618E6"/>
    <w:rsid w:val="00F6515A"/>
    <w:rsid w:val="00F705DF"/>
    <w:rsid w:val="00F70622"/>
    <w:rsid w:val="00F85624"/>
    <w:rsid w:val="00F87C05"/>
    <w:rsid w:val="00F93191"/>
    <w:rsid w:val="00F93A17"/>
    <w:rsid w:val="00FA2AF6"/>
    <w:rsid w:val="00FB073D"/>
    <w:rsid w:val="00FB771F"/>
    <w:rsid w:val="00FC5386"/>
    <w:rsid w:val="00FE415A"/>
    <w:rsid w:val="00FE54A5"/>
    <w:rsid w:val="00FF1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207F308-602C-4F97-9D25-C49304E6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BD3A11"/>
    <w:rPr>
      <w:rFonts w:ascii="Calibri" w:hAnsi="Calibri"/>
      <w:sz w:val="22"/>
      <w:lang w:val="en-GB" w:eastAsia="en-US"/>
    </w:rPr>
  </w:style>
  <w:style w:type="paragraph" w:customStyle="1" w:styleId="TableText0">
    <w:name w:val="Table_Text"/>
    <w:basedOn w:val="Normal"/>
    <w:rsid w:val="00BD3A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D3A11"/>
    <w:pPr>
      <w:keepNext/>
      <w:spacing w:before="80" w:after="80"/>
      <w:jc w:val="center"/>
    </w:pPr>
    <w:rPr>
      <w:b/>
    </w:rPr>
  </w:style>
  <w:style w:type="paragraph" w:styleId="BalloonText">
    <w:name w:val="Balloon Text"/>
    <w:basedOn w:val="Normal"/>
    <w:link w:val="BalloonTextChar"/>
    <w:semiHidden/>
    <w:unhideWhenUsed/>
    <w:rsid w:val="00BD3A11"/>
    <w:pPr>
      <w:spacing w:before="0"/>
    </w:pPr>
    <w:rPr>
      <w:sz w:val="18"/>
      <w:szCs w:val="18"/>
    </w:rPr>
  </w:style>
  <w:style w:type="character" w:customStyle="1" w:styleId="BalloonTextChar">
    <w:name w:val="Balloon Text Char"/>
    <w:basedOn w:val="DefaultParagraphFont"/>
    <w:link w:val="BalloonText"/>
    <w:semiHidden/>
    <w:rsid w:val="00BD3A11"/>
    <w:rPr>
      <w:rFonts w:ascii="Calibri" w:hAnsi="Calibri"/>
      <w:sz w:val="18"/>
      <w:szCs w:val="18"/>
      <w:lang w:val="en-GB" w:eastAsia="en-US"/>
    </w:rPr>
  </w:style>
  <w:style w:type="character" w:customStyle="1" w:styleId="href">
    <w:name w:val="href"/>
    <w:basedOn w:val="DefaultParagraphFont"/>
    <w:qFormat/>
    <w:rsid w:val="00DA54C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Statistics/Pages/events/wtis2018/default.aspx" TargetMode="External"/><Relationship Id="rId18" Type="http://schemas.openxmlformats.org/officeDocument/2006/relationships/hyperlink" Target="https://unctad.org/en/PublicationsLibrary/osgciomisc2017_en.pdf?user=1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D/Statistics/Pages/events/wtis2018/default.aspx" TargetMode="External"/><Relationship Id="rId17" Type="http://schemas.openxmlformats.org/officeDocument/2006/relationships/hyperlink" Target="https://www.wto.org/english/thewto_e/secre_e/intro_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orldbank.org/en/news/infographic/2015/10/27/where-is-staff-from" TargetMode="External"/><Relationship Id="rId20" Type="http://schemas.openxmlformats.org/officeDocument/2006/relationships/hyperlink" Target="https://www.imf.org/external/about/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e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system.org/content/total-staff-organization" TargetMode="External"/><Relationship Id="rId23" Type="http://schemas.openxmlformats.org/officeDocument/2006/relationships/footer" Target="footer2.xml"/><Relationship Id="rId10" Type="http://schemas.openxmlformats.org/officeDocument/2006/relationships/hyperlink" Target="https://www.itu.int/md/S18-CL-C-0096/en" TargetMode="External"/><Relationship Id="rId19" Type="http://schemas.openxmlformats.org/officeDocument/2006/relationships/hyperlink" Target="http://www.oecd.org/about/whodoeswhat/" TargetMode="External"/><Relationship Id="rId4" Type="http://schemas.openxmlformats.org/officeDocument/2006/relationships/settings" Target="settings.xml"/><Relationship Id="rId9" Type="http://schemas.openxmlformats.org/officeDocument/2006/relationships/hyperlink" Target="https://www.itu.int/en/council/2019/Documents/basic-texts/RES-131-C.pdf" TargetMode="External"/><Relationship Id="rId14" Type="http://schemas.openxmlformats.org/officeDocument/2006/relationships/hyperlink" Target="https://unstats.un.org/unsd/accsub-public/members.ht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2B6A-6127-41EB-BFE9-788A9C38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4</Pages>
  <Words>2139</Words>
  <Characters>2018</Characters>
  <Application>Microsoft Office Word</Application>
  <DocSecurity>4</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 131 (Rev. Dubai, 2018) - Measuring information and communication technologies to build an integrating and inclusive information society</dc:title>
  <dc:subject>Council 2019</dc:subject>
  <dc:creator>Yuan, Tianxiang</dc:creator>
  <cp:keywords>C2019, C19</cp:keywords>
  <dc:description/>
  <cp:lastModifiedBy>Brouard, Ricarda</cp:lastModifiedBy>
  <cp:revision>2</cp:revision>
  <cp:lastPrinted>2015-02-24T13:23:00Z</cp:lastPrinted>
  <dcterms:created xsi:type="dcterms:W3CDTF">2019-05-02T09:12:00Z</dcterms:created>
  <dcterms:modified xsi:type="dcterms:W3CDTF">2019-05-02T09:12:00Z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