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73D6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373D67">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373D67">
              <w:rPr>
                <w:b/>
                <w:bCs/>
                <w:color w:val="000000"/>
                <w:lang w:eastAsia="zh-CN"/>
              </w:rPr>
              <w:t>9</w:t>
            </w:r>
            <w:r w:rsidR="009625D8" w:rsidRPr="009625D8">
              <w:rPr>
                <w:rFonts w:ascii="SimSun" w:hAnsi="SimSun" w:hint="eastAsia"/>
                <w:b/>
                <w:bCs/>
                <w:color w:val="000000"/>
                <w:lang w:eastAsia="zh-CN"/>
              </w:rPr>
              <w:t>年</w:t>
            </w:r>
            <w:r w:rsidR="00373D67">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373D67">
              <w:rPr>
                <w:b/>
                <w:bCs/>
                <w:color w:val="000000"/>
                <w:lang w:eastAsia="zh-CN"/>
              </w:rPr>
              <w:t>0</w:t>
            </w:r>
            <w:r w:rsidR="00A5354B">
              <w:rPr>
                <w:b/>
                <w:bCs/>
                <w:color w:val="000000"/>
                <w:lang w:eastAsia="zh-CN"/>
              </w:rPr>
              <w:t>-</w:t>
            </w:r>
            <w:r w:rsidR="009625D8" w:rsidRPr="009625D8">
              <w:rPr>
                <w:b/>
                <w:bCs/>
                <w:color w:val="000000"/>
                <w:lang w:eastAsia="zh-CN"/>
              </w:rPr>
              <w:t>2</w:t>
            </w:r>
            <w:r w:rsidR="00373D67">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F4FFA" w:rsidRPr="001A0CC8">
              <w:rPr>
                <w:b/>
              </w:rPr>
              <w:t>ADM</w:t>
            </w:r>
            <w:r w:rsidR="004F4FFA">
              <w:rPr>
                <w:b/>
              </w:rPr>
              <w:t xml:space="preserve"> </w:t>
            </w:r>
            <w:r w:rsidR="004F4FFA" w:rsidRPr="001A0CC8">
              <w:rPr>
                <w:b/>
              </w:rPr>
              <w:t>1</w:t>
            </w:r>
          </w:p>
        </w:tc>
        <w:tc>
          <w:tcPr>
            <w:tcW w:w="3120" w:type="dxa"/>
          </w:tcPr>
          <w:p w:rsidR="00700D1F" w:rsidRPr="00700D1F" w:rsidRDefault="00700D1F" w:rsidP="00373D6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373D67">
              <w:rPr>
                <w:b/>
                <w:bCs/>
                <w:szCs w:val="24"/>
                <w:lang w:eastAsia="zh-CN"/>
              </w:rPr>
              <w:t>9</w:t>
            </w:r>
            <w:r w:rsidRPr="00FC5386">
              <w:rPr>
                <w:b/>
                <w:bCs/>
                <w:szCs w:val="24"/>
                <w:lang w:eastAsia="zh-CN"/>
              </w:rPr>
              <w:t>/</w:t>
            </w:r>
            <w:r w:rsidR="004F4FFA">
              <w:rPr>
                <w:b/>
                <w:bCs/>
                <w:szCs w:val="24"/>
                <w:lang w:eastAsia="zh-CN"/>
              </w:rPr>
              <w:t>1</w:t>
            </w:r>
            <w:r w:rsidR="00373D67">
              <w:rPr>
                <w:b/>
                <w:bCs/>
                <w:szCs w:val="24"/>
                <w:lang w:eastAsia="zh-CN"/>
              </w:rPr>
              <w:t>5</w:t>
            </w:r>
            <w:r w:rsidR="004F4FFA">
              <w:rPr>
                <w:b/>
                <w:bCs/>
                <w:szCs w:val="24"/>
                <w:lang w:eastAsia="zh-CN"/>
              </w:rPr>
              <w:t>(Add.1)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73D6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73D67">
              <w:rPr>
                <w:b/>
                <w:bCs/>
                <w:szCs w:val="24"/>
                <w:lang w:eastAsia="zh-CN"/>
              </w:rPr>
              <w:t>9</w:t>
            </w:r>
            <w:r w:rsidRPr="00FC5386">
              <w:rPr>
                <w:rFonts w:hint="eastAsia"/>
                <w:b/>
                <w:bCs/>
                <w:szCs w:val="24"/>
                <w:lang w:eastAsia="zh-CN"/>
              </w:rPr>
              <w:t>年</w:t>
            </w:r>
            <w:r w:rsidR="004F4FFA">
              <w:rPr>
                <w:rFonts w:asciiTheme="minorHAnsi" w:hAnsiTheme="minorHAnsi" w:cstheme="minorHAnsi"/>
                <w:b/>
                <w:bCs/>
                <w:szCs w:val="24"/>
                <w:lang w:eastAsia="zh-CN"/>
              </w:rPr>
              <w:t>5</w:t>
            </w:r>
            <w:r w:rsidRPr="00FC5386">
              <w:rPr>
                <w:rFonts w:hint="eastAsia"/>
                <w:b/>
                <w:bCs/>
                <w:szCs w:val="24"/>
                <w:lang w:eastAsia="zh-CN"/>
              </w:rPr>
              <w:t>月</w:t>
            </w:r>
            <w:r w:rsidR="00373D67">
              <w:rPr>
                <w:rFonts w:asciiTheme="minorHAnsi" w:hAnsiTheme="minorHAnsi" w:cstheme="minorHAnsi"/>
                <w:b/>
                <w:bCs/>
                <w:szCs w:val="24"/>
                <w:lang w:eastAsia="zh-CN"/>
              </w:rPr>
              <w:t>22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4F4FFA" w:rsidP="00373D67">
            <w:pPr>
              <w:pStyle w:val="Title1"/>
              <w:rPr>
                <w:bCs/>
                <w:lang w:eastAsia="zh-CN"/>
              </w:rPr>
            </w:pPr>
            <w:r>
              <w:rPr>
                <w:rFonts w:hint="eastAsia"/>
                <w:lang w:eastAsia="zh-CN"/>
              </w:rPr>
              <w:t>国际电联</w:t>
            </w:r>
            <w:r w:rsidRPr="00BF7375">
              <w:rPr>
                <w:rFonts w:cs="Arial"/>
                <w:color w:val="000000"/>
                <w:szCs w:val="28"/>
              </w:rPr>
              <w:t>20</w:t>
            </w:r>
            <w:r w:rsidR="00373D67">
              <w:rPr>
                <w:rFonts w:cs="Arial"/>
                <w:color w:val="000000"/>
                <w:szCs w:val="28"/>
              </w:rPr>
              <w:t>20</w:t>
            </w:r>
            <w:r w:rsidRPr="00BF7375">
              <w:rPr>
                <w:rFonts w:cs="Arial"/>
                <w:color w:val="000000"/>
                <w:szCs w:val="28"/>
              </w:rPr>
              <w:t>-20</w:t>
            </w:r>
            <w:r w:rsidR="00373D67">
              <w:rPr>
                <w:rFonts w:cs="Arial"/>
                <w:color w:val="000000"/>
                <w:szCs w:val="28"/>
              </w:rPr>
              <w:t>2</w:t>
            </w:r>
            <w:r w:rsidRPr="00BF7375">
              <w:rPr>
                <w:rFonts w:cs="Arial"/>
                <w:color w:val="000000"/>
                <w:szCs w:val="28"/>
              </w:rPr>
              <w:t>1</w:t>
            </w:r>
            <w:r>
              <w:rPr>
                <w:rFonts w:hint="eastAsia"/>
                <w:lang w:eastAsia="zh-CN"/>
              </w:rPr>
              <w:t>年预算草案</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5C0AC6">
        <w:trPr>
          <w:trHeight w:val="2710"/>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326A34" w:rsidRDefault="00326A34" w:rsidP="00326A34">
            <w:pPr>
              <w:ind w:firstLineChars="200" w:firstLine="480"/>
              <w:rPr>
                <w:szCs w:val="24"/>
                <w:lang w:val="fr-FR" w:eastAsia="zh-CN"/>
              </w:rPr>
            </w:pPr>
            <w:r>
              <w:rPr>
                <w:rFonts w:hint="eastAsia"/>
                <w:szCs w:val="24"/>
                <w:lang w:val="fr-FR" w:eastAsia="zh-CN"/>
              </w:rPr>
              <w:t>以下部分作为</w:t>
            </w:r>
            <w:r>
              <w:rPr>
                <w:szCs w:val="24"/>
                <w:lang w:val="fr-FR" w:eastAsia="zh-CN"/>
              </w:rPr>
              <w:t>C1</w:t>
            </w:r>
            <w:r w:rsidR="00373D67">
              <w:rPr>
                <w:szCs w:val="24"/>
                <w:lang w:val="fr-FR" w:eastAsia="zh-CN"/>
              </w:rPr>
              <w:t>9</w:t>
            </w:r>
            <w:r>
              <w:rPr>
                <w:szCs w:val="24"/>
                <w:lang w:val="fr-FR" w:eastAsia="zh-CN"/>
              </w:rPr>
              <w:t>/1</w:t>
            </w:r>
            <w:r w:rsidR="00E928EF">
              <w:rPr>
                <w:szCs w:val="24"/>
                <w:lang w:val="fr-FR" w:eastAsia="zh-CN"/>
              </w:rPr>
              <w:t>5</w:t>
            </w:r>
            <w:r>
              <w:rPr>
                <w:rFonts w:hint="eastAsia"/>
                <w:szCs w:val="24"/>
                <w:lang w:val="fr-FR" w:eastAsia="zh-CN"/>
              </w:rPr>
              <w:t>号文件补遗</w:t>
            </w:r>
            <w:r w:rsidR="00373D67">
              <w:rPr>
                <w:rFonts w:hint="eastAsia"/>
                <w:szCs w:val="24"/>
                <w:lang w:val="fr-FR" w:eastAsia="zh-CN"/>
              </w:rPr>
              <w:t>1</w:t>
            </w:r>
            <w:r>
              <w:rPr>
                <w:rFonts w:hint="eastAsia"/>
                <w:szCs w:val="24"/>
                <w:lang w:val="fr-FR" w:eastAsia="zh-CN"/>
              </w:rPr>
              <w:t>提交，以提供一般性信息：</w:t>
            </w:r>
          </w:p>
          <w:p w:rsidR="00B40A53" w:rsidRDefault="00326A34" w:rsidP="00326A34">
            <w:pPr>
              <w:ind w:firstLineChars="200" w:firstLine="480"/>
              <w:rPr>
                <w:szCs w:val="22"/>
                <w:lang w:val="fr-FR" w:eastAsia="zh-CN"/>
              </w:rPr>
            </w:pPr>
            <w:r>
              <w:rPr>
                <w:rFonts w:hint="eastAsia"/>
                <w:szCs w:val="24"/>
                <w:lang w:val="fr-FR" w:eastAsia="zh-CN"/>
              </w:rPr>
              <w:t>国际电联电信展览部秘书处</w:t>
            </w:r>
            <w:r>
              <w:rPr>
                <w:szCs w:val="24"/>
                <w:lang w:val="fr-FR" w:eastAsia="zh-CN"/>
              </w:rPr>
              <w:t>20</w:t>
            </w:r>
            <w:r w:rsidR="00373D67">
              <w:rPr>
                <w:szCs w:val="24"/>
                <w:lang w:val="fr-FR" w:eastAsia="zh-CN"/>
              </w:rPr>
              <w:t>20</w:t>
            </w:r>
            <w:r>
              <w:rPr>
                <w:szCs w:val="24"/>
                <w:lang w:val="fr-FR" w:eastAsia="zh-CN"/>
              </w:rPr>
              <w:t>-20</w:t>
            </w:r>
            <w:r w:rsidR="00373D67">
              <w:rPr>
                <w:szCs w:val="24"/>
                <w:lang w:val="fr-FR" w:eastAsia="zh-CN"/>
              </w:rPr>
              <w:t>2</w:t>
            </w:r>
            <w:r>
              <w:rPr>
                <w:szCs w:val="24"/>
                <w:lang w:val="fr-FR" w:eastAsia="zh-CN"/>
              </w:rPr>
              <w:t>1</w:t>
            </w:r>
            <w:r>
              <w:rPr>
                <w:rFonts w:hint="eastAsia"/>
                <w:szCs w:val="24"/>
                <w:lang w:val="fr-FR" w:eastAsia="zh-CN"/>
              </w:rPr>
              <w:t>年预算。</w:t>
            </w:r>
          </w:p>
          <w:p w:rsidR="00B40A53" w:rsidRPr="003C2E37" w:rsidRDefault="00B40A53" w:rsidP="003C2E37">
            <w:pPr>
              <w:pStyle w:val="Headingb"/>
              <w:rPr>
                <w:lang w:eastAsia="zh-CN"/>
              </w:rPr>
            </w:pPr>
            <w:r>
              <w:rPr>
                <w:rFonts w:hint="eastAsia"/>
                <w:lang w:eastAsia="zh-CN"/>
              </w:rPr>
              <w:t>需采取的行动</w:t>
            </w:r>
          </w:p>
          <w:p w:rsidR="00B40A53" w:rsidRDefault="00326A34" w:rsidP="00326A34">
            <w:pPr>
              <w:ind w:firstLineChars="200" w:firstLine="480"/>
              <w:rPr>
                <w:b/>
                <w:szCs w:val="22"/>
                <w:lang w:val="fr-FR" w:eastAsia="zh-CN"/>
              </w:rPr>
            </w:pPr>
            <w:r w:rsidRPr="00D85F8D">
              <w:rPr>
                <w:rFonts w:asciiTheme="minorHAnsi" w:hAnsiTheme="minorHAnsi" w:cstheme="minorBidi"/>
                <w:szCs w:val="24"/>
                <w:lang w:val="en-US" w:eastAsia="zh-CN"/>
              </w:rPr>
              <w:t>请理事会</w:t>
            </w:r>
            <w:r>
              <w:rPr>
                <w:rFonts w:asciiTheme="minorHAnsi" w:hAnsiTheme="minorHAnsi" w:cstheme="minorBidi" w:hint="eastAsia"/>
                <w:szCs w:val="24"/>
                <w:lang w:val="en-US" w:eastAsia="zh-CN"/>
              </w:rPr>
              <w:t>将</w:t>
            </w:r>
            <w:r w:rsidRPr="00D85F8D">
              <w:rPr>
                <w:rFonts w:asciiTheme="minorHAnsi" w:hAnsiTheme="minorHAnsi" w:cstheme="minorBidi"/>
                <w:szCs w:val="24"/>
                <w:lang w:val="en-US" w:eastAsia="zh-CN"/>
              </w:rPr>
              <w:t>本</w:t>
            </w:r>
            <w:r>
              <w:rPr>
                <w:rFonts w:asciiTheme="minorHAnsi" w:hAnsiTheme="minorHAnsi" w:cstheme="minorBidi" w:hint="eastAsia"/>
                <w:szCs w:val="24"/>
                <w:lang w:val="en-US" w:eastAsia="zh-CN"/>
              </w:rPr>
              <w:t>文件</w:t>
            </w:r>
            <w:r>
              <w:rPr>
                <w:rFonts w:asciiTheme="minorHAnsi" w:hAnsiTheme="minorHAnsi" w:cstheme="minorBidi" w:hint="eastAsia"/>
                <w:b/>
                <w:bCs/>
                <w:szCs w:val="24"/>
                <w:lang w:val="en-US" w:eastAsia="zh-CN"/>
              </w:rPr>
              <w:t>记录在案</w:t>
            </w:r>
            <w:r w:rsidRPr="00D85F8D">
              <w:rPr>
                <w:rFonts w:asciiTheme="minorHAnsi" w:hAnsiTheme="minorHAnsi" w:cstheme="minorBidi"/>
                <w:szCs w:val="24"/>
                <w:lang w:val="en-US" w:eastAsia="zh-CN"/>
              </w:rPr>
              <w:t>。</w:t>
            </w:r>
          </w:p>
          <w:p w:rsidR="00326A34" w:rsidRPr="00326A34" w:rsidRDefault="00326A34" w:rsidP="00326A34">
            <w:pPr>
              <w:rPr>
                <w:lang w:val="fr-FR" w:eastAsia="zh-CN"/>
              </w:rPr>
            </w:pPr>
          </w:p>
        </w:tc>
      </w:tr>
    </w:tbl>
    <w:p w:rsidR="00E378D8" w:rsidRDefault="00E378D8" w:rsidP="00E378D8">
      <w:pPr>
        <w:tabs>
          <w:tab w:val="left" w:pos="720"/>
        </w:tabs>
        <w:overflowPunct/>
        <w:autoSpaceDE/>
        <w:adjustRightInd/>
        <w:spacing w:before="0"/>
        <w:rPr>
          <w:lang w:val="fr-FR" w:eastAsia="zh-CN"/>
        </w:rPr>
      </w:pPr>
    </w:p>
    <w:p w:rsidR="00DA4C74" w:rsidRDefault="00DA4C74" w:rsidP="00BF75A2">
      <w:pPr>
        <w:rPr>
          <w:rFonts w:cs="Arial"/>
          <w:szCs w:val="24"/>
          <w:lang w:eastAsia="zh-CN"/>
        </w:rPr>
      </w:pPr>
      <w:r>
        <w:rPr>
          <w:rFonts w:cs="Arial"/>
          <w:szCs w:val="24"/>
          <w:lang w:eastAsia="zh-CN"/>
        </w:rPr>
        <w:t>1</w:t>
      </w:r>
      <w:r>
        <w:rPr>
          <w:rFonts w:cs="Arial"/>
          <w:szCs w:val="24"/>
          <w:lang w:eastAsia="zh-CN"/>
        </w:rPr>
        <w:tab/>
      </w:r>
      <w:r w:rsidRPr="00D4571B">
        <w:rPr>
          <w:rFonts w:hint="eastAsia"/>
          <w:szCs w:val="24"/>
          <w:lang w:eastAsia="zh-CN"/>
        </w:rPr>
        <w:t>国际电联电信展览部秘书处的预算制定是为该秘书处的估算花费</w:t>
      </w:r>
      <w:r w:rsidR="00990319" w:rsidRPr="00D4571B">
        <w:rPr>
          <w:rFonts w:hint="eastAsia"/>
          <w:szCs w:val="24"/>
          <w:lang w:eastAsia="zh-CN"/>
        </w:rPr>
        <w:t>做出划拨</w:t>
      </w:r>
      <w:r>
        <w:rPr>
          <w:rFonts w:hint="eastAsia"/>
          <w:lang w:eastAsia="zh-CN"/>
        </w:rPr>
        <w:t>，不与一项国际电联电信展活动或一项具体输出成果直接相关。预算中包括</w:t>
      </w:r>
      <w:r w:rsidR="00373D67">
        <w:rPr>
          <w:rFonts w:hint="eastAsia"/>
          <w:lang w:eastAsia="zh-CN"/>
        </w:rPr>
        <w:t>国际电联</w:t>
      </w:r>
      <w:r>
        <w:rPr>
          <w:rFonts w:hint="eastAsia"/>
          <w:lang w:eastAsia="zh-CN"/>
        </w:rPr>
        <w:t>总秘书处其它部门和各局的成本回收收费。国际电联电信展览部秘书处的预算</w:t>
      </w:r>
      <w:r w:rsidR="00990319">
        <w:rPr>
          <w:rFonts w:hint="eastAsia"/>
          <w:lang w:eastAsia="zh-CN"/>
        </w:rPr>
        <w:t>对于</w:t>
      </w:r>
      <w:r>
        <w:rPr>
          <w:rFonts w:hint="eastAsia"/>
          <w:lang w:eastAsia="zh-CN"/>
        </w:rPr>
        <w:t>支出的规划</w:t>
      </w:r>
      <w:r w:rsidR="00990319">
        <w:rPr>
          <w:rFonts w:hint="eastAsia"/>
          <w:lang w:eastAsia="zh-CN"/>
        </w:rPr>
        <w:t>和</w:t>
      </w:r>
      <w:r w:rsidR="00990319">
        <w:rPr>
          <w:lang w:eastAsia="zh-CN"/>
        </w:rPr>
        <w:t>监督至关重要</w:t>
      </w:r>
      <w:r>
        <w:rPr>
          <w:rFonts w:hint="eastAsia"/>
          <w:lang w:eastAsia="zh-CN"/>
        </w:rPr>
        <w:t>，而这些费用</w:t>
      </w:r>
      <w:r w:rsidR="00990319">
        <w:rPr>
          <w:rFonts w:hint="eastAsia"/>
          <w:lang w:eastAsia="zh-CN"/>
        </w:rPr>
        <w:t>之后</w:t>
      </w:r>
      <w:r w:rsidR="00990319">
        <w:rPr>
          <w:lang w:eastAsia="zh-CN"/>
        </w:rPr>
        <w:t>分别计入</w:t>
      </w:r>
      <w:r>
        <w:rPr>
          <w:rFonts w:hint="eastAsia"/>
          <w:lang w:eastAsia="zh-CN"/>
        </w:rPr>
        <w:t>国际电联电信展览</w:t>
      </w:r>
      <w:r>
        <w:rPr>
          <w:lang w:eastAsia="zh-CN"/>
        </w:rPr>
        <w:t>部的各项</w:t>
      </w:r>
      <w:r>
        <w:rPr>
          <w:rFonts w:hint="eastAsia"/>
          <w:lang w:eastAsia="zh-CN"/>
        </w:rPr>
        <w:t>活动。国际电</w:t>
      </w:r>
      <w:proofErr w:type="gramStart"/>
      <w:r>
        <w:rPr>
          <w:rFonts w:hint="eastAsia"/>
          <w:lang w:eastAsia="zh-CN"/>
        </w:rPr>
        <w:t>联电信</w:t>
      </w:r>
      <w:proofErr w:type="gramEnd"/>
      <w:r>
        <w:rPr>
          <w:rFonts w:hint="eastAsia"/>
          <w:lang w:eastAsia="zh-CN"/>
        </w:rPr>
        <w:t>展览部秘书处预算以年度为周期，并与国际</w:t>
      </w:r>
      <w:proofErr w:type="gramStart"/>
      <w:r>
        <w:rPr>
          <w:rFonts w:hint="eastAsia"/>
          <w:lang w:eastAsia="zh-CN"/>
        </w:rPr>
        <w:t>电联双年度</w:t>
      </w:r>
      <w:proofErr w:type="gramEnd"/>
      <w:r>
        <w:rPr>
          <w:rFonts w:hint="eastAsia"/>
          <w:lang w:eastAsia="zh-CN"/>
        </w:rPr>
        <w:t>预算周期（</w:t>
      </w:r>
      <w:r w:rsidR="00FC2B41" w:rsidRPr="006B4096">
        <w:rPr>
          <w:rFonts w:cs="Arial"/>
          <w:szCs w:val="24"/>
          <w:lang w:eastAsia="zh-CN"/>
        </w:rPr>
        <w:t>20</w:t>
      </w:r>
      <w:r w:rsidR="00373D67">
        <w:rPr>
          <w:rFonts w:cs="Arial" w:hint="eastAsia"/>
          <w:szCs w:val="24"/>
          <w:lang w:eastAsia="zh-CN"/>
        </w:rPr>
        <w:t>20</w:t>
      </w:r>
      <w:r w:rsidR="00FC2B41" w:rsidRPr="006B4096">
        <w:rPr>
          <w:rFonts w:cs="Arial"/>
          <w:szCs w:val="24"/>
          <w:lang w:eastAsia="zh-CN"/>
        </w:rPr>
        <w:t>-20</w:t>
      </w:r>
      <w:r w:rsidR="00373D67">
        <w:rPr>
          <w:rFonts w:cs="Arial" w:hint="eastAsia"/>
          <w:szCs w:val="24"/>
          <w:lang w:eastAsia="zh-CN"/>
        </w:rPr>
        <w:t>2</w:t>
      </w:r>
      <w:r w:rsidR="00FC2B41" w:rsidRPr="006B4096">
        <w:rPr>
          <w:rFonts w:cs="Arial"/>
          <w:szCs w:val="24"/>
          <w:lang w:eastAsia="zh-CN"/>
        </w:rPr>
        <w:t>1</w:t>
      </w:r>
      <w:r>
        <w:rPr>
          <w:rFonts w:hint="eastAsia"/>
          <w:lang w:eastAsia="zh-CN"/>
        </w:rPr>
        <w:t>年）保持一致。</w:t>
      </w:r>
    </w:p>
    <w:p w:rsidR="00DA4C74" w:rsidRPr="00EC0D2B" w:rsidRDefault="00DA4C74" w:rsidP="00BF75A2">
      <w:pPr>
        <w:pStyle w:val="Headingb"/>
        <w:rPr>
          <w:lang w:val="en-US" w:eastAsia="zh-CN"/>
        </w:rPr>
      </w:pPr>
      <w:bookmarkStart w:id="2" w:name="_Toc419133811"/>
      <w:r w:rsidRPr="00EC0D2B">
        <w:rPr>
          <w:rFonts w:hint="eastAsia"/>
          <w:lang w:val="en-US" w:eastAsia="zh-CN"/>
        </w:rPr>
        <w:t>国际电</w:t>
      </w:r>
      <w:proofErr w:type="gramStart"/>
      <w:r w:rsidRPr="00EC0D2B">
        <w:rPr>
          <w:rFonts w:hint="eastAsia"/>
          <w:lang w:val="en-US" w:eastAsia="zh-CN"/>
        </w:rPr>
        <w:t>联电信</w:t>
      </w:r>
      <w:proofErr w:type="gramEnd"/>
      <w:r w:rsidRPr="00EC0D2B">
        <w:rPr>
          <w:rFonts w:hint="eastAsia"/>
          <w:lang w:val="en-US" w:eastAsia="zh-CN"/>
        </w:rPr>
        <w:t>展览部秘书处的支出</w:t>
      </w:r>
      <w:bookmarkEnd w:id="2"/>
    </w:p>
    <w:p w:rsidR="00DA4C74" w:rsidRDefault="00DA4C74" w:rsidP="00117CDA">
      <w:pPr>
        <w:rPr>
          <w:rFonts w:cs="Arial"/>
          <w:color w:val="000000"/>
          <w:szCs w:val="24"/>
          <w:lang w:eastAsia="zh-CN"/>
        </w:rPr>
      </w:pPr>
      <w:r>
        <w:rPr>
          <w:rFonts w:cs="Arial"/>
          <w:color w:val="000000"/>
          <w:szCs w:val="24"/>
          <w:lang w:eastAsia="zh-CN"/>
        </w:rPr>
        <w:t>2</w:t>
      </w:r>
      <w:r>
        <w:rPr>
          <w:rFonts w:cs="Arial"/>
          <w:color w:val="000000"/>
          <w:szCs w:val="24"/>
          <w:lang w:eastAsia="zh-CN"/>
        </w:rPr>
        <w:tab/>
      </w:r>
      <w:r>
        <w:rPr>
          <w:rFonts w:hint="eastAsia"/>
          <w:lang w:eastAsia="zh-CN"/>
        </w:rPr>
        <w:t>国际电联电信展览部秘书处</w:t>
      </w:r>
      <w:r w:rsidR="00373D67" w:rsidRPr="006B4096">
        <w:rPr>
          <w:rFonts w:cs="Arial"/>
          <w:szCs w:val="24"/>
          <w:lang w:eastAsia="zh-CN"/>
        </w:rPr>
        <w:t>20</w:t>
      </w:r>
      <w:r w:rsidR="00373D67">
        <w:rPr>
          <w:rFonts w:cs="Arial" w:hint="eastAsia"/>
          <w:szCs w:val="24"/>
          <w:lang w:eastAsia="zh-CN"/>
        </w:rPr>
        <w:t>20</w:t>
      </w:r>
      <w:r w:rsidR="00373D67" w:rsidRPr="006B4096">
        <w:rPr>
          <w:rFonts w:cs="Arial"/>
          <w:szCs w:val="24"/>
          <w:lang w:eastAsia="zh-CN"/>
        </w:rPr>
        <w:t>-20</w:t>
      </w:r>
      <w:r w:rsidR="00373D67">
        <w:rPr>
          <w:rFonts w:cs="Arial" w:hint="eastAsia"/>
          <w:szCs w:val="24"/>
          <w:lang w:eastAsia="zh-CN"/>
        </w:rPr>
        <w:t>2</w:t>
      </w:r>
      <w:r w:rsidR="00373D67" w:rsidRPr="006B4096">
        <w:rPr>
          <w:rFonts w:cs="Arial"/>
          <w:szCs w:val="24"/>
          <w:lang w:eastAsia="zh-CN"/>
        </w:rPr>
        <w:t>1</w:t>
      </w:r>
      <w:r>
        <w:rPr>
          <w:lang w:eastAsia="zh-CN"/>
        </w:rPr>
        <w:t>年</w:t>
      </w:r>
      <w:r>
        <w:rPr>
          <w:rFonts w:hint="eastAsia"/>
          <w:lang w:eastAsia="zh-CN"/>
        </w:rPr>
        <w:t>的总预算为</w:t>
      </w:r>
      <w:r>
        <w:rPr>
          <w:lang w:eastAsia="zh-CN"/>
        </w:rPr>
        <w:t>1</w:t>
      </w:r>
      <w:proofErr w:type="gramStart"/>
      <w:r w:rsidR="00117CDA">
        <w:rPr>
          <w:lang w:eastAsia="zh-CN"/>
        </w:rPr>
        <w:t>,</w:t>
      </w:r>
      <w:r w:rsidR="00373D67">
        <w:rPr>
          <w:rFonts w:hint="eastAsia"/>
          <w:lang w:eastAsia="zh-CN"/>
        </w:rPr>
        <w:t>02</w:t>
      </w:r>
      <w:r>
        <w:rPr>
          <w:lang w:eastAsia="zh-CN"/>
        </w:rPr>
        <w:t>0</w:t>
      </w:r>
      <w:r>
        <w:rPr>
          <w:rFonts w:hint="eastAsia"/>
          <w:lang w:eastAsia="zh-CN"/>
        </w:rPr>
        <w:t>万瑞郎</w:t>
      </w:r>
      <w:proofErr w:type="gramEnd"/>
      <w:r>
        <w:rPr>
          <w:rFonts w:hint="eastAsia"/>
          <w:lang w:eastAsia="zh-CN"/>
        </w:rPr>
        <w:t>，比</w:t>
      </w:r>
      <w:r w:rsidR="005B4564" w:rsidRPr="006B4096">
        <w:rPr>
          <w:rFonts w:cs="Arial"/>
          <w:szCs w:val="24"/>
          <w:lang w:eastAsia="zh-CN"/>
        </w:rPr>
        <w:t>20</w:t>
      </w:r>
      <w:r w:rsidR="00990319">
        <w:rPr>
          <w:rFonts w:cs="Arial"/>
          <w:szCs w:val="24"/>
          <w:lang w:eastAsia="zh-CN"/>
        </w:rPr>
        <w:t>1</w:t>
      </w:r>
      <w:r w:rsidR="00373D67">
        <w:rPr>
          <w:rFonts w:cs="Arial" w:hint="eastAsia"/>
          <w:szCs w:val="24"/>
          <w:lang w:eastAsia="zh-CN"/>
        </w:rPr>
        <w:t>8</w:t>
      </w:r>
      <w:r w:rsidR="005B4564" w:rsidRPr="006B4096">
        <w:rPr>
          <w:rFonts w:cs="Arial"/>
          <w:szCs w:val="24"/>
          <w:lang w:eastAsia="zh-CN"/>
        </w:rPr>
        <w:t>-201</w:t>
      </w:r>
      <w:r w:rsidR="00373D67">
        <w:rPr>
          <w:rFonts w:cs="Arial" w:hint="eastAsia"/>
          <w:szCs w:val="24"/>
          <w:lang w:eastAsia="zh-CN"/>
        </w:rPr>
        <w:t>9</w:t>
      </w:r>
      <w:r>
        <w:rPr>
          <w:rFonts w:hint="eastAsia"/>
          <w:lang w:eastAsia="zh-CN"/>
        </w:rPr>
        <w:t>年</w:t>
      </w:r>
      <w:r w:rsidR="00373D67">
        <w:rPr>
          <w:rFonts w:hint="eastAsia"/>
          <w:lang w:eastAsia="zh-CN"/>
        </w:rPr>
        <w:t>的预算下降</w:t>
      </w:r>
      <w:r w:rsidR="00373D67">
        <w:rPr>
          <w:rFonts w:hint="eastAsia"/>
          <w:lang w:eastAsia="zh-CN"/>
        </w:rPr>
        <w:t>8</w:t>
      </w:r>
      <w:r>
        <w:rPr>
          <w:lang w:eastAsia="zh-CN"/>
        </w:rPr>
        <w:t>%</w:t>
      </w:r>
      <w:r>
        <w:rPr>
          <w:rFonts w:hint="eastAsia"/>
          <w:lang w:eastAsia="zh-CN"/>
        </w:rPr>
        <w:t>。这主要是因</w:t>
      </w:r>
      <w:r w:rsidR="001E0ED1">
        <w:rPr>
          <w:rFonts w:hint="eastAsia"/>
          <w:lang w:eastAsia="zh-CN"/>
        </w:rPr>
        <w:t>为原以为</w:t>
      </w:r>
      <w:r w:rsidR="001E0ED1" w:rsidRPr="006B4096">
        <w:rPr>
          <w:rFonts w:cs="Arial"/>
          <w:szCs w:val="24"/>
          <w:lang w:eastAsia="zh-CN"/>
        </w:rPr>
        <w:t>20</w:t>
      </w:r>
      <w:r w:rsidR="001E0ED1">
        <w:rPr>
          <w:rFonts w:cs="Arial" w:hint="eastAsia"/>
          <w:szCs w:val="24"/>
          <w:lang w:eastAsia="zh-CN"/>
        </w:rPr>
        <w:t>20</w:t>
      </w:r>
      <w:r w:rsidR="001E0ED1" w:rsidRPr="006B4096">
        <w:rPr>
          <w:rFonts w:cs="Arial"/>
          <w:szCs w:val="24"/>
          <w:lang w:eastAsia="zh-CN"/>
        </w:rPr>
        <w:t>-20</w:t>
      </w:r>
      <w:r w:rsidR="001E0ED1">
        <w:rPr>
          <w:rFonts w:cs="Arial" w:hint="eastAsia"/>
          <w:szCs w:val="24"/>
          <w:lang w:eastAsia="zh-CN"/>
        </w:rPr>
        <w:t>2</w:t>
      </w:r>
      <w:r w:rsidR="001E0ED1" w:rsidRPr="006B4096">
        <w:rPr>
          <w:rFonts w:cs="Arial"/>
          <w:szCs w:val="24"/>
          <w:lang w:eastAsia="zh-CN"/>
        </w:rPr>
        <w:t>1</w:t>
      </w:r>
      <w:r w:rsidR="001E0ED1">
        <w:rPr>
          <w:lang w:eastAsia="zh-CN"/>
        </w:rPr>
        <w:t>年</w:t>
      </w:r>
      <w:r w:rsidR="001E0ED1">
        <w:rPr>
          <w:rFonts w:hint="eastAsia"/>
          <w:lang w:eastAsia="zh-CN"/>
        </w:rPr>
        <w:t>间不会遇到任何障碍的部分</w:t>
      </w:r>
      <w:r>
        <w:rPr>
          <w:rFonts w:hint="eastAsia"/>
          <w:lang w:eastAsia="zh-CN"/>
        </w:rPr>
        <w:t>职位</w:t>
      </w:r>
      <w:r w:rsidR="001E0ED1">
        <w:rPr>
          <w:rFonts w:hint="eastAsia"/>
          <w:lang w:eastAsia="zh-CN"/>
        </w:rPr>
        <w:t>空缺填补难以实现，且</w:t>
      </w:r>
      <w:r w:rsidR="001E0ED1" w:rsidRPr="001E0ED1">
        <w:rPr>
          <w:rFonts w:hint="eastAsia"/>
          <w:lang w:eastAsia="zh-CN"/>
        </w:rPr>
        <w:t>合同服务</w:t>
      </w:r>
      <w:r w:rsidR="001E0ED1">
        <w:rPr>
          <w:rFonts w:hint="eastAsia"/>
          <w:lang w:eastAsia="zh-CN"/>
        </w:rPr>
        <w:t>、</w:t>
      </w:r>
      <w:r w:rsidR="00F80DF0">
        <w:rPr>
          <w:rFonts w:hint="eastAsia"/>
          <w:lang w:eastAsia="zh-CN"/>
        </w:rPr>
        <w:t>公务</w:t>
      </w:r>
      <w:r w:rsidR="001E0ED1">
        <w:rPr>
          <w:rFonts w:hint="eastAsia"/>
          <w:lang w:eastAsia="zh-CN"/>
        </w:rPr>
        <w:t>差旅、租</w:t>
      </w:r>
      <w:r w:rsidR="00E72EA6">
        <w:rPr>
          <w:rFonts w:hint="eastAsia"/>
          <w:lang w:eastAsia="zh-CN"/>
        </w:rPr>
        <w:t>用</w:t>
      </w:r>
      <w:r w:rsidR="001E0ED1">
        <w:rPr>
          <w:rFonts w:hint="eastAsia"/>
          <w:lang w:eastAsia="zh-CN"/>
        </w:rPr>
        <w:t>和维护以及设施的预期支出有所下降，见下表</w:t>
      </w:r>
      <w:r w:rsidR="001E0ED1">
        <w:rPr>
          <w:rFonts w:hint="eastAsia"/>
          <w:lang w:eastAsia="zh-CN"/>
        </w:rPr>
        <w:t>1</w:t>
      </w:r>
      <w:r>
        <w:rPr>
          <w:rFonts w:hint="eastAsia"/>
          <w:lang w:eastAsia="zh-CN"/>
        </w:rPr>
        <w:t>。</w:t>
      </w:r>
      <w:r w:rsidR="00990319" w:rsidRPr="00BC4185">
        <w:rPr>
          <w:rFonts w:hint="eastAsia"/>
          <w:szCs w:val="24"/>
          <w:lang w:eastAsia="zh-CN"/>
        </w:rPr>
        <w:t>预算中</w:t>
      </w:r>
      <w:r w:rsidR="00990319" w:rsidRPr="00BC4185">
        <w:rPr>
          <w:szCs w:val="24"/>
          <w:lang w:eastAsia="zh-CN"/>
        </w:rPr>
        <w:t>最大的</w:t>
      </w:r>
      <w:r w:rsidR="001E0ED1">
        <w:rPr>
          <w:rFonts w:hint="eastAsia"/>
          <w:szCs w:val="24"/>
          <w:lang w:eastAsia="zh-CN"/>
        </w:rPr>
        <w:t>支出</w:t>
      </w:r>
      <w:r w:rsidR="00990319" w:rsidRPr="00BC4185">
        <w:rPr>
          <w:szCs w:val="24"/>
          <w:lang w:eastAsia="zh-CN"/>
        </w:rPr>
        <w:t>项目为人员和其他人员费用以及成本回收</w:t>
      </w:r>
      <w:r w:rsidR="00990319">
        <w:rPr>
          <w:lang w:eastAsia="zh-CN"/>
        </w:rPr>
        <w:t>。</w:t>
      </w:r>
      <w:r w:rsidR="00990319">
        <w:rPr>
          <w:rFonts w:hint="eastAsia"/>
          <w:lang w:eastAsia="zh-CN"/>
        </w:rPr>
        <w:t>后者自</w:t>
      </w:r>
      <w:r w:rsidR="00990319">
        <w:rPr>
          <w:rFonts w:hint="eastAsia"/>
          <w:lang w:eastAsia="zh-CN"/>
        </w:rPr>
        <w:t>2014</w:t>
      </w:r>
      <w:r w:rsidR="00990319">
        <w:rPr>
          <w:rFonts w:hint="eastAsia"/>
          <w:lang w:eastAsia="zh-CN"/>
        </w:rPr>
        <w:t>年</w:t>
      </w:r>
      <w:r w:rsidR="00990319">
        <w:rPr>
          <w:lang w:eastAsia="zh-CN"/>
        </w:rPr>
        <w:t>以来一致保持在</w:t>
      </w:r>
      <w:r w:rsidR="00990319">
        <w:rPr>
          <w:rFonts w:hint="eastAsia"/>
          <w:lang w:eastAsia="zh-CN"/>
        </w:rPr>
        <w:t>150</w:t>
      </w:r>
      <w:proofErr w:type="gramStart"/>
      <w:r w:rsidR="00990319">
        <w:rPr>
          <w:rFonts w:hint="eastAsia"/>
          <w:lang w:eastAsia="zh-CN"/>
        </w:rPr>
        <w:t>万</w:t>
      </w:r>
      <w:r w:rsidR="00990319">
        <w:rPr>
          <w:lang w:eastAsia="zh-CN"/>
        </w:rPr>
        <w:t>瑞</w:t>
      </w:r>
      <w:proofErr w:type="gramEnd"/>
      <w:r w:rsidR="00990319">
        <w:rPr>
          <w:lang w:eastAsia="zh-CN"/>
        </w:rPr>
        <w:t>郎的</w:t>
      </w:r>
      <w:r w:rsidR="00990319">
        <w:rPr>
          <w:rFonts w:hint="eastAsia"/>
          <w:lang w:eastAsia="zh-CN"/>
        </w:rPr>
        <w:t>同</w:t>
      </w:r>
      <w:proofErr w:type="gramStart"/>
      <w:r w:rsidR="00990319">
        <w:rPr>
          <w:rFonts w:hint="eastAsia"/>
          <w:lang w:eastAsia="zh-CN"/>
        </w:rPr>
        <w:t>一</w:t>
      </w:r>
      <w:r w:rsidR="001E0ED1">
        <w:rPr>
          <w:rFonts w:hint="eastAsia"/>
          <w:lang w:eastAsia="zh-CN"/>
        </w:rPr>
        <w:t>预算</w:t>
      </w:r>
      <w:proofErr w:type="gramEnd"/>
      <w:r w:rsidR="00990319">
        <w:rPr>
          <w:rFonts w:hint="eastAsia"/>
          <w:lang w:eastAsia="zh-CN"/>
        </w:rPr>
        <w:t>水平</w:t>
      </w:r>
      <w:r w:rsidR="00990319">
        <w:rPr>
          <w:lang w:eastAsia="zh-CN"/>
        </w:rPr>
        <w:t>上。</w:t>
      </w:r>
    </w:p>
    <w:p w:rsidR="00DA4C74" w:rsidRDefault="00DA4C74" w:rsidP="00BF75A2">
      <w:pPr>
        <w:rPr>
          <w:lang w:eastAsia="zh-CN"/>
        </w:rPr>
      </w:pPr>
      <w:r>
        <w:rPr>
          <w:rFonts w:cs="Arial"/>
          <w:color w:val="000000"/>
          <w:szCs w:val="24"/>
          <w:lang w:eastAsia="zh-CN"/>
        </w:rPr>
        <w:t>3</w:t>
      </w:r>
      <w:r>
        <w:rPr>
          <w:rFonts w:cs="Arial"/>
          <w:color w:val="000000"/>
          <w:szCs w:val="24"/>
          <w:lang w:eastAsia="zh-CN"/>
        </w:rPr>
        <w:tab/>
      </w:r>
      <w:r w:rsidR="00B76202">
        <w:rPr>
          <w:rFonts w:hint="eastAsia"/>
          <w:lang w:eastAsia="zh-CN"/>
        </w:rPr>
        <w:t>预算按照国际电联《财务规则和细则》</w:t>
      </w:r>
      <w:r>
        <w:rPr>
          <w:rFonts w:hint="eastAsia"/>
          <w:lang w:eastAsia="zh-CN"/>
        </w:rPr>
        <w:t>第</w:t>
      </w:r>
      <w:r>
        <w:rPr>
          <w:lang w:eastAsia="zh-CN"/>
        </w:rPr>
        <w:t>6</w:t>
      </w:r>
      <w:r>
        <w:rPr>
          <w:rFonts w:hint="eastAsia"/>
          <w:lang w:eastAsia="zh-CN"/>
        </w:rPr>
        <w:t>条细则</w:t>
      </w:r>
      <w:r>
        <w:rPr>
          <w:lang w:eastAsia="zh-CN"/>
        </w:rPr>
        <w:t>6.1</w:t>
      </w:r>
      <w:r w:rsidR="00B76202">
        <w:rPr>
          <w:rFonts w:hint="eastAsia"/>
          <w:lang w:eastAsia="zh-CN"/>
        </w:rPr>
        <w:t>的</w:t>
      </w:r>
      <w:r w:rsidR="001E0ED1">
        <w:rPr>
          <w:rFonts w:hint="eastAsia"/>
          <w:lang w:eastAsia="zh-CN"/>
        </w:rPr>
        <w:t>支出</w:t>
      </w:r>
      <w:r>
        <w:rPr>
          <w:rFonts w:hint="eastAsia"/>
          <w:lang w:eastAsia="zh-CN"/>
        </w:rPr>
        <w:t>类别</w:t>
      </w:r>
      <w:r w:rsidR="00B76202">
        <w:rPr>
          <w:rFonts w:hint="eastAsia"/>
          <w:lang w:eastAsia="zh-CN"/>
        </w:rPr>
        <w:t>列出</w:t>
      </w:r>
      <w:r>
        <w:rPr>
          <w:rFonts w:hint="eastAsia"/>
          <w:lang w:eastAsia="zh-CN"/>
        </w:rPr>
        <w:t>。下表</w:t>
      </w:r>
      <w:r>
        <w:rPr>
          <w:lang w:eastAsia="zh-CN"/>
        </w:rPr>
        <w:t>1</w:t>
      </w:r>
      <w:r>
        <w:rPr>
          <w:rFonts w:hint="eastAsia"/>
          <w:lang w:eastAsia="zh-CN"/>
        </w:rPr>
        <w:t>所示为按类别分列</w:t>
      </w:r>
      <w:r>
        <w:rPr>
          <w:lang w:eastAsia="zh-CN"/>
        </w:rPr>
        <w:t>的</w:t>
      </w:r>
      <w:r>
        <w:rPr>
          <w:rFonts w:hint="eastAsia"/>
          <w:lang w:eastAsia="zh-CN"/>
        </w:rPr>
        <w:t>支出估算。人员费用及其它人员费用</w:t>
      </w:r>
      <w:r w:rsidR="00B76202">
        <w:rPr>
          <w:rFonts w:hint="eastAsia"/>
          <w:lang w:eastAsia="zh-CN"/>
        </w:rPr>
        <w:t>共</w:t>
      </w:r>
      <w:r>
        <w:rPr>
          <w:rFonts w:hint="eastAsia"/>
          <w:lang w:eastAsia="zh-CN"/>
        </w:rPr>
        <w:t>占</w:t>
      </w:r>
      <w:r w:rsidR="00B76202">
        <w:rPr>
          <w:rFonts w:hint="eastAsia"/>
          <w:lang w:eastAsia="zh-CN"/>
        </w:rPr>
        <w:t>双年度</w:t>
      </w:r>
      <w:r>
        <w:rPr>
          <w:rFonts w:hint="eastAsia"/>
          <w:lang w:eastAsia="zh-CN"/>
        </w:rPr>
        <w:t>预算的</w:t>
      </w:r>
      <w:r w:rsidR="001E0ED1">
        <w:rPr>
          <w:rFonts w:hint="eastAsia"/>
          <w:lang w:eastAsia="zh-CN"/>
        </w:rPr>
        <w:t>近</w:t>
      </w:r>
      <w:r w:rsidR="001E0ED1">
        <w:rPr>
          <w:rFonts w:hint="eastAsia"/>
          <w:lang w:eastAsia="zh-CN"/>
        </w:rPr>
        <w:t>68</w:t>
      </w:r>
      <w:r>
        <w:rPr>
          <w:lang w:eastAsia="zh-CN"/>
        </w:rPr>
        <w:t>%</w:t>
      </w:r>
      <w:r>
        <w:rPr>
          <w:rFonts w:hint="eastAsia"/>
          <w:lang w:eastAsia="zh-CN"/>
        </w:rPr>
        <w:t>。</w:t>
      </w:r>
      <w:r>
        <w:rPr>
          <w:lang w:eastAsia="zh-CN"/>
        </w:rPr>
        <w:t>300</w:t>
      </w:r>
      <w:r>
        <w:rPr>
          <w:rFonts w:hint="eastAsia"/>
          <w:lang w:eastAsia="zh-CN"/>
        </w:rPr>
        <w:t>万瑞郎的成本回收付费相当于</w:t>
      </w:r>
      <w:r w:rsidR="001E0ED1" w:rsidRPr="006B4096">
        <w:rPr>
          <w:rFonts w:cs="Arial"/>
          <w:szCs w:val="24"/>
          <w:lang w:eastAsia="zh-CN"/>
        </w:rPr>
        <w:t>20</w:t>
      </w:r>
      <w:r w:rsidR="001E0ED1">
        <w:rPr>
          <w:rFonts w:cs="Arial" w:hint="eastAsia"/>
          <w:szCs w:val="24"/>
          <w:lang w:eastAsia="zh-CN"/>
        </w:rPr>
        <w:t>20</w:t>
      </w:r>
      <w:r w:rsidR="001E0ED1" w:rsidRPr="006B4096">
        <w:rPr>
          <w:rFonts w:cs="Arial"/>
          <w:szCs w:val="24"/>
          <w:lang w:eastAsia="zh-CN"/>
        </w:rPr>
        <w:t>-20</w:t>
      </w:r>
      <w:r w:rsidR="001E0ED1">
        <w:rPr>
          <w:rFonts w:cs="Arial" w:hint="eastAsia"/>
          <w:szCs w:val="24"/>
          <w:lang w:eastAsia="zh-CN"/>
        </w:rPr>
        <w:t>2</w:t>
      </w:r>
      <w:r w:rsidR="001E0ED1" w:rsidRPr="006B4096">
        <w:rPr>
          <w:rFonts w:cs="Arial"/>
          <w:szCs w:val="24"/>
          <w:lang w:eastAsia="zh-CN"/>
        </w:rPr>
        <w:t>1</w:t>
      </w:r>
      <w:r>
        <w:rPr>
          <w:rFonts w:hint="eastAsia"/>
          <w:lang w:eastAsia="zh-CN"/>
        </w:rPr>
        <w:t>双年度预算</w:t>
      </w:r>
      <w:r w:rsidR="00B76202">
        <w:rPr>
          <w:rFonts w:hint="eastAsia"/>
          <w:lang w:eastAsia="zh-CN"/>
        </w:rPr>
        <w:t>总额</w:t>
      </w:r>
      <w:r>
        <w:rPr>
          <w:rFonts w:hint="eastAsia"/>
          <w:lang w:eastAsia="zh-CN"/>
        </w:rPr>
        <w:t>的</w:t>
      </w:r>
      <w:r w:rsidR="001E0ED1">
        <w:rPr>
          <w:rFonts w:hint="eastAsia"/>
          <w:lang w:eastAsia="zh-CN"/>
        </w:rPr>
        <w:t>29</w:t>
      </w:r>
      <w:r>
        <w:rPr>
          <w:lang w:eastAsia="zh-CN"/>
        </w:rPr>
        <w:t>%</w:t>
      </w:r>
      <w:r>
        <w:rPr>
          <w:rFonts w:hint="eastAsia"/>
          <w:lang w:eastAsia="zh-CN"/>
        </w:rPr>
        <w:t>。</w:t>
      </w:r>
    </w:p>
    <w:p w:rsidR="00BF75A2" w:rsidRDefault="00BF75A2">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DA4C74" w:rsidRDefault="00DA4C74" w:rsidP="00DA4C74">
      <w:pPr>
        <w:pStyle w:val="TableNo"/>
        <w:rPr>
          <w:lang w:eastAsia="zh-CN"/>
        </w:rPr>
      </w:pPr>
      <w:r>
        <w:rPr>
          <w:lang w:eastAsia="zh-CN"/>
        </w:rPr>
        <w:lastRenderedPageBreak/>
        <w:t>表</w:t>
      </w:r>
      <w:r>
        <w:rPr>
          <w:lang w:eastAsia="zh-CN"/>
        </w:rPr>
        <w:t>1</w:t>
      </w:r>
    </w:p>
    <w:p w:rsidR="00DA4C74" w:rsidRDefault="00DA4C74" w:rsidP="00DA4C74">
      <w:pPr>
        <w:pStyle w:val="Tabletitle"/>
        <w:rPr>
          <w:lang w:eastAsia="zh-CN"/>
        </w:rPr>
      </w:pPr>
      <w:r w:rsidRPr="008A1CC7">
        <w:rPr>
          <w:rFonts w:hint="eastAsia"/>
          <w:lang w:eastAsia="zh-CN"/>
        </w:rPr>
        <w:t>按支出类别分列的预算</w:t>
      </w:r>
    </w:p>
    <w:p w:rsidR="00DA4C74" w:rsidRPr="002D2E33" w:rsidRDefault="00DA4C74" w:rsidP="00DA4C74">
      <w:pPr>
        <w:pStyle w:val="Header"/>
        <w:tabs>
          <w:tab w:val="left" w:pos="1191"/>
        </w:tabs>
        <w:spacing w:before="6" w:after="6"/>
        <w:rPr>
          <w:b/>
          <w:bCs/>
          <w:sz w:val="2"/>
          <w:szCs w:val="2"/>
          <w:lang w:eastAsia="zh-CN"/>
        </w:rPr>
      </w:pPr>
    </w:p>
    <w:tbl>
      <w:tblPr>
        <w:tblW w:w="5350" w:type="pct"/>
        <w:tblLayout w:type="fixed"/>
        <w:tblLook w:val="04A0" w:firstRow="1" w:lastRow="0" w:firstColumn="1" w:lastColumn="0" w:noHBand="0" w:noVBand="1"/>
      </w:tblPr>
      <w:tblGrid>
        <w:gridCol w:w="519"/>
        <w:gridCol w:w="1323"/>
        <w:gridCol w:w="990"/>
        <w:gridCol w:w="1003"/>
        <w:gridCol w:w="904"/>
        <w:gridCol w:w="974"/>
        <w:gridCol w:w="840"/>
        <w:gridCol w:w="825"/>
        <w:gridCol w:w="844"/>
        <w:gridCol w:w="1141"/>
        <w:gridCol w:w="951"/>
      </w:tblGrid>
      <w:tr w:rsidR="00EE454F" w:rsidRPr="00690D1A" w:rsidTr="001D63C0">
        <w:trPr>
          <w:trHeight w:val="180"/>
        </w:trPr>
        <w:tc>
          <w:tcPr>
            <w:tcW w:w="252" w:type="pct"/>
            <w:tcBorders>
              <w:top w:val="single" w:sz="8" w:space="0" w:color="auto"/>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642" w:type="pct"/>
            <w:tcBorders>
              <w:top w:val="single" w:sz="8" w:space="0" w:color="auto"/>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480" w:type="pct"/>
            <w:tcBorders>
              <w:top w:val="single" w:sz="8" w:space="0" w:color="auto"/>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3627" w:type="pct"/>
            <w:gridSpan w:val="8"/>
            <w:tcBorders>
              <w:top w:val="single" w:sz="8" w:space="0" w:color="auto"/>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STKaiti" w:eastAsia="STKaiti" w:hAnsi="STKaiti" w:cstheme="minorHAnsi"/>
                <w:bCs/>
                <w:color w:val="002060"/>
                <w:sz w:val="18"/>
                <w:szCs w:val="18"/>
                <w:lang w:val="fr-FR" w:eastAsia="zh-CN"/>
              </w:rPr>
            </w:pPr>
            <w:r w:rsidRPr="00690D1A">
              <w:rPr>
                <w:rFonts w:ascii="STKaiti" w:eastAsia="STKaiti" w:hAnsi="STKaiti" w:cstheme="minorHAnsi" w:hint="eastAsia"/>
                <w:bCs/>
                <w:color w:val="002060"/>
                <w:sz w:val="18"/>
                <w:szCs w:val="18"/>
                <w:lang w:val="fr-FR" w:eastAsia="zh-CN"/>
              </w:rPr>
              <w:t>单位</w:t>
            </w:r>
            <w:r w:rsidRPr="00690D1A">
              <w:rPr>
                <w:rFonts w:ascii="STKaiti" w:eastAsia="STKaiti" w:hAnsi="STKaiti" w:cstheme="minorHAnsi"/>
                <w:bCs/>
                <w:color w:val="002060"/>
                <w:sz w:val="18"/>
                <w:szCs w:val="18"/>
                <w:lang w:val="fr-FR" w:eastAsia="zh-CN"/>
              </w:rPr>
              <w:t>：</w:t>
            </w:r>
            <w:proofErr w:type="gramStart"/>
            <w:r w:rsidRPr="00690D1A">
              <w:rPr>
                <w:rFonts w:ascii="STKaiti" w:eastAsia="STKaiti" w:hAnsi="STKaiti" w:cstheme="minorHAnsi"/>
                <w:bCs/>
                <w:color w:val="002060"/>
                <w:sz w:val="18"/>
                <w:szCs w:val="18"/>
                <w:lang w:val="fr-FR" w:eastAsia="zh-CN"/>
              </w:rPr>
              <w:t>千瑞郎</w:t>
            </w:r>
            <w:proofErr w:type="gramEnd"/>
          </w:p>
        </w:tc>
      </w:tr>
      <w:tr w:rsidR="00EE454F" w:rsidRPr="00690D1A" w:rsidTr="001D63C0">
        <w:trPr>
          <w:trHeight w:val="288"/>
        </w:trPr>
        <w:tc>
          <w:tcPr>
            <w:tcW w:w="252"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类别</w:t>
            </w:r>
          </w:p>
        </w:tc>
        <w:tc>
          <w:tcPr>
            <w:tcW w:w="642"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支出</w:t>
            </w:r>
          </w:p>
        </w:tc>
        <w:tc>
          <w:tcPr>
            <w:tcW w:w="480"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预算</w:t>
            </w:r>
          </w:p>
        </w:tc>
        <w:tc>
          <w:tcPr>
            <w:tcW w:w="486"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实际</w:t>
            </w:r>
            <w:r w:rsidRPr="00690D1A">
              <w:rPr>
                <w:rFonts w:asciiTheme="minorHAnsi" w:eastAsiaTheme="minorEastAsia" w:hAnsiTheme="minorHAnsi" w:cstheme="minorHAnsi"/>
                <w:bCs/>
                <w:color w:val="002060"/>
                <w:sz w:val="18"/>
                <w:szCs w:val="18"/>
                <w:lang w:val="fr-FR" w:eastAsia="zh-CN"/>
              </w:rPr>
              <w:t>支出</w:t>
            </w:r>
          </w:p>
        </w:tc>
        <w:tc>
          <w:tcPr>
            <w:tcW w:w="438"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预算</w:t>
            </w:r>
          </w:p>
        </w:tc>
        <w:tc>
          <w:tcPr>
            <w:tcW w:w="472"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实际</w:t>
            </w:r>
            <w:r w:rsidRPr="00690D1A">
              <w:rPr>
                <w:rFonts w:asciiTheme="minorHAnsi" w:eastAsiaTheme="minorEastAsia" w:hAnsiTheme="minorHAnsi" w:cstheme="minorHAnsi"/>
                <w:bCs/>
                <w:color w:val="002060"/>
                <w:sz w:val="18"/>
                <w:szCs w:val="18"/>
                <w:lang w:val="fr-FR" w:eastAsia="zh-CN"/>
              </w:rPr>
              <w:t>支出</w:t>
            </w:r>
          </w:p>
        </w:tc>
        <w:tc>
          <w:tcPr>
            <w:tcW w:w="407"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预算</w:t>
            </w:r>
          </w:p>
        </w:tc>
        <w:tc>
          <w:tcPr>
            <w:tcW w:w="400"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预算</w:t>
            </w:r>
          </w:p>
        </w:tc>
        <w:tc>
          <w:tcPr>
            <w:tcW w:w="409"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预算</w:t>
            </w:r>
          </w:p>
        </w:tc>
        <w:tc>
          <w:tcPr>
            <w:tcW w:w="553"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差异</w:t>
            </w:r>
          </w:p>
        </w:tc>
        <w:tc>
          <w:tcPr>
            <w:tcW w:w="461" w:type="pct"/>
            <w:tcBorders>
              <w:top w:val="nil"/>
              <w:left w:val="nil"/>
              <w:bottom w:val="nil"/>
              <w:right w:val="nil"/>
            </w:tcBorders>
            <w:shd w:val="clear" w:color="000000" w:fill="DCE6F1"/>
            <w:noWrap/>
            <w:vAlign w:val="center"/>
            <w:hideMark/>
          </w:tcPr>
          <w:p w:rsidR="00EE454F" w:rsidRPr="00690D1A" w:rsidRDefault="00FC6C2A"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eastAsiaTheme="minorEastAsia" w:hAnsiTheme="minorHAnsi" w:cstheme="minorHAnsi" w:hint="eastAsia"/>
                <w:bCs/>
                <w:color w:val="002060"/>
                <w:sz w:val="18"/>
                <w:szCs w:val="18"/>
                <w:lang w:val="fr-FR" w:eastAsia="zh-CN"/>
              </w:rPr>
              <w:t>相对于</w:t>
            </w:r>
          </w:p>
        </w:tc>
      </w:tr>
      <w:tr w:rsidR="00EE454F" w:rsidRPr="00690D1A" w:rsidTr="001D63C0">
        <w:trPr>
          <w:trHeight w:val="288"/>
        </w:trPr>
        <w:tc>
          <w:tcPr>
            <w:tcW w:w="252"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642"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480" w:type="pct"/>
            <w:tcBorders>
              <w:top w:val="nil"/>
              <w:left w:val="nil"/>
              <w:bottom w:val="nil"/>
              <w:right w:val="nil"/>
            </w:tcBorders>
            <w:shd w:val="clear" w:color="000000" w:fill="DCE6F1"/>
            <w:vAlign w:val="center"/>
            <w:hideMark/>
          </w:tcPr>
          <w:p w:rsidR="00EE454F" w:rsidRPr="009F557F" w:rsidRDefault="001E0ED1" w:rsidP="009F557F">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2016-2017</w:t>
            </w:r>
            <w:r w:rsidR="00EE454F" w:rsidRPr="00690D1A">
              <w:rPr>
                <w:rFonts w:asciiTheme="minorHAnsi" w:eastAsiaTheme="minorEastAsia" w:hAnsiTheme="minorHAnsi" w:cstheme="minorHAnsi" w:hint="eastAsia"/>
                <w:bCs/>
                <w:color w:val="002060"/>
                <w:sz w:val="18"/>
                <w:szCs w:val="18"/>
                <w:lang w:val="fr-FR" w:eastAsia="zh-CN"/>
              </w:rPr>
              <w:t>年</w:t>
            </w:r>
          </w:p>
        </w:tc>
        <w:tc>
          <w:tcPr>
            <w:tcW w:w="486" w:type="pct"/>
            <w:tcBorders>
              <w:top w:val="nil"/>
              <w:left w:val="nil"/>
              <w:bottom w:val="nil"/>
              <w:right w:val="nil"/>
            </w:tcBorders>
            <w:shd w:val="clear" w:color="000000" w:fill="DCE6F1"/>
            <w:noWrap/>
            <w:vAlign w:val="center"/>
            <w:hideMark/>
          </w:tcPr>
          <w:p w:rsidR="00EE454F" w:rsidRPr="009F557F" w:rsidRDefault="001E0ED1" w:rsidP="009F557F">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2016-</w:t>
            </w:r>
            <w:r w:rsidR="009F557F">
              <w:rPr>
                <w:rFonts w:asciiTheme="minorHAnsi" w:hAnsiTheme="minorHAnsi" w:cstheme="minorHAnsi"/>
                <w:bCs/>
                <w:color w:val="002060"/>
                <w:sz w:val="18"/>
                <w:szCs w:val="18"/>
                <w:lang w:val="fr-FR" w:eastAsia="zh-CN"/>
              </w:rPr>
              <w:br/>
            </w:r>
            <w:r w:rsidRPr="00690D1A">
              <w:rPr>
                <w:rFonts w:asciiTheme="minorHAnsi" w:hAnsiTheme="minorHAnsi" w:cstheme="minorHAnsi"/>
                <w:bCs/>
                <w:color w:val="002060"/>
                <w:sz w:val="18"/>
                <w:szCs w:val="18"/>
                <w:lang w:val="fr-FR" w:eastAsia="zh-CN"/>
              </w:rPr>
              <w:t>2017</w:t>
            </w:r>
            <w:r w:rsidR="00EE454F" w:rsidRPr="00690D1A">
              <w:rPr>
                <w:rFonts w:asciiTheme="minorHAnsi" w:eastAsiaTheme="minorEastAsia" w:hAnsiTheme="minorHAnsi" w:cstheme="minorHAnsi" w:hint="eastAsia"/>
                <w:bCs/>
                <w:color w:val="002060"/>
                <w:sz w:val="18"/>
                <w:szCs w:val="18"/>
                <w:lang w:val="fr-FR" w:eastAsia="zh-CN"/>
              </w:rPr>
              <w:t>年</w:t>
            </w:r>
          </w:p>
        </w:tc>
        <w:tc>
          <w:tcPr>
            <w:tcW w:w="438" w:type="pct"/>
            <w:tcBorders>
              <w:top w:val="nil"/>
              <w:left w:val="nil"/>
              <w:bottom w:val="nil"/>
              <w:right w:val="nil"/>
            </w:tcBorders>
            <w:shd w:val="clear" w:color="000000" w:fill="DCE6F1"/>
            <w:noWrap/>
            <w:vAlign w:val="center"/>
            <w:hideMark/>
          </w:tcPr>
          <w:p w:rsidR="00EE454F" w:rsidRPr="009F557F" w:rsidRDefault="001E0ED1" w:rsidP="009F557F">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2018-2019</w:t>
            </w:r>
            <w:r w:rsidR="00EE454F" w:rsidRPr="00690D1A">
              <w:rPr>
                <w:rFonts w:asciiTheme="minorHAnsi" w:eastAsiaTheme="minorEastAsia" w:hAnsiTheme="minorHAnsi" w:cstheme="minorHAnsi" w:hint="eastAsia"/>
                <w:bCs/>
                <w:color w:val="002060"/>
                <w:sz w:val="18"/>
                <w:szCs w:val="18"/>
                <w:lang w:val="fr-FR" w:eastAsia="zh-CN"/>
              </w:rPr>
              <w:t>年</w:t>
            </w:r>
          </w:p>
        </w:tc>
        <w:tc>
          <w:tcPr>
            <w:tcW w:w="472" w:type="pct"/>
            <w:tcBorders>
              <w:top w:val="nil"/>
              <w:left w:val="nil"/>
              <w:bottom w:val="nil"/>
              <w:right w:val="nil"/>
            </w:tcBorders>
            <w:shd w:val="clear" w:color="000000" w:fill="DCE6F1"/>
            <w:noWrap/>
            <w:vAlign w:val="center"/>
            <w:hideMark/>
          </w:tcPr>
          <w:p w:rsidR="00EE454F" w:rsidRPr="00690D1A" w:rsidRDefault="00EE454F" w:rsidP="00B76202">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w:t>
            </w:r>
            <w:r w:rsidR="00690D1A" w:rsidRPr="00690D1A">
              <w:rPr>
                <w:rFonts w:asciiTheme="minorHAnsi" w:hAnsiTheme="minorHAnsi" w:cstheme="minorHAnsi"/>
                <w:bCs/>
                <w:color w:val="002060"/>
                <w:sz w:val="18"/>
                <w:szCs w:val="18"/>
                <w:lang w:val="fr-FR" w:eastAsia="zh-CN"/>
              </w:rPr>
              <w:t>8</w:t>
            </w:r>
            <w:r w:rsidRPr="00690D1A">
              <w:rPr>
                <w:rFonts w:asciiTheme="minorHAnsi" w:eastAsiaTheme="minorEastAsia" w:hAnsiTheme="minorHAnsi" w:cstheme="minorHAnsi" w:hint="eastAsia"/>
                <w:bCs/>
                <w:color w:val="002060"/>
                <w:sz w:val="18"/>
                <w:szCs w:val="18"/>
                <w:lang w:val="fr-FR" w:eastAsia="zh-CN"/>
              </w:rPr>
              <w:t>年</w:t>
            </w:r>
          </w:p>
        </w:tc>
        <w:tc>
          <w:tcPr>
            <w:tcW w:w="407" w:type="pct"/>
            <w:tcBorders>
              <w:top w:val="nil"/>
              <w:left w:val="nil"/>
              <w:bottom w:val="nil"/>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w:t>
            </w:r>
            <w:r w:rsidR="001E0ED1" w:rsidRPr="00690D1A">
              <w:rPr>
                <w:rFonts w:asciiTheme="minorHAnsi" w:hAnsiTheme="minorHAnsi" w:cstheme="minorHAnsi" w:hint="eastAsia"/>
                <w:bCs/>
                <w:color w:val="002060"/>
                <w:sz w:val="18"/>
                <w:szCs w:val="18"/>
                <w:lang w:val="fr-FR" w:eastAsia="zh-CN"/>
              </w:rPr>
              <w:t>20</w:t>
            </w:r>
            <w:r w:rsidRPr="00690D1A">
              <w:rPr>
                <w:rFonts w:asciiTheme="minorHAnsi" w:eastAsiaTheme="minorEastAsia" w:hAnsiTheme="minorHAnsi" w:cstheme="minorHAnsi" w:hint="eastAsia"/>
                <w:bCs/>
                <w:color w:val="002060"/>
                <w:sz w:val="18"/>
                <w:szCs w:val="18"/>
                <w:lang w:val="fr-FR" w:eastAsia="zh-CN"/>
              </w:rPr>
              <w:t>年</w:t>
            </w:r>
          </w:p>
        </w:tc>
        <w:tc>
          <w:tcPr>
            <w:tcW w:w="400" w:type="pct"/>
            <w:tcBorders>
              <w:top w:val="nil"/>
              <w:left w:val="nil"/>
              <w:bottom w:val="nil"/>
              <w:right w:val="nil"/>
            </w:tcBorders>
            <w:shd w:val="clear" w:color="000000" w:fill="DCE6F1"/>
            <w:noWrap/>
            <w:vAlign w:val="center"/>
            <w:hideMark/>
          </w:tcPr>
          <w:p w:rsidR="00EE454F" w:rsidRPr="00690D1A" w:rsidRDefault="00EE454F" w:rsidP="001E0ED1">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w:t>
            </w:r>
            <w:r w:rsidR="001E0ED1" w:rsidRPr="00690D1A">
              <w:rPr>
                <w:rFonts w:asciiTheme="minorHAnsi" w:hAnsiTheme="minorHAnsi" w:cstheme="minorHAnsi" w:hint="eastAsia"/>
                <w:bCs/>
                <w:color w:val="002060"/>
                <w:sz w:val="18"/>
                <w:szCs w:val="18"/>
                <w:lang w:val="fr-FR" w:eastAsia="zh-CN"/>
              </w:rPr>
              <w:t>2</w:t>
            </w:r>
            <w:r w:rsidRPr="00690D1A">
              <w:rPr>
                <w:rFonts w:asciiTheme="minorHAnsi" w:hAnsiTheme="minorHAnsi" w:cstheme="minorHAnsi"/>
                <w:bCs/>
                <w:color w:val="002060"/>
                <w:sz w:val="18"/>
                <w:szCs w:val="18"/>
                <w:lang w:val="fr-FR" w:eastAsia="zh-CN"/>
              </w:rPr>
              <w:t>1</w:t>
            </w:r>
            <w:r w:rsidRPr="00690D1A">
              <w:rPr>
                <w:rFonts w:asciiTheme="minorHAnsi" w:eastAsiaTheme="minorEastAsia" w:hAnsiTheme="minorHAnsi" w:cstheme="minorHAnsi" w:hint="eastAsia"/>
                <w:bCs/>
                <w:color w:val="002060"/>
                <w:sz w:val="18"/>
                <w:szCs w:val="18"/>
                <w:lang w:val="fr-FR" w:eastAsia="zh-CN"/>
              </w:rPr>
              <w:t>年</w:t>
            </w:r>
          </w:p>
        </w:tc>
        <w:tc>
          <w:tcPr>
            <w:tcW w:w="409" w:type="pct"/>
            <w:tcBorders>
              <w:top w:val="nil"/>
              <w:left w:val="nil"/>
              <w:bottom w:val="nil"/>
              <w:right w:val="nil"/>
            </w:tcBorders>
            <w:shd w:val="clear" w:color="000000" w:fill="DCE6F1"/>
            <w:noWrap/>
            <w:vAlign w:val="center"/>
            <w:hideMark/>
          </w:tcPr>
          <w:p w:rsidR="00EE454F" w:rsidRPr="00690D1A" w:rsidRDefault="001E0ED1"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2020-2021</w:t>
            </w:r>
            <w:r w:rsidR="00EE454F" w:rsidRPr="00690D1A">
              <w:rPr>
                <w:rFonts w:asciiTheme="minorHAnsi" w:eastAsiaTheme="minorEastAsia" w:hAnsiTheme="minorHAnsi" w:cstheme="minorHAnsi" w:hint="eastAsia"/>
                <w:bCs/>
                <w:color w:val="002060"/>
                <w:sz w:val="18"/>
                <w:szCs w:val="18"/>
                <w:lang w:val="fr-FR" w:eastAsia="zh-CN"/>
              </w:rPr>
              <w:t>年</w:t>
            </w:r>
          </w:p>
        </w:tc>
        <w:tc>
          <w:tcPr>
            <w:tcW w:w="553" w:type="pct"/>
            <w:tcBorders>
              <w:top w:val="nil"/>
              <w:left w:val="nil"/>
              <w:bottom w:val="nil"/>
              <w:right w:val="nil"/>
            </w:tcBorders>
            <w:shd w:val="clear" w:color="000000" w:fill="DCE6F1"/>
            <w:noWrap/>
            <w:vAlign w:val="center"/>
            <w:hideMark/>
          </w:tcPr>
          <w:p w:rsidR="00EE454F" w:rsidRPr="00690D1A" w:rsidRDefault="001E0ED1"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2018-19</w:t>
            </w:r>
            <w:r w:rsidR="00EE454F" w:rsidRPr="00690D1A">
              <w:rPr>
                <w:rFonts w:asciiTheme="minorHAnsi" w:eastAsiaTheme="minorEastAsia" w:hAnsiTheme="minorHAnsi" w:cstheme="minorHAnsi" w:hint="eastAsia"/>
                <w:bCs/>
                <w:color w:val="002060"/>
                <w:sz w:val="18"/>
                <w:szCs w:val="18"/>
                <w:lang w:val="fr-FR" w:eastAsia="zh-CN"/>
              </w:rPr>
              <w:t>年</w:t>
            </w:r>
          </w:p>
          <w:p w:rsidR="00EE454F" w:rsidRPr="00690D1A" w:rsidRDefault="001E0ED1" w:rsidP="00990319">
            <w:pPr>
              <w:pStyle w:val="TableHead0"/>
              <w:keepLines/>
              <w:spacing w:before="40" w:after="40"/>
              <w:rPr>
                <w:rFonts w:asciiTheme="minorHAnsi" w:eastAsiaTheme="minorEastAsia"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2020-21</w:t>
            </w:r>
            <w:r w:rsidR="00EE454F" w:rsidRPr="00690D1A">
              <w:rPr>
                <w:rFonts w:asciiTheme="minorHAnsi" w:eastAsiaTheme="minorEastAsia" w:hAnsiTheme="minorHAnsi" w:cstheme="minorHAnsi" w:hint="eastAsia"/>
                <w:bCs/>
                <w:color w:val="002060"/>
                <w:sz w:val="18"/>
                <w:szCs w:val="18"/>
                <w:lang w:val="fr-FR" w:eastAsia="zh-CN"/>
              </w:rPr>
              <w:t>年</w:t>
            </w:r>
          </w:p>
        </w:tc>
        <w:tc>
          <w:tcPr>
            <w:tcW w:w="461" w:type="pct"/>
            <w:tcBorders>
              <w:top w:val="nil"/>
              <w:left w:val="nil"/>
              <w:bottom w:val="nil"/>
              <w:right w:val="nil"/>
            </w:tcBorders>
            <w:shd w:val="clear" w:color="000000" w:fill="DCE6F1"/>
            <w:noWrap/>
            <w:vAlign w:val="center"/>
            <w:hideMark/>
          </w:tcPr>
          <w:p w:rsidR="00EE454F" w:rsidRPr="009F557F" w:rsidRDefault="001E0ED1" w:rsidP="009F557F">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2018-2019</w:t>
            </w:r>
            <w:r w:rsidR="00EE454F" w:rsidRPr="00690D1A">
              <w:rPr>
                <w:rFonts w:asciiTheme="minorHAnsi" w:eastAsiaTheme="minorEastAsia" w:hAnsiTheme="minorHAnsi" w:cstheme="minorHAnsi" w:hint="eastAsia"/>
                <w:bCs/>
                <w:color w:val="002060"/>
                <w:sz w:val="18"/>
                <w:szCs w:val="18"/>
                <w:lang w:val="fr-FR" w:eastAsia="zh-CN"/>
              </w:rPr>
              <w:t>年</w:t>
            </w:r>
            <w:r w:rsidR="00FC6C2A" w:rsidRPr="00690D1A">
              <w:rPr>
                <w:rFonts w:asciiTheme="minorHAnsi" w:eastAsiaTheme="minorEastAsia" w:hAnsiTheme="minorHAnsi" w:cstheme="minorHAnsi" w:hint="eastAsia"/>
                <w:bCs/>
                <w:color w:val="002060"/>
                <w:sz w:val="18"/>
                <w:szCs w:val="18"/>
                <w:lang w:val="fr-FR" w:eastAsia="zh-CN"/>
              </w:rPr>
              <w:t>的</w:t>
            </w:r>
            <w:r w:rsidR="00FC6C2A" w:rsidRPr="00690D1A">
              <w:rPr>
                <w:rFonts w:asciiTheme="minorHAnsi" w:eastAsiaTheme="minorEastAsia" w:hAnsiTheme="minorHAnsi" w:cstheme="minorHAnsi"/>
                <w:bCs/>
                <w:color w:val="002060"/>
                <w:sz w:val="18"/>
                <w:szCs w:val="18"/>
                <w:lang w:val="fr-FR" w:eastAsia="zh-CN"/>
              </w:rPr>
              <w:t>比例</w:t>
            </w:r>
          </w:p>
        </w:tc>
      </w:tr>
      <w:tr w:rsidR="00EE454F" w:rsidRPr="00690D1A" w:rsidTr="001D63C0">
        <w:trPr>
          <w:trHeight w:val="300"/>
        </w:trPr>
        <w:tc>
          <w:tcPr>
            <w:tcW w:w="252"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642"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 </w:t>
            </w:r>
          </w:p>
        </w:tc>
        <w:tc>
          <w:tcPr>
            <w:tcW w:w="480"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a</w:t>
            </w:r>
          </w:p>
        </w:tc>
        <w:tc>
          <w:tcPr>
            <w:tcW w:w="486"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b</w:t>
            </w:r>
          </w:p>
        </w:tc>
        <w:tc>
          <w:tcPr>
            <w:tcW w:w="438"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c</w:t>
            </w:r>
          </w:p>
        </w:tc>
        <w:tc>
          <w:tcPr>
            <w:tcW w:w="472"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d</w:t>
            </w:r>
          </w:p>
        </w:tc>
        <w:tc>
          <w:tcPr>
            <w:tcW w:w="407"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e</w:t>
            </w:r>
          </w:p>
        </w:tc>
        <w:tc>
          <w:tcPr>
            <w:tcW w:w="400"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f</w:t>
            </w:r>
          </w:p>
        </w:tc>
        <w:tc>
          <w:tcPr>
            <w:tcW w:w="409"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g</w:t>
            </w:r>
          </w:p>
        </w:tc>
        <w:tc>
          <w:tcPr>
            <w:tcW w:w="553"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h = g-c</w:t>
            </w:r>
          </w:p>
        </w:tc>
        <w:tc>
          <w:tcPr>
            <w:tcW w:w="461" w:type="pct"/>
            <w:tcBorders>
              <w:top w:val="nil"/>
              <w:left w:val="nil"/>
              <w:bottom w:val="single" w:sz="8" w:space="0" w:color="auto"/>
              <w:right w:val="nil"/>
            </w:tcBorders>
            <w:shd w:val="clear" w:color="000000" w:fill="DCE6F1"/>
            <w:noWrap/>
            <w:vAlign w:val="center"/>
            <w:hideMark/>
          </w:tcPr>
          <w:p w:rsidR="00EE454F" w:rsidRPr="00690D1A" w:rsidRDefault="00EE454F" w:rsidP="00990319">
            <w:pPr>
              <w:pStyle w:val="TableHead0"/>
              <w:keepLines/>
              <w:spacing w:before="40" w:after="40"/>
              <w:rPr>
                <w:rFonts w:asciiTheme="minorHAnsi" w:hAnsiTheme="minorHAnsi" w:cstheme="minorHAnsi"/>
                <w:bCs/>
                <w:color w:val="002060"/>
                <w:sz w:val="18"/>
                <w:szCs w:val="18"/>
                <w:lang w:val="fr-FR" w:eastAsia="zh-CN"/>
              </w:rPr>
            </w:pPr>
            <w:r w:rsidRPr="00690D1A">
              <w:rPr>
                <w:rFonts w:asciiTheme="minorHAnsi" w:hAnsiTheme="minorHAnsi" w:cstheme="minorHAnsi"/>
                <w:bCs/>
                <w:color w:val="002060"/>
                <w:sz w:val="18"/>
                <w:szCs w:val="18"/>
                <w:lang w:val="fr-FR" w:eastAsia="zh-CN"/>
              </w:rPr>
              <w:t>i</w:t>
            </w:r>
            <w:r w:rsidR="001D63C0">
              <w:rPr>
                <w:rFonts w:asciiTheme="minorHAnsi" w:hAnsiTheme="minorHAnsi" w:cstheme="minorHAnsi"/>
                <w:bCs/>
                <w:color w:val="002060"/>
                <w:sz w:val="18"/>
                <w:szCs w:val="18"/>
                <w:lang w:val="fr-FR" w:eastAsia="zh-CN"/>
              </w:rPr>
              <w:t xml:space="preserve"> </w:t>
            </w:r>
            <w:r w:rsidRPr="00690D1A">
              <w:rPr>
                <w:rFonts w:asciiTheme="minorHAnsi" w:hAnsiTheme="minorHAnsi" w:cstheme="minorHAnsi"/>
                <w:bCs/>
                <w:color w:val="002060"/>
                <w:sz w:val="18"/>
                <w:szCs w:val="18"/>
                <w:lang w:val="fr-FR" w:eastAsia="zh-CN"/>
              </w:rPr>
              <w:t>=</w:t>
            </w:r>
            <w:r w:rsidR="001D63C0">
              <w:rPr>
                <w:rFonts w:asciiTheme="minorHAnsi" w:hAnsiTheme="minorHAnsi" w:cstheme="minorHAnsi"/>
                <w:bCs/>
                <w:color w:val="002060"/>
                <w:sz w:val="18"/>
                <w:szCs w:val="18"/>
                <w:lang w:val="fr-FR" w:eastAsia="zh-CN"/>
              </w:rPr>
              <w:t xml:space="preserve"> </w:t>
            </w:r>
            <w:r w:rsidRPr="00690D1A">
              <w:rPr>
                <w:rFonts w:asciiTheme="minorHAnsi" w:hAnsiTheme="minorHAnsi" w:cstheme="minorHAnsi"/>
                <w:bCs/>
                <w:color w:val="002060"/>
                <w:sz w:val="18"/>
                <w:szCs w:val="18"/>
                <w:lang w:val="fr-FR" w:eastAsia="zh-CN"/>
              </w:rPr>
              <w:t>h/c</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center"/>
              <w:rPr>
                <w:rFonts w:asciiTheme="minorHAnsi" w:hAnsiTheme="minorHAnsi"/>
              </w:rPr>
            </w:pPr>
            <w:r w:rsidRPr="00690D1A">
              <w:rPr>
                <w:rFonts w:asciiTheme="minorHAnsi" w:hAnsiTheme="minorHAnsi"/>
              </w:rPr>
              <w:t>1</w:t>
            </w:r>
            <w:r w:rsidRPr="00690D1A">
              <w:rPr>
                <w:rFonts w:asciiTheme="minorEastAsia" w:eastAsiaTheme="minorEastAsia" w:hAnsiTheme="minorEastAsia" w:hint="eastAsia"/>
              </w:rPr>
              <w:t>-</w:t>
            </w:r>
            <w:r w:rsidRPr="00690D1A">
              <w:rPr>
                <w:rFonts w:asciiTheme="minorHAnsi" w:hAnsiTheme="minorHAnsi" w:hint="eastAsia"/>
              </w:rPr>
              <w:t>2</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人员费用和其他人员费用</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7,316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5,995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7,756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2,589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3,490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3,490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6,980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-776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-10%</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center"/>
              <w:rPr>
                <w:rFonts w:asciiTheme="minorHAnsi" w:hAnsiTheme="minorHAnsi"/>
              </w:rPr>
            </w:pPr>
            <w:r w:rsidRPr="00690D1A">
              <w:rPr>
                <w:rFonts w:asciiTheme="minorHAnsi" w:hAnsiTheme="minorHAnsi"/>
              </w:rPr>
              <w:t>3</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公务</w:t>
            </w:r>
            <w:r w:rsidRPr="00690D1A">
              <w:rPr>
                <w:rFonts w:asciiTheme="minorHAnsi" w:eastAsiaTheme="minorEastAsia" w:hAnsiTheme="minorHAnsi"/>
              </w:rPr>
              <w:t>差旅</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-40%</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center"/>
              <w:rPr>
                <w:rFonts w:asciiTheme="minorHAnsi" w:hAnsiTheme="minorHAnsi"/>
              </w:rPr>
            </w:pPr>
            <w:r w:rsidRPr="00690D1A">
              <w:rPr>
                <w:rFonts w:asciiTheme="minorHAnsi" w:hAnsiTheme="minorHAnsi"/>
              </w:rPr>
              <w:t>4</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keepNext/>
              <w:keepLines/>
              <w:spacing w:before="40" w:after="40"/>
              <w:jc w:val="left"/>
              <w:rPr>
                <w:rFonts w:asciiTheme="minorHAnsi" w:eastAsiaTheme="minorEastAsia" w:hAnsiTheme="minorHAnsi"/>
              </w:rPr>
            </w:pPr>
            <w:r w:rsidRPr="00690D1A">
              <w:rPr>
                <w:rFonts w:asciiTheme="minorHAnsi" w:eastAsiaTheme="minorEastAsia" w:hAnsiTheme="minorHAnsi" w:hint="eastAsia"/>
              </w:rPr>
              <w:t>合同</w:t>
            </w:r>
            <w:r w:rsidRPr="00690D1A">
              <w:rPr>
                <w:rFonts w:asciiTheme="minorHAnsi" w:eastAsiaTheme="minorEastAsia" w:hAnsiTheme="minorHAnsi"/>
              </w:rPr>
              <w:t>服务</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84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41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60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60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120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-20%</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5</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租用</w:t>
            </w:r>
            <w:r w:rsidRPr="00690D1A">
              <w:rPr>
                <w:rFonts w:asciiTheme="minorHAnsi" w:eastAsiaTheme="minorEastAsia" w:hAnsiTheme="minorHAnsi"/>
              </w:rPr>
              <w:t>和维护</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- 10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-33%</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6</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设备</w:t>
            </w:r>
            <w:r w:rsidRPr="00690D1A">
              <w:rPr>
                <w:rFonts w:asciiTheme="minorHAnsi" w:eastAsiaTheme="minorEastAsia" w:hAnsiTheme="minorHAnsi"/>
              </w:rPr>
              <w:t>和办公用品</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40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40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6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-25%</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7</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采购</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21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11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25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25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0%</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8</w:t>
            </w:r>
          </w:p>
        </w:tc>
        <w:tc>
          <w:tcPr>
            <w:tcW w:w="642" w:type="pct"/>
            <w:tcBorders>
              <w:top w:val="nil"/>
              <w:left w:val="nil"/>
              <w:bottom w:val="nil"/>
              <w:right w:val="nil"/>
            </w:tcBorders>
            <w:shd w:val="clear" w:color="000000" w:fill="FFFFFF"/>
            <w:vAlign w:val="center"/>
            <w:hideMark/>
          </w:tcPr>
          <w:p w:rsidR="00611B87" w:rsidRPr="00690D1A" w:rsidRDefault="00611B87" w:rsidP="00611B87">
            <w:pPr>
              <w:pStyle w:val="Tabletext0"/>
              <w:spacing w:before="40" w:after="40"/>
              <w:jc w:val="left"/>
              <w:rPr>
                <w:rFonts w:asciiTheme="minorHAnsi" w:eastAsiaTheme="minorEastAsia" w:hAnsiTheme="minorHAnsi"/>
                <w:lang w:val="fr-CH"/>
              </w:rPr>
            </w:pPr>
            <w:r w:rsidRPr="00690D1A">
              <w:rPr>
                <w:rFonts w:asciiTheme="minorHAnsi" w:eastAsiaTheme="minorEastAsia" w:hAnsiTheme="minorHAnsi" w:hint="eastAsia"/>
                <w:lang w:val="fr-CH"/>
              </w:rPr>
              <w:t>公共</w:t>
            </w:r>
            <w:proofErr w:type="gramStart"/>
            <w:r w:rsidRPr="00690D1A">
              <w:rPr>
                <w:rFonts w:asciiTheme="minorHAnsi" w:eastAsiaTheme="minorEastAsia" w:hAnsiTheme="minorHAnsi"/>
                <w:lang w:val="fr-CH"/>
              </w:rPr>
              <w:t>和内部</w:t>
            </w:r>
            <w:proofErr w:type="gramEnd"/>
            <w:r w:rsidRPr="00690D1A">
              <w:rPr>
                <w:rFonts w:asciiTheme="minorHAnsi" w:eastAsiaTheme="minorEastAsia" w:hAnsiTheme="minorHAnsi"/>
                <w:lang w:val="fr-CH"/>
              </w:rPr>
              <w:br/>
            </w:r>
            <w:r w:rsidRPr="00690D1A">
              <w:rPr>
                <w:rFonts w:asciiTheme="minorHAnsi" w:eastAsiaTheme="minorEastAsia" w:hAnsiTheme="minorHAnsi"/>
                <w:lang w:val="fr-CH"/>
              </w:rPr>
              <w:t>服务设施</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13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5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- 30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-60%</w:t>
            </w:r>
          </w:p>
        </w:tc>
      </w:tr>
      <w:tr w:rsidR="00611B87" w:rsidRPr="00690D1A" w:rsidTr="001D63C0">
        <w:trPr>
          <w:trHeight w:val="288"/>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9a</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杂项</w:t>
            </w:r>
          </w:p>
        </w:tc>
        <w:tc>
          <w:tcPr>
            <w:tcW w:w="48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486"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 </w:t>
            </w:r>
          </w:p>
        </w:tc>
        <w:tc>
          <w:tcPr>
            <w:tcW w:w="438"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472"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0 </w:t>
            </w:r>
          </w:p>
        </w:tc>
        <w:tc>
          <w:tcPr>
            <w:tcW w:w="407"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0"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 </w:t>
            </w:r>
          </w:p>
        </w:tc>
        <w:tc>
          <w:tcPr>
            <w:tcW w:w="409"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20 </w:t>
            </w:r>
          </w:p>
        </w:tc>
        <w:tc>
          <w:tcPr>
            <w:tcW w:w="553"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0%</w:t>
            </w:r>
          </w:p>
        </w:tc>
      </w:tr>
      <w:tr w:rsidR="00611B87" w:rsidRPr="00690D1A" w:rsidTr="001D63C0">
        <w:trPr>
          <w:trHeight w:val="300"/>
        </w:trPr>
        <w:tc>
          <w:tcPr>
            <w:tcW w:w="25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center"/>
              <w:rPr>
                <w:rFonts w:asciiTheme="minorHAnsi" w:hAnsiTheme="minorHAnsi"/>
              </w:rPr>
            </w:pPr>
            <w:r w:rsidRPr="00690D1A">
              <w:rPr>
                <w:rFonts w:asciiTheme="minorHAnsi" w:hAnsiTheme="minorHAnsi"/>
              </w:rPr>
              <w:t>9b</w:t>
            </w:r>
          </w:p>
        </w:tc>
        <w:tc>
          <w:tcPr>
            <w:tcW w:w="642" w:type="pct"/>
            <w:tcBorders>
              <w:top w:val="nil"/>
              <w:left w:val="nil"/>
              <w:bottom w:val="nil"/>
              <w:right w:val="nil"/>
            </w:tcBorders>
            <w:shd w:val="clear" w:color="000000" w:fill="FFFFFF"/>
            <w:noWrap/>
            <w:vAlign w:val="center"/>
            <w:hideMark/>
          </w:tcPr>
          <w:p w:rsidR="00611B87" w:rsidRPr="00690D1A" w:rsidRDefault="00611B87" w:rsidP="00611B87">
            <w:pPr>
              <w:pStyle w:val="Tabletext0"/>
              <w:spacing w:before="40" w:after="40"/>
              <w:jc w:val="left"/>
              <w:rPr>
                <w:rFonts w:asciiTheme="minorHAnsi" w:eastAsiaTheme="minorEastAsia" w:hAnsiTheme="minorHAnsi"/>
              </w:rPr>
            </w:pPr>
            <w:r w:rsidRPr="00690D1A">
              <w:rPr>
                <w:rFonts w:asciiTheme="minorHAnsi" w:eastAsiaTheme="minorEastAsia" w:hAnsiTheme="minorHAnsi" w:hint="eastAsia"/>
              </w:rPr>
              <w:t>成本</w:t>
            </w:r>
            <w:r w:rsidRPr="00690D1A">
              <w:rPr>
                <w:rFonts w:asciiTheme="minorHAnsi" w:eastAsiaTheme="minorEastAsia" w:hAnsiTheme="minorHAnsi"/>
              </w:rPr>
              <w:t>回收</w:t>
            </w:r>
          </w:p>
        </w:tc>
        <w:tc>
          <w:tcPr>
            <w:tcW w:w="480"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3,000 </w:t>
            </w:r>
          </w:p>
        </w:tc>
        <w:tc>
          <w:tcPr>
            <w:tcW w:w="486"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3,000 </w:t>
            </w:r>
          </w:p>
        </w:tc>
        <w:tc>
          <w:tcPr>
            <w:tcW w:w="438"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3,000 </w:t>
            </w:r>
          </w:p>
        </w:tc>
        <w:tc>
          <w:tcPr>
            <w:tcW w:w="472"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1,000 </w:t>
            </w:r>
          </w:p>
        </w:tc>
        <w:tc>
          <w:tcPr>
            <w:tcW w:w="407"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1,500 </w:t>
            </w:r>
          </w:p>
        </w:tc>
        <w:tc>
          <w:tcPr>
            <w:tcW w:w="400"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1,500 </w:t>
            </w:r>
          </w:p>
        </w:tc>
        <w:tc>
          <w:tcPr>
            <w:tcW w:w="409"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3,000 </w:t>
            </w:r>
          </w:p>
        </w:tc>
        <w:tc>
          <w:tcPr>
            <w:tcW w:w="553" w:type="pct"/>
            <w:tcBorders>
              <w:top w:val="nil"/>
              <w:left w:val="nil"/>
              <w:bottom w:val="single" w:sz="8" w:space="0" w:color="auto"/>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 xml:space="preserve">-   </w:t>
            </w:r>
          </w:p>
        </w:tc>
        <w:tc>
          <w:tcPr>
            <w:tcW w:w="461" w:type="pct"/>
            <w:tcBorders>
              <w:top w:val="nil"/>
              <w:left w:val="nil"/>
              <w:bottom w:val="nil"/>
              <w:right w:val="nil"/>
            </w:tcBorders>
            <w:shd w:val="clear" w:color="000000" w:fill="FFFFFF"/>
            <w:noWrap/>
            <w:vAlign w:val="center"/>
            <w:hideMark/>
          </w:tcPr>
          <w:p w:rsidR="00611B87" w:rsidRPr="00690D1A" w:rsidRDefault="00611B87" w:rsidP="00611B87">
            <w:pPr>
              <w:jc w:val="right"/>
              <w:rPr>
                <w:rFonts w:cs="Calibri"/>
                <w:sz w:val="18"/>
                <w:szCs w:val="18"/>
                <w:lang w:eastAsia="zh-CN"/>
              </w:rPr>
            </w:pPr>
            <w:r w:rsidRPr="00690D1A">
              <w:rPr>
                <w:rFonts w:cs="Calibri"/>
                <w:sz w:val="18"/>
                <w:szCs w:val="18"/>
                <w:lang w:eastAsia="zh-CN"/>
              </w:rPr>
              <w:t>0%</w:t>
            </w:r>
          </w:p>
        </w:tc>
      </w:tr>
      <w:tr w:rsidR="00611B87" w:rsidRPr="00690D1A" w:rsidTr="001D63C0">
        <w:trPr>
          <w:trHeight w:val="300"/>
        </w:trPr>
        <w:tc>
          <w:tcPr>
            <w:tcW w:w="252" w:type="pct"/>
            <w:tcBorders>
              <w:top w:val="single" w:sz="8" w:space="0" w:color="auto"/>
              <w:left w:val="nil"/>
              <w:bottom w:val="single" w:sz="8" w:space="0" w:color="auto"/>
              <w:right w:val="nil"/>
            </w:tcBorders>
            <w:shd w:val="clear" w:color="000000" w:fill="DCE6F1"/>
            <w:noWrap/>
            <w:vAlign w:val="center"/>
            <w:hideMark/>
          </w:tcPr>
          <w:p w:rsidR="00611B87" w:rsidRPr="00690D1A" w:rsidRDefault="00611B87" w:rsidP="00611B87">
            <w:pPr>
              <w:spacing w:before="40" w:after="40"/>
              <w:rPr>
                <w:rFonts w:cs="Calibri"/>
                <w:b/>
                <w:bCs/>
                <w:color w:val="1F497D"/>
                <w:sz w:val="18"/>
                <w:szCs w:val="18"/>
                <w:lang w:eastAsia="zh-CN"/>
              </w:rPr>
            </w:pPr>
            <w:r w:rsidRPr="00690D1A">
              <w:rPr>
                <w:rFonts w:cs="Calibri"/>
                <w:b/>
                <w:bCs/>
                <w:color w:val="1F497D"/>
                <w:sz w:val="18"/>
                <w:szCs w:val="18"/>
                <w:lang w:eastAsia="zh-CN"/>
              </w:rPr>
              <w:t> </w:t>
            </w:r>
          </w:p>
        </w:tc>
        <w:tc>
          <w:tcPr>
            <w:tcW w:w="642" w:type="pct"/>
            <w:tcBorders>
              <w:top w:val="single" w:sz="8" w:space="0" w:color="auto"/>
              <w:left w:val="nil"/>
              <w:bottom w:val="single" w:sz="8" w:space="0" w:color="auto"/>
              <w:right w:val="nil"/>
            </w:tcBorders>
            <w:shd w:val="clear" w:color="000000" w:fill="DCE6F1"/>
            <w:noWrap/>
            <w:vAlign w:val="bottom"/>
            <w:hideMark/>
          </w:tcPr>
          <w:p w:rsidR="00611B87" w:rsidRPr="00690D1A" w:rsidRDefault="00611B87" w:rsidP="00611B87">
            <w:pPr>
              <w:spacing w:before="40" w:after="40"/>
              <w:rPr>
                <w:rFonts w:cs="Calibri"/>
                <w:b/>
                <w:bCs/>
                <w:color w:val="1F497D"/>
                <w:sz w:val="18"/>
                <w:szCs w:val="18"/>
                <w:lang w:eastAsia="zh-CN"/>
              </w:rPr>
            </w:pPr>
            <w:r w:rsidRPr="00690D1A">
              <w:rPr>
                <w:rFonts w:cs="Calibri" w:hint="eastAsia"/>
                <w:b/>
                <w:bCs/>
                <w:color w:val="1F497D"/>
                <w:sz w:val="18"/>
                <w:szCs w:val="18"/>
                <w:lang w:eastAsia="zh-CN"/>
              </w:rPr>
              <w:t>合计</w:t>
            </w:r>
          </w:p>
        </w:tc>
        <w:tc>
          <w:tcPr>
            <w:tcW w:w="480"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10,706 </w:t>
            </w:r>
          </w:p>
        </w:tc>
        <w:tc>
          <w:tcPr>
            <w:tcW w:w="486"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9,124 </w:t>
            </w:r>
          </w:p>
        </w:tc>
        <w:tc>
          <w:tcPr>
            <w:tcW w:w="438"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11,146 </w:t>
            </w:r>
          </w:p>
        </w:tc>
        <w:tc>
          <w:tcPr>
            <w:tcW w:w="472"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3,658 </w:t>
            </w:r>
          </w:p>
        </w:tc>
        <w:tc>
          <w:tcPr>
            <w:tcW w:w="407"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5,135 </w:t>
            </w:r>
          </w:p>
        </w:tc>
        <w:tc>
          <w:tcPr>
            <w:tcW w:w="400"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5,135 </w:t>
            </w:r>
          </w:p>
        </w:tc>
        <w:tc>
          <w:tcPr>
            <w:tcW w:w="409"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10,270 </w:t>
            </w:r>
          </w:p>
        </w:tc>
        <w:tc>
          <w:tcPr>
            <w:tcW w:w="553" w:type="pct"/>
            <w:tcBorders>
              <w:top w:val="nil"/>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 xml:space="preserve">-876 </w:t>
            </w:r>
          </w:p>
        </w:tc>
        <w:tc>
          <w:tcPr>
            <w:tcW w:w="461" w:type="pct"/>
            <w:tcBorders>
              <w:top w:val="single" w:sz="8" w:space="0" w:color="auto"/>
              <w:left w:val="nil"/>
              <w:bottom w:val="single" w:sz="8" w:space="0" w:color="auto"/>
              <w:right w:val="nil"/>
            </w:tcBorders>
            <w:shd w:val="clear" w:color="000000" w:fill="DCE6F1"/>
            <w:noWrap/>
            <w:vAlign w:val="bottom"/>
            <w:hideMark/>
          </w:tcPr>
          <w:p w:rsidR="00611B87" w:rsidRPr="00690D1A" w:rsidRDefault="00611B87" w:rsidP="00611B87">
            <w:pPr>
              <w:jc w:val="right"/>
              <w:rPr>
                <w:rFonts w:cs="Calibri"/>
                <w:b/>
                <w:bCs/>
                <w:color w:val="0000FF"/>
                <w:sz w:val="18"/>
                <w:szCs w:val="18"/>
                <w:lang w:eastAsia="zh-CN"/>
              </w:rPr>
            </w:pPr>
            <w:r w:rsidRPr="00690D1A">
              <w:rPr>
                <w:rFonts w:cs="Calibri"/>
                <w:b/>
                <w:bCs/>
                <w:color w:val="0000FF"/>
                <w:sz w:val="18"/>
                <w:szCs w:val="18"/>
                <w:lang w:eastAsia="zh-CN"/>
              </w:rPr>
              <w:t>-8%</w:t>
            </w:r>
          </w:p>
        </w:tc>
      </w:tr>
    </w:tbl>
    <w:p w:rsidR="00DA4C74" w:rsidRPr="00EC0D2B" w:rsidRDefault="00DA4C74" w:rsidP="00553544">
      <w:pPr>
        <w:pStyle w:val="Headingb"/>
        <w:spacing w:before="240"/>
        <w:rPr>
          <w:lang w:val="en-US" w:eastAsia="zh-CN"/>
        </w:rPr>
      </w:pPr>
      <w:bookmarkStart w:id="3" w:name="_Toc419133812"/>
      <w:r w:rsidRPr="00EC0D2B">
        <w:rPr>
          <w:rFonts w:hint="eastAsia"/>
          <w:lang w:val="en-US" w:eastAsia="zh-CN"/>
        </w:rPr>
        <w:t>国际电</w:t>
      </w:r>
      <w:proofErr w:type="gramStart"/>
      <w:r w:rsidRPr="00EC0D2B">
        <w:rPr>
          <w:rFonts w:hint="eastAsia"/>
          <w:lang w:val="en-US" w:eastAsia="zh-CN"/>
        </w:rPr>
        <w:t>联电信</w:t>
      </w:r>
      <w:proofErr w:type="gramEnd"/>
      <w:r w:rsidRPr="00EC0D2B">
        <w:rPr>
          <w:rFonts w:hint="eastAsia"/>
          <w:lang w:val="en-US" w:eastAsia="zh-CN"/>
        </w:rPr>
        <w:t>展览部秘书处的资源</w:t>
      </w:r>
      <w:bookmarkEnd w:id="3"/>
    </w:p>
    <w:p w:rsidR="00DA4C74" w:rsidRPr="0067724D" w:rsidRDefault="00DA4C74" w:rsidP="00BF75A2">
      <w:pPr>
        <w:rPr>
          <w:rFonts w:cs="Arial"/>
          <w:lang w:val="en-US" w:eastAsia="zh-CN"/>
        </w:rPr>
      </w:pPr>
      <w:r w:rsidRPr="0067724D">
        <w:rPr>
          <w:rFonts w:cs="Arial"/>
          <w:lang w:val="en-US" w:eastAsia="zh-CN"/>
        </w:rPr>
        <w:t>4</w:t>
      </w:r>
      <w:r>
        <w:rPr>
          <w:rFonts w:cs="Arial"/>
          <w:lang w:val="en-US" w:eastAsia="zh-CN"/>
        </w:rPr>
        <w:tab/>
      </w:r>
      <w:r w:rsidR="00E928EF">
        <w:rPr>
          <w:rFonts w:hint="eastAsia"/>
          <w:lang w:eastAsia="zh-CN"/>
        </w:rPr>
        <w:t>“人员费用”是指</w:t>
      </w:r>
      <w:r w:rsidR="00F80DF0">
        <w:rPr>
          <w:rFonts w:hint="eastAsia"/>
          <w:lang w:eastAsia="zh-CN"/>
        </w:rPr>
        <w:t>基本</w:t>
      </w:r>
      <w:r w:rsidRPr="00874599">
        <w:rPr>
          <w:rFonts w:hint="eastAsia"/>
          <w:lang w:eastAsia="zh-CN"/>
        </w:rPr>
        <w:t>薪金</w:t>
      </w:r>
      <w:r w:rsidR="00F80DF0">
        <w:rPr>
          <w:rFonts w:hint="eastAsia"/>
          <w:lang w:eastAsia="zh-CN"/>
        </w:rPr>
        <w:t>、</w:t>
      </w:r>
      <w:r w:rsidR="00E928EF">
        <w:rPr>
          <w:rFonts w:hint="eastAsia"/>
          <w:lang w:eastAsia="zh-CN"/>
        </w:rPr>
        <w:t>工作地点差价调整数</w:t>
      </w:r>
      <w:r w:rsidRPr="00874599">
        <w:rPr>
          <w:rFonts w:hint="eastAsia"/>
          <w:lang w:eastAsia="zh-CN"/>
        </w:rPr>
        <w:t>、家属</w:t>
      </w:r>
      <w:r w:rsidR="00F80DF0">
        <w:rPr>
          <w:rFonts w:hint="eastAsia"/>
          <w:lang w:eastAsia="zh-CN"/>
        </w:rPr>
        <w:t>和住房</w:t>
      </w:r>
      <w:r w:rsidRPr="00874599">
        <w:rPr>
          <w:rFonts w:hint="eastAsia"/>
          <w:lang w:eastAsia="zh-CN"/>
        </w:rPr>
        <w:t>津贴</w:t>
      </w:r>
      <w:r w:rsidR="00F80DF0">
        <w:rPr>
          <w:rFonts w:hint="eastAsia"/>
          <w:lang w:eastAsia="zh-CN"/>
        </w:rPr>
        <w:t>（</w:t>
      </w:r>
      <w:r w:rsidR="00F80DF0" w:rsidRPr="00F80DF0">
        <w:rPr>
          <w:rFonts w:hint="eastAsia"/>
          <w:lang w:eastAsia="zh-CN"/>
        </w:rPr>
        <w:t>针对专业及以上职类</w:t>
      </w:r>
      <w:r w:rsidR="00F80DF0">
        <w:rPr>
          <w:rFonts w:hint="eastAsia"/>
          <w:lang w:eastAsia="zh-CN"/>
        </w:rPr>
        <w:t>）而</w:t>
      </w:r>
      <w:r w:rsidRPr="00874599">
        <w:rPr>
          <w:rFonts w:hint="eastAsia"/>
          <w:lang w:eastAsia="zh-CN"/>
        </w:rPr>
        <w:t>“其他人员费用”</w:t>
      </w:r>
      <w:r w:rsidR="00BD2DBE">
        <w:rPr>
          <w:rFonts w:hint="eastAsia"/>
          <w:lang w:eastAsia="zh-CN"/>
        </w:rPr>
        <w:t>包括</w:t>
      </w:r>
      <w:r w:rsidRPr="00874599">
        <w:rPr>
          <w:rFonts w:hint="eastAsia"/>
          <w:lang w:eastAsia="zh-CN"/>
        </w:rPr>
        <w:t>国际电联为养恤基金、健康和意外保险、教育补助金、任职和离职差旅费、安置和归国津贴、归国探亲旅费、积存年假、归国补助金和搬家费用的供款。</w:t>
      </w:r>
      <w:r w:rsidR="00BD2DBE">
        <w:rPr>
          <w:rFonts w:hint="eastAsia"/>
          <w:lang w:eastAsia="zh-CN"/>
        </w:rPr>
        <w:t>为</w:t>
      </w:r>
      <w:r w:rsidR="00BD2DBE">
        <w:rPr>
          <w:lang w:eastAsia="zh-CN"/>
        </w:rPr>
        <w:t>避免大幅提高预算，</w:t>
      </w:r>
      <w:r w:rsidR="00BD2DBE">
        <w:rPr>
          <w:rFonts w:hint="eastAsia"/>
          <w:lang w:eastAsia="zh-CN"/>
        </w:rPr>
        <w:t>国际电</w:t>
      </w:r>
      <w:proofErr w:type="gramStart"/>
      <w:r w:rsidR="00BD2DBE">
        <w:rPr>
          <w:rFonts w:hint="eastAsia"/>
          <w:lang w:eastAsia="zh-CN"/>
        </w:rPr>
        <w:t>联</w:t>
      </w:r>
      <w:r w:rsidR="00BD2DBE">
        <w:rPr>
          <w:lang w:eastAsia="zh-CN"/>
        </w:rPr>
        <w:t>电信</w:t>
      </w:r>
      <w:proofErr w:type="gramEnd"/>
      <w:r w:rsidRPr="00874599">
        <w:rPr>
          <w:rFonts w:cs="Arial" w:hint="eastAsia"/>
          <w:lang w:eastAsia="zh-CN"/>
        </w:rPr>
        <w:t>展览部秘书处</w:t>
      </w:r>
      <w:r w:rsidR="005B4564" w:rsidRPr="006B4096">
        <w:rPr>
          <w:rFonts w:cs="Arial"/>
          <w:lang w:eastAsia="zh-CN"/>
        </w:rPr>
        <w:t>20</w:t>
      </w:r>
      <w:r w:rsidR="00F80DF0">
        <w:rPr>
          <w:rFonts w:cs="Arial" w:hint="eastAsia"/>
          <w:lang w:eastAsia="zh-CN"/>
        </w:rPr>
        <w:t>20</w:t>
      </w:r>
      <w:r w:rsidR="005B4564" w:rsidRPr="006B4096">
        <w:rPr>
          <w:rFonts w:cs="Arial"/>
          <w:lang w:eastAsia="zh-CN"/>
        </w:rPr>
        <w:t>-20</w:t>
      </w:r>
      <w:r w:rsidR="00F80DF0">
        <w:rPr>
          <w:rFonts w:cs="Arial" w:hint="eastAsia"/>
          <w:lang w:eastAsia="zh-CN"/>
        </w:rPr>
        <w:t>2</w:t>
      </w:r>
      <w:r w:rsidR="005B4564" w:rsidRPr="006B4096">
        <w:rPr>
          <w:rFonts w:cs="Arial"/>
          <w:lang w:eastAsia="zh-CN"/>
        </w:rPr>
        <w:t>1</w:t>
      </w:r>
      <w:r w:rsidRPr="00874599">
        <w:rPr>
          <w:rFonts w:cs="Arial" w:hint="eastAsia"/>
          <w:lang w:eastAsia="zh-CN"/>
        </w:rPr>
        <w:t>年</w:t>
      </w:r>
      <w:r w:rsidR="00F80DF0">
        <w:rPr>
          <w:rFonts w:cs="Arial" w:hint="eastAsia"/>
          <w:lang w:eastAsia="zh-CN"/>
        </w:rPr>
        <w:t>预算内的</w:t>
      </w:r>
      <w:r w:rsidRPr="00874599">
        <w:rPr>
          <w:rFonts w:cs="Arial" w:hint="eastAsia"/>
          <w:lang w:eastAsia="zh-CN"/>
        </w:rPr>
        <w:t>职位数</w:t>
      </w:r>
      <w:r>
        <w:rPr>
          <w:rFonts w:cs="Arial" w:hint="eastAsia"/>
          <w:lang w:eastAsia="zh-CN"/>
        </w:rPr>
        <w:t>量</w:t>
      </w:r>
      <w:r w:rsidR="00BD2DBE">
        <w:rPr>
          <w:rFonts w:cs="Arial" w:hint="eastAsia"/>
          <w:lang w:eastAsia="zh-CN"/>
        </w:rPr>
        <w:t>仍</w:t>
      </w:r>
      <w:r w:rsidR="00BD2DBE">
        <w:rPr>
          <w:rFonts w:cs="Arial"/>
          <w:lang w:eastAsia="zh-CN"/>
        </w:rPr>
        <w:t>保持在</w:t>
      </w:r>
      <w:r>
        <w:rPr>
          <w:rFonts w:cs="Arial"/>
          <w:lang w:eastAsia="zh-CN"/>
        </w:rPr>
        <w:t>2</w:t>
      </w:r>
      <w:r>
        <w:rPr>
          <w:rFonts w:cs="Arial" w:hint="eastAsia"/>
          <w:lang w:eastAsia="zh-CN"/>
        </w:rPr>
        <w:t>3</w:t>
      </w:r>
      <w:r w:rsidRPr="00874599">
        <w:rPr>
          <w:rFonts w:cs="Arial" w:hint="eastAsia"/>
          <w:lang w:eastAsia="zh-CN"/>
        </w:rPr>
        <w:t>个</w:t>
      </w:r>
      <w:r w:rsidR="00BD2DBE">
        <w:rPr>
          <w:rFonts w:cs="Arial" w:hint="eastAsia"/>
          <w:lang w:eastAsia="zh-CN"/>
        </w:rPr>
        <w:t>。</w:t>
      </w:r>
      <w:r w:rsidR="00544566">
        <w:rPr>
          <w:rFonts w:cs="Arial" w:hint="eastAsia"/>
          <w:lang w:eastAsia="zh-CN"/>
        </w:rPr>
        <w:t>许多职员</w:t>
      </w:r>
      <w:r w:rsidR="00544566">
        <w:rPr>
          <w:rFonts w:cs="Arial"/>
          <w:lang w:eastAsia="zh-CN"/>
        </w:rPr>
        <w:t>获得了承担更多责任的相关经验和技能，为一些职位的晋升提供了充足理由。</w:t>
      </w:r>
      <w:r w:rsidR="00F80DF0" w:rsidRPr="006B4096">
        <w:rPr>
          <w:rFonts w:cs="Arial"/>
          <w:lang w:eastAsia="zh-CN"/>
        </w:rPr>
        <w:t>20</w:t>
      </w:r>
      <w:r w:rsidR="00F80DF0">
        <w:rPr>
          <w:rFonts w:cs="Arial" w:hint="eastAsia"/>
          <w:lang w:eastAsia="zh-CN"/>
        </w:rPr>
        <w:t>20</w:t>
      </w:r>
      <w:r w:rsidR="00F80DF0" w:rsidRPr="006B4096">
        <w:rPr>
          <w:rFonts w:cs="Arial"/>
          <w:lang w:eastAsia="zh-CN"/>
        </w:rPr>
        <w:t>-20</w:t>
      </w:r>
      <w:r w:rsidR="00F80DF0">
        <w:rPr>
          <w:rFonts w:cs="Arial" w:hint="eastAsia"/>
          <w:lang w:eastAsia="zh-CN"/>
        </w:rPr>
        <w:t>2</w:t>
      </w:r>
      <w:r w:rsidR="00F80DF0" w:rsidRPr="006B4096">
        <w:rPr>
          <w:rFonts w:cs="Arial"/>
          <w:lang w:eastAsia="zh-CN"/>
        </w:rPr>
        <w:t>1</w:t>
      </w:r>
      <w:r w:rsidR="00F80DF0" w:rsidRPr="00874599">
        <w:rPr>
          <w:rFonts w:cs="Arial" w:hint="eastAsia"/>
          <w:lang w:eastAsia="zh-CN"/>
        </w:rPr>
        <w:t>年</w:t>
      </w:r>
      <w:r w:rsidRPr="005311F3">
        <w:rPr>
          <w:rFonts w:cs="Arial" w:hint="eastAsia"/>
          <w:lang w:eastAsia="zh-CN"/>
        </w:rPr>
        <w:t>预算考虑到</w:t>
      </w:r>
      <w:r w:rsidR="00F80DF0">
        <w:rPr>
          <w:rFonts w:cs="Arial" w:hint="eastAsia"/>
          <w:lang w:eastAsia="zh-CN"/>
        </w:rPr>
        <w:t>4</w:t>
      </w:r>
      <w:r>
        <w:rPr>
          <w:rFonts w:cs="Arial" w:hint="eastAsia"/>
          <w:lang w:eastAsia="zh-CN"/>
        </w:rPr>
        <w:t>个职位（</w:t>
      </w:r>
      <w:r w:rsidR="00544566">
        <w:rPr>
          <w:rFonts w:cs="Arial"/>
          <w:lang w:eastAsia="zh-CN"/>
        </w:rPr>
        <w:t>P</w:t>
      </w:r>
      <w:r w:rsidR="00F80DF0">
        <w:rPr>
          <w:rFonts w:cs="Arial" w:hint="eastAsia"/>
          <w:lang w:eastAsia="zh-CN"/>
        </w:rPr>
        <w:t>-</w:t>
      </w:r>
      <w:r w:rsidR="00544566">
        <w:rPr>
          <w:rFonts w:cs="Arial"/>
          <w:lang w:eastAsia="zh-CN"/>
        </w:rPr>
        <w:t>1</w:t>
      </w:r>
      <w:r w:rsidR="00544566">
        <w:rPr>
          <w:rFonts w:cs="Arial" w:hint="eastAsia"/>
          <w:lang w:eastAsia="zh-CN"/>
        </w:rPr>
        <w:t>至</w:t>
      </w:r>
      <w:r w:rsidR="00544566">
        <w:rPr>
          <w:rFonts w:cs="Arial"/>
          <w:lang w:eastAsia="zh-CN"/>
        </w:rPr>
        <w:t>P</w:t>
      </w:r>
      <w:r w:rsidR="00F80DF0">
        <w:rPr>
          <w:rFonts w:cs="Arial" w:hint="eastAsia"/>
          <w:lang w:eastAsia="zh-CN"/>
        </w:rPr>
        <w:t>-</w:t>
      </w:r>
      <w:r w:rsidR="00544566">
        <w:rPr>
          <w:rFonts w:cs="Arial"/>
          <w:lang w:eastAsia="zh-CN"/>
        </w:rPr>
        <w:t>2</w:t>
      </w:r>
      <w:r w:rsidRPr="005311F3">
        <w:rPr>
          <w:rFonts w:cs="Arial" w:hint="eastAsia"/>
          <w:lang w:eastAsia="zh-CN"/>
        </w:rPr>
        <w:t>）</w:t>
      </w:r>
      <w:r w:rsidR="00544566">
        <w:rPr>
          <w:rFonts w:cs="Arial" w:hint="eastAsia"/>
          <w:lang w:eastAsia="zh-CN"/>
        </w:rPr>
        <w:t>的晋升</w:t>
      </w:r>
      <w:r w:rsidR="00E74DB2">
        <w:rPr>
          <w:rFonts w:cs="Arial" w:hint="eastAsia"/>
          <w:lang w:eastAsia="zh-CN"/>
        </w:rPr>
        <w:t>，</w:t>
      </w:r>
      <w:r w:rsidR="00F80DF0">
        <w:rPr>
          <w:rFonts w:cs="Arial" w:hint="eastAsia"/>
          <w:lang w:eastAsia="zh-CN"/>
        </w:rPr>
        <w:t>并</w:t>
      </w:r>
      <w:r w:rsidR="00E74DB2">
        <w:rPr>
          <w:rFonts w:cs="Arial"/>
          <w:lang w:eastAsia="zh-CN"/>
        </w:rPr>
        <w:t>新增</w:t>
      </w:r>
      <w:r w:rsidR="005C312B">
        <w:rPr>
          <w:rFonts w:cs="Arial" w:hint="eastAsia"/>
          <w:lang w:eastAsia="zh-CN"/>
        </w:rPr>
        <w:t>的</w:t>
      </w:r>
      <w:r w:rsidR="00E74DB2">
        <w:rPr>
          <w:rFonts w:cs="Arial"/>
          <w:lang w:eastAsia="zh-CN"/>
        </w:rPr>
        <w:t>一个</w:t>
      </w:r>
      <w:r w:rsidR="00E74DB2">
        <w:rPr>
          <w:rFonts w:cs="Arial"/>
          <w:lang w:eastAsia="zh-CN"/>
        </w:rPr>
        <w:t>P</w:t>
      </w:r>
      <w:r w:rsidR="00F80DF0">
        <w:rPr>
          <w:rFonts w:cs="Arial" w:hint="eastAsia"/>
          <w:lang w:eastAsia="zh-CN"/>
        </w:rPr>
        <w:t>5</w:t>
      </w:r>
      <w:r w:rsidR="00E74DB2">
        <w:rPr>
          <w:rFonts w:cs="Arial" w:hint="eastAsia"/>
          <w:lang w:eastAsia="zh-CN"/>
        </w:rPr>
        <w:t>职位</w:t>
      </w:r>
      <w:r>
        <w:rPr>
          <w:rFonts w:cs="Arial" w:hint="eastAsia"/>
          <w:lang w:eastAsia="zh-CN"/>
        </w:rPr>
        <w:t>。</w:t>
      </w:r>
    </w:p>
    <w:p w:rsidR="00DA4C74" w:rsidRPr="00B12718" w:rsidRDefault="00DA4C74" w:rsidP="00DA4C74">
      <w:pPr>
        <w:pStyle w:val="TableNo"/>
        <w:rPr>
          <w:rFonts w:cs="Arial"/>
          <w:szCs w:val="24"/>
          <w:lang w:val="en-US" w:eastAsia="zh-CN"/>
        </w:rPr>
      </w:pPr>
      <w:r w:rsidRPr="00B12718">
        <w:rPr>
          <w:rFonts w:cs="Arial"/>
          <w:szCs w:val="24"/>
          <w:lang w:eastAsia="zh-CN"/>
        </w:rPr>
        <w:t>表</w:t>
      </w:r>
      <w:r w:rsidRPr="00B12718">
        <w:rPr>
          <w:rFonts w:cs="Arial"/>
          <w:szCs w:val="24"/>
          <w:lang w:eastAsia="zh-CN"/>
        </w:rPr>
        <w:t>2</w:t>
      </w:r>
    </w:p>
    <w:p w:rsidR="00DA4C74" w:rsidRPr="00B12718" w:rsidRDefault="00DA4C74" w:rsidP="00DA4C74">
      <w:pPr>
        <w:pStyle w:val="Tabletitle"/>
        <w:rPr>
          <w:lang w:eastAsia="zh-CN"/>
        </w:rPr>
      </w:pPr>
      <w:r w:rsidRPr="00B12718">
        <w:rPr>
          <w:rFonts w:hint="eastAsia"/>
          <w:lang w:eastAsia="zh-CN"/>
        </w:rPr>
        <w:t>预算内职位</w:t>
      </w:r>
    </w:p>
    <w:tbl>
      <w:tblPr>
        <w:tblW w:w="9494" w:type="dxa"/>
        <w:tblInd w:w="108" w:type="dxa"/>
        <w:tblLook w:val="04A0" w:firstRow="1" w:lastRow="0" w:firstColumn="1" w:lastColumn="0" w:noHBand="0" w:noVBand="1"/>
      </w:tblPr>
      <w:tblGrid>
        <w:gridCol w:w="2878"/>
        <w:gridCol w:w="1863"/>
        <w:gridCol w:w="1863"/>
        <w:gridCol w:w="1873"/>
        <w:gridCol w:w="1017"/>
      </w:tblGrid>
      <w:tr w:rsidR="00DA4C74" w:rsidTr="009A3AD4">
        <w:trPr>
          <w:trHeight w:val="315"/>
        </w:trPr>
        <w:tc>
          <w:tcPr>
            <w:tcW w:w="2878" w:type="dxa"/>
            <w:shd w:val="clear" w:color="auto" w:fill="DCE6F1"/>
            <w:noWrap/>
            <w:vAlign w:val="bottom"/>
            <w:hideMark/>
          </w:tcPr>
          <w:p w:rsidR="00DA4C74" w:rsidRPr="001F6C2D" w:rsidRDefault="00DA4C74" w:rsidP="009A3AD4">
            <w:pPr>
              <w:jc w:val="center"/>
              <w:rPr>
                <w:rFonts w:cs="Arial"/>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预算内职位</w:t>
            </w:r>
          </w:p>
        </w:tc>
        <w:tc>
          <w:tcPr>
            <w:tcW w:w="1863" w:type="dxa"/>
            <w:shd w:val="clear" w:color="auto" w:fill="DCE6F1"/>
            <w:noWrap/>
            <w:vAlign w:val="bottom"/>
            <w:hideMark/>
          </w:tcPr>
          <w:p w:rsidR="00DA4C74" w:rsidRPr="001F6C2D" w:rsidRDefault="005B4564" w:rsidP="00DC6D03">
            <w:pPr>
              <w:jc w:val="center"/>
              <w:rPr>
                <w:rFonts w:cs="Arial"/>
                <w:b/>
                <w:bCs/>
                <w:color w:val="365F91" w:themeColor="accent1" w:themeShade="BF"/>
                <w:sz w:val="22"/>
                <w:szCs w:val="22"/>
                <w:lang w:eastAsia="zh-CN"/>
              </w:rPr>
            </w:pPr>
            <w:r w:rsidRPr="001F6C2D">
              <w:rPr>
                <w:rFonts w:cs="Arial"/>
                <w:b/>
                <w:bCs/>
                <w:color w:val="365F91" w:themeColor="accent1" w:themeShade="BF"/>
                <w:szCs w:val="24"/>
                <w:lang w:eastAsia="zh-CN"/>
              </w:rPr>
              <w:t>201</w:t>
            </w:r>
            <w:r w:rsidR="00F80DF0">
              <w:rPr>
                <w:rFonts w:cs="Arial" w:hint="eastAsia"/>
                <w:b/>
                <w:bCs/>
                <w:color w:val="365F91" w:themeColor="accent1" w:themeShade="BF"/>
                <w:szCs w:val="24"/>
                <w:lang w:eastAsia="zh-CN"/>
              </w:rPr>
              <w:t>8</w:t>
            </w:r>
            <w:r w:rsidRPr="001F6C2D">
              <w:rPr>
                <w:rFonts w:cs="Arial"/>
                <w:b/>
                <w:bCs/>
                <w:color w:val="365F91" w:themeColor="accent1" w:themeShade="BF"/>
                <w:szCs w:val="24"/>
                <w:lang w:eastAsia="zh-CN"/>
              </w:rPr>
              <w:t>-201</w:t>
            </w:r>
            <w:r w:rsidR="00F80DF0">
              <w:rPr>
                <w:rFonts w:cs="Arial" w:hint="eastAsia"/>
                <w:b/>
                <w:bCs/>
                <w:color w:val="365F91" w:themeColor="accent1" w:themeShade="BF"/>
                <w:szCs w:val="24"/>
                <w:lang w:eastAsia="zh-CN"/>
              </w:rPr>
              <w:t>9</w:t>
            </w:r>
            <w:r w:rsidR="00DA4C74" w:rsidRPr="001F6C2D">
              <w:rPr>
                <w:rFonts w:cs="Arial" w:hint="eastAsia"/>
                <w:b/>
                <w:bCs/>
                <w:color w:val="365F91" w:themeColor="accent1" w:themeShade="BF"/>
                <w:szCs w:val="22"/>
                <w:lang w:eastAsia="zh-CN"/>
              </w:rPr>
              <w:t>年</w:t>
            </w:r>
          </w:p>
        </w:tc>
        <w:tc>
          <w:tcPr>
            <w:tcW w:w="1863" w:type="dxa"/>
            <w:shd w:val="clear" w:color="auto" w:fill="DCE6F1"/>
            <w:noWrap/>
            <w:vAlign w:val="bottom"/>
            <w:hideMark/>
          </w:tcPr>
          <w:p w:rsidR="00DA4C74" w:rsidRPr="001F6C2D" w:rsidRDefault="004D0572" w:rsidP="00F80DF0">
            <w:pPr>
              <w:jc w:val="center"/>
              <w:rPr>
                <w:rFonts w:cs="Arial"/>
                <w:b/>
                <w:bCs/>
                <w:color w:val="365F91" w:themeColor="accent1" w:themeShade="BF"/>
                <w:sz w:val="22"/>
                <w:szCs w:val="22"/>
                <w:lang w:eastAsia="zh-CN"/>
              </w:rPr>
            </w:pPr>
            <w:r w:rsidRPr="001F6C2D">
              <w:rPr>
                <w:rFonts w:cs="Arial"/>
                <w:b/>
                <w:bCs/>
                <w:color w:val="365F91" w:themeColor="accent1" w:themeShade="BF"/>
                <w:szCs w:val="24"/>
                <w:lang w:eastAsia="zh-CN"/>
              </w:rPr>
              <w:t>20</w:t>
            </w:r>
            <w:r w:rsidR="00F80DF0">
              <w:rPr>
                <w:rFonts w:cs="Arial" w:hint="eastAsia"/>
                <w:b/>
                <w:bCs/>
                <w:color w:val="365F91" w:themeColor="accent1" w:themeShade="BF"/>
                <w:szCs w:val="24"/>
                <w:lang w:eastAsia="zh-CN"/>
              </w:rPr>
              <w:t>20</w:t>
            </w:r>
            <w:r w:rsidRPr="001F6C2D">
              <w:rPr>
                <w:rFonts w:cs="Arial"/>
                <w:b/>
                <w:bCs/>
                <w:color w:val="365F91" w:themeColor="accent1" w:themeShade="BF"/>
                <w:szCs w:val="24"/>
                <w:lang w:eastAsia="zh-CN"/>
              </w:rPr>
              <w:t>-20</w:t>
            </w:r>
            <w:r w:rsidR="00F80DF0">
              <w:rPr>
                <w:rFonts w:cs="Arial" w:hint="eastAsia"/>
                <w:b/>
                <w:bCs/>
                <w:color w:val="365F91" w:themeColor="accent1" w:themeShade="BF"/>
                <w:szCs w:val="24"/>
                <w:lang w:eastAsia="zh-CN"/>
              </w:rPr>
              <w:t>2</w:t>
            </w:r>
            <w:r w:rsidRPr="001F6C2D">
              <w:rPr>
                <w:rFonts w:cs="Arial"/>
                <w:b/>
                <w:bCs/>
                <w:color w:val="365F91" w:themeColor="accent1" w:themeShade="BF"/>
                <w:szCs w:val="24"/>
                <w:lang w:eastAsia="zh-CN"/>
              </w:rPr>
              <w:t>1</w:t>
            </w:r>
            <w:r w:rsidR="00DA4C74" w:rsidRPr="001F6C2D">
              <w:rPr>
                <w:rFonts w:cs="Arial" w:hint="eastAsia"/>
                <w:b/>
                <w:bCs/>
                <w:color w:val="365F91" w:themeColor="accent1" w:themeShade="BF"/>
                <w:szCs w:val="22"/>
                <w:lang w:eastAsia="zh-CN"/>
              </w:rPr>
              <w:t>年</w:t>
            </w:r>
          </w:p>
        </w:tc>
        <w:tc>
          <w:tcPr>
            <w:tcW w:w="1873" w:type="dxa"/>
            <w:shd w:val="clear" w:color="auto" w:fill="DCE6F1"/>
            <w:noWrap/>
            <w:vAlign w:val="bottom"/>
            <w:hideMark/>
          </w:tcPr>
          <w:p w:rsidR="00DA4C74" w:rsidRPr="001F6C2D" w:rsidRDefault="00DA4C74" w:rsidP="009A3AD4">
            <w:pPr>
              <w:jc w:val="center"/>
              <w:rPr>
                <w:rFonts w:asciiTheme="minorHAnsi" w:hAnsiTheme="minorHAnsi" w:cstheme="minorHAnsi"/>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差异</w:t>
            </w:r>
          </w:p>
        </w:tc>
        <w:tc>
          <w:tcPr>
            <w:tcW w:w="1017" w:type="dxa"/>
            <w:shd w:val="clear" w:color="auto" w:fill="DCE6F1"/>
            <w:noWrap/>
            <w:vAlign w:val="bottom"/>
            <w:hideMark/>
          </w:tcPr>
          <w:p w:rsidR="00DA4C74" w:rsidRPr="001F6C2D" w:rsidRDefault="00DA4C74" w:rsidP="009A3AD4">
            <w:pPr>
              <w:jc w:val="center"/>
              <w:rPr>
                <w:rFonts w:asciiTheme="minorHAnsi" w:hAnsiTheme="minorHAnsi" w:cstheme="minorHAnsi"/>
                <w:b/>
                <w:bCs/>
                <w:color w:val="365F91" w:themeColor="accent1" w:themeShade="BF"/>
                <w:sz w:val="22"/>
                <w:szCs w:val="22"/>
                <w:lang w:eastAsia="zh-CN"/>
              </w:rPr>
            </w:pPr>
            <w:r w:rsidRPr="001F6C2D">
              <w:rPr>
                <w:rFonts w:asciiTheme="minorHAnsi" w:hAnsiTheme="minorHAnsi" w:cstheme="minorHAnsi" w:hint="eastAsia"/>
                <w:b/>
                <w:bCs/>
                <w:color w:val="365F91" w:themeColor="accent1" w:themeShade="BF"/>
                <w:sz w:val="22"/>
                <w:szCs w:val="22"/>
                <w:lang w:eastAsia="zh-CN"/>
              </w:rPr>
              <w:t>差异</w:t>
            </w:r>
          </w:p>
        </w:tc>
      </w:tr>
      <w:tr w:rsidR="00DA4C74" w:rsidTr="009A3AD4">
        <w:trPr>
          <w:trHeight w:val="300"/>
        </w:trPr>
        <w:tc>
          <w:tcPr>
            <w:tcW w:w="2878" w:type="dxa"/>
            <w:tcBorders>
              <w:top w:val="nil"/>
              <w:left w:val="nil"/>
              <w:bottom w:val="single" w:sz="4" w:space="0" w:color="auto"/>
              <w:right w:val="nil"/>
            </w:tcBorders>
            <w:shd w:val="clear" w:color="auto" w:fill="DCE6F1"/>
            <w:noWrap/>
            <w:vAlign w:val="bottom"/>
            <w:hideMark/>
          </w:tcPr>
          <w:p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 </w:t>
            </w:r>
          </w:p>
        </w:tc>
        <w:tc>
          <w:tcPr>
            <w:tcW w:w="1863" w:type="dxa"/>
            <w:tcBorders>
              <w:top w:val="nil"/>
              <w:left w:val="nil"/>
              <w:bottom w:val="single" w:sz="4" w:space="0" w:color="auto"/>
              <w:right w:val="nil"/>
            </w:tcBorders>
            <w:shd w:val="clear" w:color="auto" w:fill="DCE6F1"/>
            <w:noWrap/>
            <w:vAlign w:val="bottom"/>
            <w:hideMark/>
          </w:tcPr>
          <w:p w:rsidR="00DA4C74" w:rsidRPr="001F6C2D" w:rsidRDefault="00BF75A2" w:rsidP="009A3AD4">
            <w:pPr>
              <w:jc w:val="center"/>
              <w:rPr>
                <w:rFonts w:cs="Arial"/>
                <w:b/>
                <w:bCs/>
                <w:color w:val="365F91" w:themeColor="accent1" w:themeShade="BF"/>
                <w:sz w:val="22"/>
                <w:szCs w:val="22"/>
                <w:lang w:eastAsia="zh-CN"/>
              </w:rPr>
            </w:pPr>
            <w:r>
              <w:rPr>
                <w:rFonts w:cs="Arial"/>
                <w:b/>
                <w:bCs/>
                <w:color w:val="365F91" w:themeColor="accent1" w:themeShade="BF"/>
                <w:szCs w:val="22"/>
                <w:lang w:eastAsia="zh-CN"/>
              </w:rPr>
              <w:t>a</w:t>
            </w:r>
          </w:p>
        </w:tc>
        <w:tc>
          <w:tcPr>
            <w:tcW w:w="1863" w:type="dxa"/>
            <w:tcBorders>
              <w:top w:val="nil"/>
              <w:left w:val="nil"/>
              <w:bottom w:val="single" w:sz="4" w:space="0" w:color="auto"/>
              <w:right w:val="nil"/>
            </w:tcBorders>
            <w:shd w:val="clear" w:color="auto" w:fill="DCE6F1"/>
            <w:noWrap/>
            <w:vAlign w:val="bottom"/>
            <w:hideMark/>
          </w:tcPr>
          <w:p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b</w:t>
            </w:r>
          </w:p>
        </w:tc>
        <w:tc>
          <w:tcPr>
            <w:tcW w:w="1873" w:type="dxa"/>
            <w:tcBorders>
              <w:top w:val="nil"/>
              <w:left w:val="nil"/>
              <w:bottom w:val="single" w:sz="4" w:space="0" w:color="auto"/>
              <w:right w:val="nil"/>
            </w:tcBorders>
            <w:shd w:val="clear" w:color="auto" w:fill="DCE6F1"/>
            <w:noWrap/>
            <w:vAlign w:val="bottom"/>
            <w:hideMark/>
          </w:tcPr>
          <w:p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c</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b-a</w:t>
            </w:r>
          </w:p>
        </w:tc>
        <w:tc>
          <w:tcPr>
            <w:tcW w:w="1017" w:type="dxa"/>
            <w:tcBorders>
              <w:top w:val="nil"/>
              <w:left w:val="nil"/>
              <w:bottom w:val="single" w:sz="4" w:space="0" w:color="auto"/>
              <w:right w:val="nil"/>
            </w:tcBorders>
            <w:shd w:val="clear" w:color="auto" w:fill="DCE6F1"/>
            <w:noWrap/>
            <w:vAlign w:val="bottom"/>
            <w:hideMark/>
          </w:tcPr>
          <w:p w:rsidR="00DA4C74" w:rsidRPr="001F6C2D" w:rsidRDefault="00DA4C74" w:rsidP="009A3AD4">
            <w:pPr>
              <w:jc w:val="center"/>
              <w:rPr>
                <w:rFonts w:cs="Arial"/>
                <w:b/>
                <w:bCs/>
                <w:color w:val="365F91" w:themeColor="accent1" w:themeShade="BF"/>
                <w:sz w:val="22"/>
                <w:szCs w:val="22"/>
                <w:lang w:eastAsia="zh-CN"/>
              </w:rPr>
            </w:pPr>
            <w:r w:rsidRPr="001F6C2D">
              <w:rPr>
                <w:rFonts w:cs="Arial"/>
                <w:b/>
                <w:bCs/>
                <w:color w:val="365F91" w:themeColor="accent1" w:themeShade="BF"/>
                <w:szCs w:val="22"/>
                <w:lang w:eastAsia="zh-CN"/>
              </w:rPr>
              <w:t>d</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w:t>
            </w:r>
            <w:r w:rsidR="0047770C">
              <w:rPr>
                <w:rFonts w:cs="Arial"/>
                <w:b/>
                <w:bCs/>
                <w:color w:val="365F91" w:themeColor="accent1" w:themeShade="BF"/>
                <w:szCs w:val="22"/>
                <w:lang w:eastAsia="zh-CN"/>
              </w:rPr>
              <w:t xml:space="preserve"> </w:t>
            </w:r>
            <w:r w:rsidRPr="001F6C2D">
              <w:rPr>
                <w:rFonts w:cs="Arial"/>
                <w:b/>
                <w:bCs/>
                <w:color w:val="365F91" w:themeColor="accent1" w:themeShade="BF"/>
                <w:szCs w:val="22"/>
                <w:lang w:eastAsia="zh-CN"/>
              </w:rPr>
              <w:t>c/a</w:t>
            </w:r>
          </w:p>
        </w:tc>
      </w:tr>
      <w:tr w:rsidR="004D0572" w:rsidTr="009A3AD4">
        <w:trPr>
          <w:trHeight w:val="450"/>
        </w:trPr>
        <w:tc>
          <w:tcPr>
            <w:tcW w:w="2878" w:type="dxa"/>
            <w:noWrap/>
            <w:vAlign w:val="bottom"/>
            <w:hideMark/>
          </w:tcPr>
          <w:p w:rsidR="004D0572" w:rsidRDefault="004D0572" w:rsidP="004D0572">
            <w:pPr>
              <w:rPr>
                <w:rFonts w:cs="Arial"/>
                <w:sz w:val="22"/>
                <w:szCs w:val="22"/>
                <w:lang w:eastAsia="zh-CN"/>
              </w:rPr>
            </w:pPr>
            <w:r>
              <w:rPr>
                <w:rFonts w:asciiTheme="minorHAnsi" w:hAnsiTheme="minorHAnsi" w:cstheme="minorHAnsi" w:hint="eastAsia"/>
                <w:lang w:eastAsia="zh-CN"/>
              </w:rPr>
              <w:t>预算内职位数</w:t>
            </w:r>
          </w:p>
        </w:tc>
        <w:tc>
          <w:tcPr>
            <w:tcW w:w="1863" w:type="dxa"/>
            <w:noWrap/>
            <w:vAlign w:val="bottom"/>
            <w:hideMark/>
          </w:tcPr>
          <w:p w:rsidR="004D0572" w:rsidRPr="006B4096" w:rsidRDefault="004D0572" w:rsidP="004D0572">
            <w:pPr>
              <w:jc w:val="center"/>
              <w:rPr>
                <w:rFonts w:cs="Arial"/>
                <w:color w:val="000000"/>
                <w:szCs w:val="24"/>
                <w:lang w:eastAsia="zh-CN"/>
              </w:rPr>
            </w:pPr>
            <w:r w:rsidRPr="006B4096">
              <w:rPr>
                <w:rFonts w:cs="Arial"/>
                <w:color w:val="000000"/>
                <w:szCs w:val="24"/>
                <w:lang w:eastAsia="zh-CN"/>
              </w:rPr>
              <w:t>23</w:t>
            </w:r>
          </w:p>
        </w:tc>
        <w:tc>
          <w:tcPr>
            <w:tcW w:w="1863" w:type="dxa"/>
            <w:noWrap/>
            <w:vAlign w:val="bottom"/>
            <w:hideMark/>
          </w:tcPr>
          <w:p w:rsidR="004D0572" w:rsidRPr="006B4096" w:rsidRDefault="004D0572" w:rsidP="004D0572">
            <w:pPr>
              <w:jc w:val="center"/>
              <w:rPr>
                <w:rFonts w:cs="Arial"/>
                <w:color w:val="000000"/>
                <w:szCs w:val="24"/>
                <w:lang w:eastAsia="zh-CN"/>
              </w:rPr>
            </w:pPr>
            <w:r w:rsidRPr="006B4096">
              <w:rPr>
                <w:rFonts w:cs="Arial"/>
                <w:color w:val="000000"/>
                <w:szCs w:val="24"/>
                <w:lang w:eastAsia="zh-CN"/>
              </w:rPr>
              <w:t>23</w:t>
            </w:r>
          </w:p>
        </w:tc>
        <w:tc>
          <w:tcPr>
            <w:tcW w:w="1873" w:type="dxa"/>
            <w:noWrap/>
            <w:vAlign w:val="bottom"/>
            <w:hideMark/>
          </w:tcPr>
          <w:p w:rsidR="004D0572" w:rsidRPr="006B4096" w:rsidRDefault="004D0572" w:rsidP="004D0572">
            <w:pPr>
              <w:jc w:val="center"/>
              <w:rPr>
                <w:rFonts w:cs="Arial"/>
                <w:color w:val="000000"/>
                <w:szCs w:val="24"/>
                <w:lang w:eastAsia="zh-CN"/>
              </w:rPr>
            </w:pPr>
            <w:r w:rsidRPr="006B4096">
              <w:rPr>
                <w:rFonts w:cs="Arial"/>
                <w:color w:val="000000"/>
                <w:szCs w:val="24"/>
                <w:lang w:eastAsia="zh-CN"/>
              </w:rPr>
              <w:t>-</w:t>
            </w:r>
          </w:p>
        </w:tc>
        <w:tc>
          <w:tcPr>
            <w:tcW w:w="1017" w:type="dxa"/>
            <w:noWrap/>
            <w:vAlign w:val="bottom"/>
            <w:hideMark/>
          </w:tcPr>
          <w:p w:rsidR="004D0572" w:rsidRPr="006B4096" w:rsidRDefault="004D0572" w:rsidP="004D0572">
            <w:pPr>
              <w:jc w:val="right"/>
              <w:rPr>
                <w:rFonts w:cs="Arial"/>
                <w:color w:val="000000"/>
                <w:szCs w:val="24"/>
                <w:lang w:eastAsia="zh-CN"/>
              </w:rPr>
            </w:pPr>
            <w:r w:rsidRPr="006B4096">
              <w:rPr>
                <w:rFonts w:cs="Arial"/>
                <w:color w:val="000000"/>
                <w:szCs w:val="24"/>
                <w:lang w:eastAsia="zh-CN"/>
              </w:rPr>
              <w:t>0%</w:t>
            </w:r>
          </w:p>
        </w:tc>
      </w:tr>
      <w:tr w:rsidR="004D0572" w:rsidTr="009A3AD4">
        <w:trPr>
          <w:trHeight w:val="544"/>
        </w:trPr>
        <w:tc>
          <w:tcPr>
            <w:tcW w:w="2878" w:type="dxa"/>
            <w:noWrap/>
            <w:vAlign w:val="bottom"/>
            <w:hideMark/>
          </w:tcPr>
          <w:p w:rsidR="004D0572" w:rsidRDefault="004D0572" w:rsidP="004D0572">
            <w:pPr>
              <w:rPr>
                <w:rFonts w:cs="Arial"/>
                <w:sz w:val="22"/>
                <w:szCs w:val="22"/>
                <w:lang w:eastAsia="zh-CN"/>
              </w:rPr>
            </w:pPr>
            <w:r>
              <w:rPr>
                <w:rFonts w:cs="Arial" w:hint="eastAsia"/>
                <w:szCs w:val="22"/>
                <w:lang w:eastAsia="zh-CN"/>
              </w:rPr>
              <w:t>成本（千瑞郎）</w:t>
            </w:r>
          </w:p>
        </w:tc>
        <w:tc>
          <w:tcPr>
            <w:tcW w:w="1863" w:type="dxa"/>
            <w:noWrap/>
            <w:vAlign w:val="bottom"/>
            <w:hideMark/>
          </w:tcPr>
          <w:p w:rsidR="004D0572" w:rsidRPr="006B4096" w:rsidRDefault="004D0572" w:rsidP="00F80DF0">
            <w:pPr>
              <w:jc w:val="center"/>
              <w:rPr>
                <w:rFonts w:cs="Arial"/>
                <w:color w:val="000000"/>
                <w:szCs w:val="24"/>
                <w:lang w:eastAsia="zh-CN"/>
              </w:rPr>
            </w:pPr>
            <w:r w:rsidRPr="006B4096">
              <w:rPr>
                <w:rFonts w:cs="Arial"/>
                <w:color w:val="000000"/>
                <w:szCs w:val="24"/>
                <w:lang w:eastAsia="zh-CN"/>
              </w:rPr>
              <w:t>7,</w:t>
            </w:r>
            <w:r w:rsidR="00F80DF0">
              <w:rPr>
                <w:rFonts w:cs="Arial" w:hint="eastAsia"/>
                <w:color w:val="000000"/>
                <w:szCs w:val="24"/>
                <w:lang w:eastAsia="zh-CN"/>
              </w:rPr>
              <w:t>75</w:t>
            </w:r>
            <w:r w:rsidRPr="006B4096">
              <w:rPr>
                <w:rFonts w:cs="Arial"/>
                <w:color w:val="000000"/>
                <w:szCs w:val="24"/>
                <w:lang w:eastAsia="zh-CN"/>
              </w:rPr>
              <w:t>6</w:t>
            </w:r>
          </w:p>
        </w:tc>
        <w:tc>
          <w:tcPr>
            <w:tcW w:w="1863" w:type="dxa"/>
            <w:noWrap/>
            <w:vAlign w:val="bottom"/>
            <w:hideMark/>
          </w:tcPr>
          <w:p w:rsidR="004D0572" w:rsidRPr="006B4096" w:rsidRDefault="00F80DF0" w:rsidP="004D0572">
            <w:pPr>
              <w:jc w:val="center"/>
              <w:rPr>
                <w:rFonts w:cs="Arial"/>
                <w:color w:val="000000"/>
                <w:szCs w:val="24"/>
                <w:lang w:eastAsia="zh-CN"/>
              </w:rPr>
            </w:pPr>
            <w:r>
              <w:rPr>
                <w:rFonts w:cs="Arial" w:hint="eastAsia"/>
                <w:color w:val="000000"/>
                <w:szCs w:val="24"/>
                <w:lang w:eastAsia="zh-CN"/>
              </w:rPr>
              <w:t>6</w:t>
            </w:r>
            <w:r w:rsidR="004D0572" w:rsidRPr="006B4096">
              <w:rPr>
                <w:rFonts w:cs="Arial"/>
                <w:color w:val="000000"/>
                <w:szCs w:val="24"/>
                <w:lang w:eastAsia="zh-CN"/>
              </w:rPr>
              <w:t>,</w:t>
            </w:r>
            <w:r>
              <w:rPr>
                <w:rFonts w:cs="Arial" w:hint="eastAsia"/>
                <w:color w:val="000000"/>
                <w:szCs w:val="24"/>
                <w:lang w:eastAsia="zh-CN"/>
              </w:rPr>
              <w:t>980</w:t>
            </w:r>
          </w:p>
        </w:tc>
        <w:tc>
          <w:tcPr>
            <w:tcW w:w="1873" w:type="dxa"/>
            <w:noWrap/>
            <w:vAlign w:val="bottom"/>
            <w:hideMark/>
          </w:tcPr>
          <w:p w:rsidR="004D0572" w:rsidRPr="006B4096" w:rsidRDefault="00F80DF0" w:rsidP="004D0572">
            <w:pPr>
              <w:jc w:val="center"/>
              <w:rPr>
                <w:rFonts w:cs="Arial"/>
                <w:color w:val="000000"/>
                <w:szCs w:val="24"/>
                <w:lang w:eastAsia="zh-CN"/>
              </w:rPr>
            </w:pPr>
            <w:r>
              <w:rPr>
                <w:rFonts w:cs="Arial" w:hint="eastAsia"/>
                <w:color w:val="000000"/>
                <w:szCs w:val="24"/>
                <w:lang w:eastAsia="zh-CN"/>
              </w:rPr>
              <w:t>-776</w:t>
            </w:r>
          </w:p>
        </w:tc>
        <w:tc>
          <w:tcPr>
            <w:tcW w:w="1017" w:type="dxa"/>
            <w:noWrap/>
            <w:vAlign w:val="bottom"/>
            <w:hideMark/>
          </w:tcPr>
          <w:p w:rsidR="004D0572" w:rsidRPr="006B4096" w:rsidRDefault="00F80DF0" w:rsidP="004D0572">
            <w:pPr>
              <w:jc w:val="right"/>
              <w:rPr>
                <w:rFonts w:cs="Arial"/>
                <w:color w:val="000000"/>
                <w:szCs w:val="24"/>
                <w:lang w:eastAsia="zh-CN"/>
              </w:rPr>
            </w:pPr>
            <w:r>
              <w:rPr>
                <w:rFonts w:cs="Arial" w:hint="eastAsia"/>
                <w:color w:val="000000"/>
                <w:szCs w:val="24"/>
                <w:lang w:eastAsia="zh-CN"/>
              </w:rPr>
              <w:t>-10</w:t>
            </w:r>
            <w:r w:rsidR="004D0572" w:rsidRPr="006B4096">
              <w:rPr>
                <w:rFonts w:cs="Arial"/>
                <w:color w:val="000000"/>
                <w:szCs w:val="24"/>
                <w:lang w:eastAsia="zh-CN"/>
              </w:rPr>
              <w:t>%</w:t>
            </w:r>
          </w:p>
        </w:tc>
      </w:tr>
    </w:tbl>
    <w:p w:rsidR="00CA0D25" w:rsidRDefault="00CA0D25">
      <w:pPr>
        <w:tabs>
          <w:tab w:val="clear" w:pos="794"/>
          <w:tab w:val="clear" w:pos="1191"/>
          <w:tab w:val="clear" w:pos="1588"/>
          <w:tab w:val="clear" w:pos="1985"/>
        </w:tabs>
        <w:overflowPunct/>
        <w:autoSpaceDE/>
        <w:autoSpaceDN/>
        <w:adjustRightInd/>
        <w:spacing w:before="0"/>
        <w:textAlignment w:val="auto"/>
        <w:rPr>
          <w:rFonts w:cs="Arial"/>
          <w:lang w:eastAsia="zh-CN"/>
        </w:rPr>
      </w:pPr>
      <w:r>
        <w:rPr>
          <w:rFonts w:cs="Arial"/>
          <w:lang w:eastAsia="zh-CN"/>
        </w:rPr>
        <w:br w:type="page"/>
      </w:r>
    </w:p>
    <w:p w:rsidR="00DA4C74" w:rsidRPr="00B0454F" w:rsidRDefault="00DA4C74" w:rsidP="00A348DD">
      <w:pPr>
        <w:spacing w:before="240"/>
        <w:rPr>
          <w:rFonts w:cs="Arial"/>
          <w:lang w:eastAsia="zh-CN"/>
        </w:rPr>
      </w:pPr>
      <w:r w:rsidRPr="00B0454F">
        <w:rPr>
          <w:rFonts w:cs="Arial"/>
          <w:lang w:eastAsia="zh-CN"/>
        </w:rPr>
        <w:lastRenderedPageBreak/>
        <w:t>5</w:t>
      </w:r>
      <w:r w:rsidRPr="00B0454F">
        <w:rPr>
          <w:rFonts w:cs="Arial"/>
          <w:lang w:eastAsia="zh-CN"/>
        </w:rPr>
        <w:tab/>
      </w:r>
      <w:r w:rsidRPr="00B0454F">
        <w:rPr>
          <w:rFonts w:hint="eastAsia"/>
          <w:lang w:eastAsia="zh-CN"/>
        </w:rPr>
        <w:t>预算第</w:t>
      </w:r>
      <w:r w:rsidRPr="00B0454F">
        <w:rPr>
          <w:lang w:eastAsia="zh-CN"/>
        </w:rPr>
        <w:t>3</w:t>
      </w:r>
      <w:r w:rsidRPr="00B0454F">
        <w:rPr>
          <w:rFonts w:hint="eastAsia"/>
          <w:lang w:eastAsia="zh-CN"/>
        </w:rPr>
        <w:t>至</w:t>
      </w:r>
      <w:r w:rsidRPr="00B0454F">
        <w:rPr>
          <w:lang w:eastAsia="zh-CN"/>
        </w:rPr>
        <w:t>9</w:t>
      </w:r>
      <w:r w:rsidRPr="00B0454F">
        <w:rPr>
          <w:rFonts w:hint="eastAsia"/>
          <w:lang w:eastAsia="zh-CN"/>
        </w:rPr>
        <w:t>类涉及公务差旅、合同服务、租用与维护、材料和办公用品、采购、公共和内部服务设施及杂项。</w:t>
      </w:r>
    </w:p>
    <w:p w:rsidR="00DA4C74" w:rsidRPr="00B0454F" w:rsidRDefault="00DA4C74" w:rsidP="00A348DD">
      <w:pPr>
        <w:pStyle w:val="enumlev1"/>
        <w:rPr>
          <w:rFonts w:cs="Arial"/>
          <w:lang w:val="en-US" w:eastAsia="zh-CN"/>
        </w:rPr>
      </w:pPr>
      <w:r>
        <w:rPr>
          <w:rFonts w:hint="eastAsia"/>
          <w:lang w:eastAsia="zh-CN"/>
        </w:rPr>
        <w:t>a</w:t>
      </w:r>
      <w:r w:rsidR="00A348DD">
        <w:rPr>
          <w:lang w:eastAsia="zh-CN"/>
        </w:rPr>
        <w:t>)</w:t>
      </w:r>
      <w:r>
        <w:rPr>
          <w:rFonts w:hint="eastAsia"/>
          <w:lang w:eastAsia="zh-CN"/>
        </w:rPr>
        <w:tab/>
      </w:r>
      <w:r w:rsidRPr="00B0454F">
        <w:rPr>
          <w:rFonts w:hint="eastAsia"/>
          <w:lang w:eastAsia="zh-CN"/>
        </w:rPr>
        <w:t>第</w:t>
      </w:r>
      <w:r w:rsidRPr="00B0454F">
        <w:rPr>
          <w:lang w:val="en-US" w:eastAsia="zh-CN"/>
        </w:rPr>
        <w:t>3</w:t>
      </w:r>
      <w:r w:rsidRPr="00B0454F">
        <w:rPr>
          <w:rFonts w:hint="eastAsia"/>
          <w:lang w:eastAsia="zh-CN"/>
        </w:rPr>
        <w:t>类涉及公务差旅费</w:t>
      </w:r>
      <w:r w:rsidRPr="00B0454F">
        <w:rPr>
          <w:rFonts w:hint="eastAsia"/>
          <w:lang w:val="en-US" w:eastAsia="zh-CN"/>
        </w:rPr>
        <w:t>，</w:t>
      </w:r>
      <w:r w:rsidRPr="00B0454F">
        <w:rPr>
          <w:rFonts w:hint="eastAsia"/>
          <w:lang w:eastAsia="zh-CN"/>
        </w:rPr>
        <w:t>其中包括每日生活津贴</w:t>
      </w:r>
      <w:r w:rsidRPr="00B0454F">
        <w:rPr>
          <w:rFonts w:hint="eastAsia"/>
          <w:lang w:val="en-US" w:eastAsia="zh-CN"/>
        </w:rPr>
        <w:t>（</w:t>
      </w:r>
      <w:r w:rsidRPr="00B0454F">
        <w:rPr>
          <w:rFonts w:hint="eastAsia"/>
          <w:lang w:eastAsia="zh-CN"/>
        </w:rPr>
        <w:t>联合国每日生活津贴或</w:t>
      </w:r>
      <w:r w:rsidRPr="00B0454F">
        <w:rPr>
          <w:lang w:val="en-US" w:eastAsia="zh-CN"/>
        </w:rPr>
        <w:t>DSA</w:t>
      </w:r>
      <w:r w:rsidRPr="00B0454F">
        <w:rPr>
          <w:rFonts w:hint="eastAsia"/>
          <w:lang w:val="en-US" w:eastAsia="zh-CN"/>
        </w:rPr>
        <w:t>）</w:t>
      </w:r>
      <w:r w:rsidRPr="00B0454F">
        <w:rPr>
          <w:rFonts w:hint="eastAsia"/>
          <w:lang w:eastAsia="zh-CN"/>
        </w:rPr>
        <w:t>、终点站费用以及保险等费用。目前正在做出努力</w:t>
      </w:r>
      <w:r w:rsidRPr="00B0454F">
        <w:rPr>
          <w:rFonts w:hint="eastAsia"/>
          <w:lang w:val="en-US" w:eastAsia="zh-CN"/>
        </w:rPr>
        <w:t>，</w:t>
      </w:r>
      <w:r w:rsidRPr="00B0454F">
        <w:rPr>
          <w:rFonts w:hint="eastAsia"/>
          <w:lang w:eastAsia="zh-CN"/>
        </w:rPr>
        <w:t>以确保国际电</w:t>
      </w:r>
      <w:proofErr w:type="gramStart"/>
      <w:r w:rsidRPr="00B0454F">
        <w:rPr>
          <w:rFonts w:hint="eastAsia"/>
          <w:lang w:eastAsia="zh-CN"/>
        </w:rPr>
        <w:t>联电信</w:t>
      </w:r>
      <w:proofErr w:type="gramEnd"/>
      <w:r w:rsidRPr="00B0454F">
        <w:rPr>
          <w:rFonts w:hint="eastAsia"/>
          <w:lang w:eastAsia="zh-CN"/>
        </w:rPr>
        <w:t>展览部的差旅活动能够实现经济高效。另外，正在尽可能地采用电子通信方式和</w:t>
      </w:r>
      <w:r>
        <w:rPr>
          <w:rFonts w:hint="eastAsia"/>
          <w:lang w:eastAsia="zh-CN"/>
        </w:rPr>
        <w:t>远程</w:t>
      </w:r>
      <w:r w:rsidRPr="00B0454F">
        <w:rPr>
          <w:rFonts w:hint="eastAsia"/>
          <w:lang w:eastAsia="zh-CN"/>
        </w:rPr>
        <w:t>会议，以避免不必要的差旅支出。一些公务差旅的职员还兼履其它职责，并尽可能缩短出差时间。这样，</w:t>
      </w:r>
      <w:r w:rsidR="00F80DF0" w:rsidRPr="00F80DF0">
        <w:rPr>
          <w:lang w:eastAsia="zh-CN"/>
        </w:rPr>
        <w:t>2020-2021</w:t>
      </w:r>
      <w:r w:rsidRPr="00B0454F">
        <w:rPr>
          <w:rFonts w:hint="eastAsia"/>
          <w:lang w:eastAsia="zh-CN"/>
        </w:rPr>
        <w:t>年公务差旅方面的估算费用将</w:t>
      </w:r>
      <w:r w:rsidR="00F80DF0">
        <w:rPr>
          <w:rFonts w:hint="eastAsia"/>
          <w:lang w:eastAsia="zh-CN"/>
        </w:rPr>
        <w:t>比</w:t>
      </w:r>
      <w:r w:rsidR="00F80DF0" w:rsidRPr="00FD72D2">
        <w:rPr>
          <w:lang w:eastAsia="zh-CN"/>
        </w:rPr>
        <w:t>2018-2019</w:t>
      </w:r>
      <w:r w:rsidRPr="00B0454F">
        <w:rPr>
          <w:rFonts w:hint="eastAsia"/>
          <w:lang w:eastAsia="zh-CN"/>
        </w:rPr>
        <w:t>年</w:t>
      </w:r>
      <w:r w:rsidR="00F80DF0">
        <w:rPr>
          <w:rFonts w:hint="eastAsia"/>
          <w:lang w:eastAsia="zh-CN"/>
        </w:rPr>
        <w:t>下降</w:t>
      </w:r>
      <w:r w:rsidR="00F80DF0">
        <w:rPr>
          <w:rFonts w:hint="eastAsia"/>
          <w:lang w:eastAsia="zh-CN"/>
        </w:rPr>
        <w:t>40%</w:t>
      </w:r>
      <w:r w:rsidRPr="00B0454F">
        <w:rPr>
          <w:rFonts w:hint="eastAsia"/>
          <w:lang w:eastAsia="zh-CN"/>
        </w:rPr>
        <w:t>。与一些大型活动相关的差旅费计入</w:t>
      </w:r>
      <w:r>
        <w:rPr>
          <w:rFonts w:hint="eastAsia"/>
          <w:lang w:eastAsia="zh-CN"/>
        </w:rPr>
        <w:t>适当</w:t>
      </w:r>
      <w:r w:rsidRPr="00B0454F">
        <w:rPr>
          <w:rFonts w:hint="eastAsia"/>
          <w:lang w:eastAsia="zh-CN"/>
        </w:rPr>
        <w:t>活动预算</w:t>
      </w:r>
      <w:r>
        <w:rPr>
          <w:rFonts w:hint="eastAsia"/>
          <w:lang w:eastAsia="zh-CN"/>
        </w:rPr>
        <w:t>账目</w:t>
      </w:r>
      <w:r w:rsidRPr="00B0454F">
        <w:rPr>
          <w:rFonts w:hint="eastAsia"/>
          <w:lang w:eastAsia="zh-CN"/>
        </w:rPr>
        <w:t>中。</w:t>
      </w:r>
    </w:p>
    <w:p w:rsidR="00DA4C74" w:rsidRPr="00DF6B97" w:rsidRDefault="00DA4C74" w:rsidP="00A348DD">
      <w:pPr>
        <w:pStyle w:val="enumlev1"/>
        <w:rPr>
          <w:rFonts w:cs="Arial"/>
          <w:lang w:val="en-US" w:eastAsia="zh-CN"/>
        </w:rPr>
      </w:pPr>
      <w:r>
        <w:rPr>
          <w:rFonts w:hint="eastAsia"/>
          <w:lang w:eastAsia="zh-CN"/>
        </w:rPr>
        <w:t>b</w:t>
      </w:r>
      <w:r w:rsidR="00A348DD">
        <w:rPr>
          <w:lang w:eastAsia="zh-CN"/>
        </w:rPr>
        <w:t>)</w:t>
      </w:r>
      <w:r>
        <w:rPr>
          <w:rFonts w:hint="eastAsia"/>
          <w:lang w:eastAsia="zh-CN"/>
        </w:rPr>
        <w:tab/>
      </w:r>
      <w:r w:rsidRPr="00DF6B97">
        <w:rPr>
          <w:rFonts w:hint="eastAsia"/>
          <w:lang w:eastAsia="zh-CN"/>
        </w:rPr>
        <w:t>第</w:t>
      </w:r>
      <w:r w:rsidRPr="00DF6B97">
        <w:rPr>
          <w:lang w:val="en-US" w:eastAsia="zh-CN"/>
        </w:rPr>
        <w:t>4</w:t>
      </w:r>
      <w:r w:rsidRPr="00DF6B97">
        <w:rPr>
          <w:rFonts w:hint="eastAsia"/>
          <w:lang w:eastAsia="zh-CN"/>
        </w:rPr>
        <w:t>类涉及合同服务。合同服务的总预算</w:t>
      </w:r>
      <w:r w:rsidR="00E72EA6">
        <w:rPr>
          <w:rFonts w:hint="eastAsia"/>
          <w:lang w:eastAsia="zh-CN"/>
        </w:rPr>
        <w:t>将比</w:t>
      </w:r>
      <w:r w:rsidR="00E72EA6" w:rsidRPr="00FD72D2">
        <w:rPr>
          <w:rFonts w:asciiTheme="minorHAnsi" w:hAnsiTheme="minorHAnsi"/>
          <w:lang w:eastAsia="zh-CN"/>
        </w:rPr>
        <w:t>2018-2019</w:t>
      </w:r>
      <w:r w:rsidR="00E72EA6" w:rsidRPr="00B0454F">
        <w:rPr>
          <w:rFonts w:hint="eastAsia"/>
          <w:lang w:eastAsia="zh-CN"/>
        </w:rPr>
        <w:t>年</w:t>
      </w:r>
      <w:r w:rsidR="00E72EA6">
        <w:rPr>
          <w:rFonts w:hint="eastAsia"/>
          <w:lang w:eastAsia="zh-CN"/>
        </w:rPr>
        <w:t>下降</w:t>
      </w:r>
      <w:r w:rsidR="00E72EA6">
        <w:rPr>
          <w:rFonts w:hint="eastAsia"/>
          <w:lang w:eastAsia="zh-CN"/>
        </w:rPr>
        <w:t>20%</w:t>
      </w:r>
      <w:r w:rsidRPr="00DF6B97">
        <w:rPr>
          <w:rFonts w:hint="eastAsia"/>
          <w:lang w:eastAsia="zh-CN"/>
        </w:rPr>
        <w:t>，</w:t>
      </w:r>
      <w:r w:rsidR="00DC6D03">
        <w:rPr>
          <w:rFonts w:hint="eastAsia"/>
          <w:lang w:eastAsia="zh-CN"/>
        </w:rPr>
        <w:t>包含推广活动</w:t>
      </w:r>
      <w:r w:rsidRPr="00DF6B97">
        <w:rPr>
          <w:rFonts w:hint="eastAsia"/>
          <w:lang w:eastAsia="zh-CN"/>
        </w:rPr>
        <w:t>的</w:t>
      </w:r>
      <w:r>
        <w:rPr>
          <w:rFonts w:hint="eastAsia"/>
          <w:lang w:eastAsia="zh-CN"/>
        </w:rPr>
        <w:t>市场营销活动和宣传类活动记入</w:t>
      </w:r>
      <w:r w:rsidRPr="00DF6B97">
        <w:rPr>
          <w:rFonts w:hint="eastAsia"/>
          <w:lang w:eastAsia="zh-CN"/>
        </w:rPr>
        <w:t>相关活动预算。</w:t>
      </w:r>
    </w:p>
    <w:p w:rsidR="00DA4C74" w:rsidRPr="00DF6B97" w:rsidRDefault="00DA4C74" w:rsidP="00A348DD">
      <w:pPr>
        <w:pStyle w:val="enumlev1"/>
        <w:rPr>
          <w:rFonts w:cs="Arial"/>
          <w:lang w:val="en-US" w:eastAsia="zh-CN"/>
        </w:rPr>
      </w:pPr>
      <w:r>
        <w:rPr>
          <w:rFonts w:hint="eastAsia"/>
          <w:lang w:eastAsia="zh-CN"/>
        </w:rPr>
        <w:t>c</w:t>
      </w:r>
      <w:r w:rsidR="00A348DD">
        <w:rPr>
          <w:lang w:eastAsia="zh-CN"/>
        </w:rPr>
        <w:t>)</w:t>
      </w:r>
      <w:r>
        <w:rPr>
          <w:rFonts w:hint="eastAsia"/>
          <w:lang w:eastAsia="zh-CN"/>
        </w:rPr>
        <w:tab/>
      </w:r>
      <w:r w:rsidRPr="00DF6B97">
        <w:rPr>
          <w:rFonts w:hint="eastAsia"/>
          <w:lang w:eastAsia="zh-CN"/>
        </w:rPr>
        <w:t>第</w:t>
      </w:r>
      <w:r w:rsidRPr="00DF6B97">
        <w:rPr>
          <w:lang w:val="en-US" w:eastAsia="zh-CN"/>
        </w:rPr>
        <w:t>5</w:t>
      </w:r>
      <w:r w:rsidRPr="00DF6B97">
        <w:rPr>
          <w:rFonts w:hint="eastAsia"/>
          <w:lang w:eastAsia="zh-CN"/>
        </w:rPr>
        <w:t>类涉及办公场所和设备的租用与维护</w:t>
      </w:r>
      <w:r w:rsidR="00E72EA6">
        <w:rPr>
          <w:rFonts w:hint="eastAsia"/>
          <w:lang w:eastAsia="zh-CN"/>
        </w:rPr>
        <w:t>，此项资金比</w:t>
      </w:r>
      <w:r w:rsidR="00E72EA6" w:rsidRPr="00E72EA6">
        <w:rPr>
          <w:lang w:val="en-US" w:eastAsia="zh-CN"/>
        </w:rPr>
        <w:t>2018-2019</w:t>
      </w:r>
      <w:r w:rsidRPr="00DF6B97">
        <w:rPr>
          <w:rFonts w:hint="eastAsia"/>
          <w:lang w:eastAsia="zh-CN"/>
        </w:rPr>
        <w:t>年</w:t>
      </w:r>
      <w:r w:rsidR="00E72EA6">
        <w:rPr>
          <w:rFonts w:hint="eastAsia"/>
          <w:lang w:eastAsia="zh-CN"/>
        </w:rPr>
        <w:t>下降了</w:t>
      </w:r>
      <w:r w:rsidR="00E72EA6">
        <w:rPr>
          <w:rFonts w:hint="eastAsia"/>
          <w:lang w:eastAsia="zh-CN"/>
        </w:rPr>
        <w:t>33%</w:t>
      </w:r>
      <w:r w:rsidRPr="00DF6B97">
        <w:rPr>
          <w:rFonts w:hint="eastAsia"/>
          <w:lang w:eastAsia="zh-CN"/>
        </w:rPr>
        <w:t>。这类支出涉及</w:t>
      </w:r>
      <w:r w:rsidR="00DC6D03">
        <w:rPr>
          <w:rFonts w:hint="eastAsia"/>
          <w:lang w:eastAsia="zh-CN"/>
        </w:rPr>
        <w:t>为</w:t>
      </w:r>
      <w:r w:rsidR="00E739B8">
        <w:rPr>
          <w:rFonts w:hint="eastAsia"/>
          <w:lang w:eastAsia="zh-CN"/>
        </w:rPr>
        <w:t>总体</w:t>
      </w:r>
      <w:r w:rsidRPr="00DF6B97">
        <w:rPr>
          <w:rFonts w:hint="eastAsia"/>
          <w:lang w:eastAsia="zh-CN"/>
        </w:rPr>
        <w:t>宣传国际电</w:t>
      </w:r>
      <w:proofErr w:type="gramStart"/>
      <w:r w:rsidRPr="00DF6B97">
        <w:rPr>
          <w:rFonts w:hint="eastAsia"/>
          <w:lang w:eastAsia="zh-CN"/>
        </w:rPr>
        <w:t>联电信展</w:t>
      </w:r>
      <w:proofErr w:type="gramEnd"/>
      <w:r w:rsidR="00E739B8">
        <w:rPr>
          <w:rFonts w:hint="eastAsia"/>
          <w:lang w:eastAsia="zh-CN"/>
        </w:rPr>
        <w:t>而</w:t>
      </w:r>
      <w:r w:rsidR="00E739B8">
        <w:rPr>
          <w:lang w:eastAsia="zh-CN"/>
        </w:rPr>
        <w:t>举办</w:t>
      </w:r>
      <w:r w:rsidRPr="00DF6B97">
        <w:rPr>
          <w:rFonts w:hint="eastAsia"/>
          <w:lang w:eastAsia="zh-CN"/>
        </w:rPr>
        <w:t>会议</w:t>
      </w:r>
      <w:r w:rsidR="00E739B8">
        <w:rPr>
          <w:rFonts w:hint="eastAsia"/>
          <w:lang w:eastAsia="zh-CN"/>
        </w:rPr>
        <w:t>和</w:t>
      </w:r>
      <w:r w:rsidRPr="00DF6B97">
        <w:rPr>
          <w:rFonts w:hint="eastAsia"/>
          <w:lang w:eastAsia="zh-CN"/>
        </w:rPr>
        <w:t>活动</w:t>
      </w:r>
      <w:r>
        <w:rPr>
          <w:rFonts w:hint="eastAsia"/>
          <w:lang w:eastAsia="zh-CN"/>
        </w:rPr>
        <w:t>的</w:t>
      </w:r>
      <w:r w:rsidRPr="00DF6B97">
        <w:rPr>
          <w:rFonts w:hint="eastAsia"/>
          <w:lang w:eastAsia="zh-CN"/>
        </w:rPr>
        <w:t>需求。</w:t>
      </w:r>
    </w:p>
    <w:p w:rsidR="00DA4C74" w:rsidRPr="00DF6B97" w:rsidRDefault="00F80DF0" w:rsidP="00A348DD">
      <w:pPr>
        <w:pStyle w:val="enumlev1"/>
        <w:rPr>
          <w:rFonts w:cs="Arial"/>
          <w:lang w:val="en-US" w:eastAsia="zh-CN"/>
        </w:rPr>
      </w:pPr>
      <w:r>
        <w:rPr>
          <w:rFonts w:hint="eastAsia"/>
          <w:lang w:eastAsia="zh-CN"/>
        </w:rPr>
        <w:t>d</w:t>
      </w:r>
      <w:r w:rsidR="00A348DD">
        <w:rPr>
          <w:lang w:eastAsia="zh-CN"/>
        </w:rPr>
        <w:t>)</w:t>
      </w:r>
      <w:r w:rsidR="00DA4C74">
        <w:rPr>
          <w:rFonts w:hint="eastAsia"/>
          <w:lang w:eastAsia="zh-CN"/>
        </w:rPr>
        <w:tab/>
      </w:r>
      <w:r w:rsidR="00DA4C74" w:rsidRPr="00DF6B97">
        <w:rPr>
          <w:rFonts w:hint="eastAsia"/>
          <w:lang w:eastAsia="zh-CN"/>
        </w:rPr>
        <w:t>第</w:t>
      </w:r>
      <w:r w:rsidR="00DA4C74" w:rsidRPr="00DF6B97">
        <w:rPr>
          <w:lang w:val="en-US" w:eastAsia="zh-CN"/>
        </w:rPr>
        <w:t>6</w:t>
      </w:r>
      <w:r w:rsidR="00DA4C74" w:rsidRPr="00DF6B97">
        <w:rPr>
          <w:rFonts w:hint="eastAsia"/>
          <w:lang w:eastAsia="zh-CN"/>
        </w:rPr>
        <w:t>类</w:t>
      </w:r>
      <w:r w:rsidR="00E72EA6">
        <w:rPr>
          <w:rFonts w:hint="eastAsia"/>
          <w:lang w:eastAsia="zh-CN"/>
        </w:rPr>
        <w:t>的预算比</w:t>
      </w:r>
      <w:r w:rsidR="00E72EA6" w:rsidRPr="00E72EA6">
        <w:rPr>
          <w:lang w:val="en-US" w:eastAsia="zh-CN"/>
        </w:rPr>
        <w:t>2018-2019</w:t>
      </w:r>
      <w:r w:rsidR="00E72EA6" w:rsidRPr="00DF6B97">
        <w:rPr>
          <w:rFonts w:hint="eastAsia"/>
          <w:lang w:eastAsia="zh-CN"/>
        </w:rPr>
        <w:t>年</w:t>
      </w:r>
      <w:r w:rsidR="00E72EA6">
        <w:rPr>
          <w:rFonts w:hint="eastAsia"/>
          <w:lang w:eastAsia="zh-CN"/>
        </w:rPr>
        <w:t>下降</w:t>
      </w:r>
      <w:r w:rsidR="00E72EA6">
        <w:rPr>
          <w:rFonts w:hint="eastAsia"/>
          <w:lang w:eastAsia="zh-CN"/>
        </w:rPr>
        <w:t>25%</w:t>
      </w:r>
      <w:r w:rsidR="00E72EA6">
        <w:rPr>
          <w:rFonts w:hint="eastAsia"/>
          <w:lang w:eastAsia="zh-CN"/>
        </w:rPr>
        <w:t>。这一类别</w:t>
      </w:r>
      <w:r w:rsidR="00DA4C74" w:rsidRPr="00DF6B97">
        <w:rPr>
          <w:rFonts w:hint="eastAsia"/>
          <w:lang w:eastAsia="zh-CN"/>
        </w:rPr>
        <w:t>包括材料和办公用品的费用</w:t>
      </w:r>
      <w:r w:rsidR="00DA4C74" w:rsidRPr="00DF6B97">
        <w:rPr>
          <w:rFonts w:hint="eastAsia"/>
          <w:lang w:val="en-US" w:eastAsia="zh-CN"/>
        </w:rPr>
        <w:t>，</w:t>
      </w:r>
      <w:r w:rsidR="00DA4C74" w:rsidRPr="00DF6B97">
        <w:rPr>
          <w:rFonts w:hint="eastAsia"/>
          <w:lang w:eastAsia="zh-CN"/>
        </w:rPr>
        <w:t>如</w:t>
      </w:r>
      <w:r w:rsidR="00DA4C74" w:rsidRPr="00DF6B97">
        <w:rPr>
          <w:rFonts w:hint="eastAsia"/>
          <w:lang w:val="en-US" w:eastAsia="zh-CN"/>
        </w:rPr>
        <w:t>，</w:t>
      </w:r>
      <w:r w:rsidR="00DA4C74" w:rsidRPr="00DF6B97">
        <w:rPr>
          <w:rFonts w:hint="eastAsia"/>
          <w:lang w:eastAsia="zh-CN"/>
        </w:rPr>
        <w:t>办公文具</w:t>
      </w:r>
      <w:r w:rsidR="00DA4C74" w:rsidRPr="00DF6B97">
        <w:rPr>
          <w:rFonts w:hint="eastAsia"/>
          <w:lang w:val="en-US" w:eastAsia="zh-CN"/>
        </w:rPr>
        <w:t>，</w:t>
      </w:r>
      <w:r w:rsidR="00DA4C74" w:rsidRPr="00DF6B97">
        <w:rPr>
          <w:rFonts w:hint="eastAsia"/>
          <w:lang w:eastAsia="zh-CN"/>
        </w:rPr>
        <w:t>打印用品</w:t>
      </w:r>
      <w:r w:rsidR="00DA4C74" w:rsidRPr="00DF6B97">
        <w:rPr>
          <w:rFonts w:hint="eastAsia"/>
          <w:lang w:val="en-US" w:eastAsia="zh-CN"/>
        </w:rPr>
        <w:t>，</w:t>
      </w:r>
      <w:r w:rsidR="00DA4C74" w:rsidRPr="00DF6B97">
        <w:rPr>
          <w:lang w:val="en-US" w:eastAsia="zh-CN"/>
        </w:rPr>
        <w:t>IT</w:t>
      </w:r>
      <w:r w:rsidR="00DA4C74" w:rsidRPr="00DF6B97">
        <w:rPr>
          <w:rFonts w:hint="eastAsia"/>
          <w:lang w:eastAsia="zh-CN"/>
        </w:rPr>
        <w:t>用品</w:t>
      </w:r>
      <w:r w:rsidR="00DA4C74">
        <w:rPr>
          <w:rFonts w:hint="eastAsia"/>
          <w:lang w:val="en-US" w:eastAsia="zh-CN"/>
        </w:rPr>
        <w:t>，参考资料</w:t>
      </w:r>
      <w:r w:rsidR="00DA4C74" w:rsidRPr="00DF6B97">
        <w:rPr>
          <w:rFonts w:hint="eastAsia"/>
          <w:lang w:eastAsia="zh-CN"/>
        </w:rPr>
        <w:t>以及宣传册的印制和生产。</w:t>
      </w:r>
      <w:r w:rsidR="00E72EA6">
        <w:rPr>
          <w:rFonts w:hint="eastAsia"/>
          <w:lang w:eastAsia="zh-CN"/>
        </w:rPr>
        <w:t>预算降低的原因在数字文件的使用大幅降低了印刷品的数量，这也与国际电联的政策相符，</w:t>
      </w:r>
      <w:r w:rsidR="00904A5F">
        <w:rPr>
          <w:rFonts w:hint="eastAsia"/>
          <w:lang w:eastAsia="zh-CN"/>
        </w:rPr>
        <w:t>此外另一原因在于</w:t>
      </w:r>
      <w:r w:rsidR="00DA4C74" w:rsidRPr="00DF6B97">
        <w:rPr>
          <w:rFonts w:hint="eastAsia"/>
          <w:lang w:eastAsia="zh-CN"/>
        </w:rPr>
        <w:t>有些宣传册在国际电联内部印制。与</w:t>
      </w:r>
      <w:r w:rsidR="00904A5F">
        <w:rPr>
          <w:rFonts w:hint="eastAsia"/>
          <w:lang w:eastAsia="zh-CN"/>
        </w:rPr>
        <w:t>特定</w:t>
      </w:r>
      <w:r w:rsidR="00DA4C74" w:rsidRPr="00DF6B97">
        <w:rPr>
          <w:rFonts w:hint="eastAsia"/>
          <w:lang w:eastAsia="zh-CN"/>
        </w:rPr>
        <w:t>大型活动相关的宣传册印制准备金在相关活动预算中提供。</w:t>
      </w:r>
    </w:p>
    <w:p w:rsidR="00DA4C74" w:rsidRPr="00DF6B97" w:rsidRDefault="00DA4C74" w:rsidP="00A348DD">
      <w:pPr>
        <w:pStyle w:val="enumlev1"/>
        <w:rPr>
          <w:rFonts w:cs="Arial"/>
          <w:lang w:eastAsia="zh-CN"/>
        </w:rPr>
      </w:pPr>
      <w:r>
        <w:rPr>
          <w:rFonts w:hint="eastAsia"/>
          <w:lang w:eastAsia="zh-CN"/>
        </w:rPr>
        <w:t>e</w:t>
      </w:r>
      <w:r w:rsidR="00A348DD">
        <w:rPr>
          <w:lang w:eastAsia="zh-CN"/>
        </w:rPr>
        <w:t>)</w:t>
      </w:r>
      <w:r>
        <w:rPr>
          <w:rFonts w:hint="eastAsia"/>
          <w:lang w:eastAsia="zh-CN"/>
        </w:rPr>
        <w:tab/>
      </w:r>
      <w:r w:rsidRPr="00DF6B97">
        <w:rPr>
          <w:rFonts w:hint="eastAsia"/>
          <w:lang w:eastAsia="zh-CN"/>
        </w:rPr>
        <w:t>第</w:t>
      </w:r>
      <w:r w:rsidRPr="00DF6B97">
        <w:rPr>
          <w:lang w:eastAsia="zh-CN"/>
        </w:rPr>
        <w:t>7</w:t>
      </w:r>
      <w:r w:rsidRPr="00DF6B97">
        <w:rPr>
          <w:rFonts w:hint="eastAsia"/>
          <w:lang w:eastAsia="zh-CN"/>
        </w:rPr>
        <w:t>类涉及家具、</w:t>
      </w:r>
      <w:r w:rsidRPr="006A1298">
        <w:rPr>
          <w:lang w:eastAsia="zh-CN"/>
        </w:rPr>
        <w:t>IT</w:t>
      </w:r>
      <w:r w:rsidRPr="006A1298">
        <w:rPr>
          <w:rFonts w:hint="eastAsia"/>
          <w:lang w:eastAsia="zh-CN"/>
        </w:rPr>
        <w:t>用品</w:t>
      </w:r>
      <w:r w:rsidRPr="00DF6B97">
        <w:rPr>
          <w:rFonts w:hint="eastAsia"/>
          <w:lang w:eastAsia="zh-CN"/>
        </w:rPr>
        <w:t>及其它技术设备的采购及安装。</w:t>
      </w:r>
      <w:r>
        <w:rPr>
          <w:rFonts w:hint="eastAsia"/>
          <w:lang w:eastAsia="zh-CN"/>
        </w:rPr>
        <w:t>预期</w:t>
      </w:r>
      <w:r w:rsidR="00904A5F" w:rsidRPr="00904A5F">
        <w:rPr>
          <w:lang w:eastAsia="zh-CN"/>
        </w:rPr>
        <w:t>2020-2021</w:t>
      </w:r>
      <w:r w:rsidRPr="00DF6B97">
        <w:rPr>
          <w:rFonts w:hint="eastAsia"/>
          <w:lang w:eastAsia="zh-CN"/>
        </w:rPr>
        <w:t>年这部分预算没有增加。</w:t>
      </w:r>
    </w:p>
    <w:p w:rsidR="00DA4C74" w:rsidRDefault="00DA4C74" w:rsidP="00A348DD">
      <w:pPr>
        <w:pStyle w:val="enumlev1"/>
        <w:rPr>
          <w:lang w:eastAsia="zh-CN"/>
        </w:rPr>
      </w:pPr>
      <w:r>
        <w:rPr>
          <w:rFonts w:hint="eastAsia"/>
          <w:lang w:eastAsia="zh-CN"/>
        </w:rPr>
        <w:t>f</w:t>
      </w:r>
      <w:r w:rsidR="00A348DD">
        <w:rPr>
          <w:lang w:eastAsia="zh-CN"/>
        </w:rPr>
        <w:t>)</w:t>
      </w:r>
      <w:r>
        <w:rPr>
          <w:rFonts w:hint="eastAsia"/>
          <w:lang w:eastAsia="zh-CN"/>
        </w:rPr>
        <w:tab/>
      </w:r>
      <w:r w:rsidRPr="00DF6B97">
        <w:rPr>
          <w:rFonts w:hint="eastAsia"/>
          <w:lang w:eastAsia="zh-CN"/>
        </w:rPr>
        <w:t>第</w:t>
      </w:r>
      <w:r w:rsidRPr="00DF6B97">
        <w:rPr>
          <w:lang w:val="en-US" w:eastAsia="zh-CN"/>
        </w:rPr>
        <w:t>8</w:t>
      </w:r>
      <w:r w:rsidRPr="00DF6B97">
        <w:rPr>
          <w:rFonts w:hint="eastAsia"/>
          <w:lang w:eastAsia="zh-CN"/>
        </w:rPr>
        <w:t>类涉及公共和内部服务设施费用</w:t>
      </w:r>
      <w:r w:rsidRPr="00DF6B97">
        <w:rPr>
          <w:rFonts w:hint="eastAsia"/>
          <w:lang w:val="en-US" w:eastAsia="zh-CN"/>
        </w:rPr>
        <w:t>，</w:t>
      </w:r>
      <w:r w:rsidRPr="00DF6B97">
        <w:rPr>
          <w:rFonts w:hint="eastAsia"/>
          <w:lang w:eastAsia="zh-CN"/>
        </w:rPr>
        <w:t>包括由本地和国家服务提供商所提供的官方服务</w:t>
      </w:r>
      <w:r w:rsidRPr="00DF6B97">
        <w:rPr>
          <w:rFonts w:hint="eastAsia"/>
          <w:lang w:val="en-US" w:eastAsia="zh-CN"/>
        </w:rPr>
        <w:t>，</w:t>
      </w:r>
      <w:r w:rsidRPr="00DF6B97">
        <w:rPr>
          <w:rFonts w:hint="eastAsia"/>
          <w:lang w:eastAsia="zh-CN"/>
        </w:rPr>
        <w:t>如</w:t>
      </w:r>
      <w:r w:rsidRPr="00DF6B97">
        <w:rPr>
          <w:rFonts w:hint="eastAsia"/>
          <w:lang w:val="en-US" w:eastAsia="zh-CN"/>
        </w:rPr>
        <w:t>，</w:t>
      </w:r>
      <w:r w:rsidRPr="00DF6B97">
        <w:rPr>
          <w:rFonts w:hint="eastAsia"/>
          <w:lang w:eastAsia="zh-CN"/>
        </w:rPr>
        <w:t>供电</w:t>
      </w:r>
      <w:r w:rsidRPr="00DF6B97">
        <w:rPr>
          <w:rFonts w:hint="eastAsia"/>
          <w:lang w:val="en-US" w:eastAsia="zh-CN"/>
        </w:rPr>
        <w:t>，</w:t>
      </w:r>
      <w:r w:rsidRPr="00DF6B97">
        <w:rPr>
          <w:rFonts w:hint="eastAsia"/>
          <w:lang w:eastAsia="zh-CN"/>
        </w:rPr>
        <w:t>供水</w:t>
      </w:r>
      <w:r w:rsidRPr="00DF6B97">
        <w:rPr>
          <w:rFonts w:hint="eastAsia"/>
          <w:lang w:val="en-US" w:eastAsia="zh-CN"/>
        </w:rPr>
        <w:t>，</w:t>
      </w:r>
      <w:r w:rsidRPr="00DF6B97">
        <w:rPr>
          <w:rFonts w:hint="eastAsia"/>
          <w:lang w:eastAsia="zh-CN"/>
        </w:rPr>
        <w:t>邮政以及电话服务。这些支出还包括小册子、宣传册及其</w:t>
      </w:r>
      <w:proofErr w:type="gramStart"/>
      <w:r w:rsidRPr="00DF6B97">
        <w:rPr>
          <w:rFonts w:hint="eastAsia"/>
          <w:lang w:eastAsia="zh-CN"/>
        </w:rPr>
        <w:t>它全球</w:t>
      </w:r>
      <w:proofErr w:type="gramEnd"/>
      <w:r w:rsidRPr="00DF6B97">
        <w:rPr>
          <w:rFonts w:hint="eastAsia"/>
          <w:lang w:eastAsia="zh-CN"/>
        </w:rPr>
        <w:t>宣传材料的邮寄和运费。</w:t>
      </w:r>
      <w:r w:rsidR="00904A5F">
        <w:rPr>
          <w:rFonts w:hint="eastAsia"/>
          <w:lang w:eastAsia="zh-CN"/>
        </w:rPr>
        <w:t>随着增效措施的实施，预计</w:t>
      </w:r>
      <w:r w:rsidR="00904A5F" w:rsidRPr="00DF6B97">
        <w:rPr>
          <w:rFonts w:hint="eastAsia"/>
          <w:lang w:eastAsia="zh-CN"/>
        </w:rPr>
        <w:t>第</w:t>
      </w:r>
      <w:r w:rsidR="00904A5F" w:rsidRPr="00DF6B97">
        <w:rPr>
          <w:lang w:eastAsia="zh-CN"/>
        </w:rPr>
        <w:t>8</w:t>
      </w:r>
      <w:r w:rsidR="00904A5F" w:rsidRPr="00DF6B97">
        <w:rPr>
          <w:rFonts w:hint="eastAsia"/>
          <w:lang w:eastAsia="zh-CN"/>
        </w:rPr>
        <w:t>类</w:t>
      </w:r>
      <w:r w:rsidR="00904A5F">
        <w:rPr>
          <w:rFonts w:hint="eastAsia"/>
          <w:lang w:eastAsia="zh-CN"/>
        </w:rPr>
        <w:t>的支出将比</w:t>
      </w:r>
      <w:r w:rsidR="005B4564">
        <w:rPr>
          <w:lang w:eastAsia="zh-CN"/>
        </w:rPr>
        <w:t>2018-2019</w:t>
      </w:r>
      <w:r w:rsidRPr="00DF6B97">
        <w:rPr>
          <w:rFonts w:hint="eastAsia"/>
          <w:lang w:eastAsia="zh-CN"/>
        </w:rPr>
        <w:t>年的</w:t>
      </w:r>
      <w:r w:rsidR="00904A5F">
        <w:rPr>
          <w:rFonts w:hint="eastAsia"/>
          <w:lang w:eastAsia="zh-CN"/>
        </w:rPr>
        <w:t>预算准备金低</w:t>
      </w:r>
      <w:r w:rsidR="00904A5F">
        <w:rPr>
          <w:rFonts w:hint="eastAsia"/>
          <w:lang w:eastAsia="zh-CN"/>
        </w:rPr>
        <w:t>60%</w:t>
      </w:r>
      <w:r w:rsidRPr="00DF6B97">
        <w:rPr>
          <w:rFonts w:hint="eastAsia"/>
          <w:lang w:eastAsia="zh-CN"/>
        </w:rPr>
        <w:t>。具体大型活动预算也就具体活动作了类似提留。</w:t>
      </w:r>
    </w:p>
    <w:p w:rsidR="00DA4C74" w:rsidRPr="0067724D" w:rsidRDefault="00DA4C74" w:rsidP="00A348DD">
      <w:pPr>
        <w:pStyle w:val="Headingb"/>
        <w:rPr>
          <w:rFonts w:cs="Arial"/>
          <w:bCs/>
          <w:sz w:val="28"/>
          <w:szCs w:val="28"/>
          <w:lang w:val="en-US" w:eastAsia="zh-CN"/>
        </w:rPr>
      </w:pPr>
      <w:bookmarkStart w:id="4" w:name="_Toc419133813"/>
      <w:r w:rsidRPr="00EA6993">
        <w:rPr>
          <w:rFonts w:hint="eastAsia"/>
          <w:lang w:val="en-US" w:eastAsia="zh-CN"/>
        </w:rPr>
        <w:t>国际电</w:t>
      </w:r>
      <w:proofErr w:type="gramStart"/>
      <w:r w:rsidRPr="00EA6993">
        <w:rPr>
          <w:rFonts w:hint="eastAsia"/>
          <w:lang w:val="en-US" w:eastAsia="zh-CN"/>
        </w:rPr>
        <w:t>联电信</w:t>
      </w:r>
      <w:proofErr w:type="gramEnd"/>
      <w:r w:rsidRPr="00EA6993">
        <w:rPr>
          <w:rFonts w:hint="eastAsia"/>
          <w:lang w:val="en-US" w:eastAsia="zh-CN"/>
        </w:rPr>
        <w:t>展览部的成本回收</w:t>
      </w:r>
      <w:bookmarkEnd w:id="4"/>
    </w:p>
    <w:p w:rsidR="00DA4C74" w:rsidRPr="002F7EEB" w:rsidRDefault="00DA4C74" w:rsidP="00A348DD">
      <w:pPr>
        <w:rPr>
          <w:lang w:eastAsia="zh-CN"/>
        </w:rPr>
      </w:pPr>
      <w:r>
        <w:rPr>
          <w:rFonts w:cs="Arial"/>
          <w:lang w:val="en-US" w:eastAsia="zh-CN"/>
        </w:rPr>
        <w:t>6</w:t>
      </w:r>
      <w:r>
        <w:rPr>
          <w:rFonts w:cs="Arial"/>
          <w:lang w:val="en-US" w:eastAsia="zh-CN"/>
        </w:rPr>
        <w:tab/>
      </w:r>
      <w:r w:rsidRPr="00AD4800">
        <w:rPr>
          <w:rFonts w:hint="eastAsia"/>
          <w:lang w:eastAsia="zh-CN"/>
        </w:rPr>
        <w:t>“成本回收”是</w:t>
      </w:r>
      <w:r>
        <w:rPr>
          <w:rFonts w:hint="eastAsia"/>
          <w:lang w:eastAsia="zh-CN"/>
        </w:rPr>
        <w:t>一个</w:t>
      </w:r>
      <w:r w:rsidRPr="00AD4800">
        <w:rPr>
          <w:rFonts w:hint="eastAsia"/>
          <w:lang w:eastAsia="zh-CN"/>
        </w:rPr>
        <w:t>固定数额</w:t>
      </w:r>
      <w:r>
        <w:rPr>
          <w:rFonts w:hint="eastAsia"/>
          <w:lang w:eastAsia="zh-CN"/>
        </w:rPr>
        <w:t>，代表着支付</w:t>
      </w:r>
      <w:r w:rsidRPr="00AD4800">
        <w:rPr>
          <w:rFonts w:hint="eastAsia"/>
          <w:lang w:eastAsia="zh-CN"/>
        </w:rPr>
        <w:t>国际电联其它部门、处或科室</w:t>
      </w:r>
      <w:r>
        <w:rPr>
          <w:rFonts w:hint="eastAsia"/>
          <w:lang w:eastAsia="zh-CN"/>
        </w:rPr>
        <w:t>为</w:t>
      </w:r>
      <w:r w:rsidRPr="00AD4800">
        <w:rPr>
          <w:rFonts w:hint="eastAsia"/>
          <w:lang w:eastAsia="zh-CN"/>
        </w:rPr>
        <w:t>国际电联电信展览部提供服务的费用</w:t>
      </w:r>
      <w:r>
        <w:rPr>
          <w:rFonts w:hint="eastAsia"/>
          <w:lang w:eastAsia="zh-CN"/>
        </w:rPr>
        <w:t>。这是基于</w:t>
      </w:r>
      <w:r w:rsidRPr="00AD4800">
        <w:rPr>
          <w:rFonts w:hint="eastAsia"/>
          <w:lang w:eastAsia="zh-CN"/>
        </w:rPr>
        <w:t>人员薪酬</w:t>
      </w:r>
      <w:r>
        <w:rPr>
          <w:rFonts w:hint="eastAsia"/>
          <w:lang w:eastAsia="zh-CN"/>
        </w:rPr>
        <w:t>及</w:t>
      </w:r>
      <w:r w:rsidRPr="00AD4800">
        <w:rPr>
          <w:rFonts w:hint="eastAsia"/>
          <w:lang w:eastAsia="zh-CN"/>
        </w:rPr>
        <w:t>其它报酬以及国际电联职员履行与国际电联电信展相关职能所需的如计算机及其它</w:t>
      </w:r>
      <w:r w:rsidRPr="00AD4800">
        <w:rPr>
          <w:lang w:eastAsia="zh-CN"/>
        </w:rPr>
        <w:t>ICT</w:t>
      </w:r>
      <w:r w:rsidRPr="00AD4800">
        <w:rPr>
          <w:rFonts w:hint="eastAsia"/>
          <w:lang w:eastAsia="zh-CN"/>
        </w:rPr>
        <w:t>设备和材料、办公空间、家具、办公用品等其它要素的估算额。</w:t>
      </w:r>
      <w:r w:rsidR="007154DC">
        <w:rPr>
          <w:rFonts w:hint="eastAsia"/>
          <w:lang w:eastAsia="zh-CN"/>
        </w:rPr>
        <w:t>刚过去的</w:t>
      </w:r>
      <w:r>
        <w:rPr>
          <w:lang w:eastAsia="zh-CN"/>
        </w:rPr>
        <w:t>201</w:t>
      </w:r>
      <w:r w:rsidR="00065C56">
        <w:rPr>
          <w:lang w:eastAsia="zh-CN"/>
        </w:rPr>
        <w:t>8</w:t>
      </w:r>
      <w:r w:rsidRPr="00AD4800">
        <w:rPr>
          <w:rFonts w:hint="eastAsia"/>
          <w:lang w:eastAsia="zh-CN"/>
        </w:rPr>
        <w:t>和</w:t>
      </w:r>
      <w:r>
        <w:rPr>
          <w:lang w:eastAsia="zh-CN"/>
        </w:rPr>
        <w:t>201</w:t>
      </w:r>
      <w:r w:rsidR="00065C56">
        <w:rPr>
          <w:lang w:eastAsia="zh-CN"/>
        </w:rPr>
        <w:t>9</w:t>
      </w:r>
      <w:r w:rsidR="00904A5F">
        <w:rPr>
          <w:rFonts w:hint="eastAsia"/>
          <w:lang w:eastAsia="zh-CN"/>
        </w:rPr>
        <w:t>双年度电信展总秘书处预算中</w:t>
      </w:r>
      <w:r w:rsidRPr="00AD4800">
        <w:rPr>
          <w:rFonts w:hint="eastAsia"/>
          <w:lang w:eastAsia="zh-CN"/>
        </w:rPr>
        <w:t>每年的成本回收费为</w:t>
      </w:r>
      <w:r w:rsidRPr="00AD4800">
        <w:rPr>
          <w:lang w:eastAsia="zh-CN"/>
        </w:rPr>
        <w:t>150</w:t>
      </w:r>
      <w:proofErr w:type="gramStart"/>
      <w:r w:rsidRPr="00AD4800">
        <w:rPr>
          <w:rFonts w:hint="eastAsia"/>
          <w:lang w:eastAsia="zh-CN"/>
        </w:rPr>
        <w:t>万瑞</w:t>
      </w:r>
      <w:proofErr w:type="gramEnd"/>
      <w:r w:rsidRPr="00AD4800">
        <w:rPr>
          <w:rFonts w:hint="eastAsia"/>
          <w:lang w:eastAsia="zh-CN"/>
        </w:rPr>
        <w:t>郎</w:t>
      </w:r>
      <w:r w:rsidR="00904A5F">
        <w:rPr>
          <w:rFonts w:hint="eastAsia"/>
          <w:lang w:eastAsia="zh-CN"/>
        </w:rPr>
        <w:t>。</w:t>
      </w:r>
      <w:r w:rsidR="00065C56">
        <w:rPr>
          <w:rFonts w:hint="eastAsia"/>
          <w:lang w:eastAsia="zh-CN"/>
        </w:rPr>
        <w:t>自</w:t>
      </w:r>
      <w:r w:rsidR="00065C56">
        <w:rPr>
          <w:rFonts w:hint="eastAsia"/>
          <w:lang w:eastAsia="zh-CN"/>
        </w:rPr>
        <w:t>2014</w:t>
      </w:r>
      <w:r w:rsidR="00065C56">
        <w:rPr>
          <w:rFonts w:hint="eastAsia"/>
          <w:lang w:eastAsia="zh-CN"/>
        </w:rPr>
        <w:t>年</w:t>
      </w:r>
      <w:r w:rsidR="00065C56">
        <w:rPr>
          <w:lang w:eastAsia="zh-CN"/>
        </w:rPr>
        <w:t>以来，</w:t>
      </w:r>
      <w:r w:rsidR="00904A5F">
        <w:rPr>
          <w:rFonts w:hint="eastAsia"/>
          <w:lang w:eastAsia="zh-CN"/>
        </w:rPr>
        <w:t>每年都</w:t>
      </w:r>
      <w:r w:rsidR="007154DC">
        <w:rPr>
          <w:rFonts w:hint="eastAsia"/>
          <w:lang w:eastAsia="zh-CN"/>
        </w:rPr>
        <w:t>制定</w:t>
      </w:r>
      <w:r w:rsidR="00904A5F">
        <w:rPr>
          <w:rFonts w:hint="eastAsia"/>
          <w:lang w:eastAsia="zh-CN"/>
        </w:rPr>
        <w:t>相同的预算金额。但秘书长决定将</w:t>
      </w:r>
      <w:r w:rsidR="00904A5F">
        <w:rPr>
          <w:rFonts w:hint="eastAsia"/>
          <w:lang w:eastAsia="zh-CN"/>
        </w:rPr>
        <w:t>2018</w:t>
      </w:r>
      <w:r w:rsidR="00904A5F">
        <w:rPr>
          <w:rFonts w:hint="eastAsia"/>
          <w:lang w:eastAsia="zh-CN"/>
        </w:rPr>
        <w:t>年实际收取的成本回收金额降至</w:t>
      </w:r>
      <w:r w:rsidR="00904A5F">
        <w:rPr>
          <w:rFonts w:hint="eastAsia"/>
          <w:lang w:eastAsia="zh-CN"/>
        </w:rPr>
        <w:t>100</w:t>
      </w:r>
      <w:proofErr w:type="gramStart"/>
      <w:r w:rsidR="00904A5F">
        <w:rPr>
          <w:rFonts w:hint="eastAsia"/>
          <w:lang w:eastAsia="zh-CN"/>
        </w:rPr>
        <w:t>万瑞</w:t>
      </w:r>
      <w:proofErr w:type="gramEnd"/>
      <w:r w:rsidR="00904A5F">
        <w:rPr>
          <w:rFonts w:hint="eastAsia"/>
          <w:lang w:eastAsia="zh-CN"/>
        </w:rPr>
        <w:t>郎，以</w:t>
      </w:r>
      <w:r w:rsidR="002F7EEB" w:rsidRPr="002F7EEB">
        <w:rPr>
          <w:rFonts w:hint="eastAsia"/>
          <w:lang w:eastAsia="zh-CN"/>
        </w:rPr>
        <w:t>协助国际电</w:t>
      </w:r>
      <w:proofErr w:type="gramStart"/>
      <w:r w:rsidR="002F7EEB" w:rsidRPr="002F7EEB">
        <w:rPr>
          <w:rFonts w:hint="eastAsia"/>
          <w:lang w:eastAsia="zh-CN"/>
        </w:rPr>
        <w:t>联电信</w:t>
      </w:r>
      <w:proofErr w:type="gramEnd"/>
      <w:r w:rsidR="002F7EEB" w:rsidRPr="002F7EEB">
        <w:rPr>
          <w:rFonts w:hint="eastAsia"/>
          <w:lang w:eastAsia="zh-CN"/>
        </w:rPr>
        <w:t>展览部秘书处缓解</w:t>
      </w:r>
      <w:r w:rsidR="007339BF">
        <w:rPr>
          <w:rFonts w:hint="eastAsia"/>
          <w:lang w:eastAsia="zh-CN"/>
        </w:rPr>
        <w:t>2018</w:t>
      </w:r>
      <w:r w:rsidR="007339BF">
        <w:rPr>
          <w:rFonts w:hint="eastAsia"/>
          <w:lang w:eastAsia="zh-CN"/>
        </w:rPr>
        <w:t>年世界电信</w:t>
      </w:r>
      <w:proofErr w:type="gramStart"/>
      <w:r w:rsidR="007339BF">
        <w:rPr>
          <w:rFonts w:hint="eastAsia"/>
          <w:lang w:eastAsia="zh-CN"/>
        </w:rPr>
        <w:t>展面临</w:t>
      </w:r>
      <w:proofErr w:type="gramEnd"/>
      <w:r w:rsidR="007339BF">
        <w:rPr>
          <w:rFonts w:hint="eastAsia"/>
          <w:lang w:eastAsia="zh-CN"/>
        </w:rPr>
        <w:t>的困难。</w:t>
      </w:r>
      <w:r w:rsidR="007339BF" w:rsidRPr="007339BF">
        <w:rPr>
          <w:lang w:eastAsia="zh-CN"/>
        </w:rPr>
        <w:t>2020-2021</w:t>
      </w:r>
      <w:r w:rsidR="007339BF">
        <w:rPr>
          <w:rFonts w:hint="eastAsia"/>
          <w:lang w:eastAsia="zh-CN"/>
        </w:rPr>
        <w:t>年，</w:t>
      </w:r>
      <w:r w:rsidR="002F7EEB" w:rsidRPr="002F7EEB">
        <w:rPr>
          <w:rFonts w:hint="eastAsia"/>
          <w:lang w:eastAsia="zh-CN"/>
        </w:rPr>
        <w:t>将</w:t>
      </w:r>
      <w:r w:rsidR="007339BF">
        <w:rPr>
          <w:rFonts w:hint="eastAsia"/>
          <w:lang w:eastAsia="zh-CN"/>
        </w:rPr>
        <w:t>重新恢复每年</w:t>
      </w:r>
      <w:r w:rsidR="007339BF">
        <w:rPr>
          <w:rFonts w:hint="eastAsia"/>
          <w:lang w:eastAsia="zh-CN"/>
        </w:rPr>
        <w:t>150</w:t>
      </w:r>
      <w:r w:rsidR="007339BF">
        <w:rPr>
          <w:rFonts w:hint="eastAsia"/>
          <w:lang w:eastAsia="zh-CN"/>
        </w:rPr>
        <w:t>万瑞郎的预算内成本回收费。</w:t>
      </w:r>
    </w:p>
    <w:p w:rsidR="00DA4C74" w:rsidRPr="00EA6993" w:rsidRDefault="00DA4C74" w:rsidP="00A348DD">
      <w:pPr>
        <w:pStyle w:val="Headingb"/>
        <w:rPr>
          <w:lang w:val="en-US" w:eastAsia="zh-CN"/>
        </w:rPr>
      </w:pPr>
      <w:bookmarkStart w:id="5" w:name="_Toc419133814"/>
      <w:r w:rsidRPr="00EA6993">
        <w:rPr>
          <w:rFonts w:hint="eastAsia"/>
          <w:lang w:val="en-US" w:eastAsia="zh-CN"/>
        </w:rPr>
        <w:t>资源利用</w:t>
      </w:r>
      <w:bookmarkEnd w:id="5"/>
    </w:p>
    <w:p w:rsidR="00DA4C74" w:rsidRPr="00264155" w:rsidRDefault="00DA4C74" w:rsidP="00A348DD">
      <w:pPr>
        <w:rPr>
          <w:rFonts w:cs="Arial"/>
          <w:lang w:eastAsia="zh-CN"/>
        </w:rPr>
      </w:pPr>
      <w:r w:rsidRPr="00264155">
        <w:rPr>
          <w:rFonts w:cs="Arial"/>
          <w:lang w:eastAsia="zh-CN"/>
        </w:rPr>
        <w:t>7</w:t>
      </w:r>
      <w:r w:rsidRPr="00264155">
        <w:rPr>
          <w:rFonts w:cs="Arial"/>
          <w:lang w:eastAsia="zh-CN"/>
        </w:rPr>
        <w:tab/>
      </w:r>
      <w:r w:rsidRPr="00264155">
        <w:rPr>
          <w:rFonts w:hint="eastAsia"/>
          <w:lang w:eastAsia="zh-CN"/>
        </w:rPr>
        <w:t>国际电联电信展览部预算的核心支出由秘书处费用和国际电联成本回收</w:t>
      </w:r>
      <w:r>
        <w:rPr>
          <w:rFonts w:hint="eastAsia"/>
          <w:lang w:eastAsia="zh-CN"/>
        </w:rPr>
        <w:t>收费</w:t>
      </w:r>
      <w:r w:rsidRPr="00264155">
        <w:rPr>
          <w:rFonts w:hint="eastAsia"/>
          <w:lang w:eastAsia="zh-CN"/>
        </w:rPr>
        <w:t>组成。根据</w:t>
      </w:r>
      <w:r w:rsidR="002F7EEB">
        <w:rPr>
          <w:rFonts w:hint="eastAsia"/>
          <w:lang w:eastAsia="zh-CN"/>
        </w:rPr>
        <w:t>国际电</w:t>
      </w:r>
      <w:proofErr w:type="gramStart"/>
      <w:r w:rsidR="002F7EEB">
        <w:rPr>
          <w:rFonts w:hint="eastAsia"/>
          <w:lang w:eastAsia="zh-CN"/>
        </w:rPr>
        <w:t>联</w:t>
      </w:r>
      <w:r w:rsidR="002F7EEB">
        <w:rPr>
          <w:lang w:eastAsia="zh-CN"/>
        </w:rPr>
        <w:t>电信</w:t>
      </w:r>
      <w:proofErr w:type="gramEnd"/>
      <w:r w:rsidR="002F7EEB">
        <w:rPr>
          <w:lang w:eastAsia="zh-CN"/>
        </w:rPr>
        <w:t>展览部</w:t>
      </w:r>
      <w:r w:rsidRPr="00264155">
        <w:rPr>
          <w:rFonts w:hint="eastAsia"/>
          <w:lang w:eastAsia="zh-CN"/>
        </w:rPr>
        <w:t>职员为每项具体活动提供服务所花费的时间，将核心支出分配到国际电</w:t>
      </w:r>
      <w:proofErr w:type="gramStart"/>
      <w:r w:rsidRPr="00264155">
        <w:rPr>
          <w:rFonts w:hint="eastAsia"/>
          <w:lang w:eastAsia="zh-CN"/>
        </w:rPr>
        <w:t>联各项</w:t>
      </w:r>
      <w:proofErr w:type="gramEnd"/>
      <w:r w:rsidRPr="00264155">
        <w:rPr>
          <w:rFonts w:hint="eastAsia"/>
          <w:lang w:eastAsia="zh-CN"/>
        </w:rPr>
        <w:t>电信展览活动的预算中。</w:t>
      </w:r>
    </w:p>
    <w:p w:rsidR="00DA4C74" w:rsidRPr="00264155" w:rsidRDefault="00115478" w:rsidP="00A348DD">
      <w:pPr>
        <w:rPr>
          <w:rFonts w:cs="Arial"/>
          <w:lang w:eastAsia="zh-CN"/>
        </w:rPr>
      </w:pPr>
      <w:r>
        <w:rPr>
          <w:rFonts w:cs="Arial"/>
          <w:lang w:eastAsia="zh-CN"/>
        </w:rPr>
        <w:t>8</w:t>
      </w:r>
      <w:r w:rsidRPr="00264155">
        <w:rPr>
          <w:rFonts w:cs="Arial"/>
          <w:lang w:eastAsia="zh-CN"/>
        </w:rPr>
        <w:tab/>
      </w:r>
      <w:r w:rsidR="00DA4C74" w:rsidRPr="00264155">
        <w:rPr>
          <w:rFonts w:hint="eastAsia"/>
          <w:lang w:eastAsia="zh-CN"/>
        </w:rPr>
        <w:t>下表</w:t>
      </w:r>
      <w:r w:rsidR="00DA4C74" w:rsidRPr="00264155">
        <w:rPr>
          <w:lang w:eastAsia="zh-CN"/>
        </w:rPr>
        <w:t>3</w:t>
      </w:r>
      <w:r w:rsidR="00DA4C74" w:rsidRPr="00264155">
        <w:rPr>
          <w:rFonts w:hint="eastAsia"/>
          <w:lang w:eastAsia="zh-CN"/>
        </w:rPr>
        <w:t>列出了职员所花时间的百分比，以便根据基于结果的预算（</w:t>
      </w:r>
      <w:r w:rsidR="00DA4C74" w:rsidRPr="00264155">
        <w:rPr>
          <w:lang w:eastAsia="zh-CN"/>
        </w:rPr>
        <w:t>RBB</w:t>
      </w:r>
      <w:r w:rsidR="00DA4C74" w:rsidRPr="00264155">
        <w:rPr>
          <w:rFonts w:hint="eastAsia"/>
          <w:lang w:eastAsia="zh-CN"/>
        </w:rPr>
        <w:t>）将成本分配至相关输出成果。该表还显示出</w:t>
      </w:r>
      <w:r w:rsidR="00DA4C74">
        <w:rPr>
          <w:rFonts w:hint="eastAsia"/>
          <w:lang w:eastAsia="zh-CN"/>
        </w:rPr>
        <w:t>每项输出成果</w:t>
      </w:r>
      <w:r w:rsidR="00DA4C74" w:rsidRPr="00264155">
        <w:rPr>
          <w:rFonts w:hint="eastAsia"/>
          <w:lang w:eastAsia="zh-CN"/>
        </w:rPr>
        <w:t>相关</w:t>
      </w:r>
      <w:r w:rsidR="00DA4C74">
        <w:rPr>
          <w:rFonts w:hint="eastAsia"/>
          <w:lang w:eastAsia="zh-CN"/>
        </w:rPr>
        <w:t>成本</w:t>
      </w:r>
      <w:r w:rsidR="00DA4C74" w:rsidRPr="00264155">
        <w:rPr>
          <w:rFonts w:hint="eastAsia"/>
          <w:lang w:eastAsia="zh-CN"/>
        </w:rPr>
        <w:t>在整个电信展览部秘书处</w:t>
      </w:r>
      <w:r w:rsidR="00C330F0" w:rsidRPr="007339BF">
        <w:rPr>
          <w:lang w:eastAsia="zh-CN"/>
        </w:rPr>
        <w:t>2020-2021</w:t>
      </w:r>
      <w:r w:rsidR="00DA4C74" w:rsidRPr="00264155">
        <w:rPr>
          <w:rFonts w:hint="eastAsia"/>
          <w:lang w:eastAsia="zh-CN"/>
        </w:rPr>
        <w:t>年预算中的百分比。按照国际公共部门会计准则（</w:t>
      </w:r>
      <w:r w:rsidR="00DA4C74" w:rsidRPr="00264155">
        <w:rPr>
          <w:lang w:eastAsia="zh-CN"/>
        </w:rPr>
        <w:t>IPSAS</w:t>
      </w:r>
      <w:r w:rsidR="00DA4C74" w:rsidRPr="00264155">
        <w:rPr>
          <w:rFonts w:hint="eastAsia"/>
          <w:lang w:eastAsia="zh-CN"/>
        </w:rPr>
        <w:t>），所有活动账目均需于活动举行当年的</w:t>
      </w:r>
      <w:r w:rsidR="00DA4C74" w:rsidRPr="00264155">
        <w:rPr>
          <w:lang w:eastAsia="zh-CN"/>
        </w:rPr>
        <w:t>12</w:t>
      </w:r>
      <w:r w:rsidR="00DA4C74" w:rsidRPr="00264155">
        <w:rPr>
          <w:rFonts w:hint="eastAsia"/>
          <w:lang w:eastAsia="zh-CN"/>
        </w:rPr>
        <w:t>月</w:t>
      </w:r>
      <w:r w:rsidR="00DA4C74" w:rsidRPr="00264155">
        <w:rPr>
          <w:lang w:eastAsia="zh-CN"/>
        </w:rPr>
        <w:t>31</w:t>
      </w:r>
      <w:r w:rsidR="00DA4C74" w:rsidRPr="00264155">
        <w:rPr>
          <w:rFonts w:hint="eastAsia"/>
          <w:lang w:eastAsia="zh-CN"/>
        </w:rPr>
        <w:t>日结账。</w:t>
      </w:r>
    </w:p>
    <w:p w:rsidR="00A348DD" w:rsidRDefault="00A348DD">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DA4C74" w:rsidRPr="00FB0003" w:rsidRDefault="00DA4C74" w:rsidP="00DA4C74">
      <w:pPr>
        <w:pStyle w:val="TableNo"/>
        <w:rPr>
          <w:lang w:eastAsia="zh-CN"/>
        </w:rPr>
      </w:pPr>
      <w:r w:rsidRPr="00FB0003">
        <w:rPr>
          <w:lang w:eastAsia="zh-CN"/>
        </w:rPr>
        <w:lastRenderedPageBreak/>
        <w:t>表</w:t>
      </w:r>
      <w:r w:rsidRPr="00FB0003">
        <w:rPr>
          <w:lang w:eastAsia="zh-CN"/>
        </w:rPr>
        <w:t>3</w:t>
      </w:r>
    </w:p>
    <w:p w:rsidR="00DA4C74" w:rsidRDefault="00DA4C74" w:rsidP="00DA4C74">
      <w:pPr>
        <w:pStyle w:val="TableTitle0"/>
        <w:rPr>
          <w:lang w:eastAsia="zh-CN"/>
        </w:rPr>
      </w:pPr>
      <w:r w:rsidRPr="00FB0003">
        <w:rPr>
          <w:rFonts w:ascii="SimSun" w:eastAsia="SimSun" w:hAnsi="SimSun" w:cs="SimSun" w:hint="eastAsia"/>
          <w:lang w:eastAsia="zh-CN"/>
        </w:rPr>
        <w:t>根据输出成果进行的时间分配</w:t>
      </w:r>
    </w:p>
    <w:tbl>
      <w:tblPr>
        <w:tblW w:w="5000" w:type="pct"/>
        <w:tblInd w:w="108" w:type="dxa"/>
        <w:tblLook w:val="04A0" w:firstRow="1" w:lastRow="0" w:firstColumn="1" w:lastColumn="0" w:noHBand="0" w:noVBand="1"/>
      </w:tblPr>
      <w:tblGrid>
        <w:gridCol w:w="318"/>
        <w:gridCol w:w="3271"/>
        <w:gridCol w:w="1101"/>
        <w:gridCol w:w="1349"/>
        <w:gridCol w:w="1101"/>
        <w:gridCol w:w="1349"/>
        <w:gridCol w:w="1623"/>
      </w:tblGrid>
      <w:tr w:rsidR="00A94A38" w:rsidRPr="00A94A38" w:rsidTr="00743B0B">
        <w:trPr>
          <w:trHeight w:val="290"/>
        </w:trPr>
        <w:tc>
          <w:tcPr>
            <w:tcW w:w="318" w:type="dxa"/>
            <w:tcBorders>
              <w:top w:val="single" w:sz="6" w:space="0" w:color="auto"/>
            </w:tcBorders>
            <w:shd w:val="clear" w:color="auto" w:fill="DCE6F1"/>
            <w:noWrap/>
            <w:vAlign w:val="bottom"/>
            <w:hideMark/>
          </w:tcPr>
          <w:p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3271" w:type="dxa"/>
            <w:tcBorders>
              <w:top w:val="single" w:sz="6" w:space="0" w:color="auto"/>
            </w:tcBorders>
            <w:shd w:val="clear" w:color="auto" w:fill="DCE6F1"/>
            <w:noWrap/>
            <w:vAlign w:val="bottom"/>
            <w:hideMark/>
          </w:tcPr>
          <w:p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6523" w:type="dxa"/>
            <w:gridSpan w:val="5"/>
            <w:tcBorders>
              <w:top w:val="single" w:sz="6" w:space="0" w:color="auto"/>
              <w:left w:val="nil"/>
              <w:bottom w:val="nil"/>
              <w:right w:val="nil"/>
            </w:tcBorders>
            <w:shd w:val="clear" w:color="auto" w:fill="DCE6F1"/>
            <w:noWrap/>
            <w:vAlign w:val="bottom"/>
            <w:hideMark/>
          </w:tcPr>
          <w:p w:rsidR="00DA4C74" w:rsidRPr="00A94A38" w:rsidRDefault="00DA4C74" w:rsidP="009A3AD4">
            <w:pPr>
              <w:jc w:val="right"/>
              <w:rPr>
                <w:rFonts w:cs="Arial"/>
                <w:b/>
                <w:i/>
                <w:iCs/>
                <w:color w:val="1F497D" w:themeColor="text2"/>
                <w:sz w:val="20"/>
                <w:lang w:eastAsia="zh-CN"/>
              </w:rPr>
            </w:pPr>
            <w:r w:rsidRPr="00A94A38">
              <w:rPr>
                <w:rFonts w:ascii="STKaiti" w:eastAsia="STKaiti" w:hAnsi="STKaiti" w:hint="eastAsia"/>
                <w:b/>
                <w:color w:val="1F497D" w:themeColor="text2"/>
                <w:sz w:val="20"/>
                <w:lang w:val="en-US" w:eastAsia="zh-CN"/>
              </w:rPr>
              <w:t>单位：</w:t>
            </w:r>
            <w:proofErr w:type="gramStart"/>
            <w:r w:rsidRPr="00A94A38">
              <w:rPr>
                <w:rFonts w:ascii="STKaiti" w:eastAsia="STKaiti" w:hAnsi="STKaiti" w:hint="eastAsia"/>
                <w:b/>
                <w:color w:val="1F497D" w:themeColor="text2"/>
                <w:sz w:val="20"/>
                <w:lang w:val="en-US" w:eastAsia="zh-CN"/>
              </w:rPr>
              <w:t>千瑞郎</w:t>
            </w:r>
            <w:proofErr w:type="gramEnd"/>
          </w:p>
        </w:tc>
      </w:tr>
      <w:tr w:rsidR="00A94A38" w:rsidRPr="00A94A38" w:rsidTr="00743B0B">
        <w:trPr>
          <w:trHeight w:val="240"/>
        </w:trPr>
        <w:tc>
          <w:tcPr>
            <w:tcW w:w="318" w:type="dxa"/>
            <w:shd w:val="clear" w:color="auto" w:fill="DCE6F1"/>
            <w:noWrap/>
            <w:vAlign w:val="bottom"/>
            <w:hideMark/>
          </w:tcPr>
          <w:p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3271" w:type="dxa"/>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hint="eastAsia"/>
                <w:b/>
                <w:bCs/>
                <w:color w:val="1F497D" w:themeColor="text2"/>
                <w:sz w:val="20"/>
                <w:lang w:eastAsia="zh-CN"/>
              </w:rPr>
              <w:t>输出成果</w:t>
            </w:r>
          </w:p>
        </w:tc>
        <w:tc>
          <w:tcPr>
            <w:tcW w:w="1101" w:type="dxa"/>
            <w:shd w:val="clear" w:color="auto" w:fill="DCE6F1"/>
            <w:noWrap/>
            <w:vAlign w:val="bottom"/>
            <w:hideMark/>
          </w:tcPr>
          <w:p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20</w:t>
            </w:r>
            <w:r w:rsidR="00DA4C74" w:rsidRPr="00A94A38">
              <w:rPr>
                <w:rFonts w:cs="Arial" w:hint="eastAsia"/>
                <w:b/>
                <w:bCs/>
                <w:color w:val="1F497D" w:themeColor="text2"/>
                <w:sz w:val="20"/>
                <w:lang w:eastAsia="zh-CN"/>
              </w:rPr>
              <w:t>年</w:t>
            </w:r>
          </w:p>
        </w:tc>
        <w:tc>
          <w:tcPr>
            <w:tcW w:w="1349" w:type="dxa"/>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shd w:val="clear" w:color="auto" w:fill="DCE6F1"/>
            <w:noWrap/>
            <w:vAlign w:val="bottom"/>
            <w:hideMark/>
          </w:tcPr>
          <w:p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Pr="00A94A38">
              <w:rPr>
                <w:rFonts w:cs="Arial"/>
                <w:b/>
                <w:bCs/>
                <w:color w:val="1F497D" w:themeColor="text2"/>
                <w:sz w:val="20"/>
                <w:lang w:eastAsia="zh-CN"/>
              </w:rPr>
              <w:t>1</w:t>
            </w:r>
            <w:r w:rsidR="00DA4C74" w:rsidRPr="00A94A38">
              <w:rPr>
                <w:rFonts w:cs="Arial" w:hint="eastAsia"/>
                <w:b/>
                <w:bCs/>
                <w:color w:val="1F497D" w:themeColor="text2"/>
                <w:sz w:val="20"/>
                <w:lang w:eastAsia="zh-CN"/>
              </w:rPr>
              <w:t>年</w:t>
            </w:r>
          </w:p>
        </w:tc>
        <w:tc>
          <w:tcPr>
            <w:tcW w:w="1349" w:type="dxa"/>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623" w:type="dxa"/>
            <w:shd w:val="clear" w:color="auto" w:fill="DCE6F1"/>
            <w:noWrap/>
            <w:vAlign w:val="bottom"/>
            <w:hideMark/>
          </w:tcPr>
          <w:p w:rsidR="00DA4C74" w:rsidRPr="00A94A38" w:rsidRDefault="004D0572" w:rsidP="00C330F0">
            <w:pPr>
              <w:jc w:val="center"/>
              <w:rPr>
                <w:rFonts w:cs="Arial"/>
                <w:b/>
                <w:bCs/>
                <w:color w:val="1F497D" w:themeColor="text2"/>
                <w:sz w:val="20"/>
                <w:lang w:eastAsia="zh-CN"/>
              </w:rPr>
            </w:pPr>
            <w:r w:rsidRPr="00A94A38">
              <w:rPr>
                <w:rFonts w:cs="Arial"/>
                <w:b/>
                <w:bCs/>
                <w:color w:val="1F497D" w:themeColor="text2"/>
                <w:sz w:val="20"/>
                <w:lang w:eastAsia="zh-CN"/>
              </w:rPr>
              <w:t>20</w:t>
            </w:r>
            <w:r w:rsidR="00C330F0" w:rsidRPr="00A94A38">
              <w:rPr>
                <w:rFonts w:cs="Arial"/>
                <w:b/>
                <w:bCs/>
                <w:color w:val="1F497D" w:themeColor="text2"/>
                <w:sz w:val="20"/>
                <w:lang w:eastAsia="zh-CN"/>
              </w:rPr>
              <w:t>20</w:t>
            </w:r>
            <w:r w:rsidRPr="00A94A38">
              <w:rPr>
                <w:rFonts w:cs="Arial"/>
                <w:b/>
                <w:bCs/>
                <w:color w:val="1F497D" w:themeColor="text2"/>
                <w:sz w:val="20"/>
                <w:lang w:eastAsia="zh-CN"/>
              </w:rPr>
              <w:t>-20</w:t>
            </w:r>
            <w:r w:rsidR="00C330F0" w:rsidRPr="00A94A38">
              <w:rPr>
                <w:rFonts w:cs="Arial"/>
                <w:b/>
                <w:bCs/>
                <w:color w:val="1F497D" w:themeColor="text2"/>
                <w:sz w:val="20"/>
                <w:lang w:eastAsia="zh-CN"/>
              </w:rPr>
              <w:t>2</w:t>
            </w:r>
            <w:r w:rsidRPr="00A94A38">
              <w:rPr>
                <w:rFonts w:cs="Arial"/>
                <w:b/>
                <w:bCs/>
                <w:color w:val="1F497D" w:themeColor="text2"/>
                <w:sz w:val="20"/>
                <w:lang w:eastAsia="zh-CN"/>
              </w:rPr>
              <w:t>1</w:t>
            </w:r>
            <w:r w:rsidR="00DA4C74" w:rsidRPr="00A94A38">
              <w:rPr>
                <w:rFonts w:cs="Arial" w:hint="eastAsia"/>
                <w:b/>
                <w:bCs/>
                <w:color w:val="1F497D" w:themeColor="text2"/>
                <w:sz w:val="20"/>
                <w:lang w:eastAsia="zh-CN"/>
              </w:rPr>
              <w:t>年</w:t>
            </w:r>
          </w:p>
        </w:tc>
      </w:tr>
      <w:tr w:rsidR="00A94A38" w:rsidRPr="00A94A38" w:rsidTr="00743B0B">
        <w:trPr>
          <w:trHeight w:val="240"/>
        </w:trPr>
        <w:tc>
          <w:tcPr>
            <w:tcW w:w="318" w:type="dxa"/>
            <w:shd w:val="clear" w:color="auto" w:fill="DCE6F1"/>
            <w:noWrap/>
            <w:vAlign w:val="bottom"/>
            <w:hideMark/>
          </w:tcPr>
          <w:p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3271" w:type="dxa"/>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shd w:val="clear" w:color="auto" w:fill="DCE6F1"/>
            <w:noWrap/>
            <w:vAlign w:val="bottom"/>
            <w:hideMark/>
          </w:tcPr>
          <w:p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人员时间</w:t>
            </w:r>
          </w:p>
        </w:tc>
        <w:tc>
          <w:tcPr>
            <w:tcW w:w="1349" w:type="dxa"/>
            <w:shd w:val="clear" w:color="auto" w:fill="DCE6F1"/>
            <w:noWrap/>
            <w:vAlign w:val="bottom"/>
            <w:hideMark/>
          </w:tcPr>
          <w:p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费用</w:t>
            </w:r>
          </w:p>
        </w:tc>
        <w:tc>
          <w:tcPr>
            <w:tcW w:w="1101" w:type="dxa"/>
            <w:shd w:val="clear" w:color="auto" w:fill="DCE6F1"/>
            <w:noWrap/>
            <w:vAlign w:val="bottom"/>
            <w:hideMark/>
          </w:tcPr>
          <w:p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人员时间</w:t>
            </w:r>
          </w:p>
        </w:tc>
        <w:tc>
          <w:tcPr>
            <w:tcW w:w="1349" w:type="dxa"/>
            <w:shd w:val="clear" w:color="auto" w:fill="DCE6F1"/>
            <w:noWrap/>
            <w:vAlign w:val="bottom"/>
            <w:hideMark/>
          </w:tcPr>
          <w:p w:rsidR="00DA4C74" w:rsidRPr="00A94A38" w:rsidRDefault="00DA4C74" w:rsidP="009A3AD4">
            <w:pPr>
              <w:pStyle w:val="Tablehead"/>
              <w:spacing w:before="0" w:after="0"/>
              <w:rPr>
                <w:bCs/>
                <w:color w:val="1F497D" w:themeColor="text2"/>
                <w:sz w:val="20"/>
                <w:lang w:val="en-US" w:eastAsia="zh-CN"/>
              </w:rPr>
            </w:pPr>
            <w:r w:rsidRPr="00A94A38">
              <w:rPr>
                <w:rFonts w:hint="eastAsia"/>
                <w:bCs/>
                <w:color w:val="1F497D" w:themeColor="text2"/>
                <w:sz w:val="20"/>
                <w:lang w:val="en-US" w:eastAsia="zh-CN"/>
              </w:rPr>
              <w:t>费用</w:t>
            </w:r>
          </w:p>
        </w:tc>
        <w:tc>
          <w:tcPr>
            <w:tcW w:w="1623" w:type="dxa"/>
            <w:shd w:val="clear" w:color="auto" w:fill="DCE6F1"/>
            <w:noWrap/>
            <w:vAlign w:val="bottom"/>
            <w:hideMark/>
          </w:tcPr>
          <w:p w:rsidR="00DA4C74" w:rsidRPr="00A94A38" w:rsidRDefault="00DA4C74" w:rsidP="009A3AD4">
            <w:pPr>
              <w:pStyle w:val="Tablehead"/>
              <w:spacing w:before="0" w:after="0"/>
              <w:rPr>
                <w:bCs/>
                <w:color w:val="1F497D" w:themeColor="text2"/>
                <w:sz w:val="20"/>
                <w:lang w:val="en-US" w:eastAsia="zh-CN"/>
              </w:rPr>
            </w:pPr>
            <w:proofErr w:type="gramStart"/>
            <w:r w:rsidRPr="00A94A38">
              <w:rPr>
                <w:rFonts w:hint="eastAsia"/>
                <w:bCs/>
                <w:color w:val="1F497D" w:themeColor="text2"/>
                <w:sz w:val="20"/>
                <w:lang w:val="en-US" w:eastAsia="zh-CN"/>
              </w:rPr>
              <w:t>总核心</w:t>
            </w:r>
            <w:proofErr w:type="gramEnd"/>
            <w:r w:rsidRPr="00A94A38">
              <w:rPr>
                <w:rFonts w:hint="eastAsia"/>
                <w:bCs/>
                <w:color w:val="1F497D" w:themeColor="text2"/>
                <w:sz w:val="20"/>
                <w:lang w:val="en-US" w:eastAsia="zh-CN"/>
              </w:rPr>
              <w:t>费用</w:t>
            </w:r>
          </w:p>
        </w:tc>
      </w:tr>
      <w:tr w:rsidR="00A94A38" w:rsidRPr="00A94A38" w:rsidTr="00743B0B">
        <w:trPr>
          <w:trHeight w:val="240"/>
        </w:trPr>
        <w:tc>
          <w:tcPr>
            <w:tcW w:w="318" w:type="dxa"/>
            <w:tcBorders>
              <w:top w:val="nil"/>
              <w:left w:val="nil"/>
              <w:bottom w:val="single" w:sz="6" w:space="0" w:color="auto"/>
              <w:right w:val="nil"/>
            </w:tcBorders>
            <w:shd w:val="clear" w:color="auto" w:fill="DCE6F1"/>
            <w:noWrap/>
            <w:vAlign w:val="bottom"/>
            <w:hideMark/>
          </w:tcPr>
          <w:p w:rsidR="00DA4C74" w:rsidRPr="00A94A38" w:rsidRDefault="00DA4C74" w:rsidP="009A3AD4">
            <w:pPr>
              <w:rPr>
                <w:rFonts w:cs="Arial"/>
                <w:color w:val="1F497D" w:themeColor="text2"/>
                <w:sz w:val="20"/>
                <w:lang w:eastAsia="zh-CN"/>
              </w:rPr>
            </w:pPr>
            <w:r w:rsidRPr="00A94A38">
              <w:rPr>
                <w:rFonts w:cs="Arial"/>
                <w:color w:val="1F497D" w:themeColor="text2"/>
                <w:sz w:val="20"/>
                <w:lang w:eastAsia="zh-CN"/>
              </w:rPr>
              <w:t> </w:t>
            </w:r>
          </w:p>
        </w:tc>
        <w:tc>
          <w:tcPr>
            <w:tcW w:w="3271"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w:t>
            </w:r>
          </w:p>
        </w:tc>
        <w:tc>
          <w:tcPr>
            <w:tcW w:w="1349"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101"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w:t>
            </w:r>
          </w:p>
        </w:tc>
        <w:tc>
          <w:tcPr>
            <w:tcW w:w="1349"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c>
          <w:tcPr>
            <w:tcW w:w="1623" w:type="dxa"/>
            <w:tcBorders>
              <w:top w:val="nil"/>
              <w:left w:val="nil"/>
              <w:bottom w:val="single" w:sz="6" w:space="0" w:color="auto"/>
              <w:right w:val="nil"/>
            </w:tcBorders>
            <w:shd w:val="clear" w:color="auto" w:fill="DCE6F1"/>
            <w:noWrap/>
            <w:vAlign w:val="bottom"/>
            <w:hideMark/>
          </w:tcPr>
          <w:p w:rsidR="00DA4C74" w:rsidRPr="00A94A38" w:rsidRDefault="00DA4C74" w:rsidP="009A3AD4">
            <w:pPr>
              <w:jc w:val="center"/>
              <w:rPr>
                <w:rFonts w:cs="Arial"/>
                <w:b/>
                <w:bCs/>
                <w:color w:val="1F497D" w:themeColor="text2"/>
                <w:sz w:val="20"/>
                <w:lang w:eastAsia="zh-CN"/>
              </w:rPr>
            </w:pPr>
            <w:r w:rsidRPr="00A94A38">
              <w:rPr>
                <w:rFonts w:cs="Arial"/>
                <w:b/>
                <w:bCs/>
                <w:color w:val="1F497D" w:themeColor="text2"/>
                <w:sz w:val="20"/>
                <w:lang w:eastAsia="zh-CN"/>
              </w:rPr>
              <w:t> </w:t>
            </w:r>
          </w:p>
        </w:tc>
      </w:tr>
      <w:tr w:rsidR="0020345F" w:rsidRPr="00FD27EC" w:rsidTr="00743B0B">
        <w:trPr>
          <w:trHeight w:val="363"/>
        </w:trPr>
        <w:tc>
          <w:tcPr>
            <w:tcW w:w="318" w:type="dxa"/>
            <w:tcBorders>
              <w:top w:val="single" w:sz="6" w:space="0" w:color="auto"/>
            </w:tcBorders>
            <w:noWrap/>
            <w:vAlign w:val="bottom"/>
            <w:hideMark/>
          </w:tcPr>
          <w:p w:rsidR="0020345F" w:rsidRPr="00FD27EC" w:rsidRDefault="0020345F" w:rsidP="0020345F">
            <w:pPr>
              <w:jc w:val="center"/>
              <w:rPr>
                <w:rFonts w:cs="Arial"/>
                <w:sz w:val="20"/>
                <w:lang w:eastAsia="zh-CN"/>
              </w:rPr>
            </w:pPr>
            <w:r w:rsidRPr="00FD27EC">
              <w:rPr>
                <w:rFonts w:cs="Arial"/>
                <w:sz w:val="20"/>
                <w:lang w:eastAsia="zh-CN"/>
              </w:rPr>
              <w:t>1</w:t>
            </w:r>
          </w:p>
        </w:tc>
        <w:tc>
          <w:tcPr>
            <w:tcW w:w="3271" w:type="dxa"/>
            <w:tcBorders>
              <w:top w:val="single" w:sz="6" w:space="0" w:color="auto"/>
            </w:tcBorders>
            <w:noWrap/>
            <w:vAlign w:val="bottom"/>
            <w:hideMark/>
          </w:tcPr>
          <w:p w:rsidR="0020345F" w:rsidRPr="00FD27EC" w:rsidRDefault="0020345F" w:rsidP="0020345F">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20</w:t>
            </w:r>
            <w:r w:rsidRPr="00FD27EC">
              <w:rPr>
                <w:rFonts w:hint="eastAsia"/>
                <w:sz w:val="20"/>
                <w:lang w:val="en-US" w:eastAsia="zh-CN"/>
              </w:rPr>
              <w:t>年世界电信展</w:t>
            </w:r>
          </w:p>
        </w:tc>
        <w:tc>
          <w:tcPr>
            <w:tcW w:w="1101" w:type="dxa"/>
            <w:tcBorders>
              <w:top w:val="single" w:sz="6" w:space="0" w:color="auto"/>
            </w:tcBorders>
            <w:noWrap/>
            <w:vAlign w:val="bottom"/>
            <w:hideMark/>
          </w:tcPr>
          <w:p w:rsidR="0020345F" w:rsidRDefault="0020345F" w:rsidP="0020345F">
            <w:pPr>
              <w:tabs>
                <w:tab w:val="clear" w:pos="794"/>
                <w:tab w:val="clear" w:pos="1191"/>
                <w:tab w:val="clear" w:pos="1588"/>
                <w:tab w:val="clear" w:pos="1985"/>
              </w:tabs>
              <w:overflowPunct/>
              <w:autoSpaceDE/>
              <w:autoSpaceDN/>
              <w:adjustRightInd/>
              <w:spacing w:before="0"/>
              <w:jc w:val="right"/>
              <w:textAlignment w:val="auto"/>
              <w:rPr>
                <w:rFonts w:cs="Calibri"/>
                <w:sz w:val="20"/>
                <w:lang w:eastAsia="zh-CN"/>
              </w:rPr>
            </w:pPr>
            <w:r>
              <w:rPr>
                <w:rFonts w:cs="Calibri"/>
                <w:sz w:val="20"/>
              </w:rPr>
              <w:t>80%</w:t>
            </w:r>
          </w:p>
        </w:tc>
        <w:tc>
          <w:tcPr>
            <w:tcW w:w="1349" w:type="dxa"/>
            <w:tcBorders>
              <w:top w:val="single" w:sz="6" w:space="0" w:color="auto"/>
            </w:tcBorders>
            <w:noWrap/>
            <w:vAlign w:val="bottom"/>
            <w:hideMark/>
          </w:tcPr>
          <w:p w:rsidR="0020345F" w:rsidRDefault="0020345F" w:rsidP="00A348DD">
            <w:pPr>
              <w:jc w:val="center"/>
              <w:rPr>
                <w:rFonts w:cs="Calibri"/>
                <w:sz w:val="20"/>
              </w:rPr>
            </w:pPr>
            <w:r>
              <w:rPr>
                <w:rFonts w:cs="Calibri"/>
                <w:sz w:val="20"/>
              </w:rPr>
              <w:t>4,108</w:t>
            </w:r>
          </w:p>
        </w:tc>
        <w:tc>
          <w:tcPr>
            <w:tcW w:w="1101" w:type="dxa"/>
            <w:tcBorders>
              <w:top w:val="single" w:sz="6" w:space="0" w:color="auto"/>
            </w:tcBorders>
            <w:noWrap/>
            <w:vAlign w:val="bottom"/>
            <w:hideMark/>
          </w:tcPr>
          <w:p w:rsidR="0020345F" w:rsidRDefault="0020345F" w:rsidP="0020345F">
            <w:pPr>
              <w:jc w:val="right"/>
              <w:rPr>
                <w:rFonts w:cs="Calibri"/>
                <w:sz w:val="20"/>
              </w:rPr>
            </w:pPr>
          </w:p>
        </w:tc>
        <w:tc>
          <w:tcPr>
            <w:tcW w:w="1349" w:type="dxa"/>
            <w:tcBorders>
              <w:top w:val="single" w:sz="6" w:space="0" w:color="auto"/>
            </w:tcBorders>
            <w:noWrap/>
            <w:vAlign w:val="bottom"/>
            <w:hideMark/>
          </w:tcPr>
          <w:p w:rsidR="0020345F" w:rsidRDefault="0020345F" w:rsidP="00A348DD">
            <w:pPr>
              <w:jc w:val="center"/>
              <w:rPr>
                <w:sz w:val="20"/>
              </w:rPr>
            </w:pPr>
          </w:p>
        </w:tc>
        <w:tc>
          <w:tcPr>
            <w:tcW w:w="1623" w:type="dxa"/>
            <w:tcBorders>
              <w:top w:val="single" w:sz="6" w:space="0" w:color="auto"/>
            </w:tcBorders>
            <w:noWrap/>
            <w:vAlign w:val="bottom"/>
            <w:hideMark/>
          </w:tcPr>
          <w:p w:rsidR="0020345F" w:rsidRDefault="0020345F" w:rsidP="0020345F">
            <w:pPr>
              <w:jc w:val="right"/>
              <w:rPr>
                <w:rFonts w:cs="Calibri"/>
                <w:sz w:val="20"/>
              </w:rPr>
            </w:pPr>
            <w:r>
              <w:rPr>
                <w:rFonts w:cs="Calibri"/>
                <w:sz w:val="20"/>
              </w:rPr>
              <w:t xml:space="preserve">4,108 </w:t>
            </w:r>
          </w:p>
        </w:tc>
      </w:tr>
      <w:tr w:rsidR="0020345F" w:rsidRPr="00FD27EC" w:rsidTr="00743B0B">
        <w:trPr>
          <w:trHeight w:val="363"/>
        </w:trPr>
        <w:tc>
          <w:tcPr>
            <w:tcW w:w="318" w:type="dxa"/>
            <w:noWrap/>
            <w:vAlign w:val="bottom"/>
            <w:hideMark/>
          </w:tcPr>
          <w:p w:rsidR="0020345F" w:rsidRPr="00FD27EC" w:rsidRDefault="0020345F" w:rsidP="0020345F">
            <w:pPr>
              <w:jc w:val="center"/>
              <w:rPr>
                <w:rFonts w:cs="Arial"/>
                <w:sz w:val="20"/>
                <w:lang w:eastAsia="zh-CN"/>
              </w:rPr>
            </w:pPr>
            <w:r w:rsidRPr="00FD27EC">
              <w:rPr>
                <w:rFonts w:cs="Arial"/>
                <w:sz w:val="20"/>
                <w:lang w:eastAsia="zh-CN"/>
              </w:rPr>
              <w:t>2</w:t>
            </w:r>
          </w:p>
        </w:tc>
        <w:tc>
          <w:tcPr>
            <w:tcW w:w="3271" w:type="dxa"/>
            <w:noWrap/>
            <w:vAlign w:val="bottom"/>
            <w:hideMark/>
          </w:tcPr>
          <w:p w:rsidR="0020345F" w:rsidRPr="00FD27EC" w:rsidRDefault="0020345F" w:rsidP="0020345F">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21</w:t>
            </w:r>
            <w:r w:rsidRPr="00FD27EC">
              <w:rPr>
                <w:rFonts w:hint="eastAsia"/>
                <w:sz w:val="20"/>
                <w:lang w:val="en-US" w:eastAsia="zh-CN"/>
              </w:rPr>
              <w:t>年世界电信展</w:t>
            </w:r>
          </w:p>
        </w:tc>
        <w:tc>
          <w:tcPr>
            <w:tcW w:w="1101" w:type="dxa"/>
            <w:noWrap/>
            <w:vAlign w:val="bottom"/>
            <w:hideMark/>
          </w:tcPr>
          <w:p w:rsidR="0020345F" w:rsidRDefault="0020345F" w:rsidP="0020345F">
            <w:pPr>
              <w:jc w:val="right"/>
              <w:rPr>
                <w:rFonts w:cs="Calibri"/>
                <w:sz w:val="20"/>
              </w:rPr>
            </w:pPr>
            <w:r>
              <w:rPr>
                <w:rFonts w:cs="Calibri"/>
                <w:sz w:val="20"/>
              </w:rPr>
              <w:t>10%</w:t>
            </w:r>
          </w:p>
        </w:tc>
        <w:tc>
          <w:tcPr>
            <w:tcW w:w="1349" w:type="dxa"/>
            <w:noWrap/>
            <w:vAlign w:val="bottom"/>
            <w:hideMark/>
          </w:tcPr>
          <w:p w:rsidR="0020345F" w:rsidRDefault="0020345F" w:rsidP="00A348DD">
            <w:pPr>
              <w:jc w:val="center"/>
              <w:rPr>
                <w:rFonts w:cs="Calibri"/>
                <w:sz w:val="20"/>
              </w:rPr>
            </w:pPr>
            <w:r>
              <w:rPr>
                <w:rFonts w:cs="Calibri"/>
                <w:sz w:val="20"/>
              </w:rPr>
              <w:t>514</w:t>
            </w:r>
          </w:p>
        </w:tc>
        <w:tc>
          <w:tcPr>
            <w:tcW w:w="1101" w:type="dxa"/>
            <w:noWrap/>
            <w:vAlign w:val="bottom"/>
            <w:hideMark/>
          </w:tcPr>
          <w:p w:rsidR="0020345F" w:rsidRDefault="0020345F" w:rsidP="0020345F">
            <w:pPr>
              <w:jc w:val="right"/>
              <w:rPr>
                <w:rFonts w:cs="Calibri"/>
                <w:sz w:val="20"/>
              </w:rPr>
            </w:pPr>
            <w:r>
              <w:rPr>
                <w:rFonts w:cs="Calibri"/>
                <w:sz w:val="20"/>
              </w:rPr>
              <w:t>80%</w:t>
            </w:r>
          </w:p>
        </w:tc>
        <w:tc>
          <w:tcPr>
            <w:tcW w:w="1349" w:type="dxa"/>
            <w:noWrap/>
            <w:vAlign w:val="bottom"/>
            <w:hideMark/>
          </w:tcPr>
          <w:p w:rsidR="0020345F" w:rsidRDefault="0020345F" w:rsidP="00A348DD">
            <w:pPr>
              <w:jc w:val="center"/>
              <w:rPr>
                <w:rFonts w:cs="Calibri"/>
                <w:sz w:val="20"/>
              </w:rPr>
            </w:pPr>
            <w:r>
              <w:rPr>
                <w:rFonts w:cs="Calibri"/>
                <w:sz w:val="20"/>
              </w:rPr>
              <w:t>4,108</w:t>
            </w:r>
          </w:p>
        </w:tc>
        <w:tc>
          <w:tcPr>
            <w:tcW w:w="1623" w:type="dxa"/>
            <w:noWrap/>
            <w:vAlign w:val="bottom"/>
            <w:hideMark/>
          </w:tcPr>
          <w:p w:rsidR="0020345F" w:rsidRDefault="0020345F" w:rsidP="0020345F">
            <w:pPr>
              <w:jc w:val="right"/>
              <w:rPr>
                <w:rFonts w:cs="Calibri"/>
                <w:sz w:val="20"/>
              </w:rPr>
            </w:pPr>
            <w:r>
              <w:rPr>
                <w:rFonts w:cs="Calibri"/>
                <w:sz w:val="20"/>
              </w:rPr>
              <w:t xml:space="preserve">4,622 </w:t>
            </w:r>
          </w:p>
        </w:tc>
      </w:tr>
      <w:tr w:rsidR="0020345F" w:rsidRPr="00FD27EC" w:rsidTr="00743B0B">
        <w:trPr>
          <w:trHeight w:val="363"/>
        </w:trPr>
        <w:tc>
          <w:tcPr>
            <w:tcW w:w="318" w:type="dxa"/>
            <w:noWrap/>
            <w:vAlign w:val="bottom"/>
            <w:hideMark/>
          </w:tcPr>
          <w:p w:rsidR="0020345F" w:rsidRPr="00FD27EC" w:rsidRDefault="0020345F" w:rsidP="0020345F">
            <w:pPr>
              <w:jc w:val="center"/>
              <w:rPr>
                <w:rFonts w:cs="Arial"/>
                <w:sz w:val="20"/>
                <w:lang w:eastAsia="zh-CN"/>
              </w:rPr>
            </w:pPr>
            <w:r w:rsidRPr="00FD27EC">
              <w:rPr>
                <w:rFonts w:cs="Arial"/>
                <w:sz w:val="20"/>
                <w:lang w:eastAsia="zh-CN"/>
              </w:rPr>
              <w:t>3</w:t>
            </w:r>
          </w:p>
        </w:tc>
        <w:tc>
          <w:tcPr>
            <w:tcW w:w="3271" w:type="dxa"/>
            <w:noWrap/>
            <w:vAlign w:val="bottom"/>
            <w:hideMark/>
          </w:tcPr>
          <w:p w:rsidR="0020345F" w:rsidRPr="00FD27EC" w:rsidRDefault="0020345F" w:rsidP="0020345F">
            <w:pPr>
              <w:rPr>
                <w:rFonts w:cs="Arial"/>
                <w:sz w:val="20"/>
                <w:lang w:eastAsia="zh-CN"/>
              </w:rPr>
            </w:pPr>
            <w:r w:rsidRPr="00FD27EC">
              <w:rPr>
                <w:rFonts w:hint="eastAsia"/>
                <w:sz w:val="20"/>
                <w:lang w:val="en-US" w:eastAsia="zh-CN"/>
              </w:rPr>
              <w:t>国际电联</w:t>
            </w:r>
            <w:r w:rsidRPr="00FD27EC">
              <w:rPr>
                <w:sz w:val="20"/>
                <w:lang w:val="en-US" w:eastAsia="zh-CN"/>
              </w:rPr>
              <w:t>20</w:t>
            </w:r>
            <w:r>
              <w:rPr>
                <w:sz w:val="20"/>
                <w:lang w:val="en-US" w:eastAsia="zh-CN"/>
              </w:rPr>
              <w:t>22</w:t>
            </w:r>
            <w:r w:rsidRPr="00FD27EC">
              <w:rPr>
                <w:rFonts w:hint="eastAsia"/>
                <w:sz w:val="20"/>
                <w:lang w:val="en-US" w:eastAsia="zh-CN"/>
              </w:rPr>
              <w:t>年世界电信展</w:t>
            </w:r>
          </w:p>
        </w:tc>
        <w:tc>
          <w:tcPr>
            <w:tcW w:w="1101" w:type="dxa"/>
            <w:noWrap/>
            <w:vAlign w:val="bottom"/>
            <w:hideMark/>
          </w:tcPr>
          <w:p w:rsidR="0020345F" w:rsidRDefault="0020345F" w:rsidP="0020345F">
            <w:pPr>
              <w:jc w:val="right"/>
              <w:rPr>
                <w:rFonts w:cs="Calibri"/>
                <w:sz w:val="20"/>
                <w:lang w:eastAsia="zh-CN"/>
              </w:rPr>
            </w:pPr>
          </w:p>
        </w:tc>
        <w:tc>
          <w:tcPr>
            <w:tcW w:w="1349" w:type="dxa"/>
            <w:noWrap/>
            <w:vAlign w:val="bottom"/>
            <w:hideMark/>
          </w:tcPr>
          <w:p w:rsidR="0020345F" w:rsidRDefault="0020345F" w:rsidP="00A348DD">
            <w:pPr>
              <w:jc w:val="center"/>
              <w:rPr>
                <w:sz w:val="20"/>
                <w:lang w:eastAsia="zh-CN"/>
              </w:rPr>
            </w:pPr>
          </w:p>
        </w:tc>
        <w:tc>
          <w:tcPr>
            <w:tcW w:w="1101" w:type="dxa"/>
            <w:noWrap/>
            <w:vAlign w:val="bottom"/>
            <w:hideMark/>
          </w:tcPr>
          <w:p w:rsidR="0020345F" w:rsidRDefault="0020345F" w:rsidP="0020345F">
            <w:pPr>
              <w:jc w:val="right"/>
              <w:rPr>
                <w:rFonts w:cs="Calibri"/>
                <w:sz w:val="20"/>
              </w:rPr>
            </w:pPr>
            <w:r>
              <w:rPr>
                <w:rFonts w:cs="Calibri"/>
                <w:sz w:val="20"/>
              </w:rPr>
              <w:t>10%</w:t>
            </w:r>
          </w:p>
        </w:tc>
        <w:tc>
          <w:tcPr>
            <w:tcW w:w="1349" w:type="dxa"/>
            <w:noWrap/>
            <w:vAlign w:val="bottom"/>
            <w:hideMark/>
          </w:tcPr>
          <w:p w:rsidR="0020345F" w:rsidRDefault="0020345F" w:rsidP="00A348DD">
            <w:pPr>
              <w:jc w:val="center"/>
              <w:rPr>
                <w:rFonts w:cs="Calibri"/>
                <w:sz w:val="20"/>
              </w:rPr>
            </w:pPr>
            <w:r>
              <w:rPr>
                <w:rFonts w:cs="Calibri"/>
                <w:sz w:val="20"/>
              </w:rPr>
              <w:t>514</w:t>
            </w:r>
          </w:p>
        </w:tc>
        <w:tc>
          <w:tcPr>
            <w:tcW w:w="1623" w:type="dxa"/>
            <w:noWrap/>
            <w:vAlign w:val="bottom"/>
            <w:hideMark/>
          </w:tcPr>
          <w:p w:rsidR="0020345F" w:rsidRDefault="0020345F" w:rsidP="0020345F">
            <w:pPr>
              <w:jc w:val="right"/>
              <w:rPr>
                <w:rFonts w:cs="Calibri"/>
                <w:sz w:val="20"/>
              </w:rPr>
            </w:pPr>
            <w:r>
              <w:rPr>
                <w:rFonts w:cs="Calibri"/>
                <w:sz w:val="20"/>
              </w:rPr>
              <w:t xml:space="preserve">514 </w:t>
            </w:r>
          </w:p>
        </w:tc>
      </w:tr>
      <w:tr w:rsidR="0020345F" w:rsidRPr="00FD27EC" w:rsidTr="00743B0B">
        <w:trPr>
          <w:trHeight w:val="363"/>
        </w:trPr>
        <w:tc>
          <w:tcPr>
            <w:tcW w:w="318" w:type="dxa"/>
            <w:noWrap/>
            <w:vAlign w:val="bottom"/>
            <w:hideMark/>
          </w:tcPr>
          <w:p w:rsidR="0020345F" w:rsidRPr="00FD27EC" w:rsidRDefault="0020345F" w:rsidP="0020345F">
            <w:pPr>
              <w:jc w:val="center"/>
              <w:rPr>
                <w:rFonts w:cs="Arial"/>
                <w:sz w:val="20"/>
                <w:lang w:eastAsia="zh-CN"/>
              </w:rPr>
            </w:pPr>
            <w:r>
              <w:rPr>
                <w:rFonts w:cs="Arial"/>
                <w:sz w:val="20"/>
                <w:lang w:eastAsia="zh-CN"/>
              </w:rPr>
              <w:t>4</w:t>
            </w:r>
          </w:p>
        </w:tc>
        <w:tc>
          <w:tcPr>
            <w:tcW w:w="3271" w:type="dxa"/>
            <w:noWrap/>
            <w:vAlign w:val="bottom"/>
            <w:hideMark/>
          </w:tcPr>
          <w:p w:rsidR="0020345F" w:rsidRPr="00FD27EC" w:rsidRDefault="0020345F" w:rsidP="0020345F">
            <w:pPr>
              <w:rPr>
                <w:rFonts w:cs="Arial"/>
                <w:sz w:val="20"/>
                <w:lang w:eastAsia="zh-CN"/>
              </w:rPr>
            </w:pPr>
            <w:r w:rsidRPr="00FD27EC">
              <w:rPr>
                <w:rFonts w:hint="eastAsia"/>
                <w:sz w:val="20"/>
                <w:lang w:val="en-US" w:eastAsia="zh-CN"/>
              </w:rPr>
              <w:t>信息通信技术关系平台</w:t>
            </w:r>
          </w:p>
        </w:tc>
        <w:tc>
          <w:tcPr>
            <w:tcW w:w="1101" w:type="dxa"/>
            <w:noWrap/>
            <w:vAlign w:val="bottom"/>
            <w:hideMark/>
          </w:tcPr>
          <w:p w:rsidR="0020345F" w:rsidRDefault="0020345F" w:rsidP="0020345F">
            <w:pPr>
              <w:jc w:val="right"/>
              <w:rPr>
                <w:rFonts w:cs="Calibri"/>
                <w:sz w:val="20"/>
              </w:rPr>
            </w:pPr>
            <w:r>
              <w:rPr>
                <w:rFonts w:cs="Calibri"/>
                <w:sz w:val="20"/>
              </w:rPr>
              <w:t>2%</w:t>
            </w:r>
          </w:p>
        </w:tc>
        <w:tc>
          <w:tcPr>
            <w:tcW w:w="1349" w:type="dxa"/>
            <w:noWrap/>
            <w:vAlign w:val="bottom"/>
            <w:hideMark/>
          </w:tcPr>
          <w:p w:rsidR="0020345F" w:rsidRDefault="0020345F" w:rsidP="00A348DD">
            <w:pPr>
              <w:jc w:val="center"/>
              <w:rPr>
                <w:rFonts w:cs="Calibri"/>
                <w:sz w:val="20"/>
              </w:rPr>
            </w:pPr>
            <w:r>
              <w:rPr>
                <w:rFonts w:cs="Calibri"/>
                <w:sz w:val="20"/>
              </w:rPr>
              <w:t>103</w:t>
            </w:r>
          </w:p>
        </w:tc>
        <w:tc>
          <w:tcPr>
            <w:tcW w:w="1101" w:type="dxa"/>
            <w:noWrap/>
            <w:vAlign w:val="bottom"/>
            <w:hideMark/>
          </w:tcPr>
          <w:p w:rsidR="0020345F" w:rsidRDefault="0020345F" w:rsidP="0020345F">
            <w:pPr>
              <w:jc w:val="right"/>
              <w:rPr>
                <w:rFonts w:cs="Calibri"/>
                <w:sz w:val="20"/>
              </w:rPr>
            </w:pPr>
            <w:r>
              <w:rPr>
                <w:rFonts w:cs="Calibri"/>
                <w:sz w:val="20"/>
              </w:rPr>
              <w:t>2%</w:t>
            </w:r>
          </w:p>
        </w:tc>
        <w:tc>
          <w:tcPr>
            <w:tcW w:w="1349" w:type="dxa"/>
            <w:noWrap/>
            <w:vAlign w:val="bottom"/>
            <w:hideMark/>
          </w:tcPr>
          <w:p w:rsidR="0020345F" w:rsidRDefault="0020345F" w:rsidP="00A348DD">
            <w:pPr>
              <w:jc w:val="center"/>
              <w:rPr>
                <w:rFonts w:cs="Calibri"/>
                <w:sz w:val="20"/>
              </w:rPr>
            </w:pPr>
            <w:r>
              <w:rPr>
                <w:rFonts w:cs="Calibri"/>
                <w:sz w:val="20"/>
              </w:rPr>
              <w:t>103</w:t>
            </w:r>
          </w:p>
        </w:tc>
        <w:tc>
          <w:tcPr>
            <w:tcW w:w="1623" w:type="dxa"/>
            <w:noWrap/>
            <w:vAlign w:val="bottom"/>
            <w:hideMark/>
          </w:tcPr>
          <w:p w:rsidR="0020345F" w:rsidRDefault="0020345F" w:rsidP="0020345F">
            <w:pPr>
              <w:jc w:val="right"/>
              <w:rPr>
                <w:rFonts w:cs="Calibri"/>
                <w:sz w:val="20"/>
              </w:rPr>
            </w:pPr>
            <w:r>
              <w:rPr>
                <w:rFonts w:cs="Calibri"/>
                <w:sz w:val="20"/>
              </w:rPr>
              <w:t xml:space="preserve">205 </w:t>
            </w:r>
          </w:p>
        </w:tc>
      </w:tr>
      <w:tr w:rsidR="0020345F" w:rsidRPr="00FD27EC" w:rsidTr="00743B0B">
        <w:trPr>
          <w:trHeight w:val="363"/>
        </w:trPr>
        <w:tc>
          <w:tcPr>
            <w:tcW w:w="318" w:type="dxa"/>
            <w:tcBorders>
              <w:bottom w:val="single" w:sz="6" w:space="0" w:color="auto"/>
            </w:tcBorders>
            <w:noWrap/>
            <w:vAlign w:val="bottom"/>
            <w:hideMark/>
          </w:tcPr>
          <w:p w:rsidR="0020345F" w:rsidRPr="00FD27EC" w:rsidRDefault="0020345F" w:rsidP="0020345F">
            <w:pPr>
              <w:jc w:val="center"/>
              <w:rPr>
                <w:rFonts w:cs="Arial"/>
                <w:sz w:val="20"/>
                <w:lang w:eastAsia="zh-CN"/>
              </w:rPr>
            </w:pPr>
            <w:r>
              <w:rPr>
                <w:rFonts w:cs="Arial"/>
                <w:sz w:val="20"/>
                <w:lang w:eastAsia="zh-CN"/>
              </w:rPr>
              <w:t>5</w:t>
            </w:r>
          </w:p>
        </w:tc>
        <w:tc>
          <w:tcPr>
            <w:tcW w:w="3271" w:type="dxa"/>
            <w:tcBorders>
              <w:bottom w:val="single" w:sz="6" w:space="0" w:color="auto"/>
            </w:tcBorders>
            <w:noWrap/>
            <w:vAlign w:val="bottom"/>
            <w:hideMark/>
          </w:tcPr>
          <w:p w:rsidR="0020345F" w:rsidRPr="00FD27EC" w:rsidRDefault="0020345F" w:rsidP="0020345F">
            <w:pPr>
              <w:pStyle w:val="Tabletext"/>
              <w:spacing w:before="120" w:after="0"/>
              <w:rPr>
                <w:sz w:val="20"/>
                <w:lang w:val="en-US" w:eastAsia="zh-CN"/>
              </w:rPr>
            </w:pPr>
            <w:r w:rsidRPr="00FD27EC">
              <w:rPr>
                <w:rFonts w:hint="eastAsia"/>
                <w:sz w:val="20"/>
                <w:lang w:val="en-US" w:eastAsia="zh-CN"/>
              </w:rPr>
              <w:t>加强国际电联其它活动</w:t>
            </w:r>
          </w:p>
        </w:tc>
        <w:tc>
          <w:tcPr>
            <w:tcW w:w="1101" w:type="dxa"/>
            <w:tcBorders>
              <w:bottom w:val="single" w:sz="6" w:space="0" w:color="auto"/>
            </w:tcBorders>
            <w:noWrap/>
            <w:vAlign w:val="bottom"/>
            <w:hideMark/>
          </w:tcPr>
          <w:p w:rsidR="0020345F" w:rsidRDefault="0020345F" w:rsidP="0020345F">
            <w:pPr>
              <w:jc w:val="right"/>
              <w:rPr>
                <w:rFonts w:cs="Calibri"/>
                <w:sz w:val="20"/>
              </w:rPr>
            </w:pPr>
            <w:r>
              <w:rPr>
                <w:rFonts w:cs="Calibri"/>
                <w:sz w:val="20"/>
              </w:rPr>
              <w:t>8%</w:t>
            </w:r>
          </w:p>
        </w:tc>
        <w:tc>
          <w:tcPr>
            <w:tcW w:w="1349" w:type="dxa"/>
            <w:tcBorders>
              <w:bottom w:val="single" w:sz="6" w:space="0" w:color="auto"/>
            </w:tcBorders>
            <w:noWrap/>
            <w:vAlign w:val="bottom"/>
            <w:hideMark/>
          </w:tcPr>
          <w:p w:rsidR="0020345F" w:rsidRDefault="0020345F" w:rsidP="00A348DD">
            <w:pPr>
              <w:jc w:val="center"/>
              <w:rPr>
                <w:rFonts w:cs="Calibri"/>
                <w:sz w:val="20"/>
              </w:rPr>
            </w:pPr>
            <w:r>
              <w:rPr>
                <w:rFonts w:cs="Calibri"/>
                <w:sz w:val="20"/>
              </w:rPr>
              <w:t>411</w:t>
            </w:r>
          </w:p>
        </w:tc>
        <w:tc>
          <w:tcPr>
            <w:tcW w:w="1101" w:type="dxa"/>
            <w:tcBorders>
              <w:bottom w:val="single" w:sz="6" w:space="0" w:color="auto"/>
            </w:tcBorders>
            <w:noWrap/>
            <w:vAlign w:val="bottom"/>
            <w:hideMark/>
          </w:tcPr>
          <w:p w:rsidR="0020345F" w:rsidRDefault="0020345F" w:rsidP="0020345F">
            <w:pPr>
              <w:jc w:val="right"/>
              <w:rPr>
                <w:rFonts w:cs="Calibri"/>
                <w:sz w:val="20"/>
              </w:rPr>
            </w:pPr>
            <w:r>
              <w:rPr>
                <w:rFonts w:cs="Calibri"/>
                <w:sz w:val="20"/>
              </w:rPr>
              <w:t>8%</w:t>
            </w:r>
          </w:p>
        </w:tc>
        <w:tc>
          <w:tcPr>
            <w:tcW w:w="1349" w:type="dxa"/>
            <w:tcBorders>
              <w:bottom w:val="single" w:sz="6" w:space="0" w:color="auto"/>
            </w:tcBorders>
            <w:noWrap/>
            <w:vAlign w:val="bottom"/>
            <w:hideMark/>
          </w:tcPr>
          <w:p w:rsidR="0020345F" w:rsidRDefault="0020345F" w:rsidP="00A348DD">
            <w:pPr>
              <w:jc w:val="center"/>
              <w:rPr>
                <w:rFonts w:cs="Calibri"/>
                <w:sz w:val="20"/>
              </w:rPr>
            </w:pPr>
            <w:r>
              <w:rPr>
                <w:rFonts w:cs="Calibri"/>
                <w:sz w:val="20"/>
              </w:rPr>
              <w:t>411</w:t>
            </w:r>
          </w:p>
        </w:tc>
        <w:tc>
          <w:tcPr>
            <w:tcW w:w="1623" w:type="dxa"/>
            <w:tcBorders>
              <w:bottom w:val="single" w:sz="6" w:space="0" w:color="auto"/>
            </w:tcBorders>
            <w:noWrap/>
            <w:vAlign w:val="bottom"/>
            <w:hideMark/>
          </w:tcPr>
          <w:p w:rsidR="0020345F" w:rsidRDefault="0020345F" w:rsidP="0020345F">
            <w:pPr>
              <w:jc w:val="right"/>
              <w:rPr>
                <w:rFonts w:cs="Calibri"/>
                <w:sz w:val="20"/>
              </w:rPr>
            </w:pPr>
            <w:r>
              <w:rPr>
                <w:rFonts w:cs="Calibri"/>
                <w:sz w:val="20"/>
              </w:rPr>
              <w:t xml:space="preserve">822 </w:t>
            </w:r>
          </w:p>
        </w:tc>
      </w:tr>
      <w:tr w:rsidR="00A94A38" w:rsidRPr="00A94A38" w:rsidTr="00743B0B">
        <w:trPr>
          <w:trHeight w:val="363"/>
        </w:trPr>
        <w:tc>
          <w:tcPr>
            <w:tcW w:w="318" w:type="dxa"/>
            <w:tcBorders>
              <w:top w:val="single" w:sz="6" w:space="0" w:color="auto"/>
              <w:left w:val="nil"/>
              <w:bottom w:val="single" w:sz="4" w:space="0" w:color="auto"/>
              <w:right w:val="nil"/>
            </w:tcBorders>
            <w:shd w:val="clear" w:color="auto" w:fill="C5D9F1"/>
            <w:noWrap/>
            <w:vAlign w:val="bottom"/>
            <w:hideMark/>
          </w:tcPr>
          <w:p w:rsidR="00C330F0" w:rsidRPr="00A94A38" w:rsidRDefault="00C330F0" w:rsidP="00AA4BE5">
            <w:pPr>
              <w:jc w:val="center"/>
              <w:rPr>
                <w:rFonts w:cs="Arial"/>
                <w:color w:val="1F497D" w:themeColor="text2"/>
                <w:sz w:val="20"/>
                <w:lang w:eastAsia="zh-CN"/>
              </w:rPr>
            </w:pPr>
            <w:r w:rsidRPr="00A94A38">
              <w:rPr>
                <w:rFonts w:cs="Arial"/>
                <w:color w:val="1F497D" w:themeColor="text2"/>
                <w:sz w:val="20"/>
                <w:lang w:eastAsia="zh-CN"/>
              </w:rPr>
              <w:t> </w:t>
            </w:r>
          </w:p>
        </w:tc>
        <w:tc>
          <w:tcPr>
            <w:tcW w:w="3271" w:type="dxa"/>
            <w:tcBorders>
              <w:top w:val="single" w:sz="6" w:space="0" w:color="auto"/>
              <w:left w:val="nil"/>
              <w:bottom w:val="single" w:sz="4" w:space="0" w:color="auto"/>
              <w:right w:val="nil"/>
            </w:tcBorders>
            <w:shd w:val="clear" w:color="auto" w:fill="C5D9F1"/>
            <w:noWrap/>
            <w:vAlign w:val="bottom"/>
            <w:hideMark/>
          </w:tcPr>
          <w:p w:rsidR="00C330F0" w:rsidRPr="00A94A38" w:rsidRDefault="00C330F0" w:rsidP="00AA4BE5">
            <w:pPr>
              <w:pStyle w:val="Tabletext"/>
              <w:spacing w:before="120" w:after="0"/>
              <w:rPr>
                <w:color w:val="1F497D" w:themeColor="text2"/>
                <w:sz w:val="20"/>
                <w:lang w:val="en-US" w:eastAsia="zh-CN"/>
              </w:rPr>
            </w:pPr>
            <w:r w:rsidRPr="00A94A38">
              <w:rPr>
                <w:rFonts w:cs="Arial" w:hint="eastAsia"/>
                <w:b/>
                <w:bCs/>
                <w:color w:val="1F497D" w:themeColor="text2"/>
                <w:sz w:val="20"/>
                <w:lang w:eastAsia="zh-CN"/>
              </w:rPr>
              <w:t>合计</w:t>
            </w:r>
          </w:p>
        </w:tc>
        <w:tc>
          <w:tcPr>
            <w:tcW w:w="1101" w:type="dxa"/>
            <w:tcBorders>
              <w:top w:val="single" w:sz="6" w:space="0" w:color="auto"/>
              <w:left w:val="nil"/>
              <w:bottom w:val="single" w:sz="4" w:space="0" w:color="auto"/>
              <w:right w:val="nil"/>
            </w:tcBorders>
            <w:shd w:val="clear" w:color="auto" w:fill="C5D9F1"/>
            <w:noWrap/>
            <w:vAlign w:val="bottom"/>
            <w:hideMark/>
          </w:tcPr>
          <w:p w:rsidR="00C330F0" w:rsidRPr="00A94A38" w:rsidRDefault="00780A36" w:rsidP="00AA4BE5">
            <w:pPr>
              <w:jc w:val="right"/>
              <w:rPr>
                <w:rFonts w:cs="Arial"/>
                <w:color w:val="1F497D" w:themeColor="text2"/>
                <w:sz w:val="20"/>
                <w:lang w:eastAsia="zh-CN"/>
              </w:rPr>
            </w:pPr>
            <w:r w:rsidRPr="00A94A38">
              <w:rPr>
                <w:rFonts w:cs="Arial"/>
                <w:color w:val="1F497D" w:themeColor="text2"/>
                <w:sz w:val="20"/>
                <w:lang w:eastAsia="zh-CN"/>
              </w:rPr>
              <w:t>100%</w:t>
            </w:r>
          </w:p>
        </w:tc>
        <w:tc>
          <w:tcPr>
            <w:tcW w:w="1349" w:type="dxa"/>
            <w:tcBorders>
              <w:top w:val="single" w:sz="6" w:space="0" w:color="auto"/>
              <w:left w:val="nil"/>
              <w:bottom w:val="single" w:sz="4" w:space="0" w:color="auto"/>
              <w:right w:val="nil"/>
            </w:tcBorders>
            <w:shd w:val="clear" w:color="auto" w:fill="C5D9F1"/>
            <w:noWrap/>
            <w:vAlign w:val="bottom"/>
            <w:hideMark/>
          </w:tcPr>
          <w:p w:rsidR="00C330F0" w:rsidRPr="00A94A38" w:rsidRDefault="00780A36" w:rsidP="00A348DD">
            <w:pPr>
              <w:jc w:val="center"/>
              <w:rPr>
                <w:rFonts w:cs="Arial"/>
                <w:color w:val="1F497D" w:themeColor="text2"/>
                <w:sz w:val="20"/>
                <w:lang w:eastAsia="zh-CN"/>
              </w:rPr>
            </w:pPr>
            <w:r w:rsidRPr="00A94A38">
              <w:rPr>
                <w:rFonts w:cs="Arial"/>
                <w:color w:val="1F497D" w:themeColor="text2"/>
                <w:sz w:val="20"/>
                <w:lang w:eastAsia="zh-CN"/>
              </w:rPr>
              <w:t>5,135</w:t>
            </w:r>
          </w:p>
        </w:tc>
        <w:tc>
          <w:tcPr>
            <w:tcW w:w="1101" w:type="dxa"/>
            <w:tcBorders>
              <w:top w:val="single" w:sz="6" w:space="0" w:color="auto"/>
              <w:left w:val="nil"/>
              <w:bottom w:val="single" w:sz="4" w:space="0" w:color="auto"/>
              <w:right w:val="nil"/>
            </w:tcBorders>
            <w:shd w:val="clear" w:color="auto" w:fill="C5D9F1"/>
            <w:noWrap/>
            <w:vAlign w:val="bottom"/>
            <w:hideMark/>
          </w:tcPr>
          <w:p w:rsidR="00C330F0" w:rsidRPr="00A94A38" w:rsidRDefault="00780A36" w:rsidP="00AA4BE5">
            <w:pPr>
              <w:jc w:val="right"/>
              <w:rPr>
                <w:rFonts w:cs="Arial"/>
                <w:color w:val="1F497D" w:themeColor="text2"/>
                <w:sz w:val="20"/>
                <w:lang w:eastAsia="zh-CN"/>
              </w:rPr>
            </w:pPr>
            <w:r w:rsidRPr="00A94A38">
              <w:rPr>
                <w:rFonts w:cs="Arial"/>
                <w:color w:val="1F497D" w:themeColor="text2"/>
                <w:sz w:val="20"/>
                <w:lang w:eastAsia="zh-CN"/>
              </w:rPr>
              <w:t>100%</w:t>
            </w:r>
          </w:p>
        </w:tc>
        <w:tc>
          <w:tcPr>
            <w:tcW w:w="1349" w:type="dxa"/>
            <w:tcBorders>
              <w:top w:val="single" w:sz="6" w:space="0" w:color="auto"/>
              <w:left w:val="nil"/>
              <w:bottom w:val="single" w:sz="4" w:space="0" w:color="auto"/>
              <w:right w:val="nil"/>
            </w:tcBorders>
            <w:shd w:val="clear" w:color="auto" w:fill="C5D9F1"/>
            <w:noWrap/>
            <w:vAlign w:val="bottom"/>
            <w:hideMark/>
          </w:tcPr>
          <w:p w:rsidR="00C330F0" w:rsidRPr="00A94A38" w:rsidRDefault="00780A36" w:rsidP="00A348DD">
            <w:pPr>
              <w:jc w:val="center"/>
              <w:rPr>
                <w:rFonts w:cs="Arial"/>
                <w:color w:val="1F497D" w:themeColor="text2"/>
                <w:sz w:val="20"/>
                <w:lang w:eastAsia="zh-CN"/>
              </w:rPr>
            </w:pPr>
            <w:r w:rsidRPr="00A94A38">
              <w:rPr>
                <w:rFonts w:cs="Arial"/>
                <w:color w:val="1F497D" w:themeColor="text2"/>
                <w:sz w:val="20"/>
                <w:lang w:eastAsia="zh-CN"/>
              </w:rPr>
              <w:t>5,135</w:t>
            </w:r>
          </w:p>
        </w:tc>
        <w:tc>
          <w:tcPr>
            <w:tcW w:w="1623" w:type="dxa"/>
            <w:tcBorders>
              <w:top w:val="single" w:sz="6" w:space="0" w:color="auto"/>
              <w:left w:val="nil"/>
              <w:bottom w:val="single" w:sz="4" w:space="0" w:color="auto"/>
              <w:right w:val="nil"/>
            </w:tcBorders>
            <w:shd w:val="clear" w:color="auto" w:fill="C5D9F1"/>
            <w:noWrap/>
            <w:vAlign w:val="bottom"/>
            <w:hideMark/>
          </w:tcPr>
          <w:p w:rsidR="00C330F0" w:rsidRPr="00A94A38" w:rsidRDefault="00780A36" w:rsidP="00AA4BE5">
            <w:pPr>
              <w:jc w:val="right"/>
              <w:rPr>
                <w:rFonts w:cs="Arial"/>
                <w:color w:val="1F497D" w:themeColor="text2"/>
                <w:sz w:val="20"/>
                <w:lang w:eastAsia="zh-CN"/>
              </w:rPr>
            </w:pPr>
            <w:r w:rsidRPr="00A94A38">
              <w:rPr>
                <w:rFonts w:cs="Arial"/>
                <w:color w:val="1F497D" w:themeColor="text2"/>
                <w:sz w:val="20"/>
                <w:lang w:eastAsia="zh-CN"/>
              </w:rPr>
              <w:t>10,270</w:t>
            </w:r>
            <w:r w:rsidR="00C330F0" w:rsidRPr="00A94A38">
              <w:rPr>
                <w:rFonts w:cs="Arial"/>
                <w:color w:val="1F497D" w:themeColor="text2"/>
                <w:sz w:val="20"/>
                <w:lang w:eastAsia="zh-CN"/>
              </w:rPr>
              <w:t xml:space="preserve"> </w:t>
            </w:r>
          </w:p>
        </w:tc>
      </w:tr>
    </w:tbl>
    <w:p w:rsidR="00DA4C74" w:rsidRPr="00B12718" w:rsidRDefault="00DA4C74" w:rsidP="00553544">
      <w:pPr>
        <w:pStyle w:val="Headingb"/>
        <w:spacing w:before="240"/>
        <w:rPr>
          <w:rFonts w:eastAsiaTheme="majorEastAsia"/>
          <w:lang w:val="en-US" w:eastAsia="zh-CN"/>
        </w:rPr>
      </w:pPr>
      <w:bookmarkStart w:id="6" w:name="_Toc419133815"/>
      <w:r w:rsidRPr="00EA6993">
        <w:rPr>
          <w:rFonts w:hint="eastAsia"/>
          <w:lang w:val="en-US" w:eastAsia="zh-CN"/>
        </w:rPr>
        <w:t>资金来源</w:t>
      </w:r>
      <w:bookmarkStart w:id="7" w:name="_GoBack"/>
      <w:bookmarkEnd w:id="6"/>
      <w:bookmarkEnd w:id="7"/>
    </w:p>
    <w:p w:rsidR="00DA4C74" w:rsidRPr="00627F6C" w:rsidRDefault="00FA3EFE" w:rsidP="00A348DD">
      <w:pPr>
        <w:rPr>
          <w:rFonts w:cs="Arial"/>
          <w:lang w:val="en-US" w:eastAsia="zh-CN"/>
        </w:rPr>
      </w:pPr>
      <w:r>
        <w:rPr>
          <w:rFonts w:cs="Arial"/>
          <w:lang w:val="en-US" w:eastAsia="zh-CN"/>
        </w:rPr>
        <w:t>9</w:t>
      </w:r>
      <w:r w:rsidR="00DA4C74">
        <w:rPr>
          <w:rFonts w:cs="Arial"/>
          <w:lang w:val="en-US" w:eastAsia="zh-CN"/>
        </w:rPr>
        <w:tab/>
      </w:r>
      <w:r w:rsidR="00DA4C74">
        <w:rPr>
          <w:rFonts w:hint="eastAsia"/>
          <w:lang w:eastAsia="zh-CN"/>
        </w:rPr>
        <w:t>国际电联电信展会活动的总收入</w:t>
      </w:r>
      <w:r w:rsidR="00DA4C74" w:rsidRPr="00627F6C">
        <w:rPr>
          <w:rFonts w:hint="eastAsia"/>
          <w:lang w:eastAsia="zh-CN"/>
        </w:rPr>
        <w:t>是国际电联电信展览部秘书处预算的资金来源。表</w:t>
      </w:r>
      <w:r w:rsidR="00DA4C74" w:rsidRPr="00627F6C">
        <w:rPr>
          <w:lang w:val="en-US" w:eastAsia="zh-CN"/>
        </w:rPr>
        <w:t>4</w:t>
      </w:r>
      <w:r w:rsidR="00DA4C74" w:rsidRPr="00627F6C">
        <w:rPr>
          <w:rFonts w:hint="eastAsia"/>
          <w:lang w:eastAsia="zh-CN"/>
        </w:rPr>
        <w:t>列出了</w:t>
      </w:r>
      <w:r w:rsidR="005B4564">
        <w:rPr>
          <w:lang w:eastAsia="zh-CN"/>
        </w:rPr>
        <w:t>20</w:t>
      </w:r>
      <w:r w:rsidR="00C330F0">
        <w:rPr>
          <w:lang w:eastAsia="zh-CN"/>
        </w:rPr>
        <w:t>20</w:t>
      </w:r>
      <w:r w:rsidR="005B4564">
        <w:rPr>
          <w:lang w:eastAsia="zh-CN"/>
        </w:rPr>
        <w:t>-20</w:t>
      </w:r>
      <w:r w:rsidR="00C330F0">
        <w:rPr>
          <w:lang w:eastAsia="zh-CN"/>
        </w:rPr>
        <w:t>2</w:t>
      </w:r>
      <w:r w:rsidR="005B4564">
        <w:rPr>
          <w:lang w:eastAsia="zh-CN"/>
        </w:rPr>
        <w:t>1</w:t>
      </w:r>
      <w:r w:rsidR="00DA4C74" w:rsidRPr="00627F6C">
        <w:rPr>
          <w:rFonts w:hint="eastAsia"/>
          <w:lang w:eastAsia="zh-CN"/>
        </w:rPr>
        <w:t>年的估算收入和支出。</w:t>
      </w:r>
      <w:r w:rsidR="002F7EEB">
        <w:rPr>
          <w:rFonts w:hint="eastAsia"/>
          <w:lang w:eastAsia="zh-CN"/>
        </w:rPr>
        <w:t>预测</w:t>
      </w:r>
      <w:r w:rsidR="002F7EEB">
        <w:rPr>
          <w:lang w:eastAsia="zh-CN"/>
        </w:rPr>
        <w:t>的双年度总收入估计为</w:t>
      </w:r>
      <w:r w:rsidR="00C330F0" w:rsidRPr="00C330F0">
        <w:rPr>
          <w:lang w:eastAsia="zh-CN"/>
        </w:rPr>
        <w:t>16,200,000</w:t>
      </w:r>
      <w:r w:rsidR="00DA4C74" w:rsidRPr="00C330F0">
        <w:rPr>
          <w:rFonts w:hint="eastAsia"/>
          <w:lang w:eastAsia="zh-CN"/>
        </w:rPr>
        <w:t>瑞</w:t>
      </w:r>
      <w:r w:rsidR="00DA4C74" w:rsidRPr="00627F6C">
        <w:rPr>
          <w:rFonts w:hint="eastAsia"/>
          <w:lang w:eastAsia="zh-CN"/>
        </w:rPr>
        <w:t>郎</w:t>
      </w:r>
      <w:r w:rsidR="002F7EEB">
        <w:rPr>
          <w:rFonts w:hint="eastAsia"/>
          <w:lang w:eastAsia="zh-CN"/>
        </w:rPr>
        <w:t>，支出</w:t>
      </w:r>
      <w:r w:rsidR="002F7EEB">
        <w:rPr>
          <w:lang w:eastAsia="zh-CN"/>
        </w:rPr>
        <w:t>估算总额为</w:t>
      </w:r>
      <w:r w:rsidR="00C330F0" w:rsidRPr="00C330F0">
        <w:rPr>
          <w:lang w:eastAsia="zh-CN"/>
        </w:rPr>
        <w:t>15,454,000</w:t>
      </w:r>
      <w:r w:rsidR="002F7EEB">
        <w:rPr>
          <w:rFonts w:hint="eastAsia"/>
          <w:lang w:eastAsia="zh-CN"/>
        </w:rPr>
        <w:t>瑞郎</w:t>
      </w:r>
      <w:r w:rsidR="002F7EEB">
        <w:rPr>
          <w:lang w:eastAsia="zh-CN"/>
        </w:rPr>
        <w:t>，</w:t>
      </w:r>
      <w:r w:rsidR="00DA4C74" w:rsidRPr="00627F6C">
        <w:rPr>
          <w:rFonts w:hint="eastAsia"/>
          <w:lang w:eastAsia="zh-CN"/>
        </w:rPr>
        <w:t>预计</w:t>
      </w:r>
      <w:r w:rsidR="00C330F0">
        <w:rPr>
          <w:lang w:eastAsia="zh-CN"/>
        </w:rPr>
        <w:t>2020-2021</w:t>
      </w:r>
      <w:r w:rsidR="002F7EEB">
        <w:rPr>
          <w:rFonts w:hint="eastAsia"/>
          <w:lang w:eastAsia="zh-CN"/>
        </w:rPr>
        <w:t>年</w:t>
      </w:r>
      <w:r w:rsidR="002F7EEB">
        <w:rPr>
          <w:lang w:eastAsia="zh-CN"/>
        </w:rPr>
        <w:t>净</w:t>
      </w:r>
      <w:r w:rsidR="002F7EEB" w:rsidRPr="00627F6C">
        <w:rPr>
          <w:rFonts w:hint="eastAsia"/>
          <w:lang w:eastAsia="zh-CN"/>
        </w:rPr>
        <w:t>盈余</w:t>
      </w:r>
      <w:r w:rsidR="002F7EEB">
        <w:rPr>
          <w:rFonts w:hint="eastAsia"/>
          <w:lang w:eastAsia="zh-CN"/>
        </w:rPr>
        <w:t>为</w:t>
      </w:r>
      <w:r w:rsidR="00C330F0" w:rsidRPr="00570113">
        <w:rPr>
          <w:rFonts w:asciiTheme="minorHAnsi" w:hAnsiTheme="minorHAnsi"/>
          <w:lang w:eastAsia="zh-CN"/>
        </w:rPr>
        <w:t>746</w:t>
      </w:r>
      <w:r w:rsidR="00C330F0" w:rsidRPr="00882E40">
        <w:rPr>
          <w:rFonts w:asciiTheme="minorHAnsi" w:hAnsiTheme="minorHAnsi"/>
          <w:lang w:eastAsia="zh-CN"/>
        </w:rPr>
        <w:t>,000</w:t>
      </w:r>
      <w:r w:rsidR="00DA4C74" w:rsidRPr="00627F6C">
        <w:rPr>
          <w:rFonts w:hint="eastAsia"/>
          <w:lang w:eastAsia="zh-CN"/>
        </w:rPr>
        <w:t>瑞郎。</w:t>
      </w:r>
    </w:p>
    <w:p w:rsidR="00053ADC" w:rsidRDefault="00FA3EFE" w:rsidP="00A348DD">
      <w:pPr>
        <w:rPr>
          <w:lang w:eastAsia="zh-CN"/>
        </w:rPr>
      </w:pPr>
      <w:r>
        <w:rPr>
          <w:rFonts w:cs="Arial"/>
          <w:lang w:val="en-US" w:eastAsia="zh-CN"/>
        </w:rPr>
        <w:t>10</w:t>
      </w:r>
      <w:r w:rsidR="00DA4C74" w:rsidRPr="00627F6C">
        <w:rPr>
          <w:rFonts w:cs="Arial"/>
          <w:lang w:val="en-US" w:eastAsia="zh-CN"/>
        </w:rPr>
        <w:tab/>
      </w:r>
      <w:r w:rsidR="00DA4C74" w:rsidRPr="00627F6C">
        <w:rPr>
          <w:rFonts w:hint="eastAsia"/>
          <w:lang w:eastAsia="zh-CN"/>
        </w:rPr>
        <w:t>收入来源主要为场地出租、赞助、</w:t>
      </w:r>
      <w:r w:rsidR="00DA4C74">
        <w:rPr>
          <w:rFonts w:hint="eastAsia"/>
          <w:lang w:eastAsia="zh-CN"/>
        </w:rPr>
        <w:t>东道国</w:t>
      </w:r>
      <w:r w:rsidR="00DA4C74" w:rsidRPr="00627F6C">
        <w:rPr>
          <w:rFonts w:hint="eastAsia"/>
          <w:lang w:eastAsia="zh-CN"/>
        </w:rPr>
        <w:t>的</w:t>
      </w:r>
      <w:r w:rsidR="00DA4C74">
        <w:rPr>
          <w:rFonts w:hint="eastAsia"/>
          <w:lang w:eastAsia="zh-CN"/>
        </w:rPr>
        <w:t>财务</w:t>
      </w:r>
      <w:r w:rsidR="00DA4C74">
        <w:rPr>
          <w:lang w:eastAsia="zh-CN"/>
        </w:rPr>
        <w:t>支持</w:t>
      </w:r>
      <w:r w:rsidR="00DA4C74" w:rsidRPr="00627F6C">
        <w:rPr>
          <w:rFonts w:hint="eastAsia"/>
          <w:lang w:eastAsia="zh-CN"/>
        </w:rPr>
        <w:t>和门票</w:t>
      </w:r>
      <w:r w:rsidR="00DA4C74">
        <w:rPr>
          <w:rFonts w:hint="eastAsia"/>
          <w:lang w:eastAsia="zh-CN"/>
        </w:rPr>
        <w:t>及其它与活动相关的收入</w:t>
      </w:r>
      <w:r w:rsidR="00DA4C74" w:rsidRPr="00627F6C">
        <w:rPr>
          <w:rFonts w:hint="eastAsia"/>
          <w:lang w:eastAsia="zh-CN"/>
        </w:rPr>
        <w:t>。国际电</w:t>
      </w:r>
      <w:proofErr w:type="gramStart"/>
      <w:r w:rsidR="00DA4C74" w:rsidRPr="00627F6C">
        <w:rPr>
          <w:rFonts w:hint="eastAsia"/>
          <w:lang w:eastAsia="zh-CN"/>
        </w:rPr>
        <w:t>联电信</w:t>
      </w:r>
      <w:proofErr w:type="gramEnd"/>
      <w:r w:rsidR="00DA4C74" w:rsidRPr="00627F6C">
        <w:rPr>
          <w:rFonts w:hint="eastAsia"/>
          <w:lang w:eastAsia="zh-CN"/>
        </w:rPr>
        <w:t>展览部在不断探索不同方式方法，以提供更多的旨在满足客户不断变化需求的服务，并增加国际电联的收入。总支出包括国际电</w:t>
      </w:r>
      <w:proofErr w:type="gramStart"/>
      <w:r w:rsidR="00DA4C74" w:rsidRPr="00627F6C">
        <w:rPr>
          <w:rFonts w:hint="eastAsia"/>
          <w:lang w:eastAsia="zh-CN"/>
        </w:rPr>
        <w:t>联电信</w:t>
      </w:r>
      <w:proofErr w:type="gramEnd"/>
      <w:r w:rsidR="00DA4C74" w:rsidRPr="00627F6C">
        <w:rPr>
          <w:rFonts w:hint="eastAsia"/>
          <w:lang w:eastAsia="zh-CN"/>
        </w:rPr>
        <w:t>展览部秘书处的</w:t>
      </w:r>
      <w:r w:rsidR="00DA4C74">
        <w:rPr>
          <w:lang w:eastAsia="zh-CN"/>
        </w:rPr>
        <w:t>1</w:t>
      </w:r>
      <w:r w:rsidR="00710F2C">
        <w:rPr>
          <w:lang w:eastAsia="zh-CN"/>
        </w:rPr>
        <w:t>,</w:t>
      </w:r>
      <w:r w:rsidR="00C330F0">
        <w:rPr>
          <w:lang w:eastAsia="zh-CN"/>
        </w:rPr>
        <w:t>027</w:t>
      </w:r>
      <w:proofErr w:type="gramStart"/>
      <w:r w:rsidR="00DA4C74" w:rsidRPr="00627F6C">
        <w:rPr>
          <w:rFonts w:hint="eastAsia"/>
          <w:lang w:eastAsia="zh-CN"/>
        </w:rPr>
        <w:t>万瑞郎核心</w:t>
      </w:r>
      <w:proofErr w:type="gramEnd"/>
      <w:r w:rsidR="00DA4C74" w:rsidRPr="00627F6C">
        <w:rPr>
          <w:rFonts w:hint="eastAsia"/>
          <w:lang w:eastAsia="zh-CN"/>
        </w:rPr>
        <w:t>费用，其中包含</w:t>
      </w:r>
      <w:r w:rsidR="00DA4C74" w:rsidRPr="00627F6C">
        <w:rPr>
          <w:lang w:eastAsia="zh-CN"/>
        </w:rPr>
        <w:t>300</w:t>
      </w:r>
      <w:proofErr w:type="gramStart"/>
      <w:r w:rsidR="00DA4C74" w:rsidRPr="00627F6C">
        <w:rPr>
          <w:rFonts w:hint="eastAsia"/>
          <w:lang w:eastAsia="zh-CN"/>
        </w:rPr>
        <w:t>万瑞</w:t>
      </w:r>
      <w:proofErr w:type="gramEnd"/>
      <w:r w:rsidR="00DA4C74" w:rsidRPr="00627F6C">
        <w:rPr>
          <w:rFonts w:hint="eastAsia"/>
          <w:lang w:eastAsia="zh-CN"/>
        </w:rPr>
        <w:t>郎的成本回收费用，以及各项专门支出，即，人员费用、差旅费、合同服务、租用和维护、材料和办公用品、公共服务以及其他支出。</w:t>
      </w:r>
    </w:p>
    <w:p w:rsidR="00CA0D25" w:rsidRDefault="00CA0D25">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DA4C74" w:rsidRDefault="00DA4C74" w:rsidP="00DA4C74">
      <w:pPr>
        <w:pStyle w:val="TableNo"/>
        <w:rPr>
          <w:lang w:eastAsia="zh-CN"/>
        </w:rPr>
      </w:pPr>
      <w:r>
        <w:rPr>
          <w:lang w:eastAsia="zh-CN"/>
        </w:rPr>
        <w:lastRenderedPageBreak/>
        <w:t>表</w:t>
      </w:r>
      <w:r>
        <w:rPr>
          <w:lang w:eastAsia="zh-CN"/>
        </w:rPr>
        <w:t>4</w:t>
      </w:r>
    </w:p>
    <w:p w:rsidR="00DA4C74" w:rsidRDefault="00882E40" w:rsidP="00DA4C74">
      <w:pPr>
        <w:pStyle w:val="TableTitle0"/>
        <w:rPr>
          <w:szCs w:val="24"/>
          <w:lang w:eastAsia="zh-CN"/>
        </w:rPr>
      </w:pPr>
      <w:r>
        <w:rPr>
          <w:rFonts w:ascii="Calibri" w:hAnsi="Calibri" w:cs="Arial"/>
          <w:szCs w:val="24"/>
          <w:lang w:eastAsia="zh-CN"/>
        </w:rPr>
        <w:t>2020</w:t>
      </w:r>
      <w:r w:rsidR="00EA0801" w:rsidRPr="006B4096">
        <w:rPr>
          <w:rFonts w:ascii="Calibri" w:hAnsi="Calibri" w:cs="Arial"/>
          <w:szCs w:val="24"/>
          <w:lang w:eastAsia="zh-CN"/>
        </w:rPr>
        <w:t>-20</w:t>
      </w:r>
      <w:r>
        <w:rPr>
          <w:rFonts w:ascii="Calibri" w:hAnsi="Calibri" w:cs="Arial"/>
          <w:szCs w:val="24"/>
          <w:lang w:eastAsia="zh-CN"/>
        </w:rPr>
        <w:t>21</w:t>
      </w:r>
      <w:r w:rsidR="00DA4C74" w:rsidRPr="00A824F0">
        <w:rPr>
          <w:rFonts w:ascii="SimSun" w:eastAsia="SimSun" w:hAnsi="SimSun" w:cs="SimSun" w:hint="eastAsia"/>
          <w:lang w:eastAsia="zh-CN"/>
        </w:rPr>
        <w:t>年资金来源</w:t>
      </w:r>
    </w:p>
    <w:tbl>
      <w:tblPr>
        <w:tblW w:w="9357" w:type="dxa"/>
        <w:tblLook w:val="04A0" w:firstRow="1" w:lastRow="0" w:firstColumn="1" w:lastColumn="0" w:noHBand="0" w:noVBand="1"/>
      </w:tblPr>
      <w:tblGrid>
        <w:gridCol w:w="3440"/>
        <w:gridCol w:w="1968"/>
        <w:gridCol w:w="1968"/>
        <w:gridCol w:w="1981"/>
      </w:tblGrid>
      <w:tr w:rsidR="00A348DD" w:rsidRPr="00A348DD" w:rsidTr="006E26BF">
        <w:trPr>
          <w:trHeight w:val="284"/>
        </w:trPr>
        <w:tc>
          <w:tcPr>
            <w:tcW w:w="3440" w:type="dxa"/>
            <w:tcBorders>
              <w:top w:val="single" w:sz="4" w:space="0" w:color="auto"/>
              <w:left w:val="nil"/>
              <w:bottom w:val="nil"/>
              <w:right w:val="nil"/>
            </w:tcBorders>
            <w:shd w:val="clear" w:color="000000" w:fill="DCE6F1"/>
            <w:noWrap/>
            <w:vAlign w:val="bottom"/>
            <w:hideMark/>
          </w:tcPr>
          <w:p w:rsidR="00E46D80" w:rsidRPr="00A348DD" w:rsidRDefault="00E46D80" w:rsidP="00990319">
            <w:pPr>
              <w:rPr>
                <w:rFonts w:cs="Arial"/>
                <w:color w:val="1F497D" w:themeColor="text2"/>
                <w:sz w:val="20"/>
                <w:lang w:eastAsia="zh-CN"/>
              </w:rPr>
            </w:pPr>
            <w:r w:rsidRPr="00A348DD">
              <w:rPr>
                <w:rFonts w:cs="Arial"/>
                <w:color w:val="1F497D" w:themeColor="text2"/>
                <w:sz w:val="20"/>
                <w:lang w:eastAsia="zh-CN"/>
              </w:rPr>
              <w:t> </w:t>
            </w:r>
          </w:p>
        </w:tc>
        <w:tc>
          <w:tcPr>
            <w:tcW w:w="5917" w:type="dxa"/>
            <w:gridSpan w:val="3"/>
            <w:tcBorders>
              <w:top w:val="single" w:sz="4" w:space="0" w:color="auto"/>
              <w:left w:val="nil"/>
              <w:bottom w:val="nil"/>
              <w:right w:val="nil"/>
            </w:tcBorders>
            <w:shd w:val="clear" w:color="000000" w:fill="DCE6F1"/>
            <w:noWrap/>
            <w:vAlign w:val="bottom"/>
            <w:hideMark/>
          </w:tcPr>
          <w:p w:rsidR="00E46D80" w:rsidRPr="00A348DD" w:rsidRDefault="00E46D80" w:rsidP="00990319">
            <w:pPr>
              <w:jc w:val="center"/>
              <w:rPr>
                <w:rFonts w:cs="Arial"/>
                <w:b/>
                <w:i/>
                <w:iCs/>
                <w:color w:val="1F497D" w:themeColor="text2"/>
                <w:sz w:val="20"/>
                <w:lang w:eastAsia="zh-CN"/>
              </w:rPr>
            </w:pPr>
            <w:r w:rsidRPr="00A348DD">
              <w:rPr>
                <w:rFonts w:ascii="STKaiti" w:eastAsia="STKaiti" w:hAnsi="STKaiti" w:hint="eastAsia"/>
                <w:b/>
                <w:color w:val="1F497D" w:themeColor="text2"/>
                <w:sz w:val="20"/>
                <w:lang w:val="en-US" w:eastAsia="zh-CN"/>
              </w:rPr>
              <w:t>单位：千瑞郎</w:t>
            </w:r>
          </w:p>
        </w:tc>
      </w:tr>
      <w:tr w:rsidR="00A348DD" w:rsidRPr="00A348DD" w:rsidTr="006E26BF">
        <w:trPr>
          <w:trHeight w:val="284"/>
        </w:trPr>
        <w:tc>
          <w:tcPr>
            <w:tcW w:w="3440" w:type="dxa"/>
            <w:tcBorders>
              <w:top w:val="nil"/>
              <w:left w:val="nil"/>
              <w:bottom w:val="nil"/>
              <w:right w:val="nil"/>
            </w:tcBorders>
            <w:shd w:val="clear" w:color="000000" w:fill="DCE6F1"/>
            <w:noWrap/>
            <w:vAlign w:val="bottom"/>
            <w:hideMark/>
          </w:tcPr>
          <w:p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nil"/>
              <w:right w:val="nil"/>
            </w:tcBorders>
            <w:shd w:val="clear" w:color="000000" w:fill="DCE6F1"/>
            <w:noWrap/>
            <w:vAlign w:val="bottom"/>
            <w:hideMark/>
          </w:tcPr>
          <w:p w:rsidR="00E46D80" w:rsidRPr="00A348DD" w:rsidRDefault="00E46D80" w:rsidP="00DC4A89">
            <w:pPr>
              <w:jc w:val="right"/>
              <w:rPr>
                <w:rFonts w:cs="Arial"/>
                <w:b/>
                <w:bCs/>
                <w:color w:val="1F497D" w:themeColor="text2"/>
                <w:sz w:val="20"/>
                <w:lang w:eastAsia="zh-CN"/>
              </w:rPr>
            </w:pPr>
            <w:r w:rsidRPr="00A348DD">
              <w:rPr>
                <w:rFonts w:cs="Arial"/>
                <w:b/>
                <w:bCs/>
                <w:color w:val="1F497D" w:themeColor="text2"/>
                <w:sz w:val="20"/>
                <w:lang w:eastAsia="zh-CN"/>
              </w:rPr>
              <w:t>20</w:t>
            </w:r>
            <w:r w:rsidR="00882E40" w:rsidRPr="00A348DD">
              <w:rPr>
                <w:rFonts w:cs="Arial"/>
                <w:b/>
                <w:bCs/>
                <w:color w:val="1F497D" w:themeColor="text2"/>
                <w:sz w:val="20"/>
                <w:lang w:eastAsia="zh-CN"/>
              </w:rPr>
              <w:t>20</w:t>
            </w:r>
          </w:p>
        </w:tc>
        <w:tc>
          <w:tcPr>
            <w:tcW w:w="1968" w:type="dxa"/>
            <w:tcBorders>
              <w:top w:val="nil"/>
              <w:left w:val="nil"/>
              <w:bottom w:val="nil"/>
              <w:right w:val="nil"/>
            </w:tcBorders>
            <w:shd w:val="clear" w:color="000000" w:fill="DCE6F1"/>
            <w:noWrap/>
            <w:vAlign w:val="bottom"/>
            <w:hideMark/>
          </w:tcPr>
          <w:p w:rsidR="00E46D80" w:rsidRPr="00A348DD" w:rsidRDefault="00E46D80" w:rsidP="00DC4A89">
            <w:pPr>
              <w:jc w:val="right"/>
              <w:rPr>
                <w:rFonts w:cs="Arial"/>
                <w:b/>
                <w:bCs/>
                <w:color w:val="1F497D" w:themeColor="text2"/>
                <w:sz w:val="20"/>
                <w:lang w:eastAsia="zh-CN"/>
              </w:rPr>
            </w:pPr>
            <w:r w:rsidRPr="00A348DD">
              <w:rPr>
                <w:rFonts w:cs="Arial"/>
                <w:b/>
                <w:bCs/>
                <w:color w:val="1F497D" w:themeColor="text2"/>
                <w:sz w:val="20"/>
                <w:lang w:eastAsia="zh-CN"/>
              </w:rPr>
              <w:t>20</w:t>
            </w:r>
            <w:r w:rsidR="00882E40" w:rsidRPr="00A348DD">
              <w:rPr>
                <w:rFonts w:cs="Arial"/>
                <w:b/>
                <w:bCs/>
                <w:color w:val="1F497D" w:themeColor="text2"/>
                <w:sz w:val="20"/>
                <w:lang w:eastAsia="zh-CN"/>
              </w:rPr>
              <w:t>21</w:t>
            </w:r>
          </w:p>
        </w:tc>
        <w:tc>
          <w:tcPr>
            <w:tcW w:w="1981" w:type="dxa"/>
            <w:tcBorders>
              <w:top w:val="nil"/>
              <w:left w:val="nil"/>
              <w:bottom w:val="nil"/>
              <w:right w:val="nil"/>
            </w:tcBorders>
            <w:shd w:val="clear" w:color="000000" w:fill="DCE6F1"/>
            <w:noWrap/>
            <w:vAlign w:val="bottom"/>
            <w:hideMark/>
          </w:tcPr>
          <w:p w:rsidR="00E46D80" w:rsidRPr="00A348DD" w:rsidRDefault="00E46D80" w:rsidP="00DC4A89">
            <w:pPr>
              <w:ind w:left="284"/>
              <w:jc w:val="center"/>
              <w:rPr>
                <w:rFonts w:cs="Arial"/>
                <w:b/>
                <w:bCs/>
                <w:color w:val="1F497D" w:themeColor="text2"/>
                <w:sz w:val="20"/>
                <w:lang w:eastAsia="zh-CN"/>
              </w:rPr>
            </w:pPr>
            <w:r w:rsidRPr="00A348DD">
              <w:rPr>
                <w:rFonts w:cs="Arial" w:hint="eastAsia"/>
                <w:b/>
                <w:bCs/>
                <w:color w:val="1F497D" w:themeColor="text2"/>
                <w:sz w:val="20"/>
                <w:lang w:eastAsia="zh-CN"/>
              </w:rPr>
              <w:t>国际电联</w:t>
            </w:r>
            <w:r w:rsidR="00FB4B9F" w:rsidRPr="00A348DD">
              <w:rPr>
                <w:rFonts w:cs="Arial"/>
                <w:b/>
                <w:bCs/>
                <w:color w:val="1F497D" w:themeColor="text2"/>
                <w:sz w:val="20"/>
                <w:lang w:eastAsia="zh-CN"/>
              </w:rPr>
              <w:br/>
            </w:r>
            <w:r w:rsidRPr="00A348DD">
              <w:rPr>
                <w:rFonts w:cs="Arial" w:hint="eastAsia"/>
                <w:b/>
                <w:bCs/>
                <w:color w:val="1F497D" w:themeColor="text2"/>
                <w:sz w:val="20"/>
                <w:lang w:eastAsia="zh-CN"/>
              </w:rPr>
              <w:t>电信展览</w:t>
            </w:r>
            <w:proofErr w:type="gramStart"/>
            <w:r w:rsidRPr="00A348DD">
              <w:rPr>
                <w:rFonts w:cs="Arial" w:hint="eastAsia"/>
                <w:b/>
                <w:bCs/>
                <w:color w:val="1F497D" w:themeColor="text2"/>
                <w:sz w:val="20"/>
                <w:lang w:eastAsia="zh-CN"/>
              </w:rPr>
              <w:t>部总体</w:t>
            </w:r>
            <w:proofErr w:type="gramEnd"/>
          </w:p>
        </w:tc>
      </w:tr>
      <w:tr w:rsidR="00A348DD" w:rsidRPr="00A348DD" w:rsidTr="006E26BF">
        <w:trPr>
          <w:trHeight w:val="284"/>
        </w:trPr>
        <w:tc>
          <w:tcPr>
            <w:tcW w:w="3440" w:type="dxa"/>
            <w:tcBorders>
              <w:top w:val="nil"/>
              <w:left w:val="nil"/>
              <w:bottom w:val="single" w:sz="4" w:space="0" w:color="auto"/>
              <w:right w:val="nil"/>
            </w:tcBorders>
            <w:shd w:val="clear" w:color="000000" w:fill="DCE6F1"/>
            <w:noWrap/>
            <w:vAlign w:val="bottom"/>
            <w:hideMark/>
          </w:tcPr>
          <w:p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single" w:sz="4" w:space="0" w:color="auto"/>
              <w:right w:val="nil"/>
            </w:tcBorders>
            <w:shd w:val="clear" w:color="000000" w:fill="DCE6F1"/>
            <w:noWrap/>
            <w:vAlign w:val="bottom"/>
            <w:hideMark/>
          </w:tcPr>
          <w:p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68" w:type="dxa"/>
            <w:tcBorders>
              <w:top w:val="nil"/>
              <w:left w:val="nil"/>
              <w:bottom w:val="single" w:sz="4" w:space="0" w:color="auto"/>
              <w:right w:val="nil"/>
            </w:tcBorders>
            <w:shd w:val="clear" w:color="000000" w:fill="DCE6F1"/>
            <w:noWrap/>
            <w:vAlign w:val="bottom"/>
            <w:hideMark/>
          </w:tcPr>
          <w:p w:rsidR="00E46D80" w:rsidRPr="00A348DD" w:rsidRDefault="00E46D80" w:rsidP="00990319">
            <w:pPr>
              <w:jc w:val="center"/>
              <w:rPr>
                <w:rFonts w:cs="Arial"/>
                <w:b/>
                <w:bCs/>
                <w:color w:val="1F497D" w:themeColor="text2"/>
                <w:sz w:val="20"/>
                <w:lang w:eastAsia="zh-CN"/>
              </w:rPr>
            </w:pPr>
            <w:r w:rsidRPr="00A348DD">
              <w:rPr>
                <w:rFonts w:cs="Arial"/>
                <w:b/>
                <w:bCs/>
                <w:color w:val="1F497D" w:themeColor="text2"/>
                <w:sz w:val="20"/>
                <w:lang w:eastAsia="zh-CN"/>
              </w:rPr>
              <w:t> </w:t>
            </w:r>
          </w:p>
        </w:tc>
        <w:tc>
          <w:tcPr>
            <w:tcW w:w="1981" w:type="dxa"/>
            <w:tcBorders>
              <w:top w:val="nil"/>
              <w:left w:val="nil"/>
              <w:bottom w:val="single" w:sz="4" w:space="0" w:color="auto"/>
              <w:right w:val="nil"/>
            </w:tcBorders>
            <w:shd w:val="clear" w:color="000000" w:fill="DCE6F1"/>
            <w:noWrap/>
            <w:vAlign w:val="bottom"/>
            <w:hideMark/>
          </w:tcPr>
          <w:p w:rsidR="00E46D80" w:rsidRPr="00A348DD" w:rsidRDefault="00882E40" w:rsidP="00DC4A89">
            <w:pPr>
              <w:ind w:left="284"/>
              <w:jc w:val="center"/>
              <w:rPr>
                <w:rFonts w:cs="Arial"/>
                <w:b/>
                <w:bCs/>
                <w:color w:val="1F497D" w:themeColor="text2"/>
                <w:sz w:val="20"/>
                <w:lang w:eastAsia="zh-CN"/>
              </w:rPr>
            </w:pPr>
            <w:r w:rsidRPr="00A348DD">
              <w:rPr>
                <w:rFonts w:cs="Arial"/>
                <w:b/>
                <w:bCs/>
                <w:color w:val="1F497D" w:themeColor="text2"/>
                <w:sz w:val="20"/>
                <w:lang w:eastAsia="zh-CN"/>
              </w:rPr>
              <w:t>2020-</w:t>
            </w:r>
            <w:r w:rsidR="001841BA">
              <w:rPr>
                <w:rFonts w:cs="Arial"/>
                <w:b/>
                <w:bCs/>
                <w:color w:val="1F497D" w:themeColor="text2"/>
                <w:sz w:val="20"/>
                <w:lang w:eastAsia="zh-CN"/>
              </w:rPr>
              <w:t>20</w:t>
            </w:r>
            <w:r w:rsidRPr="00A348DD">
              <w:rPr>
                <w:rFonts w:cs="Arial"/>
                <w:b/>
                <w:bCs/>
                <w:color w:val="1F497D" w:themeColor="text2"/>
                <w:sz w:val="20"/>
                <w:lang w:eastAsia="zh-CN"/>
              </w:rPr>
              <w:t>21</w:t>
            </w:r>
          </w:p>
        </w:tc>
      </w:tr>
      <w:tr w:rsidR="00E46D80" w:rsidRPr="00533628" w:rsidTr="006E26BF">
        <w:trPr>
          <w:trHeight w:val="284"/>
        </w:trPr>
        <w:tc>
          <w:tcPr>
            <w:tcW w:w="3440" w:type="dxa"/>
            <w:tcBorders>
              <w:top w:val="nil"/>
              <w:left w:val="nil"/>
              <w:bottom w:val="nil"/>
              <w:right w:val="nil"/>
            </w:tcBorders>
            <w:shd w:val="clear" w:color="auto" w:fill="auto"/>
            <w:noWrap/>
            <w:vAlign w:val="bottom"/>
            <w:hideMark/>
          </w:tcPr>
          <w:p w:rsidR="00E46D80" w:rsidRPr="00533628" w:rsidRDefault="00E46D80" w:rsidP="00E46D80">
            <w:pPr>
              <w:pStyle w:val="Tabletext"/>
              <w:rPr>
                <w:b/>
                <w:bCs/>
                <w:sz w:val="20"/>
                <w:lang w:val="en-US" w:eastAsia="zh-CN"/>
              </w:rPr>
            </w:pPr>
            <w:r w:rsidRPr="00533628">
              <w:rPr>
                <w:rFonts w:hint="eastAsia"/>
                <w:b/>
                <w:bCs/>
                <w:sz w:val="20"/>
                <w:lang w:val="en-US" w:eastAsia="zh-CN"/>
              </w:rPr>
              <w:t>收入</w:t>
            </w:r>
          </w:p>
        </w:tc>
        <w:tc>
          <w:tcPr>
            <w:tcW w:w="1968" w:type="dxa"/>
            <w:tcBorders>
              <w:top w:val="nil"/>
              <w:left w:val="nil"/>
              <w:bottom w:val="nil"/>
              <w:right w:val="nil"/>
            </w:tcBorders>
            <w:shd w:val="clear" w:color="auto" w:fill="auto"/>
            <w:noWrap/>
            <w:vAlign w:val="bottom"/>
            <w:hideMark/>
          </w:tcPr>
          <w:p w:rsidR="00E46D80" w:rsidRPr="00533628" w:rsidRDefault="00E46D80" w:rsidP="00E46D80">
            <w:pPr>
              <w:rPr>
                <w:rFonts w:cs="Arial"/>
                <w:b/>
                <w:bCs/>
                <w:sz w:val="20"/>
                <w:lang w:eastAsia="zh-CN"/>
              </w:rPr>
            </w:pPr>
          </w:p>
        </w:tc>
        <w:tc>
          <w:tcPr>
            <w:tcW w:w="1968" w:type="dxa"/>
            <w:tcBorders>
              <w:top w:val="nil"/>
              <w:left w:val="nil"/>
              <w:bottom w:val="nil"/>
              <w:right w:val="nil"/>
            </w:tcBorders>
            <w:shd w:val="clear" w:color="auto" w:fill="auto"/>
            <w:noWrap/>
            <w:vAlign w:val="bottom"/>
            <w:hideMark/>
          </w:tcPr>
          <w:p w:rsidR="00E46D80" w:rsidRPr="00533628" w:rsidRDefault="00E46D80" w:rsidP="00E46D80">
            <w:pPr>
              <w:jc w:val="center"/>
              <w:rPr>
                <w:sz w:val="20"/>
                <w:lang w:eastAsia="zh-CN"/>
              </w:rPr>
            </w:pPr>
          </w:p>
        </w:tc>
        <w:tc>
          <w:tcPr>
            <w:tcW w:w="1981" w:type="dxa"/>
            <w:tcBorders>
              <w:top w:val="nil"/>
              <w:left w:val="nil"/>
              <w:bottom w:val="nil"/>
              <w:right w:val="nil"/>
            </w:tcBorders>
            <w:shd w:val="clear" w:color="auto" w:fill="auto"/>
            <w:noWrap/>
            <w:vAlign w:val="bottom"/>
            <w:hideMark/>
          </w:tcPr>
          <w:p w:rsidR="00E46D80" w:rsidRPr="00533628" w:rsidRDefault="00E46D80" w:rsidP="00E46D80">
            <w:pPr>
              <w:jc w:val="center"/>
              <w:rPr>
                <w:sz w:val="20"/>
                <w:lang w:eastAsia="zh-CN"/>
              </w:rPr>
            </w:pP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场地和活动相关收入</w:t>
            </w:r>
          </w:p>
        </w:tc>
        <w:tc>
          <w:tcPr>
            <w:tcW w:w="1968" w:type="dxa"/>
            <w:tcBorders>
              <w:top w:val="nil"/>
              <w:left w:val="nil"/>
              <w:bottom w:val="nil"/>
              <w:right w:val="nil"/>
            </w:tcBorders>
            <w:shd w:val="clear" w:color="auto" w:fill="auto"/>
            <w:noWrap/>
            <w:vAlign w:val="bottom"/>
            <w:hideMark/>
          </w:tcPr>
          <w:p w:rsidR="004305EA" w:rsidRDefault="004305EA" w:rsidP="00221A50">
            <w:pPr>
              <w:tabs>
                <w:tab w:val="clear" w:pos="794"/>
                <w:tab w:val="clear" w:pos="1191"/>
                <w:tab w:val="clear" w:pos="1588"/>
                <w:tab w:val="clear" w:pos="1985"/>
              </w:tabs>
              <w:overflowPunct/>
              <w:autoSpaceDE/>
              <w:autoSpaceDN/>
              <w:adjustRightInd/>
              <w:spacing w:before="40" w:after="40"/>
              <w:jc w:val="right"/>
              <w:textAlignment w:val="auto"/>
              <w:rPr>
                <w:rFonts w:cs="Calibri"/>
                <w:sz w:val="20"/>
                <w:lang w:eastAsia="zh-CN"/>
              </w:rPr>
            </w:pPr>
            <w:r>
              <w:rPr>
                <w:rFonts w:cs="Calibri"/>
                <w:sz w:val="20"/>
              </w:rPr>
              <w:t xml:space="preserve">3,600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3,600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7,200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门票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赞助费和财务</w:t>
            </w:r>
            <w:r w:rsidRPr="00533628">
              <w:rPr>
                <w:sz w:val="20"/>
                <w:lang w:val="en-US" w:eastAsia="zh-CN"/>
              </w:rPr>
              <w:t>贡献</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4,300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4,300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8,600 </w:t>
            </w:r>
          </w:p>
        </w:tc>
      </w:tr>
      <w:tr w:rsidR="004305EA" w:rsidRPr="00533628" w:rsidTr="006E26BF">
        <w:trPr>
          <w:trHeight w:val="284"/>
        </w:trPr>
        <w:tc>
          <w:tcPr>
            <w:tcW w:w="3440" w:type="dxa"/>
            <w:tcBorders>
              <w:top w:val="single" w:sz="4" w:space="0" w:color="auto"/>
              <w:left w:val="nil"/>
              <w:bottom w:val="single" w:sz="4" w:space="0" w:color="auto"/>
              <w:right w:val="nil"/>
            </w:tcBorders>
            <w:shd w:val="clear" w:color="auto" w:fill="auto"/>
            <w:noWrap/>
            <w:vAlign w:val="bottom"/>
            <w:hideMark/>
          </w:tcPr>
          <w:p w:rsidR="004305EA" w:rsidRPr="00533628" w:rsidRDefault="004305EA" w:rsidP="004305EA">
            <w:pPr>
              <w:rPr>
                <w:rFonts w:cs="Arial"/>
                <w:b/>
                <w:bCs/>
                <w:i/>
                <w:iCs/>
                <w:sz w:val="20"/>
                <w:lang w:eastAsia="zh-CN"/>
              </w:rPr>
            </w:pPr>
            <w:r w:rsidRPr="00533628">
              <w:rPr>
                <w:rFonts w:ascii="STKaiti" w:eastAsia="STKaiti" w:hAnsi="STKaiti" w:hint="eastAsia"/>
                <w:b/>
                <w:bCs/>
                <w:sz w:val="20"/>
                <w:lang w:val="en-US" w:eastAsia="zh-CN"/>
              </w:rPr>
              <w:t>收入合计（</w:t>
            </w:r>
            <w:r w:rsidRPr="00FB4B9F">
              <w:rPr>
                <w:rFonts w:hint="eastAsia"/>
                <w:b/>
                <w:bCs/>
                <w:color w:val="002060"/>
                <w:sz w:val="20"/>
                <w:lang w:val="en-US" w:eastAsia="zh-CN"/>
              </w:rPr>
              <w:t>A</w:t>
            </w:r>
            <w:r w:rsidRPr="00533628">
              <w:rPr>
                <w:rFonts w:ascii="STKaiti" w:eastAsia="STKaiti" w:hAnsi="STKaiti" w:hint="eastAsia"/>
                <w:b/>
                <w:bCs/>
                <w:sz w:val="20"/>
                <w:lang w:val="en-US" w:eastAsia="zh-CN"/>
              </w:rPr>
              <w:t>）</w:t>
            </w:r>
          </w:p>
        </w:tc>
        <w:tc>
          <w:tcPr>
            <w:tcW w:w="1968" w:type="dxa"/>
            <w:tcBorders>
              <w:top w:val="single" w:sz="4" w:space="0" w:color="auto"/>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i/>
                <w:iCs/>
                <w:sz w:val="20"/>
              </w:rPr>
            </w:pPr>
            <w:r>
              <w:rPr>
                <w:rFonts w:cs="Calibri"/>
                <w:b/>
                <w:bCs/>
                <w:i/>
                <w:iCs/>
                <w:sz w:val="20"/>
              </w:rPr>
              <w:t xml:space="preserve">8,100 </w:t>
            </w:r>
          </w:p>
        </w:tc>
        <w:tc>
          <w:tcPr>
            <w:tcW w:w="1968" w:type="dxa"/>
            <w:tcBorders>
              <w:top w:val="single" w:sz="4" w:space="0" w:color="auto"/>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i/>
                <w:iCs/>
                <w:sz w:val="20"/>
              </w:rPr>
            </w:pPr>
            <w:r>
              <w:rPr>
                <w:rFonts w:cs="Calibri"/>
                <w:b/>
                <w:bCs/>
                <w:i/>
                <w:iCs/>
                <w:sz w:val="20"/>
              </w:rPr>
              <w:t xml:space="preserve">8,100 </w:t>
            </w:r>
          </w:p>
        </w:tc>
        <w:tc>
          <w:tcPr>
            <w:tcW w:w="1981" w:type="dxa"/>
            <w:tcBorders>
              <w:top w:val="single" w:sz="4" w:space="0" w:color="auto"/>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sz w:val="20"/>
              </w:rPr>
            </w:pPr>
            <w:r>
              <w:rPr>
                <w:rFonts w:cs="Calibri"/>
                <w:b/>
                <w:bCs/>
                <w:sz w:val="20"/>
              </w:rPr>
              <w:t xml:space="preserve">16,200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jc w:val="right"/>
              <w:rPr>
                <w:rFonts w:cs="Arial"/>
                <w:b/>
                <w:bCs/>
                <w:i/>
                <w:iCs/>
                <w:sz w:val="20"/>
                <w:lang w:eastAsia="zh-CN"/>
              </w:rPr>
            </w:pP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b/>
                <w:bCs/>
                <w:sz w:val="20"/>
              </w:rPr>
            </w:pP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sz w:val="20"/>
              </w:rPr>
            </w:pP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sz w:val="20"/>
              </w:rPr>
            </w:pP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b/>
                <w:bCs/>
                <w:sz w:val="20"/>
                <w:lang w:val="en-US" w:eastAsia="zh-CN"/>
              </w:rPr>
            </w:pPr>
            <w:r w:rsidRPr="00533628">
              <w:rPr>
                <w:rFonts w:hint="eastAsia"/>
                <w:b/>
                <w:bCs/>
                <w:sz w:val="20"/>
                <w:lang w:val="en-US" w:eastAsia="zh-CN"/>
              </w:rPr>
              <w:t>支出</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sz w:val="20"/>
              </w:rPr>
            </w:pP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sz w:val="20"/>
              </w:rPr>
            </w:pP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sz w:val="20"/>
              </w:rPr>
            </w:pP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核心支出（表</w:t>
            </w:r>
            <w:r w:rsidRPr="00533628">
              <w:rPr>
                <w:sz w:val="20"/>
                <w:lang w:val="en-US" w:eastAsia="zh-CN"/>
              </w:rPr>
              <w:t>1</w:t>
            </w:r>
            <w:r w:rsidRPr="00533628">
              <w:rPr>
                <w:rFonts w:hint="eastAsia"/>
                <w:sz w:val="20"/>
                <w:lang w:val="en-US" w:eastAsia="zh-CN"/>
              </w:rPr>
              <w:t>）</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5,135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5,135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10,270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人员费用（活动）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120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120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240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差旅费用（活动）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800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合同服务（活动）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1,400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1,400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2,800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租用与维护（活动）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550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550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1,100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材料与办公用品（活动）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100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100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200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公共服务（活动）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 </w:t>
            </w:r>
          </w:p>
        </w:tc>
      </w:tr>
      <w:tr w:rsidR="004305EA" w:rsidRPr="00533628" w:rsidTr="006E26BF">
        <w:trPr>
          <w:trHeight w:val="284"/>
        </w:trPr>
        <w:tc>
          <w:tcPr>
            <w:tcW w:w="3440" w:type="dxa"/>
            <w:tcBorders>
              <w:top w:val="nil"/>
              <w:left w:val="nil"/>
              <w:bottom w:val="nil"/>
              <w:right w:val="nil"/>
            </w:tcBorders>
            <w:shd w:val="clear" w:color="auto" w:fill="auto"/>
            <w:noWrap/>
            <w:vAlign w:val="bottom"/>
            <w:hideMark/>
          </w:tcPr>
          <w:p w:rsidR="004305EA" w:rsidRPr="00533628" w:rsidRDefault="004305EA" w:rsidP="004305EA">
            <w:pPr>
              <w:pStyle w:val="Tabletext"/>
              <w:rPr>
                <w:sz w:val="20"/>
                <w:lang w:val="en-US" w:eastAsia="zh-CN"/>
              </w:rPr>
            </w:pPr>
            <w:r w:rsidRPr="00533628">
              <w:rPr>
                <w:rFonts w:hint="eastAsia"/>
                <w:sz w:val="20"/>
                <w:lang w:val="en-US" w:eastAsia="zh-CN"/>
              </w:rPr>
              <w:t>杂项支出（活动）</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20 </w:t>
            </w:r>
          </w:p>
        </w:tc>
        <w:tc>
          <w:tcPr>
            <w:tcW w:w="1968"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20 </w:t>
            </w:r>
          </w:p>
        </w:tc>
        <w:tc>
          <w:tcPr>
            <w:tcW w:w="1981" w:type="dxa"/>
            <w:tcBorders>
              <w:top w:val="nil"/>
              <w:left w:val="nil"/>
              <w:bottom w:val="nil"/>
              <w:right w:val="nil"/>
            </w:tcBorders>
            <w:shd w:val="clear" w:color="auto" w:fill="auto"/>
            <w:noWrap/>
            <w:vAlign w:val="bottom"/>
            <w:hideMark/>
          </w:tcPr>
          <w:p w:rsidR="004305EA" w:rsidRDefault="004305EA" w:rsidP="00221A50">
            <w:pPr>
              <w:spacing w:before="40" w:after="40"/>
              <w:jc w:val="right"/>
              <w:rPr>
                <w:rFonts w:cs="Calibri"/>
                <w:sz w:val="20"/>
              </w:rPr>
            </w:pPr>
            <w:r>
              <w:rPr>
                <w:rFonts w:cs="Calibri"/>
                <w:sz w:val="20"/>
              </w:rPr>
              <w:t xml:space="preserve">40 </w:t>
            </w:r>
          </w:p>
        </w:tc>
      </w:tr>
      <w:tr w:rsidR="00A348DD" w:rsidRPr="00A348DD" w:rsidTr="006E26BF">
        <w:trPr>
          <w:trHeight w:val="284"/>
        </w:trPr>
        <w:tc>
          <w:tcPr>
            <w:tcW w:w="3440" w:type="dxa"/>
            <w:tcBorders>
              <w:top w:val="single" w:sz="4" w:space="0" w:color="auto"/>
              <w:left w:val="nil"/>
              <w:bottom w:val="single" w:sz="4" w:space="0" w:color="auto"/>
              <w:right w:val="nil"/>
            </w:tcBorders>
            <w:shd w:val="clear" w:color="auto" w:fill="auto"/>
            <w:noWrap/>
            <w:vAlign w:val="bottom"/>
            <w:hideMark/>
          </w:tcPr>
          <w:p w:rsidR="004305EA" w:rsidRPr="00A348DD" w:rsidRDefault="004305EA" w:rsidP="004305EA">
            <w:pPr>
              <w:pStyle w:val="Tabletext"/>
              <w:rPr>
                <w:rFonts w:ascii="STKaiti" w:eastAsia="STKaiti" w:hAnsi="STKaiti"/>
                <w:b/>
                <w:bCs/>
                <w:sz w:val="20"/>
                <w:lang w:val="en-US" w:eastAsia="zh-CN"/>
              </w:rPr>
            </w:pPr>
            <w:r w:rsidRPr="00A348DD">
              <w:rPr>
                <w:rFonts w:ascii="STKaiti" w:eastAsia="STKaiti" w:hAnsi="STKaiti" w:hint="eastAsia"/>
                <w:b/>
                <w:bCs/>
                <w:sz w:val="20"/>
                <w:lang w:val="en-US" w:eastAsia="zh-CN"/>
              </w:rPr>
              <w:t>支出合计（</w:t>
            </w:r>
            <w:r w:rsidRPr="00A348DD">
              <w:rPr>
                <w:rFonts w:hint="eastAsia"/>
                <w:b/>
                <w:bCs/>
                <w:sz w:val="20"/>
                <w:lang w:val="en-US" w:eastAsia="zh-CN"/>
              </w:rPr>
              <w:t>B</w:t>
            </w:r>
            <w:r w:rsidRPr="00A348DD">
              <w:rPr>
                <w:rFonts w:ascii="STKaiti" w:eastAsia="STKaiti" w:hAnsi="STKaiti" w:hint="eastAsia"/>
                <w:b/>
                <w:bCs/>
                <w:sz w:val="20"/>
                <w:lang w:val="en-US" w:eastAsia="zh-CN"/>
              </w:rPr>
              <w:t>）</w:t>
            </w:r>
          </w:p>
        </w:tc>
        <w:tc>
          <w:tcPr>
            <w:tcW w:w="1968" w:type="dxa"/>
            <w:tcBorders>
              <w:top w:val="single" w:sz="4" w:space="0" w:color="auto"/>
              <w:left w:val="nil"/>
              <w:bottom w:val="single" w:sz="4" w:space="0" w:color="auto"/>
              <w:right w:val="nil"/>
            </w:tcBorders>
            <w:shd w:val="clear" w:color="auto" w:fill="auto"/>
            <w:noWrap/>
            <w:vAlign w:val="bottom"/>
            <w:hideMark/>
          </w:tcPr>
          <w:p w:rsidR="004305EA" w:rsidRPr="00A348DD" w:rsidRDefault="004305EA" w:rsidP="00221A50">
            <w:pPr>
              <w:spacing w:before="40" w:after="40"/>
              <w:jc w:val="right"/>
              <w:rPr>
                <w:rFonts w:cs="Calibri"/>
                <w:b/>
                <w:bCs/>
                <w:i/>
                <w:iCs/>
                <w:sz w:val="20"/>
              </w:rPr>
            </w:pPr>
            <w:r w:rsidRPr="00A348DD">
              <w:rPr>
                <w:rFonts w:cs="Calibri"/>
                <w:b/>
                <w:bCs/>
                <w:i/>
                <w:iCs/>
                <w:sz w:val="20"/>
              </w:rPr>
              <w:t xml:space="preserve">7,727 </w:t>
            </w:r>
          </w:p>
        </w:tc>
        <w:tc>
          <w:tcPr>
            <w:tcW w:w="1968" w:type="dxa"/>
            <w:tcBorders>
              <w:top w:val="single" w:sz="4" w:space="0" w:color="auto"/>
              <w:left w:val="nil"/>
              <w:bottom w:val="single" w:sz="4" w:space="0" w:color="auto"/>
              <w:right w:val="nil"/>
            </w:tcBorders>
            <w:shd w:val="clear" w:color="auto" w:fill="auto"/>
            <w:noWrap/>
            <w:vAlign w:val="bottom"/>
            <w:hideMark/>
          </w:tcPr>
          <w:p w:rsidR="004305EA" w:rsidRPr="00A348DD" w:rsidRDefault="004305EA" w:rsidP="00221A50">
            <w:pPr>
              <w:spacing w:before="40" w:after="40"/>
              <w:jc w:val="right"/>
              <w:rPr>
                <w:rFonts w:cs="Calibri"/>
                <w:b/>
                <w:bCs/>
                <w:i/>
                <w:iCs/>
                <w:sz w:val="20"/>
              </w:rPr>
            </w:pPr>
            <w:r w:rsidRPr="00A348DD">
              <w:rPr>
                <w:rFonts w:cs="Calibri"/>
                <w:b/>
                <w:bCs/>
                <w:i/>
                <w:iCs/>
                <w:sz w:val="20"/>
              </w:rPr>
              <w:t xml:space="preserve">7,727 </w:t>
            </w:r>
          </w:p>
        </w:tc>
        <w:tc>
          <w:tcPr>
            <w:tcW w:w="1981" w:type="dxa"/>
            <w:tcBorders>
              <w:top w:val="single" w:sz="4" w:space="0" w:color="auto"/>
              <w:left w:val="nil"/>
              <w:bottom w:val="single" w:sz="4" w:space="0" w:color="auto"/>
              <w:right w:val="nil"/>
            </w:tcBorders>
            <w:shd w:val="clear" w:color="auto" w:fill="auto"/>
            <w:noWrap/>
            <w:vAlign w:val="bottom"/>
            <w:hideMark/>
          </w:tcPr>
          <w:p w:rsidR="004305EA" w:rsidRPr="00A348DD" w:rsidRDefault="004305EA" w:rsidP="00221A50">
            <w:pPr>
              <w:spacing w:before="40" w:after="40"/>
              <w:jc w:val="right"/>
              <w:rPr>
                <w:rFonts w:cs="Calibri"/>
                <w:b/>
                <w:bCs/>
                <w:i/>
                <w:iCs/>
                <w:sz w:val="20"/>
              </w:rPr>
            </w:pPr>
            <w:r w:rsidRPr="00A348DD">
              <w:rPr>
                <w:rFonts w:cs="Calibri"/>
                <w:b/>
                <w:bCs/>
                <w:i/>
                <w:iCs/>
                <w:sz w:val="20"/>
              </w:rPr>
              <w:t xml:space="preserve">15,454 </w:t>
            </w:r>
          </w:p>
        </w:tc>
      </w:tr>
      <w:tr w:rsidR="004305EA" w:rsidRPr="00533628" w:rsidTr="006E26BF">
        <w:trPr>
          <w:trHeight w:val="284"/>
        </w:trPr>
        <w:tc>
          <w:tcPr>
            <w:tcW w:w="3440" w:type="dxa"/>
            <w:tcBorders>
              <w:top w:val="nil"/>
              <w:left w:val="nil"/>
              <w:bottom w:val="single" w:sz="4" w:space="0" w:color="auto"/>
              <w:right w:val="nil"/>
            </w:tcBorders>
            <w:shd w:val="clear" w:color="auto" w:fill="auto"/>
            <w:noWrap/>
            <w:vAlign w:val="bottom"/>
            <w:hideMark/>
          </w:tcPr>
          <w:p w:rsidR="004305EA" w:rsidRPr="00533628" w:rsidRDefault="004305EA" w:rsidP="004305EA">
            <w:pPr>
              <w:rPr>
                <w:rFonts w:cs="Arial"/>
                <w:b/>
                <w:bCs/>
                <w:i/>
                <w:iCs/>
                <w:sz w:val="20"/>
                <w:lang w:eastAsia="zh-CN"/>
              </w:rPr>
            </w:pPr>
            <w:r w:rsidRPr="00533628">
              <w:rPr>
                <w:rFonts w:cs="Arial"/>
                <w:b/>
                <w:bCs/>
                <w:i/>
                <w:iCs/>
                <w:sz w:val="20"/>
                <w:lang w:eastAsia="zh-CN"/>
              </w:rPr>
              <w:t> </w:t>
            </w:r>
          </w:p>
        </w:tc>
        <w:tc>
          <w:tcPr>
            <w:tcW w:w="1968" w:type="dxa"/>
            <w:tcBorders>
              <w:top w:val="nil"/>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i/>
                <w:iCs/>
                <w:sz w:val="20"/>
              </w:rPr>
            </w:pPr>
            <w:r>
              <w:rPr>
                <w:rFonts w:cs="Calibri"/>
                <w:b/>
                <w:bCs/>
                <w:i/>
                <w:iCs/>
                <w:sz w:val="20"/>
              </w:rPr>
              <w:t> </w:t>
            </w:r>
          </w:p>
        </w:tc>
        <w:tc>
          <w:tcPr>
            <w:tcW w:w="1968" w:type="dxa"/>
            <w:tcBorders>
              <w:top w:val="nil"/>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i/>
                <w:iCs/>
                <w:sz w:val="20"/>
              </w:rPr>
            </w:pPr>
            <w:r>
              <w:rPr>
                <w:rFonts w:cs="Calibri"/>
                <w:b/>
                <w:bCs/>
                <w:i/>
                <w:iCs/>
                <w:sz w:val="20"/>
              </w:rPr>
              <w:t> </w:t>
            </w:r>
          </w:p>
        </w:tc>
        <w:tc>
          <w:tcPr>
            <w:tcW w:w="1981" w:type="dxa"/>
            <w:tcBorders>
              <w:top w:val="nil"/>
              <w:left w:val="nil"/>
              <w:bottom w:val="single" w:sz="4" w:space="0" w:color="auto"/>
              <w:right w:val="nil"/>
            </w:tcBorders>
            <w:shd w:val="clear" w:color="auto" w:fill="auto"/>
            <w:noWrap/>
            <w:vAlign w:val="bottom"/>
            <w:hideMark/>
          </w:tcPr>
          <w:p w:rsidR="004305EA" w:rsidRDefault="004305EA" w:rsidP="00221A50">
            <w:pPr>
              <w:spacing w:before="40" w:after="40"/>
              <w:jc w:val="right"/>
              <w:rPr>
                <w:rFonts w:cs="Calibri"/>
                <w:b/>
                <w:bCs/>
                <w:i/>
                <w:iCs/>
                <w:sz w:val="20"/>
              </w:rPr>
            </w:pPr>
            <w:r>
              <w:rPr>
                <w:rFonts w:cs="Calibri"/>
                <w:b/>
                <w:bCs/>
                <w:i/>
                <w:iCs/>
                <w:sz w:val="20"/>
              </w:rPr>
              <w:t> </w:t>
            </w:r>
          </w:p>
        </w:tc>
      </w:tr>
      <w:tr w:rsidR="00A348DD" w:rsidRPr="00A348DD" w:rsidTr="006E26BF">
        <w:trPr>
          <w:trHeight w:val="284"/>
        </w:trPr>
        <w:tc>
          <w:tcPr>
            <w:tcW w:w="3440" w:type="dxa"/>
            <w:tcBorders>
              <w:top w:val="nil"/>
              <w:left w:val="nil"/>
              <w:bottom w:val="single" w:sz="4" w:space="0" w:color="auto"/>
              <w:right w:val="nil"/>
            </w:tcBorders>
            <w:shd w:val="clear" w:color="000000" w:fill="DCE6F1"/>
            <w:noWrap/>
            <w:vAlign w:val="bottom"/>
            <w:hideMark/>
          </w:tcPr>
          <w:p w:rsidR="004305EA" w:rsidRPr="00A348DD" w:rsidRDefault="004305EA" w:rsidP="004305EA">
            <w:pPr>
              <w:rPr>
                <w:rFonts w:cs="Arial"/>
                <w:b/>
                <w:bCs/>
                <w:sz w:val="20"/>
                <w:lang w:eastAsia="zh-CN"/>
              </w:rPr>
            </w:pPr>
            <w:r w:rsidRPr="00A348DD">
              <w:rPr>
                <w:rFonts w:hint="eastAsia"/>
                <w:b/>
                <w:bCs/>
                <w:sz w:val="20"/>
                <w:lang w:val="en-US" w:eastAsia="zh-CN"/>
              </w:rPr>
              <w:t>净结果（</w:t>
            </w:r>
            <w:r w:rsidRPr="00A348DD">
              <w:rPr>
                <w:b/>
                <w:bCs/>
                <w:sz w:val="20"/>
                <w:lang w:val="en-US" w:eastAsia="zh-CN"/>
              </w:rPr>
              <w:t>C = A - B</w:t>
            </w:r>
            <w:r w:rsidRPr="00A348DD">
              <w:rPr>
                <w:rFonts w:hint="eastAsia"/>
                <w:b/>
                <w:bCs/>
                <w:sz w:val="20"/>
                <w:lang w:val="en-US" w:eastAsia="zh-CN"/>
              </w:rPr>
              <w:t>）</w:t>
            </w:r>
          </w:p>
        </w:tc>
        <w:tc>
          <w:tcPr>
            <w:tcW w:w="1968" w:type="dxa"/>
            <w:tcBorders>
              <w:top w:val="nil"/>
              <w:left w:val="nil"/>
              <w:bottom w:val="single" w:sz="4" w:space="0" w:color="auto"/>
              <w:right w:val="nil"/>
            </w:tcBorders>
            <w:shd w:val="clear" w:color="000000" w:fill="DCE6F1"/>
            <w:noWrap/>
            <w:vAlign w:val="bottom"/>
            <w:hideMark/>
          </w:tcPr>
          <w:p w:rsidR="004305EA" w:rsidRPr="00A348DD" w:rsidRDefault="004305EA" w:rsidP="00221A50">
            <w:pPr>
              <w:spacing w:before="40" w:after="40"/>
              <w:jc w:val="right"/>
              <w:rPr>
                <w:rFonts w:cs="Calibri"/>
                <w:b/>
                <w:bCs/>
                <w:sz w:val="20"/>
              </w:rPr>
            </w:pPr>
            <w:r w:rsidRPr="00A348DD">
              <w:rPr>
                <w:rFonts w:cs="Calibri"/>
                <w:b/>
                <w:bCs/>
                <w:sz w:val="20"/>
              </w:rPr>
              <w:t>373</w:t>
            </w:r>
          </w:p>
        </w:tc>
        <w:tc>
          <w:tcPr>
            <w:tcW w:w="1968" w:type="dxa"/>
            <w:tcBorders>
              <w:top w:val="nil"/>
              <w:left w:val="nil"/>
              <w:bottom w:val="single" w:sz="4" w:space="0" w:color="auto"/>
              <w:right w:val="nil"/>
            </w:tcBorders>
            <w:shd w:val="clear" w:color="000000" w:fill="DCE6F1"/>
            <w:noWrap/>
            <w:vAlign w:val="bottom"/>
            <w:hideMark/>
          </w:tcPr>
          <w:p w:rsidR="004305EA" w:rsidRPr="00A348DD" w:rsidRDefault="004305EA" w:rsidP="00221A50">
            <w:pPr>
              <w:spacing w:before="40" w:after="40"/>
              <w:jc w:val="right"/>
              <w:rPr>
                <w:rFonts w:cs="Calibri"/>
                <w:b/>
                <w:bCs/>
                <w:sz w:val="20"/>
              </w:rPr>
            </w:pPr>
            <w:r w:rsidRPr="00A348DD">
              <w:rPr>
                <w:rFonts w:cs="Calibri"/>
                <w:b/>
                <w:bCs/>
                <w:sz w:val="20"/>
              </w:rPr>
              <w:t xml:space="preserve">373 </w:t>
            </w:r>
          </w:p>
        </w:tc>
        <w:tc>
          <w:tcPr>
            <w:tcW w:w="1981" w:type="dxa"/>
            <w:tcBorders>
              <w:top w:val="nil"/>
              <w:left w:val="nil"/>
              <w:bottom w:val="single" w:sz="4" w:space="0" w:color="auto"/>
              <w:right w:val="nil"/>
            </w:tcBorders>
            <w:shd w:val="clear" w:color="000000" w:fill="DCE6F1"/>
            <w:noWrap/>
            <w:vAlign w:val="bottom"/>
            <w:hideMark/>
          </w:tcPr>
          <w:p w:rsidR="004305EA" w:rsidRPr="00A348DD" w:rsidRDefault="004305EA" w:rsidP="00221A50">
            <w:pPr>
              <w:spacing w:before="40" w:after="40"/>
              <w:jc w:val="right"/>
              <w:rPr>
                <w:rFonts w:cs="Calibri"/>
                <w:b/>
                <w:bCs/>
                <w:sz w:val="20"/>
              </w:rPr>
            </w:pPr>
            <w:r w:rsidRPr="00A348DD">
              <w:rPr>
                <w:rFonts w:cs="Calibri"/>
                <w:b/>
                <w:bCs/>
                <w:sz w:val="20"/>
              </w:rPr>
              <w:t xml:space="preserve">746 </w:t>
            </w:r>
          </w:p>
        </w:tc>
      </w:tr>
    </w:tbl>
    <w:p w:rsidR="00DA4C74" w:rsidRPr="00EA6993" w:rsidRDefault="00DA4C74" w:rsidP="00553544">
      <w:pPr>
        <w:pStyle w:val="Headingb"/>
        <w:spacing w:before="240"/>
        <w:rPr>
          <w:lang w:val="en-US" w:eastAsia="zh-CN"/>
        </w:rPr>
      </w:pPr>
      <w:bookmarkStart w:id="8" w:name="_Toc419133816"/>
      <w:r w:rsidRPr="00EA6993">
        <w:rPr>
          <w:rFonts w:hint="eastAsia"/>
          <w:lang w:val="en-US" w:eastAsia="zh-CN"/>
        </w:rPr>
        <w:t>电信展周转资本基金（</w:t>
      </w:r>
      <w:r w:rsidRPr="00EA6993">
        <w:rPr>
          <w:lang w:val="en-US" w:eastAsia="zh-CN"/>
        </w:rPr>
        <w:t>EWCF</w:t>
      </w:r>
      <w:r w:rsidRPr="00EA6993">
        <w:rPr>
          <w:rFonts w:hint="eastAsia"/>
          <w:lang w:val="en-US" w:eastAsia="zh-CN"/>
        </w:rPr>
        <w:t>）</w:t>
      </w:r>
      <w:bookmarkEnd w:id="8"/>
    </w:p>
    <w:p w:rsidR="00DA4C74" w:rsidRPr="00DD2F28" w:rsidRDefault="005C25F3" w:rsidP="00A348DD">
      <w:pPr>
        <w:rPr>
          <w:rFonts w:cs="Arial"/>
          <w:lang w:val="en-US" w:eastAsia="zh-CN"/>
        </w:rPr>
      </w:pPr>
      <w:r>
        <w:rPr>
          <w:rFonts w:cs="Arial"/>
          <w:lang w:val="en-US" w:eastAsia="zh-CN"/>
        </w:rPr>
        <w:t>11</w:t>
      </w:r>
      <w:r w:rsidR="00DA4C74">
        <w:rPr>
          <w:rFonts w:cs="Arial"/>
          <w:lang w:val="en-US" w:eastAsia="zh-CN"/>
        </w:rPr>
        <w:tab/>
      </w:r>
      <w:r w:rsidR="00DA4C74" w:rsidRPr="00DD2F28">
        <w:rPr>
          <w:rFonts w:hint="eastAsia"/>
          <w:lang w:eastAsia="zh-CN"/>
        </w:rPr>
        <w:t>根据国际电联《财务规则和财务细则》第</w:t>
      </w:r>
      <w:r w:rsidR="00DA4C74" w:rsidRPr="00DD2F28">
        <w:rPr>
          <w:lang w:val="en-US" w:eastAsia="zh-CN"/>
        </w:rPr>
        <w:t>19</w:t>
      </w:r>
      <w:r w:rsidR="00DA4C74" w:rsidRPr="00DD2F28">
        <w:rPr>
          <w:rFonts w:hint="eastAsia"/>
          <w:lang w:eastAsia="zh-CN"/>
        </w:rPr>
        <w:t>条</w:t>
      </w:r>
      <w:r w:rsidR="00DA4C74">
        <w:rPr>
          <w:rFonts w:hint="eastAsia"/>
          <w:lang w:val="en-US" w:eastAsia="zh-CN"/>
        </w:rPr>
        <w:t>细则</w:t>
      </w:r>
      <w:r w:rsidR="00DA4C74">
        <w:rPr>
          <w:rFonts w:hint="eastAsia"/>
          <w:lang w:val="en-US" w:eastAsia="zh-CN"/>
        </w:rPr>
        <w:t>4</w:t>
      </w:r>
      <w:r w:rsidR="00DA4C74" w:rsidRPr="00DD2F28">
        <w:rPr>
          <w:rFonts w:hint="eastAsia"/>
          <w:lang w:val="en-US" w:eastAsia="zh-CN"/>
        </w:rPr>
        <w:t>，</w:t>
      </w:r>
      <w:r w:rsidR="00DA4C74">
        <w:rPr>
          <w:rFonts w:hint="eastAsia"/>
          <w:lang w:eastAsia="zh-CN"/>
        </w:rPr>
        <w:t>每届</w:t>
      </w:r>
      <w:r w:rsidR="00DA4C74" w:rsidRPr="00DD2F28">
        <w:rPr>
          <w:rFonts w:hint="eastAsia"/>
          <w:lang w:eastAsia="zh-CN"/>
        </w:rPr>
        <w:t>国际电联电信展览部的展会活动账目</w:t>
      </w:r>
      <w:r w:rsidR="00DA4C74">
        <w:rPr>
          <w:rFonts w:hint="eastAsia"/>
          <w:lang w:eastAsia="zh-CN"/>
        </w:rPr>
        <w:t>封账</w:t>
      </w:r>
      <w:r w:rsidR="00DA4C74" w:rsidRPr="00DD2F28">
        <w:rPr>
          <w:rFonts w:hint="eastAsia"/>
          <w:lang w:eastAsia="zh-CN"/>
        </w:rPr>
        <w:t>后</w:t>
      </w:r>
      <w:r w:rsidR="00DA4C74" w:rsidRPr="00DD2F28">
        <w:rPr>
          <w:rFonts w:hint="eastAsia"/>
          <w:lang w:val="en-US" w:eastAsia="zh-CN"/>
        </w:rPr>
        <w:t>，</w:t>
      </w:r>
      <w:r w:rsidR="00DA4C74">
        <w:rPr>
          <w:rFonts w:hint="eastAsia"/>
          <w:lang w:eastAsia="zh-CN"/>
        </w:rPr>
        <w:t>净结果</w:t>
      </w:r>
      <w:r w:rsidR="00DA4C74" w:rsidRPr="00DD2F28">
        <w:rPr>
          <w:rFonts w:hint="eastAsia"/>
          <w:lang w:eastAsia="zh-CN"/>
        </w:rPr>
        <w:t>须转入电信展周转资本基金</w:t>
      </w:r>
      <w:r w:rsidR="00DA4C74" w:rsidRPr="00DD2F28">
        <w:rPr>
          <w:rFonts w:hint="eastAsia"/>
          <w:lang w:val="en-US" w:eastAsia="zh-CN"/>
        </w:rPr>
        <w:t>（</w:t>
      </w:r>
      <w:r w:rsidR="00DA4C74">
        <w:rPr>
          <w:rFonts w:hint="eastAsia"/>
          <w:lang w:val="en-US" w:eastAsia="zh-CN"/>
        </w:rPr>
        <w:t>EWCF</w:t>
      </w:r>
      <w:r w:rsidR="00DA4C74" w:rsidRPr="00DD2F28">
        <w:rPr>
          <w:rFonts w:hint="eastAsia"/>
          <w:lang w:val="en-US" w:eastAsia="zh-CN"/>
        </w:rPr>
        <w:t>）</w:t>
      </w:r>
      <w:r w:rsidR="00DA4C74" w:rsidRPr="00DD2F28">
        <w:rPr>
          <w:rFonts w:hint="eastAsia"/>
          <w:lang w:eastAsia="zh-CN"/>
        </w:rPr>
        <w:t>。</w:t>
      </w:r>
      <w:r w:rsidR="00DA4C74">
        <w:rPr>
          <w:rFonts w:hint="eastAsia"/>
          <w:lang w:eastAsia="zh-CN"/>
        </w:rPr>
        <w:t>展会的财务</w:t>
      </w:r>
      <w:r w:rsidR="00DA4C74">
        <w:rPr>
          <w:lang w:eastAsia="zh-CN"/>
        </w:rPr>
        <w:t>盈利</w:t>
      </w:r>
      <w:r w:rsidR="00DA4C74">
        <w:rPr>
          <w:rFonts w:hint="eastAsia"/>
          <w:lang w:eastAsia="zh-CN"/>
        </w:rPr>
        <w:t>增加</w:t>
      </w:r>
      <w:r w:rsidR="00DA4C74" w:rsidRPr="00286A05">
        <w:rPr>
          <w:lang w:val="en-US" w:eastAsia="zh-CN"/>
        </w:rPr>
        <w:t>EWCF</w:t>
      </w:r>
      <w:r w:rsidR="00DA4C74" w:rsidRPr="00286A05">
        <w:rPr>
          <w:rFonts w:hint="eastAsia"/>
          <w:lang w:val="en-US" w:eastAsia="zh-CN"/>
        </w:rPr>
        <w:t>的余额，</w:t>
      </w:r>
      <w:r w:rsidR="00DA4C74">
        <w:rPr>
          <w:rFonts w:hint="eastAsia"/>
          <w:lang w:eastAsia="zh-CN"/>
        </w:rPr>
        <w:t>而财务</w:t>
      </w:r>
      <w:r w:rsidR="00DA4C74">
        <w:rPr>
          <w:lang w:eastAsia="zh-CN"/>
        </w:rPr>
        <w:t>亏损</w:t>
      </w:r>
      <w:r w:rsidR="00DA4C74">
        <w:rPr>
          <w:rFonts w:hint="eastAsia"/>
          <w:lang w:eastAsia="zh-CN"/>
        </w:rPr>
        <w:t>则会减少用以</w:t>
      </w:r>
      <w:r w:rsidR="00DA4C74" w:rsidRPr="00DD2F28">
        <w:rPr>
          <w:rFonts w:hint="eastAsia"/>
          <w:lang w:eastAsia="zh-CN"/>
        </w:rPr>
        <w:t>抵消财务赤字</w:t>
      </w:r>
      <w:r w:rsidR="00DA4C74">
        <w:rPr>
          <w:rFonts w:hint="eastAsia"/>
          <w:lang w:eastAsia="zh-CN"/>
        </w:rPr>
        <w:t>的</w:t>
      </w:r>
      <w:r w:rsidR="00DA4C74" w:rsidRPr="00DD2F28">
        <w:rPr>
          <w:rFonts w:hint="eastAsia"/>
          <w:lang w:eastAsia="zh-CN"/>
        </w:rPr>
        <w:t>电信展周转资本基金。</w:t>
      </w:r>
    </w:p>
    <w:p w:rsidR="00DA4C74" w:rsidRPr="00DD2F28" w:rsidRDefault="005C25F3" w:rsidP="00A348DD">
      <w:pPr>
        <w:rPr>
          <w:rFonts w:cs="Arial"/>
          <w:lang w:val="en-US" w:eastAsia="zh-CN"/>
        </w:rPr>
      </w:pPr>
      <w:r>
        <w:rPr>
          <w:rFonts w:cs="Arial"/>
          <w:lang w:val="en-US" w:eastAsia="zh-CN"/>
        </w:rPr>
        <w:t>12</w:t>
      </w:r>
      <w:r w:rsidR="00DA4C74" w:rsidRPr="00DD2F28">
        <w:rPr>
          <w:rFonts w:cs="Arial"/>
          <w:lang w:val="en-US" w:eastAsia="zh-CN"/>
        </w:rPr>
        <w:tab/>
      </w:r>
      <w:r w:rsidR="00DA4C74" w:rsidRPr="00DD2F28">
        <w:rPr>
          <w:rFonts w:hint="eastAsia"/>
          <w:lang w:val="en-US" w:eastAsia="zh-CN"/>
        </w:rPr>
        <w:t>国际电联理事会决定，电信展周转资本基金的最低额度须为</w:t>
      </w:r>
      <w:r w:rsidR="00DA4C74" w:rsidRPr="00DD2F28">
        <w:rPr>
          <w:lang w:val="en-US" w:eastAsia="zh-CN"/>
        </w:rPr>
        <w:t>500</w:t>
      </w:r>
      <w:r w:rsidR="00DA4C74" w:rsidRPr="00DD2F28">
        <w:rPr>
          <w:rFonts w:hint="eastAsia"/>
          <w:lang w:val="en-US" w:eastAsia="zh-CN"/>
        </w:rPr>
        <w:t>万瑞郎，以方便国际电联电信展览部运营和履行财务义务。下表所示为</w:t>
      </w:r>
      <w:r w:rsidR="00DA4C74">
        <w:rPr>
          <w:lang w:val="en-US" w:eastAsia="zh-CN"/>
        </w:rPr>
        <w:t>20</w:t>
      </w:r>
      <w:r w:rsidR="00C97908">
        <w:rPr>
          <w:lang w:val="en-US" w:eastAsia="zh-CN"/>
        </w:rPr>
        <w:t>1</w:t>
      </w:r>
      <w:r w:rsidR="00C330F0">
        <w:rPr>
          <w:lang w:val="en-US" w:eastAsia="zh-CN"/>
        </w:rPr>
        <w:t>3</w:t>
      </w:r>
      <w:r w:rsidR="00DA4C74" w:rsidRPr="00DD2F28">
        <w:rPr>
          <w:rFonts w:hint="eastAsia"/>
          <w:lang w:val="en-US" w:eastAsia="zh-CN"/>
        </w:rPr>
        <w:t>至</w:t>
      </w:r>
      <w:r w:rsidR="00DA4C74">
        <w:rPr>
          <w:lang w:val="en-US" w:eastAsia="zh-CN"/>
        </w:rPr>
        <w:t>201</w:t>
      </w:r>
      <w:r w:rsidR="00C330F0">
        <w:rPr>
          <w:lang w:val="en-US" w:eastAsia="zh-CN"/>
        </w:rPr>
        <w:t>8</w:t>
      </w:r>
      <w:r w:rsidR="00DA4C74" w:rsidRPr="00DD2F28">
        <w:rPr>
          <w:rFonts w:hint="eastAsia"/>
          <w:lang w:val="en-US" w:eastAsia="zh-CN"/>
        </w:rPr>
        <w:t>年各年截至年</w:t>
      </w:r>
      <w:proofErr w:type="gramStart"/>
      <w:r w:rsidR="00DA4C74">
        <w:rPr>
          <w:rFonts w:hint="eastAsia"/>
          <w:lang w:val="en-US" w:eastAsia="zh-CN"/>
        </w:rPr>
        <w:t>末时</w:t>
      </w:r>
      <w:proofErr w:type="gramEnd"/>
      <w:r w:rsidR="00DA4C74" w:rsidRPr="00DD2F28">
        <w:rPr>
          <w:rFonts w:hint="eastAsia"/>
          <w:lang w:val="en-US" w:eastAsia="zh-CN"/>
        </w:rPr>
        <w:t>电信展周转资本基金的可用资金数额。</w:t>
      </w:r>
    </w:p>
    <w:p w:rsidR="00CA0D25" w:rsidRDefault="00CA0D25">
      <w:pPr>
        <w:tabs>
          <w:tab w:val="clear" w:pos="794"/>
          <w:tab w:val="clear" w:pos="1191"/>
          <w:tab w:val="clear" w:pos="1588"/>
          <w:tab w:val="clear" w:pos="1985"/>
        </w:tabs>
        <w:overflowPunct/>
        <w:autoSpaceDE/>
        <w:autoSpaceDN/>
        <w:adjustRightInd/>
        <w:spacing w:before="0"/>
        <w:textAlignment w:val="auto"/>
        <w:rPr>
          <w:caps/>
          <w:lang w:eastAsia="zh-CN"/>
        </w:rPr>
      </w:pPr>
      <w:r>
        <w:rPr>
          <w:lang w:eastAsia="zh-CN"/>
        </w:rPr>
        <w:br w:type="page"/>
      </w:r>
    </w:p>
    <w:p w:rsidR="00DA4C74" w:rsidRDefault="00DA4C74" w:rsidP="00DA4C74">
      <w:pPr>
        <w:pStyle w:val="TableNo"/>
        <w:rPr>
          <w:color w:val="44546A"/>
          <w:lang w:val="en-US" w:eastAsia="zh-CN"/>
        </w:rPr>
      </w:pPr>
      <w:r>
        <w:rPr>
          <w:lang w:eastAsia="zh-CN"/>
        </w:rPr>
        <w:lastRenderedPageBreak/>
        <w:t>表</w:t>
      </w:r>
      <w:r>
        <w:rPr>
          <w:lang w:eastAsia="zh-CN"/>
        </w:rPr>
        <w:t>5</w:t>
      </w:r>
    </w:p>
    <w:p w:rsidR="00DA4C74" w:rsidRPr="0067724D" w:rsidRDefault="00DA4C74" w:rsidP="00DA4C74">
      <w:pPr>
        <w:pStyle w:val="TableTitle0"/>
        <w:rPr>
          <w:color w:val="44546A"/>
          <w:szCs w:val="24"/>
          <w:lang w:val="en-US" w:eastAsia="zh-CN"/>
        </w:rPr>
      </w:pPr>
      <w:r>
        <w:rPr>
          <w:rFonts w:eastAsiaTheme="majorEastAsia" w:hint="eastAsia"/>
          <w:lang w:val="en-US" w:eastAsia="zh-CN"/>
        </w:rPr>
        <w:t>电信展周转资本基金</w:t>
      </w:r>
    </w:p>
    <w:tbl>
      <w:tblPr>
        <w:tblW w:w="9673" w:type="dxa"/>
        <w:tblInd w:w="108" w:type="dxa"/>
        <w:tblLook w:val="04A0" w:firstRow="1" w:lastRow="0" w:firstColumn="1" w:lastColumn="0" w:noHBand="0" w:noVBand="1"/>
      </w:tblPr>
      <w:tblGrid>
        <w:gridCol w:w="1452"/>
        <w:gridCol w:w="1417"/>
        <w:gridCol w:w="1559"/>
        <w:gridCol w:w="1418"/>
        <w:gridCol w:w="1276"/>
        <w:gridCol w:w="1275"/>
        <w:gridCol w:w="1276"/>
      </w:tblGrid>
      <w:tr w:rsidR="00A348DD" w:rsidRPr="00A348DD" w:rsidTr="002D3202">
        <w:trPr>
          <w:trHeight w:val="310"/>
        </w:trPr>
        <w:tc>
          <w:tcPr>
            <w:tcW w:w="9673" w:type="dxa"/>
            <w:gridSpan w:val="7"/>
            <w:tcBorders>
              <w:top w:val="single" w:sz="4" w:space="0" w:color="auto"/>
              <w:left w:val="nil"/>
              <w:bottom w:val="nil"/>
              <w:right w:val="nil"/>
            </w:tcBorders>
            <w:shd w:val="clear" w:color="auto" w:fill="C5D9F1"/>
            <w:noWrap/>
            <w:vAlign w:val="bottom"/>
            <w:hideMark/>
          </w:tcPr>
          <w:p w:rsidR="00DA4C74" w:rsidRPr="00A348DD" w:rsidRDefault="00DA4C74" w:rsidP="009A3AD4">
            <w:pPr>
              <w:jc w:val="center"/>
              <w:rPr>
                <w:rFonts w:cs="Arial"/>
                <w:b/>
                <w:i/>
                <w:iCs/>
                <w:color w:val="1F497D" w:themeColor="text2"/>
                <w:szCs w:val="24"/>
                <w:lang w:eastAsia="zh-CN"/>
              </w:rPr>
            </w:pPr>
            <w:r w:rsidRPr="00A348DD">
              <w:rPr>
                <w:rFonts w:ascii="STKaiti" w:eastAsia="STKaiti" w:hAnsi="STKaiti" w:hint="eastAsia"/>
                <w:b/>
                <w:color w:val="1F497D" w:themeColor="text2"/>
                <w:szCs w:val="24"/>
                <w:lang w:val="en-US" w:eastAsia="zh-CN"/>
              </w:rPr>
              <w:t>单位：千瑞郎</w:t>
            </w:r>
            <w:r w:rsidR="00C97908" w:rsidRPr="00A348DD">
              <w:rPr>
                <w:rFonts w:ascii="STKaiti" w:eastAsia="STKaiti" w:hAnsi="STKaiti" w:hint="eastAsia"/>
                <w:b/>
                <w:color w:val="1F497D" w:themeColor="text2"/>
                <w:szCs w:val="24"/>
                <w:lang w:val="en-US" w:eastAsia="zh-CN"/>
              </w:rPr>
              <w:t>（年末）</w:t>
            </w:r>
          </w:p>
        </w:tc>
      </w:tr>
      <w:tr w:rsidR="00A348DD" w:rsidRPr="00A348DD" w:rsidTr="002D3202">
        <w:trPr>
          <w:trHeight w:val="525"/>
        </w:trPr>
        <w:tc>
          <w:tcPr>
            <w:tcW w:w="1452" w:type="dxa"/>
            <w:tcBorders>
              <w:top w:val="nil"/>
              <w:left w:val="nil"/>
              <w:bottom w:val="single" w:sz="4" w:space="0" w:color="auto"/>
              <w:right w:val="nil"/>
            </w:tcBorders>
            <w:shd w:val="clear" w:color="auto" w:fill="C5D9F1"/>
            <w:noWrap/>
            <w:vAlign w:val="bottom"/>
            <w:hideMark/>
          </w:tcPr>
          <w:p w:rsidR="00DA4C74" w:rsidRPr="00A348DD" w:rsidRDefault="00DA4C74" w:rsidP="00BA67AA">
            <w:pPr>
              <w:rPr>
                <w:rFonts w:cs="Arial"/>
                <w:b/>
                <w:bCs/>
                <w:color w:val="1F497D" w:themeColor="text2"/>
                <w:szCs w:val="24"/>
                <w:lang w:eastAsia="zh-CN"/>
              </w:rPr>
            </w:pPr>
            <w:r w:rsidRPr="00A348DD">
              <w:rPr>
                <w:rFonts w:cs="Arial"/>
                <w:b/>
                <w:bCs/>
                <w:color w:val="1F497D" w:themeColor="text2"/>
                <w:szCs w:val="24"/>
                <w:lang w:eastAsia="zh-CN"/>
              </w:rPr>
              <w:t>EWCF</w:t>
            </w:r>
          </w:p>
        </w:tc>
        <w:tc>
          <w:tcPr>
            <w:tcW w:w="1417"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2013</w:t>
            </w:r>
            <w:r w:rsidR="00DA4C74" w:rsidRPr="00A348DD">
              <w:rPr>
                <w:rFonts w:cs="Arial" w:hint="eastAsia"/>
                <w:b/>
                <w:bCs/>
                <w:color w:val="1F497D" w:themeColor="text2"/>
                <w:szCs w:val="24"/>
                <w:lang w:eastAsia="zh-CN"/>
              </w:rPr>
              <w:t>年</w:t>
            </w:r>
          </w:p>
        </w:tc>
        <w:tc>
          <w:tcPr>
            <w:tcW w:w="1559"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2014</w:t>
            </w:r>
            <w:r w:rsidR="00DA4C74" w:rsidRPr="00A348DD">
              <w:rPr>
                <w:rFonts w:cs="Arial" w:hint="eastAsia"/>
                <w:b/>
                <w:bCs/>
                <w:color w:val="1F497D" w:themeColor="text2"/>
                <w:szCs w:val="24"/>
                <w:lang w:eastAsia="zh-CN"/>
              </w:rPr>
              <w:t>年</w:t>
            </w:r>
          </w:p>
        </w:tc>
        <w:tc>
          <w:tcPr>
            <w:tcW w:w="1418"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2015</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2016</w:t>
            </w:r>
            <w:r w:rsidR="00DA4C74" w:rsidRPr="00A348DD">
              <w:rPr>
                <w:rFonts w:cs="Arial" w:hint="eastAsia"/>
                <w:b/>
                <w:bCs/>
                <w:color w:val="1F497D" w:themeColor="text2"/>
                <w:szCs w:val="24"/>
                <w:lang w:eastAsia="zh-CN"/>
              </w:rPr>
              <w:t>年</w:t>
            </w:r>
          </w:p>
        </w:tc>
        <w:tc>
          <w:tcPr>
            <w:tcW w:w="1275"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2017</w:t>
            </w:r>
            <w:r w:rsidR="00DA4C74" w:rsidRPr="00A348DD">
              <w:rPr>
                <w:rFonts w:cs="Arial" w:hint="eastAsia"/>
                <w:b/>
                <w:bCs/>
                <w:color w:val="1F497D" w:themeColor="text2"/>
                <w:szCs w:val="24"/>
                <w:lang w:eastAsia="zh-CN"/>
              </w:rPr>
              <w:t>年</w:t>
            </w:r>
          </w:p>
        </w:tc>
        <w:tc>
          <w:tcPr>
            <w:tcW w:w="1276" w:type="dxa"/>
            <w:tcBorders>
              <w:top w:val="nil"/>
              <w:left w:val="nil"/>
              <w:bottom w:val="single" w:sz="4" w:space="0" w:color="auto"/>
              <w:right w:val="nil"/>
            </w:tcBorders>
            <w:shd w:val="clear" w:color="auto" w:fill="C5D9F1"/>
            <w:noWrap/>
            <w:vAlign w:val="bottom"/>
            <w:hideMark/>
          </w:tcPr>
          <w:p w:rsidR="00DA4C74" w:rsidRPr="00A348DD" w:rsidRDefault="00C431B3" w:rsidP="009A3AD4">
            <w:pPr>
              <w:jc w:val="center"/>
              <w:rPr>
                <w:rFonts w:cs="Arial"/>
                <w:b/>
                <w:bCs/>
                <w:color w:val="1F497D" w:themeColor="text2"/>
                <w:szCs w:val="24"/>
                <w:lang w:eastAsia="zh-CN"/>
              </w:rPr>
            </w:pPr>
            <w:r w:rsidRPr="00A348DD">
              <w:rPr>
                <w:rFonts w:cs="Arial"/>
                <w:b/>
                <w:bCs/>
                <w:color w:val="1F497D" w:themeColor="text2"/>
                <w:szCs w:val="24"/>
                <w:lang w:eastAsia="zh-CN"/>
              </w:rPr>
              <w:t>2018</w:t>
            </w:r>
            <w:r w:rsidR="00DA4C74" w:rsidRPr="00A348DD">
              <w:rPr>
                <w:rFonts w:cs="Arial" w:hint="eastAsia"/>
                <w:b/>
                <w:bCs/>
                <w:color w:val="1F497D" w:themeColor="text2"/>
                <w:szCs w:val="24"/>
                <w:lang w:eastAsia="zh-CN"/>
              </w:rPr>
              <w:t>年</w:t>
            </w:r>
          </w:p>
        </w:tc>
      </w:tr>
      <w:tr w:rsidR="00FD7262" w:rsidRPr="00FD7262" w:rsidTr="007777DB">
        <w:trPr>
          <w:trHeight w:val="525"/>
        </w:trPr>
        <w:tc>
          <w:tcPr>
            <w:tcW w:w="1452" w:type="dxa"/>
            <w:noWrap/>
            <w:vAlign w:val="bottom"/>
            <w:hideMark/>
          </w:tcPr>
          <w:p w:rsidR="00FD7262" w:rsidRPr="00FD7262" w:rsidRDefault="00FD7262" w:rsidP="00FD7262">
            <w:pPr>
              <w:rPr>
                <w:rFonts w:cs="Arial"/>
                <w:szCs w:val="24"/>
                <w:lang w:eastAsia="zh-CN"/>
              </w:rPr>
            </w:pPr>
            <w:r w:rsidRPr="00FD7262">
              <w:rPr>
                <w:rFonts w:hint="eastAsia"/>
                <w:szCs w:val="24"/>
                <w:lang w:eastAsia="zh-CN"/>
              </w:rPr>
              <w:t>年末余额</w:t>
            </w:r>
          </w:p>
        </w:tc>
        <w:tc>
          <w:tcPr>
            <w:tcW w:w="1417" w:type="dxa"/>
            <w:noWrap/>
            <w:vAlign w:val="bottom"/>
            <w:hideMark/>
          </w:tcPr>
          <w:p w:rsidR="00FD7262" w:rsidRPr="00FD7262" w:rsidRDefault="00FD7262" w:rsidP="00FD7262">
            <w:pPr>
              <w:tabs>
                <w:tab w:val="clear" w:pos="794"/>
                <w:tab w:val="clear" w:pos="1191"/>
                <w:tab w:val="clear" w:pos="1588"/>
                <w:tab w:val="clear" w:pos="1985"/>
              </w:tabs>
              <w:overflowPunct/>
              <w:autoSpaceDE/>
              <w:autoSpaceDN/>
              <w:adjustRightInd/>
              <w:spacing w:before="0"/>
              <w:jc w:val="center"/>
              <w:textAlignment w:val="auto"/>
              <w:rPr>
                <w:rFonts w:cs="Calibri"/>
                <w:color w:val="1F497D"/>
                <w:szCs w:val="24"/>
                <w:lang w:eastAsia="zh-CN"/>
              </w:rPr>
            </w:pPr>
            <w:r w:rsidRPr="00FD7262">
              <w:rPr>
                <w:rFonts w:cs="Calibri"/>
                <w:color w:val="1F497D"/>
                <w:szCs w:val="24"/>
              </w:rPr>
              <w:t>10,022</w:t>
            </w:r>
          </w:p>
        </w:tc>
        <w:tc>
          <w:tcPr>
            <w:tcW w:w="1559" w:type="dxa"/>
            <w:noWrap/>
            <w:vAlign w:val="bottom"/>
            <w:hideMark/>
          </w:tcPr>
          <w:p w:rsidR="00FD7262" w:rsidRPr="00FD7262" w:rsidRDefault="00FD7262" w:rsidP="00FD7262">
            <w:pPr>
              <w:jc w:val="center"/>
              <w:rPr>
                <w:rFonts w:cs="Calibri"/>
                <w:szCs w:val="24"/>
              </w:rPr>
            </w:pPr>
            <w:r w:rsidRPr="00FD7262">
              <w:rPr>
                <w:rFonts w:cs="Calibri"/>
                <w:szCs w:val="24"/>
              </w:rPr>
              <w:t>8,903</w:t>
            </w:r>
          </w:p>
        </w:tc>
        <w:tc>
          <w:tcPr>
            <w:tcW w:w="1418" w:type="dxa"/>
            <w:noWrap/>
            <w:vAlign w:val="bottom"/>
            <w:hideMark/>
          </w:tcPr>
          <w:p w:rsidR="00FD7262" w:rsidRPr="00FD7262" w:rsidRDefault="00FD7262" w:rsidP="00FD7262">
            <w:pPr>
              <w:jc w:val="center"/>
              <w:rPr>
                <w:rFonts w:cs="Calibri"/>
                <w:szCs w:val="24"/>
              </w:rPr>
            </w:pPr>
            <w:r w:rsidRPr="00FD7262">
              <w:rPr>
                <w:rFonts w:cs="Calibri"/>
                <w:szCs w:val="24"/>
              </w:rPr>
              <w:t>9,210</w:t>
            </w:r>
          </w:p>
        </w:tc>
        <w:tc>
          <w:tcPr>
            <w:tcW w:w="1276" w:type="dxa"/>
            <w:noWrap/>
            <w:vAlign w:val="bottom"/>
            <w:hideMark/>
          </w:tcPr>
          <w:p w:rsidR="00FD7262" w:rsidRPr="00FD7262" w:rsidRDefault="00FD7262" w:rsidP="00FD7262">
            <w:pPr>
              <w:jc w:val="center"/>
              <w:rPr>
                <w:rFonts w:cs="Calibri"/>
                <w:szCs w:val="24"/>
              </w:rPr>
            </w:pPr>
            <w:r w:rsidRPr="00FD7262">
              <w:rPr>
                <w:rFonts w:cs="Calibri"/>
                <w:szCs w:val="24"/>
              </w:rPr>
              <w:t>10,076</w:t>
            </w:r>
          </w:p>
        </w:tc>
        <w:tc>
          <w:tcPr>
            <w:tcW w:w="1275" w:type="dxa"/>
            <w:noWrap/>
            <w:vAlign w:val="bottom"/>
            <w:hideMark/>
          </w:tcPr>
          <w:p w:rsidR="00FD7262" w:rsidRPr="00FD7262" w:rsidRDefault="00FD7262" w:rsidP="00FD7262">
            <w:pPr>
              <w:jc w:val="center"/>
              <w:rPr>
                <w:rFonts w:cs="Calibri"/>
                <w:szCs w:val="24"/>
              </w:rPr>
            </w:pPr>
            <w:r w:rsidRPr="00FD7262">
              <w:rPr>
                <w:rFonts w:cs="Calibri"/>
                <w:szCs w:val="24"/>
              </w:rPr>
              <w:t>8,132</w:t>
            </w:r>
          </w:p>
        </w:tc>
        <w:tc>
          <w:tcPr>
            <w:tcW w:w="1276" w:type="dxa"/>
            <w:noWrap/>
            <w:vAlign w:val="bottom"/>
            <w:hideMark/>
          </w:tcPr>
          <w:p w:rsidR="00FD7262" w:rsidRPr="00FD7262" w:rsidRDefault="00FD7262" w:rsidP="00FD7262">
            <w:pPr>
              <w:jc w:val="center"/>
              <w:rPr>
                <w:rFonts w:cs="Calibri"/>
                <w:szCs w:val="24"/>
              </w:rPr>
            </w:pPr>
            <w:r w:rsidRPr="00FD7262">
              <w:rPr>
                <w:rFonts w:cs="Calibri"/>
                <w:szCs w:val="24"/>
              </w:rPr>
              <w:t>7,950</w:t>
            </w:r>
          </w:p>
        </w:tc>
      </w:tr>
    </w:tbl>
    <w:p w:rsidR="00B45365" w:rsidRDefault="005C25F3" w:rsidP="00A348DD">
      <w:pPr>
        <w:spacing w:before="240"/>
        <w:rPr>
          <w:lang w:val="en-US" w:eastAsia="zh-CN"/>
        </w:rPr>
      </w:pPr>
      <w:r>
        <w:rPr>
          <w:rFonts w:cs="Arial"/>
          <w:lang w:val="en-US" w:eastAsia="zh-CN"/>
        </w:rPr>
        <w:t>13</w:t>
      </w:r>
      <w:r w:rsidR="00DA4C74">
        <w:rPr>
          <w:rFonts w:cs="Arial"/>
          <w:lang w:val="en-US" w:eastAsia="zh-CN"/>
        </w:rPr>
        <w:tab/>
      </w:r>
      <w:r w:rsidR="00DA4C74" w:rsidRPr="004B2E23">
        <w:rPr>
          <w:rFonts w:hint="eastAsia"/>
          <w:lang w:val="en-US" w:eastAsia="zh-CN"/>
        </w:rPr>
        <w:t>2013</w:t>
      </w:r>
      <w:r w:rsidR="00DA4C74" w:rsidRPr="004B2E23">
        <w:rPr>
          <w:rFonts w:hint="eastAsia"/>
          <w:lang w:val="en-US" w:eastAsia="zh-CN"/>
        </w:rPr>
        <w:t>年世界电信展的</w:t>
      </w:r>
      <w:r w:rsidR="00DA4C74">
        <w:rPr>
          <w:rFonts w:hint="eastAsia"/>
          <w:lang w:val="en-US" w:eastAsia="zh-CN"/>
        </w:rPr>
        <w:t>财务盈利</w:t>
      </w:r>
      <w:r w:rsidR="00665F63">
        <w:rPr>
          <w:rFonts w:hint="eastAsia"/>
          <w:lang w:val="en-US" w:eastAsia="zh-CN"/>
        </w:rPr>
        <w:t>在</w:t>
      </w:r>
      <w:r w:rsidR="00665F63">
        <w:rPr>
          <w:rFonts w:hint="eastAsia"/>
          <w:lang w:val="en-US" w:eastAsia="zh-CN"/>
        </w:rPr>
        <w:t>2013</w:t>
      </w:r>
      <w:r w:rsidR="00665F63">
        <w:rPr>
          <w:rFonts w:hint="eastAsia"/>
          <w:lang w:val="en-US" w:eastAsia="zh-CN"/>
        </w:rPr>
        <w:t>年的余额中得到体现</w:t>
      </w:r>
      <w:r w:rsidR="00DA4C74" w:rsidRPr="004B2E23">
        <w:rPr>
          <w:rFonts w:hint="eastAsia"/>
          <w:lang w:val="en-US" w:eastAsia="zh-CN"/>
        </w:rPr>
        <w:t>。</w:t>
      </w:r>
      <w:r w:rsidR="00C97908">
        <w:rPr>
          <w:rFonts w:hint="eastAsia"/>
          <w:lang w:val="en-US" w:eastAsia="zh-CN"/>
        </w:rPr>
        <w:t>2014</w:t>
      </w:r>
      <w:r w:rsidR="00C97908">
        <w:rPr>
          <w:rFonts w:hint="eastAsia"/>
          <w:lang w:val="en-US" w:eastAsia="zh-CN"/>
        </w:rPr>
        <w:t>年</w:t>
      </w:r>
      <w:r w:rsidR="005A1611">
        <w:rPr>
          <w:lang w:val="en-US" w:eastAsia="zh-CN"/>
        </w:rPr>
        <w:t>显示</w:t>
      </w:r>
      <w:r w:rsidR="005A1611">
        <w:rPr>
          <w:rFonts w:hint="eastAsia"/>
          <w:lang w:val="en-US" w:eastAsia="zh-CN"/>
        </w:rPr>
        <w:t>的</w:t>
      </w:r>
      <w:r w:rsidR="00C97908">
        <w:rPr>
          <w:lang w:val="en-US" w:eastAsia="zh-CN"/>
        </w:rPr>
        <w:t>余额比</w:t>
      </w:r>
      <w:r w:rsidR="00DA4C74" w:rsidRPr="004B2E23">
        <w:rPr>
          <w:lang w:val="en-US" w:eastAsia="zh-CN"/>
        </w:rPr>
        <w:t>201</w:t>
      </w:r>
      <w:r w:rsidR="00DA4C74" w:rsidRPr="004B2E23">
        <w:rPr>
          <w:rFonts w:hint="eastAsia"/>
          <w:lang w:val="en-US" w:eastAsia="zh-CN"/>
        </w:rPr>
        <w:t>3</w:t>
      </w:r>
      <w:r w:rsidR="00DA4C74" w:rsidRPr="004B2E23">
        <w:rPr>
          <w:rFonts w:hint="eastAsia"/>
          <w:lang w:val="en-US" w:eastAsia="zh-CN"/>
        </w:rPr>
        <w:t>年</w:t>
      </w:r>
      <w:r w:rsidR="00C97908">
        <w:rPr>
          <w:rFonts w:hint="eastAsia"/>
          <w:lang w:val="en-US" w:eastAsia="zh-CN"/>
        </w:rPr>
        <w:t>减少</w:t>
      </w:r>
      <w:r w:rsidR="00C97908">
        <w:rPr>
          <w:rFonts w:hint="eastAsia"/>
          <w:lang w:val="en-US" w:eastAsia="zh-CN"/>
        </w:rPr>
        <w:t>11</w:t>
      </w:r>
      <w:r w:rsidR="00C97908">
        <w:rPr>
          <w:lang w:val="en-US" w:eastAsia="zh-CN"/>
        </w:rPr>
        <w:t>%</w:t>
      </w:r>
      <w:r w:rsidR="00C97908">
        <w:rPr>
          <w:rFonts w:hint="eastAsia"/>
          <w:lang w:val="en-US" w:eastAsia="zh-CN"/>
        </w:rPr>
        <w:t>，</w:t>
      </w:r>
      <w:r w:rsidR="00665F63">
        <w:rPr>
          <w:rFonts w:hint="eastAsia"/>
          <w:lang w:val="en-US" w:eastAsia="zh-CN"/>
        </w:rPr>
        <w:t>这其中考虑到</w:t>
      </w:r>
      <w:r w:rsidR="00C97908">
        <w:rPr>
          <w:lang w:val="en-US" w:eastAsia="zh-CN"/>
        </w:rPr>
        <w:t>了</w:t>
      </w:r>
      <w:r w:rsidR="00C97908">
        <w:rPr>
          <w:rFonts w:hint="eastAsia"/>
          <w:lang w:val="en-US" w:eastAsia="zh-CN"/>
        </w:rPr>
        <w:t>国际电联</w:t>
      </w:r>
      <w:r w:rsidR="00E859BA">
        <w:rPr>
          <w:rFonts w:hint="eastAsia"/>
          <w:lang w:val="en-US" w:eastAsia="zh-CN"/>
        </w:rPr>
        <w:t>2014</w:t>
      </w:r>
      <w:r w:rsidR="00E859BA">
        <w:rPr>
          <w:rFonts w:hint="eastAsia"/>
          <w:lang w:val="en-US" w:eastAsia="zh-CN"/>
        </w:rPr>
        <w:t>年</w:t>
      </w:r>
      <w:r w:rsidR="00C97908" w:rsidRPr="00DD2F28">
        <w:rPr>
          <w:rFonts w:hint="eastAsia"/>
          <w:lang w:val="en-US" w:eastAsia="zh-CN"/>
        </w:rPr>
        <w:t>世界电信展</w:t>
      </w:r>
      <w:r w:rsidR="00C97908">
        <w:rPr>
          <w:rFonts w:hint="eastAsia"/>
          <w:lang w:val="en-US" w:eastAsia="zh-CN"/>
        </w:rPr>
        <w:t>的财务盈利，</w:t>
      </w:r>
      <w:r w:rsidR="00C97908">
        <w:rPr>
          <w:lang w:val="en-US" w:eastAsia="zh-CN"/>
        </w:rPr>
        <w:t>同时，</w:t>
      </w:r>
      <w:r w:rsidR="00C97908">
        <w:rPr>
          <w:rFonts w:hint="eastAsia"/>
          <w:lang w:val="en-US" w:eastAsia="zh-CN"/>
        </w:rPr>
        <w:t>2</w:t>
      </w:r>
      <w:r w:rsidR="00C97908">
        <w:rPr>
          <w:rFonts w:hint="eastAsia"/>
          <w:lang w:val="en-US" w:eastAsia="zh-CN"/>
        </w:rPr>
        <w:t>百万</w:t>
      </w:r>
      <w:r w:rsidR="00C97908">
        <w:rPr>
          <w:lang w:val="en-US" w:eastAsia="zh-CN"/>
        </w:rPr>
        <w:t>瑞郎转入信息通信技术发展基金。</w:t>
      </w:r>
      <w:r w:rsidR="00C97908">
        <w:rPr>
          <w:rFonts w:hint="eastAsia"/>
          <w:lang w:val="en-US" w:eastAsia="zh-CN"/>
        </w:rPr>
        <w:t>由于</w:t>
      </w:r>
      <w:r w:rsidR="00C97908">
        <w:rPr>
          <w:lang w:val="en-US" w:eastAsia="zh-CN"/>
        </w:rPr>
        <w:t>国际电联</w:t>
      </w:r>
      <w:r w:rsidR="00C97908">
        <w:rPr>
          <w:rFonts w:hint="eastAsia"/>
          <w:lang w:val="en-US" w:eastAsia="zh-CN"/>
        </w:rPr>
        <w:t>2015</w:t>
      </w:r>
      <w:r w:rsidR="00C97908">
        <w:rPr>
          <w:rFonts w:hint="eastAsia"/>
          <w:lang w:val="en-US" w:eastAsia="zh-CN"/>
        </w:rPr>
        <w:t>年</w:t>
      </w:r>
      <w:r w:rsidR="00C97908">
        <w:rPr>
          <w:lang w:val="en-US" w:eastAsia="zh-CN"/>
        </w:rPr>
        <w:t>世界电信展取得正向收益，</w:t>
      </w:r>
      <w:r w:rsidR="00C97908">
        <w:rPr>
          <w:rFonts w:hint="eastAsia"/>
          <w:lang w:val="en-US" w:eastAsia="zh-CN"/>
        </w:rPr>
        <w:t>2015</w:t>
      </w:r>
      <w:r w:rsidR="00C97908">
        <w:rPr>
          <w:rFonts w:hint="eastAsia"/>
          <w:lang w:val="en-US" w:eastAsia="zh-CN"/>
        </w:rPr>
        <w:t>年</w:t>
      </w:r>
      <w:r w:rsidR="00C97908">
        <w:rPr>
          <w:lang w:val="en-US" w:eastAsia="zh-CN"/>
        </w:rPr>
        <w:t>显示出</w:t>
      </w:r>
      <w:r w:rsidR="00C97908">
        <w:rPr>
          <w:rFonts w:hint="eastAsia"/>
          <w:lang w:val="en-US" w:eastAsia="zh-CN"/>
        </w:rPr>
        <w:t>3</w:t>
      </w:r>
      <w:r w:rsidR="00C97908">
        <w:rPr>
          <w:lang w:val="en-US" w:eastAsia="zh-CN"/>
        </w:rPr>
        <w:t>%</w:t>
      </w:r>
      <w:r w:rsidR="00C97908">
        <w:rPr>
          <w:lang w:val="en-US" w:eastAsia="zh-CN"/>
        </w:rPr>
        <w:t>的小幅增长。</w:t>
      </w:r>
      <w:r w:rsidR="00C97908">
        <w:rPr>
          <w:lang w:val="en-US" w:eastAsia="zh-CN"/>
        </w:rPr>
        <w:t>2016</w:t>
      </w:r>
      <w:r w:rsidR="00C97908">
        <w:rPr>
          <w:rFonts w:hint="eastAsia"/>
          <w:lang w:val="en-US" w:eastAsia="zh-CN"/>
        </w:rPr>
        <w:t>年</w:t>
      </w:r>
      <w:r w:rsidR="00C97908">
        <w:rPr>
          <w:lang w:val="en-US" w:eastAsia="zh-CN"/>
        </w:rPr>
        <w:t>电信展</w:t>
      </w:r>
      <w:r w:rsidR="005A1611">
        <w:rPr>
          <w:rFonts w:hint="eastAsia"/>
          <w:lang w:val="en-US" w:eastAsia="zh-CN"/>
        </w:rPr>
        <w:t>超出</w:t>
      </w:r>
      <w:r w:rsidR="005A1611">
        <w:rPr>
          <w:lang w:val="en-US" w:eastAsia="zh-CN"/>
        </w:rPr>
        <w:t>预算的卓越成绩与</w:t>
      </w:r>
      <w:r w:rsidR="005A1611">
        <w:rPr>
          <w:rFonts w:hint="eastAsia"/>
          <w:lang w:val="en-US" w:eastAsia="zh-CN"/>
        </w:rPr>
        <w:t>2016</w:t>
      </w:r>
      <w:r w:rsidR="005A1611">
        <w:rPr>
          <w:rFonts w:hint="eastAsia"/>
          <w:lang w:val="en-US" w:eastAsia="zh-CN"/>
        </w:rPr>
        <w:t>年余额</w:t>
      </w:r>
      <w:r w:rsidR="005A1611">
        <w:rPr>
          <w:lang w:val="en-US" w:eastAsia="zh-CN"/>
        </w:rPr>
        <w:t>超越</w:t>
      </w:r>
      <w:r w:rsidR="005A1611">
        <w:rPr>
          <w:rFonts w:hint="eastAsia"/>
          <w:lang w:val="en-US" w:eastAsia="zh-CN"/>
        </w:rPr>
        <w:t>2015</w:t>
      </w:r>
      <w:r w:rsidR="005A1611">
        <w:rPr>
          <w:rFonts w:hint="eastAsia"/>
          <w:lang w:val="en-US" w:eastAsia="zh-CN"/>
        </w:rPr>
        <w:t>年</w:t>
      </w:r>
      <w:r w:rsidR="005A1611">
        <w:rPr>
          <w:rFonts w:hint="eastAsia"/>
          <w:lang w:val="en-US" w:eastAsia="zh-CN"/>
        </w:rPr>
        <w:t>9</w:t>
      </w:r>
      <w:r w:rsidR="005A1611">
        <w:rPr>
          <w:lang w:val="en-US" w:eastAsia="zh-CN"/>
        </w:rPr>
        <w:t>%</w:t>
      </w:r>
      <w:r w:rsidR="005A1611">
        <w:rPr>
          <w:lang w:val="en-US" w:eastAsia="zh-CN"/>
        </w:rPr>
        <w:t>以上的情况</w:t>
      </w:r>
      <w:r w:rsidR="005A1611">
        <w:rPr>
          <w:rFonts w:hint="eastAsia"/>
          <w:lang w:val="en-US" w:eastAsia="zh-CN"/>
        </w:rPr>
        <w:t>相得益彰</w:t>
      </w:r>
      <w:r w:rsidR="005A1611">
        <w:rPr>
          <w:lang w:val="en-US" w:eastAsia="zh-CN"/>
        </w:rPr>
        <w:t>。</w:t>
      </w:r>
      <w:r w:rsidR="00665F63">
        <w:rPr>
          <w:rFonts w:hint="eastAsia"/>
          <w:lang w:val="en-US" w:eastAsia="zh-CN"/>
        </w:rPr>
        <w:t>尽管</w:t>
      </w:r>
      <w:r w:rsidR="00665F63">
        <w:rPr>
          <w:lang w:val="en-US" w:eastAsia="zh-CN"/>
        </w:rPr>
        <w:t>国际电联</w:t>
      </w:r>
      <w:r w:rsidR="00665F63">
        <w:rPr>
          <w:rFonts w:hint="eastAsia"/>
          <w:lang w:val="en-US" w:eastAsia="zh-CN"/>
        </w:rPr>
        <w:t>2017</w:t>
      </w:r>
      <w:r w:rsidR="00665F63">
        <w:rPr>
          <w:rFonts w:hint="eastAsia"/>
          <w:lang w:val="en-US" w:eastAsia="zh-CN"/>
        </w:rPr>
        <w:t>年</w:t>
      </w:r>
      <w:r w:rsidR="00665F63">
        <w:rPr>
          <w:lang w:val="en-US" w:eastAsia="zh-CN"/>
        </w:rPr>
        <w:t>世界电信展取得正向收益，</w:t>
      </w:r>
      <w:r w:rsidR="00665F63">
        <w:rPr>
          <w:rFonts w:hint="eastAsia"/>
          <w:lang w:val="en-US" w:eastAsia="zh-CN"/>
        </w:rPr>
        <w:t>但由于向信息通信技术发展基金转账</w:t>
      </w:r>
      <w:r w:rsidR="00665F63">
        <w:rPr>
          <w:rFonts w:hint="eastAsia"/>
          <w:lang w:val="en-US" w:eastAsia="zh-CN"/>
        </w:rPr>
        <w:t>200</w:t>
      </w:r>
      <w:proofErr w:type="gramStart"/>
      <w:r w:rsidR="00665F63">
        <w:rPr>
          <w:rFonts w:hint="eastAsia"/>
          <w:lang w:val="en-US" w:eastAsia="zh-CN"/>
        </w:rPr>
        <w:t>万瑞</w:t>
      </w:r>
      <w:proofErr w:type="gramEnd"/>
      <w:r w:rsidR="00665F63">
        <w:rPr>
          <w:rFonts w:hint="eastAsia"/>
          <w:lang w:val="en-US" w:eastAsia="zh-CN"/>
        </w:rPr>
        <w:t>郎，因此</w:t>
      </w:r>
      <w:r w:rsidR="00665F63" w:rsidRPr="00665F63">
        <w:rPr>
          <w:lang w:val="en-US" w:eastAsia="zh-CN"/>
        </w:rPr>
        <w:t>2017</w:t>
      </w:r>
      <w:r w:rsidR="00665F63">
        <w:rPr>
          <w:rFonts w:hint="eastAsia"/>
          <w:lang w:val="en-US" w:eastAsia="zh-CN"/>
        </w:rPr>
        <w:t>年的余额显示比</w:t>
      </w:r>
      <w:r w:rsidR="00665F63">
        <w:rPr>
          <w:rFonts w:hint="eastAsia"/>
          <w:lang w:val="en-US" w:eastAsia="zh-CN"/>
        </w:rPr>
        <w:t>2016</w:t>
      </w:r>
      <w:r w:rsidR="00665F63">
        <w:rPr>
          <w:rFonts w:hint="eastAsia"/>
          <w:lang w:val="en-US" w:eastAsia="zh-CN"/>
        </w:rPr>
        <w:t>年低</w:t>
      </w:r>
      <w:r w:rsidR="00665F63">
        <w:rPr>
          <w:rFonts w:hint="eastAsia"/>
          <w:lang w:val="en-US" w:eastAsia="zh-CN"/>
        </w:rPr>
        <w:t>2</w:t>
      </w:r>
      <w:r w:rsidR="00665F63">
        <w:rPr>
          <w:lang w:val="en-US" w:eastAsia="zh-CN"/>
        </w:rPr>
        <w:t>0%</w:t>
      </w:r>
      <w:r w:rsidR="00665F63">
        <w:rPr>
          <w:rFonts w:hint="eastAsia"/>
          <w:lang w:val="en-US" w:eastAsia="zh-CN"/>
        </w:rPr>
        <w:t>。</w:t>
      </w:r>
      <w:r w:rsidR="00665F63" w:rsidRPr="00665F63">
        <w:rPr>
          <w:lang w:val="en-US" w:eastAsia="zh-CN"/>
        </w:rPr>
        <w:t>201</w:t>
      </w:r>
      <w:r w:rsidR="00665F63">
        <w:rPr>
          <w:rFonts w:hint="eastAsia"/>
          <w:lang w:val="en-US" w:eastAsia="zh-CN"/>
        </w:rPr>
        <w:t>8</w:t>
      </w:r>
      <w:r w:rsidR="00665F63">
        <w:rPr>
          <w:rFonts w:hint="eastAsia"/>
          <w:lang w:val="en-US" w:eastAsia="zh-CN"/>
        </w:rPr>
        <w:t>年的余额显示</w:t>
      </w:r>
      <w:r w:rsidR="00665F63">
        <w:rPr>
          <w:lang w:val="en-US" w:eastAsia="zh-CN"/>
        </w:rPr>
        <w:t>国际电联</w:t>
      </w:r>
      <w:r w:rsidR="00665F63">
        <w:rPr>
          <w:rFonts w:hint="eastAsia"/>
          <w:lang w:val="en-US" w:eastAsia="zh-CN"/>
        </w:rPr>
        <w:t>2018</w:t>
      </w:r>
      <w:r w:rsidR="00665F63">
        <w:rPr>
          <w:rFonts w:hint="eastAsia"/>
          <w:lang w:val="en-US" w:eastAsia="zh-CN"/>
        </w:rPr>
        <w:t>年</w:t>
      </w:r>
      <w:r w:rsidR="00665F63">
        <w:rPr>
          <w:lang w:val="en-US" w:eastAsia="zh-CN"/>
        </w:rPr>
        <w:t>世界电信展</w:t>
      </w:r>
      <w:r w:rsidR="00665F63">
        <w:rPr>
          <w:rFonts w:hint="eastAsia"/>
          <w:lang w:val="en-US" w:eastAsia="zh-CN"/>
        </w:rPr>
        <w:t>收益为负值，此</w:t>
      </w:r>
      <w:r w:rsidR="000A1B98">
        <w:rPr>
          <w:rFonts w:hint="eastAsia"/>
          <w:lang w:val="en-US" w:eastAsia="zh-CN"/>
        </w:rPr>
        <w:t>收益已将账目封账时未清偿债务的债务人考虑在内。</w:t>
      </w:r>
    </w:p>
    <w:p w:rsidR="00DA4C74" w:rsidRDefault="00DA4C74" w:rsidP="00DA4C74">
      <w:pPr>
        <w:rPr>
          <w:szCs w:val="24"/>
          <w:lang w:val="en-US" w:eastAsia="zh-CN"/>
        </w:rPr>
      </w:pPr>
    </w:p>
    <w:p w:rsidR="00FD7262" w:rsidRDefault="00FD7262">
      <w:pPr>
        <w:jc w:val="center"/>
      </w:pPr>
      <w:r>
        <w:t>______________</w:t>
      </w:r>
    </w:p>
    <w:p w:rsidR="00DA4C74" w:rsidRPr="00280EB8" w:rsidRDefault="00DA4C74" w:rsidP="00DA4C74">
      <w:pPr>
        <w:rPr>
          <w:lang w:eastAsia="zh-CN"/>
        </w:rPr>
      </w:pPr>
    </w:p>
    <w:sectPr w:rsidR="00DA4C74" w:rsidRPr="00280EB8" w:rsidSect="006B3B83">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DC" w:rsidRDefault="007154DC">
      <w:r>
        <w:separator/>
      </w:r>
    </w:p>
  </w:endnote>
  <w:endnote w:type="continuationSeparator" w:id="0">
    <w:p w:rsidR="007154DC" w:rsidRDefault="0071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83" w:rsidRDefault="006B3B83" w:rsidP="006B3B83">
    <w:pPr>
      <w:pStyle w:val="Footer"/>
    </w:pPr>
    <w:fldSimple w:instr=" FILENAME \p  \* MERGEFORMAT ">
      <w:r w:rsidR="00743B0B">
        <w:t>P:\CHI\SG\CONSEIL\C19\000\015ADD01C.docx</w:t>
      </w:r>
    </w:fldSimple>
    <w:r>
      <w:t xml:space="preserve"> (455919)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DC" w:rsidRDefault="00743B0B" w:rsidP="006B3B83">
    <w:pPr>
      <w:pStyle w:val="Footer"/>
    </w:pPr>
    <w:r>
      <w:fldChar w:fldCharType="begin"/>
    </w:r>
    <w:r>
      <w:instrText xml:space="preserve"> FILENAME \p \* MERGEFORMAT </w:instrText>
    </w:r>
    <w:r>
      <w:fldChar w:fldCharType="separate"/>
    </w:r>
    <w:r>
      <w:t>P:\CHI\SG\CONSEIL\C19\000\015ADD01C.docx</w:t>
    </w:r>
    <w:r>
      <w:fldChar w:fldCharType="end"/>
    </w:r>
    <w:r w:rsidR="007154DC">
      <w:t xml:space="preserve"> (</w:t>
    </w:r>
    <w:r w:rsidR="006B3B83">
      <w:t>455919</w:t>
    </w:r>
    <w:r w:rsidR="007154D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DC" w:rsidRDefault="007154DC">
      <w:r>
        <w:t>____________________</w:t>
      </w:r>
    </w:p>
  </w:footnote>
  <w:footnote w:type="continuationSeparator" w:id="0">
    <w:p w:rsidR="007154DC" w:rsidRDefault="0071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83" w:rsidRDefault="006B3B83" w:rsidP="006B3B83">
    <w:pPr>
      <w:pStyle w:val="Header"/>
    </w:pPr>
    <w:r>
      <w:fldChar w:fldCharType="begin"/>
    </w:r>
    <w:r>
      <w:instrText>PAGE</w:instrText>
    </w:r>
    <w:r>
      <w:fldChar w:fldCharType="separate"/>
    </w:r>
    <w:r w:rsidR="00743B0B">
      <w:rPr>
        <w:noProof/>
      </w:rPr>
      <w:t>3</w:t>
    </w:r>
    <w:r>
      <w:rPr>
        <w:noProof/>
      </w:rPr>
      <w:fldChar w:fldCharType="end"/>
    </w:r>
  </w:p>
  <w:p w:rsidR="006B3B83" w:rsidRDefault="006B3B83" w:rsidP="006B3B83">
    <w:pPr>
      <w:pStyle w:val="Header"/>
      <w:rPr>
        <w:lang w:eastAsia="zh-CN"/>
      </w:rPr>
    </w:pPr>
    <w:r>
      <w:t>C1</w:t>
    </w:r>
    <w:r>
      <w:rPr>
        <w:lang w:eastAsia="zh-CN"/>
      </w:rPr>
      <w:t>9</w:t>
    </w:r>
    <w:r>
      <w:t>/</w:t>
    </w:r>
    <w:r>
      <w:rPr>
        <w:lang w:eastAsia="zh-CN"/>
      </w:rPr>
      <w:t>15(Add.1)</w:t>
    </w:r>
    <w:r>
      <w:t>-C</w:t>
    </w:r>
  </w:p>
  <w:p w:rsidR="006B3B83" w:rsidRDefault="006B3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zh-CN" w:vendorID="64" w:dllVersion="131077"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26"/>
    <w:rsid w:val="00001B77"/>
    <w:rsid w:val="0000517A"/>
    <w:rsid w:val="00031E72"/>
    <w:rsid w:val="00033F43"/>
    <w:rsid w:val="000404D2"/>
    <w:rsid w:val="00053ADC"/>
    <w:rsid w:val="00053E07"/>
    <w:rsid w:val="00065C56"/>
    <w:rsid w:val="00084C65"/>
    <w:rsid w:val="000853C0"/>
    <w:rsid w:val="000A1B98"/>
    <w:rsid w:val="000A1C21"/>
    <w:rsid w:val="000D15EA"/>
    <w:rsid w:val="00100D84"/>
    <w:rsid w:val="00115478"/>
    <w:rsid w:val="00117CDA"/>
    <w:rsid w:val="00124C9D"/>
    <w:rsid w:val="001449CD"/>
    <w:rsid w:val="00157773"/>
    <w:rsid w:val="0018251A"/>
    <w:rsid w:val="001841BA"/>
    <w:rsid w:val="00190272"/>
    <w:rsid w:val="00193244"/>
    <w:rsid w:val="00195C6C"/>
    <w:rsid w:val="00195FED"/>
    <w:rsid w:val="001A4BD6"/>
    <w:rsid w:val="001D5A18"/>
    <w:rsid w:val="001D63C0"/>
    <w:rsid w:val="001E0ED1"/>
    <w:rsid w:val="001F6C2D"/>
    <w:rsid w:val="00200DF3"/>
    <w:rsid w:val="0020345F"/>
    <w:rsid w:val="0021469A"/>
    <w:rsid w:val="00221A50"/>
    <w:rsid w:val="00223C55"/>
    <w:rsid w:val="00257C16"/>
    <w:rsid w:val="00280EB8"/>
    <w:rsid w:val="00290CE7"/>
    <w:rsid w:val="00293FFD"/>
    <w:rsid w:val="002A6670"/>
    <w:rsid w:val="002A697F"/>
    <w:rsid w:val="002D3202"/>
    <w:rsid w:val="002F7EEB"/>
    <w:rsid w:val="00303502"/>
    <w:rsid w:val="00325C25"/>
    <w:rsid w:val="00326A34"/>
    <w:rsid w:val="00330BFE"/>
    <w:rsid w:val="00372C8F"/>
    <w:rsid w:val="00373D67"/>
    <w:rsid w:val="00375ADE"/>
    <w:rsid w:val="00380ECE"/>
    <w:rsid w:val="00393DDF"/>
    <w:rsid w:val="00397F55"/>
    <w:rsid w:val="003B4454"/>
    <w:rsid w:val="003C2E37"/>
    <w:rsid w:val="003F1415"/>
    <w:rsid w:val="0040144C"/>
    <w:rsid w:val="00403EB7"/>
    <w:rsid w:val="004305EA"/>
    <w:rsid w:val="00430BF0"/>
    <w:rsid w:val="00452772"/>
    <w:rsid w:val="004672E6"/>
    <w:rsid w:val="00474ED1"/>
    <w:rsid w:val="004770F6"/>
    <w:rsid w:val="0047770C"/>
    <w:rsid w:val="0048442A"/>
    <w:rsid w:val="00493085"/>
    <w:rsid w:val="004A36EC"/>
    <w:rsid w:val="004D0572"/>
    <w:rsid w:val="004D163F"/>
    <w:rsid w:val="004E3FCC"/>
    <w:rsid w:val="004E4BFF"/>
    <w:rsid w:val="004F2598"/>
    <w:rsid w:val="004F4BFF"/>
    <w:rsid w:val="004F4FFA"/>
    <w:rsid w:val="00533628"/>
    <w:rsid w:val="00536988"/>
    <w:rsid w:val="005403F7"/>
    <w:rsid w:val="00540632"/>
    <w:rsid w:val="00541CF4"/>
    <w:rsid w:val="00544566"/>
    <w:rsid w:val="005451E8"/>
    <w:rsid w:val="005507F2"/>
    <w:rsid w:val="00553023"/>
    <w:rsid w:val="00553544"/>
    <w:rsid w:val="005759CC"/>
    <w:rsid w:val="005A1611"/>
    <w:rsid w:val="005A72E1"/>
    <w:rsid w:val="005B4564"/>
    <w:rsid w:val="005C0AC6"/>
    <w:rsid w:val="005C25F3"/>
    <w:rsid w:val="005C312B"/>
    <w:rsid w:val="005C6632"/>
    <w:rsid w:val="005D1C9E"/>
    <w:rsid w:val="005D1EDF"/>
    <w:rsid w:val="005F4BA2"/>
    <w:rsid w:val="00611B87"/>
    <w:rsid w:val="00617A79"/>
    <w:rsid w:val="00623C8B"/>
    <w:rsid w:val="00651AC4"/>
    <w:rsid w:val="00654257"/>
    <w:rsid w:val="0065435A"/>
    <w:rsid w:val="00665F63"/>
    <w:rsid w:val="00687425"/>
    <w:rsid w:val="00690D1A"/>
    <w:rsid w:val="006A2DD3"/>
    <w:rsid w:val="006A5AF8"/>
    <w:rsid w:val="006B3B83"/>
    <w:rsid w:val="006C36CD"/>
    <w:rsid w:val="006E26BF"/>
    <w:rsid w:val="006F7558"/>
    <w:rsid w:val="00700D1F"/>
    <w:rsid w:val="00710F2C"/>
    <w:rsid w:val="007154DC"/>
    <w:rsid w:val="007205CB"/>
    <w:rsid w:val="00726073"/>
    <w:rsid w:val="007339BF"/>
    <w:rsid w:val="00734FE8"/>
    <w:rsid w:val="007360CE"/>
    <w:rsid w:val="00743B0B"/>
    <w:rsid w:val="00772315"/>
    <w:rsid w:val="00775157"/>
    <w:rsid w:val="007760FC"/>
    <w:rsid w:val="00780A36"/>
    <w:rsid w:val="007813AE"/>
    <w:rsid w:val="007A37DB"/>
    <w:rsid w:val="007B2517"/>
    <w:rsid w:val="007E189D"/>
    <w:rsid w:val="00811259"/>
    <w:rsid w:val="00813AA2"/>
    <w:rsid w:val="008173A3"/>
    <w:rsid w:val="00836C90"/>
    <w:rsid w:val="0086059C"/>
    <w:rsid w:val="00864589"/>
    <w:rsid w:val="00882E40"/>
    <w:rsid w:val="00890AFB"/>
    <w:rsid w:val="00890FC4"/>
    <w:rsid w:val="00895905"/>
    <w:rsid w:val="008F3B01"/>
    <w:rsid w:val="00901123"/>
    <w:rsid w:val="00904A5F"/>
    <w:rsid w:val="009164A9"/>
    <w:rsid w:val="009258CB"/>
    <w:rsid w:val="0093362E"/>
    <w:rsid w:val="00944563"/>
    <w:rsid w:val="00944D10"/>
    <w:rsid w:val="00953160"/>
    <w:rsid w:val="009625D8"/>
    <w:rsid w:val="0098459B"/>
    <w:rsid w:val="009902BF"/>
    <w:rsid w:val="00990319"/>
    <w:rsid w:val="00997185"/>
    <w:rsid w:val="009A3AD4"/>
    <w:rsid w:val="009A6F1B"/>
    <w:rsid w:val="009B655F"/>
    <w:rsid w:val="009B6A56"/>
    <w:rsid w:val="009C2458"/>
    <w:rsid w:val="009C4A7B"/>
    <w:rsid w:val="009C6123"/>
    <w:rsid w:val="009F1E3E"/>
    <w:rsid w:val="009F557F"/>
    <w:rsid w:val="00A1213C"/>
    <w:rsid w:val="00A272FF"/>
    <w:rsid w:val="00A348DD"/>
    <w:rsid w:val="00A46CFF"/>
    <w:rsid w:val="00A5354B"/>
    <w:rsid w:val="00A55D80"/>
    <w:rsid w:val="00A87E13"/>
    <w:rsid w:val="00A92C3C"/>
    <w:rsid w:val="00A94A38"/>
    <w:rsid w:val="00AA4BE5"/>
    <w:rsid w:val="00AB42C1"/>
    <w:rsid w:val="00AC516F"/>
    <w:rsid w:val="00AD0726"/>
    <w:rsid w:val="00AD29A0"/>
    <w:rsid w:val="00AE2926"/>
    <w:rsid w:val="00B0184B"/>
    <w:rsid w:val="00B035CD"/>
    <w:rsid w:val="00B05F29"/>
    <w:rsid w:val="00B0769D"/>
    <w:rsid w:val="00B1795A"/>
    <w:rsid w:val="00B217F8"/>
    <w:rsid w:val="00B332EA"/>
    <w:rsid w:val="00B40A53"/>
    <w:rsid w:val="00B45084"/>
    <w:rsid w:val="00B45365"/>
    <w:rsid w:val="00B46A65"/>
    <w:rsid w:val="00B60184"/>
    <w:rsid w:val="00B62D20"/>
    <w:rsid w:val="00B76202"/>
    <w:rsid w:val="00B77ECE"/>
    <w:rsid w:val="00B81E75"/>
    <w:rsid w:val="00BA67AA"/>
    <w:rsid w:val="00BC4185"/>
    <w:rsid w:val="00BD1A5A"/>
    <w:rsid w:val="00BD2DBE"/>
    <w:rsid w:val="00BD7A9B"/>
    <w:rsid w:val="00BD7BE1"/>
    <w:rsid w:val="00BF416B"/>
    <w:rsid w:val="00BF75A2"/>
    <w:rsid w:val="00C0550A"/>
    <w:rsid w:val="00C267F1"/>
    <w:rsid w:val="00C31410"/>
    <w:rsid w:val="00C330F0"/>
    <w:rsid w:val="00C431B3"/>
    <w:rsid w:val="00C64E4E"/>
    <w:rsid w:val="00C66E64"/>
    <w:rsid w:val="00C761A0"/>
    <w:rsid w:val="00C85F7E"/>
    <w:rsid w:val="00C90F79"/>
    <w:rsid w:val="00C92762"/>
    <w:rsid w:val="00C97908"/>
    <w:rsid w:val="00CA0D25"/>
    <w:rsid w:val="00CD47F0"/>
    <w:rsid w:val="00CD5566"/>
    <w:rsid w:val="00CD64D7"/>
    <w:rsid w:val="00CE6F22"/>
    <w:rsid w:val="00CF41F6"/>
    <w:rsid w:val="00CF7D3E"/>
    <w:rsid w:val="00D02B4E"/>
    <w:rsid w:val="00D36817"/>
    <w:rsid w:val="00D4571B"/>
    <w:rsid w:val="00D5666C"/>
    <w:rsid w:val="00D666BC"/>
    <w:rsid w:val="00D83542"/>
    <w:rsid w:val="00D92F45"/>
    <w:rsid w:val="00D94637"/>
    <w:rsid w:val="00D9725C"/>
    <w:rsid w:val="00DA117B"/>
    <w:rsid w:val="00DA4C74"/>
    <w:rsid w:val="00DA7006"/>
    <w:rsid w:val="00DC4A89"/>
    <w:rsid w:val="00DC6427"/>
    <w:rsid w:val="00DC6D03"/>
    <w:rsid w:val="00DD66A1"/>
    <w:rsid w:val="00DE196D"/>
    <w:rsid w:val="00DF6B49"/>
    <w:rsid w:val="00E03F68"/>
    <w:rsid w:val="00E067C5"/>
    <w:rsid w:val="00E265BF"/>
    <w:rsid w:val="00E378D8"/>
    <w:rsid w:val="00E43A12"/>
    <w:rsid w:val="00E46D80"/>
    <w:rsid w:val="00E67C67"/>
    <w:rsid w:val="00E72EA6"/>
    <w:rsid w:val="00E739B8"/>
    <w:rsid w:val="00E74DB2"/>
    <w:rsid w:val="00E77476"/>
    <w:rsid w:val="00E8228B"/>
    <w:rsid w:val="00E84414"/>
    <w:rsid w:val="00E859BA"/>
    <w:rsid w:val="00E928EF"/>
    <w:rsid w:val="00E92FF6"/>
    <w:rsid w:val="00EA0801"/>
    <w:rsid w:val="00EE454F"/>
    <w:rsid w:val="00EE5706"/>
    <w:rsid w:val="00EF168A"/>
    <w:rsid w:val="00EF373D"/>
    <w:rsid w:val="00F0076F"/>
    <w:rsid w:val="00F11595"/>
    <w:rsid w:val="00F13BC9"/>
    <w:rsid w:val="00F169CD"/>
    <w:rsid w:val="00F357B2"/>
    <w:rsid w:val="00F36556"/>
    <w:rsid w:val="00F445EC"/>
    <w:rsid w:val="00F65352"/>
    <w:rsid w:val="00F705DF"/>
    <w:rsid w:val="00F70622"/>
    <w:rsid w:val="00F80DF0"/>
    <w:rsid w:val="00F85624"/>
    <w:rsid w:val="00F87C05"/>
    <w:rsid w:val="00F93191"/>
    <w:rsid w:val="00F93A17"/>
    <w:rsid w:val="00F94926"/>
    <w:rsid w:val="00FA2AF6"/>
    <w:rsid w:val="00FA3EFE"/>
    <w:rsid w:val="00FB073D"/>
    <w:rsid w:val="00FB4B9F"/>
    <w:rsid w:val="00FB771F"/>
    <w:rsid w:val="00FC2B41"/>
    <w:rsid w:val="00FC5386"/>
    <w:rsid w:val="00FC6C2A"/>
    <w:rsid w:val="00FD27EC"/>
    <w:rsid w:val="00FD7262"/>
    <w:rsid w:val="00FD7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C20774-EC26-415E-AAC1-E019956D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uiPriority w:val="99"/>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encabezad Char,he Char"/>
    <w:basedOn w:val="DefaultParagraphFont"/>
    <w:link w:val="Header"/>
    <w:rsid w:val="00DA4C74"/>
    <w:rPr>
      <w:rFonts w:ascii="Calibri" w:hAnsi="Calibri"/>
      <w:sz w:val="18"/>
      <w:lang w:val="fr-FR" w:eastAsia="en-US"/>
    </w:rPr>
  </w:style>
  <w:style w:type="paragraph" w:customStyle="1" w:styleId="TableHead0">
    <w:name w:val="Table_Head"/>
    <w:basedOn w:val="Normal"/>
    <w:rsid w:val="00DA4C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imes New Roman" w:eastAsia="Times New Roman" w:hAnsi="Times New Roman"/>
      <w:b/>
      <w:sz w:val="22"/>
    </w:rPr>
  </w:style>
  <w:style w:type="paragraph" w:customStyle="1" w:styleId="TableTitle0">
    <w:name w:val="Table_Title"/>
    <w:basedOn w:val="Normal"/>
    <w:next w:val="Normal"/>
    <w:rsid w:val="00DA4C74"/>
    <w:pPr>
      <w:keepNext/>
      <w:keepLines/>
      <w:overflowPunct/>
      <w:autoSpaceDE/>
      <w:autoSpaceDN/>
      <w:adjustRightInd/>
      <w:spacing w:before="0" w:after="120"/>
      <w:jc w:val="center"/>
      <w:textAlignment w:val="auto"/>
    </w:pPr>
    <w:rPr>
      <w:rFonts w:ascii="Times New Roman" w:eastAsia="Times New Roman" w:hAnsi="Times New Roman"/>
      <w:b/>
      <w:bCs/>
    </w:rPr>
  </w:style>
  <w:style w:type="paragraph" w:customStyle="1" w:styleId="Tabletext0">
    <w:name w:val="Table text"/>
    <w:rsid w:val="00DA4C74"/>
    <w:pPr>
      <w:spacing w:before="180"/>
      <w:jc w:val="both"/>
    </w:pPr>
    <w:rPr>
      <w:rFonts w:ascii="Times New Roman" w:eastAsia="Times New Roman" w:hAnsi="Times New Roman"/>
      <w:sz w:val="18"/>
      <w:szCs w:val="18"/>
      <w:lang w:val="en-GB"/>
    </w:rPr>
  </w:style>
  <w:style w:type="paragraph" w:styleId="NormalWeb">
    <w:name w:val="Normal (Web)"/>
    <w:basedOn w:val="Normal"/>
    <w:uiPriority w:val="99"/>
    <w:semiHidden/>
    <w:unhideWhenUsed/>
    <w:rsid w:val="00F169C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79829057">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8259709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FF24-45AE-4D14-9907-8C916E88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87</TotalTime>
  <Pages>6</Pages>
  <Words>3390</Words>
  <Characters>1601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Tang, Ting</cp:lastModifiedBy>
  <cp:revision>39</cp:revision>
  <cp:lastPrinted>2019-05-27T07:37:00Z</cp:lastPrinted>
  <dcterms:created xsi:type="dcterms:W3CDTF">2019-05-27T13:14:00Z</dcterms:created>
  <dcterms:modified xsi:type="dcterms:W3CDTF">2019-05-27T14:58:00Z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