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889" w:type="dxa"/>
        <w:tblLayout w:type="fixed"/>
        <w:tblLook w:val="0000" w:firstRow="0" w:lastRow="0" w:firstColumn="0" w:lastColumn="0" w:noHBand="0" w:noVBand="0"/>
      </w:tblPr>
      <w:tblGrid>
        <w:gridCol w:w="6487"/>
        <w:gridCol w:w="3402"/>
      </w:tblGrid>
      <w:tr w:rsidR="006662CE" w:rsidRPr="00DF0E32" w:rsidTr="00B41AC1">
        <w:trPr>
          <w:cantSplit/>
        </w:trPr>
        <w:tc>
          <w:tcPr>
            <w:tcW w:w="6487" w:type="dxa"/>
          </w:tcPr>
          <w:p w:rsidR="00233B55" w:rsidRPr="009C68A2" w:rsidRDefault="006662CE" w:rsidP="00552178">
            <w:pPr>
              <w:spacing w:before="360" w:line="240" w:lineRule="atLeast"/>
              <w:rPr>
                <w:rFonts w:asciiTheme="minorHAnsi" w:hAnsiTheme="minorHAnsi" w:cs="Times"/>
                <w:b/>
                <w:position w:val="6"/>
                <w:sz w:val="30"/>
                <w:szCs w:val="30"/>
              </w:rPr>
            </w:pPr>
            <w:bookmarkStart w:id="0" w:name="dc06"/>
            <w:bookmarkEnd w:id="0"/>
            <w:r w:rsidRPr="009C68A2">
              <w:rPr>
                <w:rFonts w:asciiTheme="minorHAnsi" w:hAnsiTheme="minorHAnsi" w:cs="Times"/>
                <w:b/>
                <w:position w:val="6"/>
                <w:sz w:val="30"/>
                <w:szCs w:val="30"/>
              </w:rPr>
              <w:t>C</w:t>
            </w:r>
            <w:r w:rsidR="005D1BAC">
              <w:rPr>
                <w:rFonts w:asciiTheme="minorHAnsi" w:hAnsiTheme="minorHAnsi" w:cs="Times"/>
                <w:b/>
                <w:position w:val="6"/>
                <w:sz w:val="30"/>
                <w:szCs w:val="30"/>
              </w:rPr>
              <w:t>ouncil 2019</w:t>
            </w:r>
          </w:p>
          <w:p w:rsidR="006662CE" w:rsidRPr="00DF0E32" w:rsidRDefault="0034551A" w:rsidP="00E77162">
            <w:pPr>
              <w:spacing w:before="0" w:after="48" w:line="240" w:lineRule="atLeast"/>
              <w:rPr>
                <w:rFonts w:asciiTheme="minorHAnsi" w:hAnsiTheme="minorHAnsi" w:cs="Times"/>
                <w:b/>
                <w:bCs/>
                <w:position w:val="6"/>
                <w:szCs w:val="24"/>
              </w:rPr>
            </w:pPr>
            <w:r w:rsidRPr="009C68A2">
              <w:rPr>
                <w:rFonts w:asciiTheme="minorHAnsi" w:hAnsiTheme="minorHAnsi" w:cs="Times New Roman Bold"/>
                <w:b/>
                <w:bCs/>
                <w:szCs w:val="24"/>
              </w:rPr>
              <w:t>Gen</w:t>
            </w:r>
            <w:r w:rsidR="00112931" w:rsidRPr="009C68A2">
              <w:rPr>
                <w:rFonts w:asciiTheme="minorHAnsi" w:hAnsiTheme="minorHAnsi" w:cs="Times New Roman Bold"/>
                <w:b/>
                <w:bCs/>
                <w:szCs w:val="24"/>
              </w:rPr>
              <w:t>eva</w:t>
            </w:r>
            <w:r w:rsidR="005D1BAC">
              <w:rPr>
                <w:rFonts w:asciiTheme="minorHAnsi" w:hAnsiTheme="minorHAnsi" w:cs="Times New Roman Bold"/>
                <w:b/>
                <w:bCs/>
                <w:szCs w:val="24"/>
              </w:rPr>
              <w:t>, 10–20</w:t>
            </w:r>
            <w:r w:rsidR="00E64944">
              <w:rPr>
                <w:rFonts w:asciiTheme="minorHAnsi" w:hAnsiTheme="minorHAnsi" w:cs="Times New Roman Bold"/>
                <w:b/>
                <w:bCs/>
                <w:szCs w:val="24"/>
              </w:rPr>
              <w:t xml:space="preserve"> </w:t>
            </w:r>
            <w:r w:rsidR="005D1BAC">
              <w:rPr>
                <w:rFonts w:asciiTheme="minorHAnsi" w:hAnsiTheme="minorHAnsi" w:cs="Times New Roman Bold"/>
                <w:b/>
                <w:bCs/>
                <w:szCs w:val="24"/>
              </w:rPr>
              <w:t>June</w:t>
            </w:r>
            <w:r w:rsidR="0034531D" w:rsidRPr="009C68A2">
              <w:rPr>
                <w:rFonts w:asciiTheme="minorHAnsi" w:hAnsiTheme="minorHAnsi" w:cs="Times New Roman Bold"/>
                <w:b/>
                <w:bCs/>
                <w:szCs w:val="24"/>
              </w:rPr>
              <w:t xml:space="preserve"> </w:t>
            </w:r>
            <w:r w:rsidR="009B1943" w:rsidRPr="009C68A2">
              <w:rPr>
                <w:rFonts w:asciiTheme="minorHAnsi" w:hAnsiTheme="minorHAnsi" w:cs="Times New Roman Bold"/>
                <w:b/>
                <w:bCs/>
                <w:szCs w:val="24"/>
              </w:rPr>
              <w:t>20</w:t>
            </w:r>
            <w:r w:rsidR="00233B55" w:rsidRPr="009C68A2">
              <w:rPr>
                <w:rFonts w:asciiTheme="minorHAnsi" w:hAnsiTheme="minorHAnsi" w:cs="Times New Roman Bold"/>
                <w:b/>
                <w:bCs/>
                <w:szCs w:val="24"/>
              </w:rPr>
              <w:t>1</w:t>
            </w:r>
            <w:r w:rsidR="005D1BAC">
              <w:rPr>
                <w:rFonts w:asciiTheme="minorHAnsi" w:hAnsiTheme="minorHAnsi" w:cs="Times New Roman Bold"/>
                <w:b/>
                <w:bCs/>
                <w:szCs w:val="24"/>
              </w:rPr>
              <w:t>9</w:t>
            </w:r>
          </w:p>
        </w:tc>
        <w:tc>
          <w:tcPr>
            <w:tcW w:w="3402" w:type="dxa"/>
          </w:tcPr>
          <w:p w:rsidR="006662CE" w:rsidRPr="00DF0E32" w:rsidRDefault="00821F91" w:rsidP="006662CE">
            <w:pPr>
              <w:spacing w:before="0" w:line="240" w:lineRule="atLeast"/>
              <w:rPr>
                <w:rFonts w:asciiTheme="minorHAnsi" w:hAnsiTheme="minorHAnsi"/>
              </w:rPr>
            </w:pPr>
            <w:bookmarkStart w:id="1" w:name="ditulogo"/>
            <w:bookmarkEnd w:id="1"/>
            <w:r w:rsidRPr="00DF0E32">
              <w:rPr>
                <w:rFonts w:asciiTheme="minorHAnsi" w:hAnsiTheme="minorHAnsi"/>
                <w:noProof/>
                <w:lang w:eastAsia="zh-CN"/>
              </w:rPr>
              <w:drawing>
                <wp:inline distT="0" distB="0" distL="0" distR="0" wp14:anchorId="30CA79E5" wp14:editId="62B32413">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6662CE" w:rsidRPr="00DF0E32" w:rsidTr="00B41AC1">
        <w:trPr>
          <w:cantSplit/>
        </w:trPr>
        <w:tc>
          <w:tcPr>
            <w:tcW w:w="6487" w:type="dxa"/>
            <w:tcBorders>
              <w:bottom w:val="single" w:sz="12" w:space="0" w:color="auto"/>
            </w:tcBorders>
          </w:tcPr>
          <w:p w:rsidR="006662CE" w:rsidRPr="00DF0E32" w:rsidRDefault="006662CE">
            <w:pPr>
              <w:spacing w:before="0" w:after="48" w:line="240" w:lineRule="atLeast"/>
              <w:rPr>
                <w:rFonts w:asciiTheme="minorHAnsi" w:hAnsiTheme="minorHAnsi"/>
                <w:b/>
                <w:smallCaps/>
                <w:szCs w:val="24"/>
              </w:rPr>
            </w:pPr>
          </w:p>
        </w:tc>
        <w:tc>
          <w:tcPr>
            <w:tcW w:w="3402" w:type="dxa"/>
            <w:tcBorders>
              <w:bottom w:val="single" w:sz="12" w:space="0" w:color="auto"/>
            </w:tcBorders>
          </w:tcPr>
          <w:p w:rsidR="006662CE" w:rsidRPr="00DF0E32" w:rsidRDefault="006662CE">
            <w:pPr>
              <w:spacing w:before="0" w:line="240" w:lineRule="atLeast"/>
              <w:rPr>
                <w:rFonts w:asciiTheme="minorHAnsi" w:hAnsiTheme="minorHAnsi"/>
                <w:szCs w:val="24"/>
              </w:rPr>
            </w:pPr>
          </w:p>
        </w:tc>
      </w:tr>
      <w:tr w:rsidR="006662CE" w:rsidRPr="00DF0E32" w:rsidTr="00B41AC1">
        <w:trPr>
          <w:cantSplit/>
        </w:trPr>
        <w:tc>
          <w:tcPr>
            <w:tcW w:w="6487" w:type="dxa"/>
            <w:tcBorders>
              <w:top w:val="single" w:sz="12" w:space="0" w:color="auto"/>
            </w:tcBorders>
          </w:tcPr>
          <w:p w:rsidR="006662CE" w:rsidRPr="00DF0E32" w:rsidRDefault="006662CE">
            <w:pPr>
              <w:spacing w:before="0" w:after="48" w:line="240" w:lineRule="atLeast"/>
              <w:rPr>
                <w:rFonts w:asciiTheme="minorHAnsi" w:hAnsiTheme="minorHAnsi"/>
                <w:b/>
                <w:smallCaps/>
                <w:szCs w:val="24"/>
              </w:rPr>
            </w:pPr>
          </w:p>
        </w:tc>
        <w:tc>
          <w:tcPr>
            <w:tcW w:w="3402" w:type="dxa"/>
            <w:tcBorders>
              <w:top w:val="single" w:sz="12" w:space="0" w:color="auto"/>
            </w:tcBorders>
          </w:tcPr>
          <w:p w:rsidR="006662CE" w:rsidRPr="00DF0E32" w:rsidRDefault="006662CE">
            <w:pPr>
              <w:spacing w:before="0" w:line="240" w:lineRule="atLeast"/>
              <w:rPr>
                <w:rFonts w:asciiTheme="minorHAnsi" w:hAnsiTheme="minorHAnsi"/>
                <w:szCs w:val="24"/>
              </w:rPr>
            </w:pPr>
          </w:p>
        </w:tc>
      </w:tr>
      <w:tr w:rsidR="003458CC" w:rsidRPr="003458CC" w:rsidTr="00B41AC1">
        <w:trPr>
          <w:cantSplit/>
          <w:trHeight w:val="23"/>
        </w:trPr>
        <w:tc>
          <w:tcPr>
            <w:tcW w:w="6487" w:type="dxa"/>
            <w:vMerge w:val="restart"/>
          </w:tcPr>
          <w:p w:rsidR="006662CE" w:rsidRPr="00DF0E32" w:rsidRDefault="00584F72">
            <w:pPr>
              <w:tabs>
                <w:tab w:val="left" w:pos="851"/>
              </w:tabs>
              <w:spacing w:line="240" w:lineRule="atLeast"/>
              <w:rPr>
                <w:rFonts w:asciiTheme="minorHAnsi" w:hAnsiTheme="minorHAnsi"/>
                <w:b/>
                <w:sz w:val="20"/>
              </w:rPr>
            </w:pPr>
            <w:bookmarkStart w:id="2" w:name="dmeeting" w:colFirst="0" w:colLast="0"/>
            <w:bookmarkStart w:id="3" w:name="dnum" w:colFirst="1" w:colLast="1"/>
            <w:r w:rsidRPr="00584F72">
              <w:rPr>
                <w:rFonts w:asciiTheme="minorHAnsi" w:hAnsiTheme="minorHAnsi"/>
                <w:b/>
                <w:szCs w:val="24"/>
              </w:rPr>
              <w:t>Agenda item: ADM 1</w:t>
            </w:r>
          </w:p>
        </w:tc>
        <w:tc>
          <w:tcPr>
            <w:tcW w:w="3402" w:type="dxa"/>
          </w:tcPr>
          <w:p w:rsidR="00F24695" w:rsidRDefault="00F24695" w:rsidP="00F24695">
            <w:pPr>
              <w:tabs>
                <w:tab w:val="left" w:pos="567"/>
                <w:tab w:val="left" w:pos="851"/>
                <w:tab w:val="left" w:pos="1134"/>
                <w:tab w:val="left" w:pos="1701"/>
                <w:tab w:val="left" w:pos="2268"/>
                <w:tab w:val="left" w:pos="2835"/>
              </w:tabs>
              <w:spacing w:line="240" w:lineRule="atLeast"/>
              <w:rPr>
                <w:rFonts w:ascii="Calibri" w:hAnsi="Calibri"/>
                <w:b/>
              </w:rPr>
            </w:pPr>
            <w:r>
              <w:rPr>
                <w:rFonts w:ascii="Calibri" w:hAnsi="Calibri"/>
                <w:b/>
              </w:rPr>
              <w:t>Addendum 1 to</w:t>
            </w:r>
          </w:p>
          <w:p w:rsidR="006662CE" w:rsidRPr="004E6189" w:rsidRDefault="00F24695" w:rsidP="00F24695">
            <w:pPr>
              <w:tabs>
                <w:tab w:val="left" w:pos="851"/>
                <w:tab w:val="right" w:pos="2904"/>
              </w:tabs>
              <w:spacing w:before="0" w:line="240" w:lineRule="atLeast"/>
              <w:rPr>
                <w:rFonts w:asciiTheme="minorHAnsi" w:hAnsiTheme="minorHAnsi"/>
                <w:b/>
                <w:szCs w:val="24"/>
              </w:rPr>
            </w:pPr>
            <w:r w:rsidRPr="001A0CC8">
              <w:rPr>
                <w:rFonts w:ascii="Calibri" w:hAnsi="Calibri"/>
                <w:b/>
              </w:rPr>
              <w:t>Document C1</w:t>
            </w:r>
            <w:r>
              <w:rPr>
                <w:rFonts w:ascii="Calibri" w:hAnsi="Calibri"/>
                <w:b/>
              </w:rPr>
              <w:t>9</w:t>
            </w:r>
            <w:r w:rsidRPr="001A0CC8">
              <w:rPr>
                <w:rFonts w:ascii="Calibri" w:hAnsi="Calibri"/>
                <w:b/>
              </w:rPr>
              <w:t>/1</w:t>
            </w:r>
            <w:r>
              <w:rPr>
                <w:rFonts w:ascii="Calibri" w:hAnsi="Calibri"/>
                <w:b/>
              </w:rPr>
              <w:t>5</w:t>
            </w:r>
            <w:r w:rsidRPr="001A0CC8">
              <w:rPr>
                <w:rFonts w:ascii="Calibri" w:hAnsi="Calibri"/>
                <w:b/>
              </w:rPr>
              <w:t>-E</w:t>
            </w:r>
          </w:p>
        </w:tc>
      </w:tr>
      <w:tr w:rsidR="003458CC" w:rsidRPr="003458CC" w:rsidTr="00B41AC1">
        <w:trPr>
          <w:cantSplit/>
          <w:trHeight w:val="23"/>
        </w:trPr>
        <w:tc>
          <w:tcPr>
            <w:tcW w:w="6487" w:type="dxa"/>
            <w:vMerge/>
          </w:tcPr>
          <w:p w:rsidR="006662CE" w:rsidRPr="00DF0E32" w:rsidRDefault="006662CE">
            <w:pPr>
              <w:tabs>
                <w:tab w:val="left" w:pos="851"/>
              </w:tabs>
              <w:spacing w:line="240" w:lineRule="atLeast"/>
              <w:rPr>
                <w:rFonts w:asciiTheme="minorHAnsi" w:hAnsiTheme="minorHAnsi"/>
                <w:b/>
              </w:rPr>
            </w:pPr>
            <w:bookmarkStart w:id="4" w:name="ddate" w:colFirst="1" w:colLast="1"/>
            <w:bookmarkEnd w:id="2"/>
            <w:bookmarkEnd w:id="3"/>
          </w:p>
        </w:tc>
        <w:tc>
          <w:tcPr>
            <w:tcW w:w="3402" w:type="dxa"/>
          </w:tcPr>
          <w:p w:rsidR="006662CE" w:rsidRPr="004E6189" w:rsidRDefault="00584F72" w:rsidP="00A01681">
            <w:pPr>
              <w:tabs>
                <w:tab w:val="left" w:pos="993"/>
              </w:tabs>
              <w:spacing w:before="0"/>
              <w:rPr>
                <w:rFonts w:asciiTheme="minorHAnsi" w:hAnsiTheme="minorHAnsi"/>
                <w:b/>
                <w:szCs w:val="24"/>
              </w:rPr>
            </w:pPr>
            <w:r>
              <w:rPr>
                <w:rFonts w:asciiTheme="minorHAnsi" w:hAnsiTheme="minorHAnsi"/>
                <w:b/>
                <w:szCs w:val="24"/>
              </w:rPr>
              <w:t>2</w:t>
            </w:r>
            <w:r w:rsidR="00A01681">
              <w:rPr>
                <w:rFonts w:asciiTheme="minorHAnsi" w:hAnsiTheme="minorHAnsi"/>
                <w:b/>
                <w:szCs w:val="24"/>
              </w:rPr>
              <w:t>2</w:t>
            </w:r>
            <w:r w:rsidR="009C68A2" w:rsidRPr="004E6189">
              <w:rPr>
                <w:rFonts w:asciiTheme="minorHAnsi" w:hAnsiTheme="minorHAnsi"/>
                <w:b/>
                <w:szCs w:val="24"/>
              </w:rPr>
              <w:t xml:space="preserve"> </w:t>
            </w:r>
            <w:r w:rsidR="00570113">
              <w:rPr>
                <w:rFonts w:asciiTheme="minorHAnsi" w:hAnsiTheme="minorHAnsi"/>
                <w:b/>
                <w:szCs w:val="24"/>
              </w:rPr>
              <w:t>May</w:t>
            </w:r>
            <w:r w:rsidR="003458CC" w:rsidRPr="004E6189">
              <w:rPr>
                <w:rFonts w:asciiTheme="minorHAnsi" w:hAnsiTheme="minorHAnsi"/>
                <w:b/>
                <w:szCs w:val="24"/>
              </w:rPr>
              <w:t xml:space="preserve"> </w:t>
            </w:r>
            <w:r w:rsidR="006662CE" w:rsidRPr="004E6189">
              <w:rPr>
                <w:rFonts w:asciiTheme="minorHAnsi" w:hAnsiTheme="minorHAnsi"/>
                <w:b/>
                <w:szCs w:val="24"/>
              </w:rPr>
              <w:t>20</w:t>
            </w:r>
            <w:r w:rsidR="00233B55" w:rsidRPr="004E6189">
              <w:rPr>
                <w:rFonts w:asciiTheme="minorHAnsi" w:hAnsiTheme="minorHAnsi"/>
                <w:b/>
                <w:szCs w:val="24"/>
              </w:rPr>
              <w:t>1</w:t>
            </w:r>
            <w:r w:rsidR="005D1BAC" w:rsidRPr="004E6189">
              <w:rPr>
                <w:rFonts w:asciiTheme="minorHAnsi" w:hAnsiTheme="minorHAnsi"/>
                <w:b/>
                <w:szCs w:val="24"/>
              </w:rPr>
              <w:t>9</w:t>
            </w:r>
          </w:p>
        </w:tc>
      </w:tr>
      <w:tr w:rsidR="003458CC" w:rsidRPr="003458CC" w:rsidTr="00B41AC1">
        <w:trPr>
          <w:cantSplit/>
          <w:trHeight w:val="23"/>
        </w:trPr>
        <w:tc>
          <w:tcPr>
            <w:tcW w:w="6487" w:type="dxa"/>
            <w:vMerge/>
          </w:tcPr>
          <w:p w:rsidR="006662CE" w:rsidRPr="00DF0E32" w:rsidRDefault="006662CE">
            <w:pPr>
              <w:tabs>
                <w:tab w:val="left" w:pos="851"/>
              </w:tabs>
              <w:spacing w:line="240" w:lineRule="atLeast"/>
              <w:rPr>
                <w:rFonts w:asciiTheme="minorHAnsi" w:hAnsiTheme="minorHAnsi"/>
                <w:b/>
              </w:rPr>
            </w:pPr>
            <w:bookmarkStart w:id="5" w:name="dorlang" w:colFirst="1" w:colLast="1"/>
            <w:bookmarkEnd w:id="4"/>
          </w:p>
        </w:tc>
        <w:tc>
          <w:tcPr>
            <w:tcW w:w="3402" w:type="dxa"/>
          </w:tcPr>
          <w:p w:rsidR="006662CE" w:rsidRPr="004E6189" w:rsidRDefault="00654400" w:rsidP="00654400">
            <w:pPr>
              <w:tabs>
                <w:tab w:val="left" w:pos="993"/>
              </w:tabs>
              <w:spacing w:before="0"/>
              <w:rPr>
                <w:rFonts w:asciiTheme="minorHAnsi" w:hAnsiTheme="minorHAnsi"/>
                <w:b/>
                <w:szCs w:val="24"/>
              </w:rPr>
            </w:pPr>
            <w:r>
              <w:rPr>
                <w:rFonts w:asciiTheme="minorHAnsi" w:hAnsiTheme="minorHAnsi"/>
                <w:b/>
                <w:szCs w:val="24"/>
              </w:rPr>
              <w:t>Original:</w:t>
            </w:r>
            <w:r w:rsidR="00F10E52">
              <w:rPr>
                <w:rFonts w:asciiTheme="minorHAnsi" w:hAnsiTheme="minorHAnsi"/>
                <w:b/>
                <w:szCs w:val="24"/>
              </w:rPr>
              <w:t xml:space="preserve"> </w:t>
            </w:r>
            <w:r w:rsidR="006662CE" w:rsidRPr="004E6189">
              <w:rPr>
                <w:rFonts w:asciiTheme="minorHAnsi" w:hAnsiTheme="minorHAnsi"/>
                <w:b/>
                <w:szCs w:val="24"/>
              </w:rPr>
              <w:t>English</w:t>
            </w:r>
          </w:p>
        </w:tc>
      </w:tr>
      <w:tr w:rsidR="006662CE" w:rsidRPr="00DF0E32" w:rsidTr="00B41AC1">
        <w:trPr>
          <w:cantSplit/>
        </w:trPr>
        <w:tc>
          <w:tcPr>
            <w:tcW w:w="9889" w:type="dxa"/>
            <w:gridSpan w:val="2"/>
          </w:tcPr>
          <w:p w:rsidR="00584F72" w:rsidRDefault="00584F72" w:rsidP="00F24695">
            <w:pPr>
              <w:pStyle w:val="Header"/>
              <w:tabs>
                <w:tab w:val="left" w:pos="1418"/>
              </w:tabs>
              <w:ind w:left="-180"/>
              <w:rPr>
                <w:rFonts w:ascii="Calibri" w:hAnsi="Calibri" w:cs="Arial"/>
                <w:b/>
                <w:bCs/>
                <w:color w:val="000000"/>
                <w:sz w:val="28"/>
                <w:szCs w:val="28"/>
                <w:lang w:val="en-GB"/>
              </w:rPr>
            </w:pPr>
            <w:bookmarkStart w:id="6" w:name="dsource" w:colFirst="0" w:colLast="0"/>
            <w:bookmarkEnd w:id="5"/>
          </w:p>
          <w:p w:rsidR="00584F72" w:rsidRDefault="00584F72" w:rsidP="00F24695">
            <w:pPr>
              <w:pStyle w:val="Header"/>
              <w:tabs>
                <w:tab w:val="left" w:pos="1418"/>
              </w:tabs>
              <w:ind w:left="-180"/>
              <w:rPr>
                <w:rFonts w:ascii="Calibri" w:hAnsi="Calibri" w:cs="Arial"/>
                <w:b/>
                <w:bCs/>
                <w:color w:val="000000"/>
                <w:sz w:val="28"/>
                <w:szCs w:val="28"/>
                <w:lang w:val="en-GB"/>
              </w:rPr>
            </w:pPr>
          </w:p>
          <w:p w:rsidR="00F24695" w:rsidRPr="00F24695" w:rsidRDefault="00F24695" w:rsidP="00F24695">
            <w:pPr>
              <w:pStyle w:val="Header"/>
              <w:tabs>
                <w:tab w:val="left" w:pos="1418"/>
              </w:tabs>
              <w:ind w:left="-180"/>
              <w:rPr>
                <w:rFonts w:ascii="Calibri" w:hAnsi="Calibri" w:cs="Arial"/>
                <w:b/>
                <w:bCs/>
                <w:color w:val="000000"/>
                <w:sz w:val="28"/>
                <w:szCs w:val="28"/>
                <w:lang w:val="en-GB"/>
              </w:rPr>
            </w:pPr>
            <w:r w:rsidRPr="00F24695">
              <w:rPr>
                <w:rFonts w:ascii="Calibri" w:hAnsi="Calibri" w:cs="Arial"/>
                <w:b/>
                <w:bCs/>
                <w:color w:val="000000"/>
                <w:sz w:val="28"/>
                <w:szCs w:val="28"/>
                <w:lang w:val="en-GB"/>
              </w:rPr>
              <w:t>Report by the Secretary-General</w:t>
            </w:r>
          </w:p>
          <w:p w:rsidR="00F24695" w:rsidRPr="00F24695" w:rsidRDefault="00F24695" w:rsidP="00F24695">
            <w:pPr>
              <w:pStyle w:val="Header"/>
              <w:tabs>
                <w:tab w:val="left" w:pos="1418"/>
              </w:tabs>
              <w:ind w:left="-180"/>
              <w:rPr>
                <w:rFonts w:ascii="Calibri" w:hAnsi="Calibri" w:cs="Arial"/>
                <w:color w:val="000000"/>
                <w:sz w:val="24"/>
                <w:szCs w:val="24"/>
                <w:lang w:val="en-GB"/>
              </w:rPr>
            </w:pPr>
          </w:p>
          <w:p w:rsidR="006662CE" w:rsidRDefault="00F24695" w:rsidP="00847AA4">
            <w:pPr>
              <w:pStyle w:val="Header"/>
              <w:tabs>
                <w:tab w:val="left" w:pos="1418"/>
              </w:tabs>
              <w:ind w:left="-180"/>
              <w:rPr>
                <w:rFonts w:ascii="Calibri" w:hAnsi="Calibri" w:cs="Arial"/>
                <w:color w:val="000000"/>
                <w:sz w:val="28"/>
                <w:szCs w:val="28"/>
                <w:lang w:val="en-GB"/>
              </w:rPr>
            </w:pPr>
            <w:r w:rsidRPr="00F24695">
              <w:rPr>
                <w:rFonts w:ascii="Calibri" w:hAnsi="Calibri" w:cs="Arial"/>
                <w:color w:val="000000"/>
                <w:sz w:val="28"/>
                <w:szCs w:val="28"/>
                <w:lang w:val="en-GB"/>
              </w:rPr>
              <w:t>DRAFT BUDGET OF THE UNION FOR 20</w:t>
            </w:r>
            <w:r w:rsidR="00847AA4">
              <w:rPr>
                <w:rFonts w:ascii="Calibri" w:hAnsi="Calibri" w:cs="Arial"/>
                <w:color w:val="000000"/>
                <w:sz w:val="28"/>
                <w:szCs w:val="28"/>
                <w:lang w:val="en-GB"/>
              </w:rPr>
              <w:t>20</w:t>
            </w:r>
            <w:r w:rsidRPr="00F24695">
              <w:rPr>
                <w:rFonts w:ascii="Calibri" w:hAnsi="Calibri" w:cs="Arial"/>
                <w:color w:val="000000"/>
                <w:sz w:val="28"/>
                <w:szCs w:val="28"/>
                <w:lang w:val="en-GB"/>
              </w:rPr>
              <w:t>-20</w:t>
            </w:r>
            <w:r w:rsidR="00847AA4">
              <w:rPr>
                <w:rFonts w:ascii="Calibri" w:hAnsi="Calibri" w:cs="Arial"/>
                <w:color w:val="000000"/>
                <w:sz w:val="28"/>
                <w:szCs w:val="28"/>
                <w:lang w:val="en-GB"/>
              </w:rPr>
              <w:t>21</w:t>
            </w:r>
          </w:p>
          <w:p w:rsidR="00F24695" w:rsidRPr="00F24695" w:rsidRDefault="00F24695" w:rsidP="00F24695">
            <w:pPr>
              <w:pStyle w:val="Header"/>
              <w:tabs>
                <w:tab w:val="left" w:pos="1418"/>
              </w:tabs>
              <w:ind w:left="-180"/>
              <w:rPr>
                <w:rFonts w:ascii="Calibri" w:hAnsi="Calibri" w:cs="Arial"/>
                <w:color w:val="000000"/>
                <w:sz w:val="28"/>
                <w:szCs w:val="28"/>
                <w:lang w:val="en-GB"/>
              </w:rPr>
            </w:pPr>
          </w:p>
        </w:tc>
      </w:tr>
    </w:tbl>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F24695" w:rsidRPr="00BF7375" w:rsidTr="00F24695">
        <w:trPr>
          <w:trHeight w:val="3372"/>
        </w:trPr>
        <w:tc>
          <w:tcPr>
            <w:tcW w:w="8925" w:type="dxa"/>
            <w:tcBorders>
              <w:top w:val="single" w:sz="12" w:space="0" w:color="auto"/>
              <w:left w:val="single" w:sz="12" w:space="0" w:color="auto"/>
              <w:bottom w:val="single" w:sz="12" w:space="0" w:color="auto"/>
              <w:right w:val="single" w:sz="12" w:space="0" w:color="auto"/>
            </w:tcBorders>
          </w:tcPr>
          <w:bookmarkEnd w:id="6"/>
          <w:p w:rsidR="00F24695" w:rsidRPr="004C4BE2" w:rsidRDefault="00F24695" w:rsidP="00DB4C73">
            <w:pPr>
              <w:pStyle w:val="Headingb"/>
              <w:keepNext w:val="0"/>
              <w:keepLines w:val="0"/>
              <w:overflowPunct w:val="0"/>
              <w:autoSpaceDE w:val="0"/>
              <w:autoSpaceDN w:val="0"/>
              <w:adjustRightInd w:val="0"/>
              <w:spacing w:before="240"/>
              <w:ind w:right="48"/>
              <w:textAlignment w:val="baseline"/>
              <w:rPr>
                <w:rFonts w:ascii="Calibri" w:hAnsi="Calibri"/>
                <w:szCs w:val="24"/>
              </w:rPr>
            </w:pPr>
            <w:r w:rsidRPr="004C4BE2">
              <w:rPr>
                <w:rFonts w:ascii="Calibri" w:hAnsi="Calibri"/>
                <w:szCs w:val="24"/>
              </w:rPr>
              <w:t>Summary</w:t>
            </w:r>
          </w:p>
          <w:p w:rsidR="00F24695" w:rsidRPr="004C4BE2" w:rsidRDefault="00F24695" w:rsidP="00A9614C">
            <w:pPr>
              <w:spacing w:before="240"/>
              <w:ind w:right="48"/>
              <w:rPr>
                <w:rFonts w:ascii="Calibri" w:hAnsi="Calibri"/>
                <w:szCs w:val="24"/>
              </w:rPr>
            </w:pPr>
            <w:r w:rsidRPr="004C4BE2">
              <w:rPr>
                <w:rFonts w:ascii="Calibri" w:hAnsi="Calibri"/>
                <w:szCs w:val="24"/>
              </w:rPr>
              <w:t xml:space="preserve">The following </w:t>
            </w:r>
            <w:r>
              <w:rPr>
                <w:rFonts w:ascii="Calibri" w:hAnsi="Calibri"/>
                <w:szCs w:val="24"/>
              </w:rPr>
              <w:t>report</w:t>
            </w:r>
            <w:r w:rsidRPr="004C4BE2">
              <w:rPr>
                <w:rFonts w:ascii="Calibri" w:hAnsi="Calibri"/>
                <w:szCs w:val="24"/>
              </w:rPr>
              <w:t xml:space="preserve"> is presented for general information as </w:t>
            </w:r>
            <w:r w:rsidR="00654400">
              <w:rPr>
                <w:rFonts w:ascii="Calibri" w:hAnsi="Calibri"/>
                <w:szCs w:val="24"/>
              </w:rPr>
              <w:t>A</w:t>
            </w:r>
            <w:r w:rsidRPr="004C4BE2">
              <w:rPr>
                <w:rFonts w:ascii="Calibri" w:hAnsi="Calibri"/>
                <w:szCs w:val="24"/>
              </w:rPr>
              <w:t xml:space="preserve">ddendum </w:t>
            </w:r>
            <w:r w:rsidR="00584F72">
              <w:rPr>
                <w:rFonts w:ascii="Calibri" w:hAnsi="Calibri"/>
                <w:szCs w:val="24"/>
              </w:rPr>
              <w:t xml:space="preserve">1 </w:t>
            </w:r>
            <w:r w:rsidRPr="004C4BE2">
              <w:rPr>
                <w:rFonts w:ascii="Calibri" w:hAnsi="Calibri"/>
                <w:szCs w:val="24"/>
              </w:rPr>
              <w:t xml:space="preserve">to </w:t>
            </w:r>
            <w:r w:rsidR="00A9614C">
              <w:rPr>
                <w:rFonts w:ascii="Calibri" w:hAnsi="Calibri"/>
                <w:szCs w:val="24"/>
              </w:rPr>
              <w:t>D</w:t>
            </w:r>
            <w:r w:rsidRPr="004C4BE2">
              <w:rPr>
                <w:rFonts w:ascii="Calibri" w:hAnsi="Calibri"/>
                <w:szCs w:val="24"/>
              </w:rPr>
              <w:t>ocument</w:t>
            </w:r>
            <w:r>
              <w:rPr>
                <w:rFonts w:ascii="Calibri" w:hAnsi="Calibri"/>
                <w:szCs w:val="24"/>
              </w:rPr>
              <w:t> </w:t>
            </w:r>
            <w:r w:rsidRPr="004C4BE2">
              <w:rPr>
                <w:rFonts w:ascii="Calibri" w:hAnsi="Calibri"/>
                <w:szCs w:val="24"/>
              </w:rPr>
              <w:t>C1</w:t>
            </w:r>
            <w:r>
              <w:rPr>
                <w:rFonts w:ascii="Calibri" w:hAnsi="Calibri"/>
                <w:szCs w:val="24"/>
              </w:rPr>
              <w:t>9</w:t>
            </w:r>
            <w:r w:rsidRPr="004C4BE2">
              <w:rPr>
                <w:rFonts w:ascii="Calibri" w:hAnsi="Calibri"/>
                <w:szCs w:val="24"/>
              </w:rPr>
              <w:t>/1</w:t>
            </w:r>
            <w:r w:rsidR="00584F72">
              <w:rPr>
                <w:rFonts w:ascii="Calibri" w:hAnsi="Calibri"/>
                <w:szCs w:val="24"/>
              </w:rPr>
              <w:t>5</w:t>
            </w:r>
            <w:r w:rsidRPr="004C4BE2">
              <w:rPr>
                <w:rFonts w:ascii="Calibri" w:hAnsi="Calibri"/>
                <w:szCs w:val="24"/>
              </w:rPr>
              <w:t>:</w:t>
            </w:r>
          </w:p>
          <w:p w:rsidR="00F24695" w:rsidRPr="004C4BE2" w:rsidRDefault="00F24695" w:rsidP="00A9614C">
            <w:pPr>
              <w:pStyle w:val="ListParagraph"/>
              <w:spacing w:before="240" w:after="200" w:line="276" w:lineRule="auto"/>
              <w:ind w:left="360" w:right="48"/>
              <w:rPr>
                <w:rFonts w:ascii="Calibri" w:hAnsi="Calibri"/>
                <w:szCs w:val="24"/>
              </w:rPr>
            </w:pPr>
            <w:r w:rsidRPr="004C4BE2">
              <w:rPr>
                <w:rFonts w:ascii="Calibri" w:hAnsi="Calibri"/>
                <w:szCs w:val="24"/>
              </w:rPr>
              <w:t>The ITU T</w:t>
            </w:r>
            <w:r w:rsidR="00A9614C">
              <w:rPr>
                <w:rFonts w:ascii="Calibri" w:hAnsi="Calibri"/>
                <w:szCs w:val="24"/>
              </w:rPr>
              <w:t>elecom S</w:t>
            </w:r>
            <w:r w:rsidRPr="004C4BE2">
              <w:rPr>
                <w:rFonts w:ascii="Calibri" w:hAnsi="Calibri"/>
                <w:szCs w:val="24"/>
              </w:rPr>
              <w:t>ecretariat Budget for 20</w:t>
            </w:r>
            <w:r>
              <w:rPr>
                <w:rFonts w:ascii="Calibri" w:hAnsi="Calibri"/>
                <w:szCs w:val="24"/>
              </w:rPr>
              <w:t>20</w:t>
            </w:r>
            <w:r w:rsidRPr="004C4BE2">
              <w:rPr>
                <w:rFonts w:ascii="Calibri" w:hAnsi="Calibri"/>
                <w:szCs w:val="24"/>
              </w:rPr>
              <w:t>-20</w:t>
            </w:r>
            <w:r>
              <w:rPr>
                <w:rFonts w:ascii="Calibri" w:hAnsi="Calibri"/>
                <w:szCs w:val="24"/>
              </w:rPr>
              <w:t>21</w:t>
            </w:r>
            <w:r w:rsidRPr="004C4BE2">
              <w:rPr>
                <w:rFonts w:ascii="Calibri" w:hAnsi="Calibri"/>
                <w:szCs w:val="24"/>
              </w:rPr>
              <w:t>.</w:t>
            </w:r>
          </w:p>
          <w:p w:rsidR="00F24695" w:rsidRPr="004C4BE2" w:rsidRDefault="00F24695" w:rsidP="00DB4C73">
            <w:pPr>
              <w:pStyle w:val="Headingb"/>
              <w:keepNext w:val="0"/>
              <w:keepLines w:val="0"/>
              <w:overflowPunct w:val="0"/>
              <w:autoSpaceDE w:val="0"/>
              <w:autoSpaceDN w:val="0"/>
              <w:adjustRightInd w:val="0"/>
              <w:spacing w:before="240"/>
              <w:ind w:right="48"/>
              <w:textAlignment w:val="baseline"/>
              <w:rPr>
                <w:rFonts w:ascii="Calibri" w:hAnsi="Calibri"/>
                <w:szCs w:val="24"/>
              </w:rPr>
            </w:pPr>
            <w:r w:rsidRPr="004C4BE2">
              <w:rPr>
                <w:rFonts w:ascii="Calibri" w:hAnsi="Calibri"/>
                <w:szCs w:val="24"/>
              </w:rPr>
              <w:t>Action required</w:t>
            </w:r>
          </w:p>
          <w:p w:rsidR="00F24695" w:rsidRDefault="00F10E52" w:rsidP="00654400">
            <w:pPr>
              <w:rPr>
                <w:rFonts w:ascii="Calibri" w:hAnsi="Calibri"/>
                <w:i/>
                <w:iCs/>
                <w:szCs w:val="24"/>
              </w:rPr>
            </w:pPr>
            <w:r>
              <w:rPr>
                <w:rFonts w:ascii="Calibri" w:hAnsi="Calibri"/>
                <w:szCs w:val="24"/>
              </w:rPr>
              <w:t xml:space="preserve">The </w:t>
            </w:r>
            <w:r w:rsidR="00F24695" w:rsidRPr="004C4BE2">
              <w:rPr>
                <w:rFonts w:ascii="Calibri" w:hAnsi="Calibri"/>
                <w:szCs w:val="24"/>
              </w:rPr>
              <w:t xml:space="preserve">Council is requested to </w:t>
            </w:r>
            <w:r w:rsidR="00F24695" w:rsidRPr="004C4BE2">
              <w:rPr>
                <w:rFonts w:ascii="Calibri" w:hAnsi="Calibri"/>
                <w:b/>
                <w:bCs/>
                <w:szCs w:val="24"/>
              </w:rPr>
              <w:t>take note</w:t>
            </w:r>
            <w:r w:rsidR="00F24695" w:rsidRPr="004C4BE2">
              <w:rPr>
                <w:rFonts w:ascii="Calibri" w:hAnsi="Calibri"/>
                <w:szCs w:val="24"/>
              </w:rPr>
              <w:t xml:space="preserve"> of this document.</w:t>
            </w:r>
          </w:p>
        </w:tc>
      </w:tr>
    </w:tbl>
    <w:p w:rsidR="00F24695" w:rsidRPr="00DF0E32" w:rsidRDefault="00F24695" w:rsidP="00773C80">
      <w:pPr>
        <w:spacing w:before="0"/>
        <w:rPr>
          <w:rFonts w:asciiTheme="minorHAnsi" w:hAnsiTheme="minorHAnsi"/>
        </w:rPr>
      </w:pPr>
    </w:p>
    <w:p w:rsidR="00773C80" w:rsidRPr="00DF0E32" w:rsidRDefault="00773C80" w:rsidP="00773C80">
      <w:pPr>
        <w:spacing w:before="0"/>
        <w:rPr>
          <w:rFonts w:asciiTheme="minorHAnsi" w:hAnsiTheme="minorHAnsi"/>
        </w:rPr>
      </w:pPr>
    </w:p>
    <w:p w:rsidR="00570113" w:rsidRPr="00570113" w:rsidRDefault="00570113" w:rsidP="00006F06">
      <w:pPr>
        <w:tabs>
          <w:tab w:val="clear" w:pos="794"/>
          <w:tab w:val="left" w:pos="709"/>
        </w:tabs>
        <w:spacing w:before="0"/>
        <w:jc w:val="both"/>
        <w:rPr>
          <w:rFonts w:asciiTheme="minorHAnsi" w:hAnsiTheme="minorHAnsi"/>
          <w:szCs w:val="24"/>
        </w:rPr>
      </w:pPr>
      <w:r w:rsidRPr="00570113">
        <w:rPr>
          <w:rFonts w:asciiTheme="minorHAnsi" w:hAnsiTheme="minorHAnsi"/>
          <w:szCs w:val="24"/>
        </w:rPr>
        <w:t>1</w:t>
      </w:r>
      <w:r w:rsidRPr="00570113">
        <w:rPr>
          <w:rFonts w:asciiTheme="minorHAnsi" w:hAnsiTheme="minorHAnsi"/>
          <w:szCs w:val="24"/>
        </w:rPr>
        <w:tab/>
        <w:t>The ITU Telecom Secretariat budget is established to allocate provisions for ITU Telecom Secretariat estimated expenses that are not directly related to an ITU Telecom event or to a specific output. It includes cost recovery charges from the other areas of the ITU General Secretariat and the Bureaux. The ITU Telecom Secretariat budget is essential for the planning and monitoring of expenses, which are then charged to the different ITU Telecom events during the corresponding year. In line with the ITU biennial budget cycle (2020-2021), the periodicity of ITU Telecom Secretariat budget is on a yearly basis.</w:t>
      </w:r>
    </w:p>
    <w:p w:rsidR="00570113" w:rsidRDefault="00570113" w:rsidP="00570113">
      <w:pPr>
        <w:spacing w:before="0"/>
        <w:rPr>
          <w:rFonts w:asciiTheme="minorHAnsi" w:hAnsiTheme="minorHAnsi"/>
          <w:szCs w:val="24"/>
        </w:rPr>
      </w:pPr>
    </w:p>
    <w:p w:rsidR="00570113" w:rsidRPr="00570113" w:rsidRDefault="00570113" w:rsidP="000A4E6A">
      <w:pPr>
        <w:tabs>
          <w:tab w:val="clear" w:pos="794"/>
          <w:tab w:val="left" w:pos="709"/>
        </w:tabs>
        <w:spacing w:before="0"/>
        <w:rPr>
          <w:rFonts w:asciiTheme="minorHAnsi" w:hAnsiTheme="minorHAnsi"/>
          <w:b/>
          <w:bCs/>
          <w:szCs w:val="24"/>
        </w:rPr>
      </w:pPr>
      <w:r w:rsidRPr="00570113">
        <w:rPr>
          <w:rFonts w:asciiTheme="minorHAnsi" w:hAnsiTheme="minorHAnsi"/>
          <w:b/>
          <w:bCs/>
          <w:szCs w:val="24"/>
        </w:rPr>
        <w:t>ITU T</w:t>
      </w:r>
      <w:r w:rsidR="00A9614C">
        <w:rPr>
          <w:rFonts w:asciiTheme="minorHAnsi" w:hAnsiTheme="minorHAnsi"/>
          <w:b/>
          <w:bCs/>
          <w:szCs w:val="24"/>
        </w:rPr>
        <w:t>elecom Secretariat expenses</w:t>
      </w:r>
    </w:p>
    <w:p w:rsidR="00570113" w:rsidRDefault="00570113" w:rsidP="00570113">
      <w:pPr>
        <w:spacing w:before="0"/>
        <w:rPr>
          <w:rFonts w:asciiTheme="minorHAnsi" w:hAnsiTheme="minorHAnsi"/>
          <w:szCs w:val="24"/>
        </w:rPr>
      </w:pPr>
    </w:p>
    <w:p w:rsidR="00570113" w:rsidRPr="00570113" w:rsidRDefault="00570113" w:rsidP="00006F06">
      <w:pPr>
        <w:tabs>
          <w:tab w:val="clear" w:pos="794"/>
          <w:tab w:val="left" w:pos="709"/>
        </w:tabs>
        <w:spacing w:before="0"/>
        <w:jc w:val="both"/>
        <w:rPr>
          <w:rFonts w:asciiTheme="minorHAnsi" w:hAnsiTheme="minorHAnsi"/>
          <w:szCs w:val="24"/>
        </w:rPr>
      </w:pPr>
      <w:r w:rsidRPr="00570113">
        <w:rPr>
          <w:rFonts w:asciiTheme="minorHAnsi" w:hAnsiTheme="minorHAnsi"/>
          <w:szCs w:val="24"/>
        </w:rPr>
        <w:t>2</w:t>
      </w:r>
      <w:r w:rsidRPr="00570113">
        <w:rPr>
          <w:rFonts w:asciiTheme="minorHAnsi" w:hAnsiTheme="minorHAnsi"/>
          <w:szCs w:val="24"/>
        </w:rPr>
        <w:tab/>
        <w:t>The ITU Telecom Secretariat budget for 2020-2021 totals CHF 10.2 million which is lower by 8</w:t>
      </w:r>
      <w:r w:rsidR="00A9614C">
        <w:rPr>
          <w:rFonts w:asciiTheme="minorHAnsi" w:hAnsiTheme="minorHAnsi"/>
          <w:szCs w:val="24"/>
        </w:rPr>
        <w:t xml:space="preserve"> per cent</w:t>
      </w:r>
      <w:r w:rsidRPr="00570113">
        <w:rPr>
          <w:rFonts w:asciiTheme="minorHAnsi" w:hAnsiTheme="minorHAnsi"/>
          <w:szCs w:val="24"/>
        </w:rPr>
        <w:t xml:space="preserve"> compared with the 2018-2019 budget. This is mainly due to some vacant posts which are not planned to be encumbered during 2020-2021 and lower projected expense</w:t>
      </w:r>
      <w:r w:rsidR="00A9614C">
        <w:rPr>
          <w:rFonts w:asciiTheme="minorHAnsi" w:hAnsiTheme="minorHAnsi"/>
          <w:szCs w:val="24"/>
        </w:rPr>
        <w:t>s</w:t>
      </w:r>
      <w:r w:rsidRPr="00570113">
        <w:rPr>
          <w:rFonts w:asciiTheme="minorHAnsi" w:hAnsiTheme="minorHAnsi"/>
          <w:szCs w:val="24"/>
        </w:rPr>
        <w:t xml:space="preserve"> on contractual services, travel on duty, rental and maintenance</w:t>
      </w:r>
      <w:r w:rsidR="00F10E52">
        <w:rPr>
          <w:rFonts w:asciiTheme="minorHAnsi" w:hAnsiTheme="minorHAnsi"/>
          <w:szCs w:val="24"/>
        </w:rPr>
        <w:t>,</w:t>
      </w:r>
      <w:r w:rsidRPr="00570113">
        <w:rPr>
          <w:rFonts w:asciiTheme="minorHAnsi" w:hAnsiTheme="minorHAnsi"/>
          <w:szCs w:val="24"/>
        </w:rPr>
        <w:t xml:space="preserve"> and utilities</w:t>
      </w:r>
      <w:bookmarkStart w:id="7" w:name="_GoBack"/>
      <w:bookmarkEnd w:id="7"/>
      <w:r w:rsidRPr="00570113">
        <w:rPr>
          <w:rFonts w:asciiTheme="minorHAnsi" w:hAnsiTheme="minorHAnsi"/>
          <w:szCs w:val="24"/>
        </w:rPr>
        <w:t xml:space="preserve"> as shown in Table</w:t>
      </w:r>
      <w:r w:rsidR="00A9614C">
        <w:rPr>
          <w:rFonts w:asciiTheme="minorHAnsi" w:hAnsiTheme="minorHAnsi"/>
          <w:szCs w:val="24"/>
        </w:rPr>
        <w:t> </w:t>
      </w:r>
      <w:r w:rsidRPr="00570113">
        <w:rPr>
          <w:rFonts w:asciiTheme="minorHAnsi" w:hAnsiTheme="minorHAnsi"/>
          <w:szCs w:val="24"/>
        </w:rPr>
        <w:t>1 below. The biggest objects of expense</w:t>
      </w:r>
      <w:r w:rsidR="00A9614C">
        <w:rPr>
          <w:rFonts w:asciiTheme="minorHAnsi" w:hAnsiTheme="minorHAnsi"/>
          <w:szCs w:val="24"/>
        </w:rPr>
        <w:t>s</w:t>
      </w:r>
      <w:r w:rsidRPr="00570113">
        <w:rPr>
          <w:rFonts w:asciiTheme="minorHAnsi" w:hAnsiTheme="minorHAnsi"/>
          <w:szCs w:val="24"/>
        </w:rPr>
        <w:t xml:space="preserve"> in the budget are the Staff and other Staff costs, as well as the cost recovery which has been maintained at the same budget level of CHF 1.5</w:t>
      </w:r>
      <w:r w:rsidR="00A9614C">
        <w:rPr>
          <w:rFonts w:asciiTheme="minorHAnsi" w:hAnsiTheme="minorHAnsi"/>
          <w:szCs w:val="24"/>
        </w:rPr>
        <w:t> </w:t>
      </w:r>
      <w:r w:rsidRPr="00570113">
        <w:rPr>
          <w:rFonts w:asciiTheme="minorHAnsi" w:hAnsiTheme="minorHAnsi"/>
          <w:szCs w:val="24"/>
        </w:rPr>
        <w:t>million per annum since 2014.</w:t>
      </w:r>
    </w:p>
    <w:p w:rsidR="00570113" w:rsidRDefault="00570113" w:rsidP="00006F06">
      <w:pPr>
        <w:spacing w:before="0"/>
        <w:jc w:val="both"/>
        <w:rPr>
          <w:rFonts w:asciiTheme="minorHAnsi" w:hAnsiTheme="minorHAnsi"/>
          <w:szCs w:val="24"/>
        </w:rPr>
      </w:pPr>
    </w:p>
    <w:p w:rsidR="00584F72" w:rsidRDefault="00584F7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773C80" w:rsidRDefault="00570113" w:rsidP="00006F06">
      <w:pPr>
        <w:tabs>
          <w:tab w:val="clear" w:pos="794"/>
          <w:tab w:val="left" w:pos="709"/>
        </w:tabs>
        <w:spacing w:before="0"/>
        <w:jc w:val="both"/>
        <w:rPr>
          <w:rFonts w:asciiTheme="minorHAnsi" w:hAnsiTheme="minorHAnsi"/>
          <w:szCs w:val="24"/>
        </w:rPr>
      </w:pPr>
      <w:r w:rsidRPr="00570113">
        <w:rPr>
          <w:rFonts w:asciiTheme="minorHAnsi" w:hAnsiTheme="minorHAnsi"/>
          <w:szCs w:val="24"/>
        </w:rPr>
        <w:lastRenderedPageBreak/>
        <w:t>3</w:t>
      </w:r>
      <w:r w:rsidRPr="00570113">
        <w:rPr>
          <w:rFonts w:asciiTheme="minorHAnsi" w:hAnsiTheme="minorHAnsi"/>
          <w:szCs w:val="24"/>
        </w:rPr>
        <w:tab/>
        <w:t>The budget is presented in categories of expenses in accordance with Article 6</w:t>
      </w:r>
      <w:r w:rsidR="00A9614C">
        <w:rPr>
          <w:rFonts w:asciiTheme="minorHAnsi" w:hAnsiTheme="minorHAnsi"/>
          <w:szCs w:val="24"/>
        </w:rPr>
        <w:t>,</w:t>
      </w:r>
      <w:r w:rsidRPr="00570113">
        <w:rPr>
          <w:rFonts w:asciiTheme="minorHAnsi" w:hAnsiTheme="minorHAnsi"/>
          <w:szCs w:val="24"/>
        </w:rPr>
        <w:t xml:space="preserve"> Rule 6.1 of the ITU Financial Regulations and </w:t>
      </w:r>
      <w:r w:rsidR="00A9614C">
        <w:rPr>
          <w:rFonts w:asciiTheme="minorHAnsi" w:hAnsiTheme="minorHAnsi"/>
          <w:szCs w:val="24"/>
        </w:rPr>
        <w:t xml:space="preserve">Financial </w:t>
      </w:r>
      <w:r w:rsidRPr="00570113">
        <w:rPr>
          <w:rFonts w:asciiTheme="minorHAnsi" w:hAnsiTheme="minorHAnsi"/>
          <w:szCs w:val="24"/>
        </w:rPr>
        <w:t xml:space="preserve">Rules. Table 1 </w:t>
      </w:r>
      <w:r w:rsidR="00C9265F">
        <w:rPr>
          <w:rFonts w:asciiTheme="minorHAnsi" w:hAnsiTheme="minorHAnsi"/>
          <w:szCs w:val="24"/>
        </w:rPr>
        <w:t>below</w:t>
      </w:r>
      <w:r w:rsidRPr="00570113">
        <w:rPr>
          <w:rFonts w:asciiTheme="minorHAnsi" w:hAnsiTheme="minorHAnsi"/>
          <w:szCs w:val="24"/>
        </w:rPr>
        <w:t xml:space="preserve"> shows the estimated expenses</w:t>
      </w:r>
      <w:r>
        <w:rPr>
          <w:rFonts w:asciiTheme="minorHAnsi" w:hAnsiTheme="minorHAnsi"/>
          <w:szCs w:val="24"/>
        </w:rPr>
        <w:t xml:space="preserve"> by category. Staff costs and o</w:t>
      </w:r>
      <w:r w:rsidRPr="00570113">
        <w:rPr>
          <w:rFonts w:asciiTheme="minorHAnsi" w:hAnsiTheme="minorHAnsi"/>
          <w:szCs w:val="24"/>
        </w:rPr>
        <w:t>ther staff costs together represent almost 68</w:t>
      </w:r>
      <w:r w:rsidR="00A9614C">
        <w:rPr>
          <w:rFonts w:asciiTheme="minorHAnsi" w:hAnsiTheme="minorHAnsi"/>
          <w:szCs w:val="24"/>
        </w:rPr>
        <w:t> per cent</w:t>
      </w:r>
      <w:r w:rsidRPr="00570113">
        <w:rPr>
          <w:rFonts w:asciiTheme="minorHAnsi" w:hAnsiTheme="minorHAnsi"/>
          <w:szCs w:val="24"/>
        </w:rPr>
        <w:t xml:space="preserve"> of the total biennium budget.</w:t>
      </w:r>
      <w:r w:rsidR="00F10E52">
        <w:rPr>
          <w:rFonts w:asciiTheme="minorHAnsi" w:hAnsiTheme="minorHAnsi"/>
          <w:szCs w:val="24"/>
        </w:rPr>
        <w:t xml:space="preserve"> </w:t>
      </w:r>
      <w:r w:rsidRPr="00570113">
        <w:rPr>
          <w:rFonts w:asciiTheme="minorHAnsi" w:hAnsiTheme="minorHAnsi"/>
          <w:szCs w:val="24"/>
        </w:rPr>
        <w:t>The cost recovery of CHF 3 million is equivalent to 29</w:t>
      </w:r>
      <w:r w:rsidR="00A9614C">
        <w:rPr>
          <w:rFonts w:asciiTheme="minorHAnsi" w:hAnsiTheme="minorHAnsi"/>
          <w:szCs w:val="24"/>
        </w:rPr>
        <w:t> per cent</w:t>
      </w:r>
      <w:r w:rsidRPr="00570113">
        <w:rPr>
          <w:rFonts w:asciiTheme="minorHAnsi" w:hAnsiTheme="minorHAnsi"/>
          <w:szCs w:val="24"/>
        </w:rPr>
        <w:t xml:space="preserve"> of the total biennial budget for 2020-2021.</w:t>
      </w:r>
    </w:p>
    <w:p w:rsidR="00570113" w:rsidRDefault="00570113" w:rsidP="00570113">
      <w:pPr>
        <w:spacing w:before="0"/>
        <w:rPr>
          <w:rFonts w:asciiTheme="minorHAnsi" w:hAnsiTheme="minorHAnsi"/>
          <w:szCs w:val="24"/>
        </w:rPr>
      </w:pPr>
    </w:p>
    <w:p w:rsidR="00570113" w:rsidRPr="001A184A" w:rsidRDefault="00C9265F" w:rsidP="00570113">
      <w:pPr>
        <w:spacing w:before="0"/>
        <w:rPr>
          <w:rFonts w:asciiTheme="minorHAnsi" w:hAnsiTheme="minorHAnsi"/>
          <w:szCs w:val="24"/>
        </w:rPr>
      </w:pPr>
      <w:r>
        <w:rPr>
          <w:noProof/>
          <w:lang w:eastAsia="zh-CN"/>
        </w:rPr>
        <w:object w:dxaOrig="10049" w:dyaOrig="7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1.5pt" o:ole="">
            <v:imagedata r:id="rId12" o:title=""/>
          </v:shape>
          <o:OLEObject Type="Embed" ProgID="Word.Document.12" ShapeID="_x0000_i1025" DrawAspect="Content" ObjectID="_1620037561" r:id="rId13">
            <o:FieldCodes>\s</o:FieldCodes>
          </o:OLEObject>
        </w:object>
      </w:r>
    </w:p>
    <w:p w:rsidR="00570113" w:rsidRPr="00570113" w:rsidRDefault="00570113" w:rsidP="00A9614C">
      <w:pPr>
        <w:spacing w:before="0"/>
        <w:rPr>
          <w:rFonts w:asciiTheme="minorHAnsi" w:hAnsiTheme="minorHAnsi"/>
          <w:b/>
          <w:bCs/>
          <w:szCs w:val="24"/>
        </w:rPr>
      </w:pPr>
      <w:r w:rsidRPr="00570113">
        <w:rPr>
          <w:rFonts w:asciiTheme="minorHAnsi" w:hAnsiTheme="minorHAnsi"/>
          <w:b/>
          <w:bCs/>
          <w:szCs w:val="24"/>
        </w:rPr>
        <w:t>ITU T</w:t>
      </w:r>
      <w:r w:rsidR="00A9614C">
        <w:rPr>
          <w:rFonts w:asciiTheme="minorHAnsi" w:hAnsiTheme="minorHAnsi"/>
          <w:b/>
          <w:bCs/>
          <w:szCs w:val="24"/>
        </w:rPr>
        <w:t>elecom Secretariat resources</w:t>
      </w:r>
    </w:p>
    <w:p w:rsidR="00570113" w:rsidRPr="00570113" w:rsidRDefault="00570113" w:rsidP="00570113">
      <w:pPr>
        <w:spacing w:before="0"/>
        <w:rPr>
          <w:rFonts w:asciiTheme="minorHAnsi" w:hAnsiTheme="minorHAnsi"/>
          <w:szCs w:val="24"/>
        </w:rPr>
      </w:pPr>
    </w:p>
    <w:p w:rsidR="00570113" w:rsidRDefault="00570113" w:rsidP="00800108">
      <w:pPr>
        <w:spacing w:before="0"/>
        <w:jc w:val="both"/>
        <w:rPr>
          <w:rFonts w:asciiTheme="minorHAnsi" w:hAnsiTheme="minorHAnsi"/>
          <w:szCs w:val="24"/>
        </w:rPr>
      </w:pPr>
      <w:r w:rsidRPr="00570113">
        <w:rPr>
          <w:rFonts w:asciiTheme="minorHAnsi" w:hAnsiTheme="minorHAnsi"/>
          <w:szCs w:val="24"/>
        </w:rPr>
        <w:t>4</w:t>
      </w:r>
      <w:r w:rsidRPr="00570113">
        <w:rPr>
          <w:rFonts w:asciiTheme="minorHAnsi" w:hAnsiTheme="minorHAnsi"/>
          <w:szCs w:val="24"/>
        </w:rPr>
        <w:tab/>
        <w:t xml:space="preserve">“Staff costs” refer to base salary, post adjustment, family and housing allowances (for professional and higher categories) while “Other Staff Costs” consist of the Union’s contribution to the pension fund, health and accident insurance, education grant and travel, travel on appointment and separation, installation and repatriation allowance, travel on home leave, accrued leave, repatriation grant and removal expenses. In order to avoid significant increase in the budget, the number of budgeted posts in </w:t>
      </w:r>
      <w:r w:rsidR="00A9614C">
        <w:rPr>
          <w:rFonts w:asciiTheme="minorHAnsi" w:hAnsiTheme="minorHAnsi"/>
          <w:szCs w:val="24"/>
        </w:rPr>
        <w:t xml:space="preserve">the </w:t>
      </w:r>
      <w:r w:rsidRPr="00570113">
        <w:rPr>
          <w:rFonts w:asciiTheme="minorHAnsi" w:hAnsiTheme="minorHAnsi"/>
          <w:szCs w:val="24"/>
        </w:rPr>
        <w:t>ITU Telecom Secretariat is being maintained to 23</w:t>
      </w:r>
      <w:r w:rsidR="00A9614C">
        <w:rPr>
          <w:rFonts w:asciiTheme="minorHAnsi" w:hAnsiTheme="minorHAnsi"/>
          <w:szCs w:val="24"/>
        </w:rPr>
        <w:t> </w:t>
      </w:r>
      <w:r w:rsidRPr="00570113">
        <w:rPr>
          <w:rFonts w:asciiTheme="minorHAnsi" w:hAnsiTheme="minorHAnsi"/>
          <w:szCs w:val="24"/>
        </w:rPr>
        <w:t>for 2020-2021.</w:t>
      </w:r>
      <w:r w:rsidR="00F10E52">
        <w:rPr>
          <w:rFonts w:asciiTheme="minorHAnsi" w:hAnsiTheme="minorHAnsi"/>
          <w:szCs w:val="24"/>
        </w:rPr>
        <w:t xml:space="preserve"> </w:t>
      </w:r>
      <w:r w:rsidRPr="00570113">
        <w:rPr>
          <w:rFonts w:asciiTheme="minorHAnsi" w:hAnsiTheme="minorHAnsi"/>
          <w:szCs w:val="24"/>
        </w:rPr>
        <w:t xml:space="preserve">A number of </w:t>
      </w:r>
      <w:proofErr w:type="gramStart"/>
      <w:r w:rsidRPr="00570113">
        <w:rPr>
          <w:rFonts w:asciiTheme="minorHAnsi" w:hAnsiTheme="minorHAnsi"/>
          <w:szCs w:val="24"/>
        </w:rPr>
        <w:t>staff</w:t>
      </w:r>
      <w:proofErr w:type="gramEnd"/>
      <w:r w:rsidRPr="00570113">
        <w:rPr>
          <w:rFonts w:asciiTheme="minorHAnsi" w:hAnsiTheme="minorHAnsi"/>
          <w:szCs w:val="24"/>
        </w:rPr>
        <w:t xml:space="preserve"> have acquired the relevant experience and skills satisfying the need to assume higher level of responsibilities which justif</w:t>
      </w:r>
      <w:r w:rsidR="00F10E52">
        <w:rPr>
          <w:rFonts w:asciiTheme="minorHAnsi" w:hAnsiTheme="minorHAnsi"/>
          <w:szCs w:val="24"/>
        </w:rPr>
        <w:t>ies</w:t>
      </w:r>
      <w:r w:rsidRPr="00570113">
        <w:rPr>
          <w:rFonts w:asciiTheme="minorHAnsi" w:hAnsiTheme="minorHAnsi"/>
          <w:szCs w:val="24"/>
        </w:rPr>
        <w:t xml:space="preserve"> the upgrade of some posts. The 2020-2021 </w:t>
      </w:r>
      <w:r w:rsidR="00A9614C">
        <w:rPr>
          <w:rFonts w:asciiTheme="minorHAnsi" w:hAnsiTheme="minorHAnsi"/>
          <w:szCs w:val="24"/>
        </w:rPr>
        <w:t>B</w:t>
      </w:r>
      <w:r w:rsidRPr="00570113">
        <w:rPr>
          <w:rFonts w:asciiTheme="minorHAnsi" w:hAnsiTheme="minorHAnsi"/>
          <w:szCs w:val="24"/>
        </w:rPr>
        <w:t>udget takes into consideration the upgrade of 4 posts (P-1 to P-2) and the creation of one P-5 post.</w:t>
      </w:r>
    </w:p>
    <w:p w:rsidR="00570113" w:rsidRDefault="00570113" w:rsidP="00570113">
      <w:pPr>
        <w:spacing w:before="0"/>
        <w:rPr>
          <w:rFonts w:asciiTheme="minorHAnsi" w:hAnsiTheme="minorHAnsi"/>
          <w:szCs w:val="24"/>
        </w:rPr>
      </w:pPr>
      <w:r w:rsidRPr="00570113">
        <w:rPr>
          <w:noProof/>
          <w:lang w:eastAsia="zh-CN"/>
        </w:rPr>
        <w:lastRenderedPageBreak/>
        <w:drawing>
          <wp:inline distT="0" distB="0" distL="0" distR="0">
            <wp:extent cx="6120765" cy="19451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1945161"/>
                    </a:xfrm>
                    <a:prstGeom prst="rect">
                      <a:avLst/>
                    </a:prstGeom>
                    <a:noFill/>
                    <a:ln>
                      <a:noFill/>
                    </a:ln>
                  </pic:spPr>
                </pic:pic>
              </a:graphicData>
            </a:graphic>
          </wp:inline>
        </w:drawing>
      </w:r>
    </w:p>
    <w:p w:rsidR="00570113" w:rsidRDefault="00570113" w:rsidP="00570113">
      <w:pPr>
        <w:spacing w:before="0"/>
        <w:rPr>
          <w:rFonts w:asciiTheme="minorHAnsi" w:hAnsiTheme="minorHAnsi"/>
          <w:szCs w:val="24"/>
        </w:rPr>
      </w:pPr>
    </w:p>
    <w:p w:rsidR="00570113" w:rsidRPr="00570113" w:rsidRDefault="00570113" w:rsidP="000A4E6A">
      <w:pPr>
        <w:tabs>
          <w:tab w:val="clear" w:pos="1191"/>
          <w:tab w:val="clear" w:pos="1588"/>
          <w:tab w:val="clear" w:pos="1985"/>
        </w:tabs>
        <w:spacing w:before="0"/>
        <w:jc w:val="both"/>
        <w:rPr>
          <w:rFonts w:asciiTheme="minorHAnsi" w:hAnsiTheme="minorHAnsi"/>
          <w:szCs w:val="24"/>
        </w:rPr>
      </w:pPr>
      <w:r w:rsidRPr="00570113">
        <w:rPr>
          <w:rFonts w:asciiTheme="minorHAnsi" w:hAnsiTheme="minorHAnsi"/>
          <w:szCs w:val="24"/>
        </w:rPr>
        <w:t>5</w:t>
      </w:r>
      <w:r w:rsidRPr="00570113">
        <w:rPr>
          <w:rFonts w:asciiTheme="minorHAnsi" w:hAnsiTheme="minorHAnsi"/>
          <w:szCs w:val="24"/>
        </w:rPr>
        <w:tab/>
        <w:t>Categories 3 to 9 of the budget relate to travel on duty, contractual services, rental and maintenance, materials and supplies, acquisition, public and internal service utilities</w:t>
      </w:r>
      <w:r w:rsidR="00F10E52">
        <w:rPr>
          <w:rFonts w:asciiTheme="minorHAnsi" w:hAnsiTheme="minorHAnsi"/>
          <w:szCs w:val="24"/>
        </w:rPr>
        <w:t>,</w:t>
      </w:r>
      <w:r w:rsidRPr="00570113">
        <w:rPr>
          <w:rFonts w:asciiTheme="minorHAnsi" w:hAnsiTheme="minorHAnsi"/>
          <w:szCs w:val="24"/>
        </w:rPr>
        <w:t xml:space="preserve"> and miscellaneous.</w:t>
      </w:r>
    </w:p>
    <w:p w:rsidR="00570113" w:rsidRPr="00570113" w:rsidRDefault="00570113" w:rsidP="00570113">
      <w:pPr>
        <w:spacing w:before="0"/>
        <w:rPr>
          <w:rFonts w:asciiTheme="minorHAnsi" w:hAnsiTheme="minorHAnsi"/>
          <w:szCs w:val="24"/>
        </w:rPr>
      </w:pPr>
    </w:p>
    <w:p w:rsidR="00570113" w:rsidRPr="00AD746E" w:rsidRDefault="00570113" w:rsidP="00B3581D">
      <w:pPr>
        <w:pStyle w:val="ListParagraph"/>
        <w:numPr>
          <w:ilvl w:val="0"/>
          <w:numId w:val="23"/>
        </w:numPr>
        <w:tabs>
          <w:tab w:val="clear" w:pos="1191"/>
          <w:tab w:val="clear" w:pos="1588"/>
          <w:tab w:val="clear" w:pos="1985"/>
          <w:tab w:val="left" w:pos="1134"/>
        </w:tabs>
        <w:snapToGrid w:val="0"/>
        <w:spacing w:before="0" w:after="120"/>
        <w:ind w:left="1135" w:hanging="284"/>
        <w:contextualSpacing w:val="0"/>
        <w:jc w:val="both"/>
        <w:rPr>
          <w:rFonts w:asciiTheme="minorHAnsi" w:hAnsiTheme="minorHAnsi"/>
          <w:szCs w:val="24"/>
        </w:rPr>
      </w:pPr>
      <w:r w:rsidRPr="00AD746E">
        <w:rPr>
          <w:rFonts w:asciiTheme="minorHAnsi" w:hAnsiTheme="minorHAnsi"/>
          <w:szCs w:val="24"/>
        </w:rPr>
        <w:t>Category 3 pertains to tra</w:t>
      </w:r>
      <w:r w:rsidR="00C9265F" w:rsidRPr="00AD746E">
        <w:rPr>
          <w:rFonts w:asciiTheme="minorHAnsi" w:hAnsiTheme="minorHAnsi"/>
          <w:szCs w:val="24"/>
        </w:rPr>
        <w:t>vel on duty which includes per d</w:t>
      </w:r>
      <w:r w:rsidRPr="00AD746E">
        <w:rPr>
          <w:rFonts w:asciiTheme="minorHAnsi" w:hAnsiTheme="minorHAnsi"/>
          <w:szCs w:val="24"/>
        </w:rPr>
        <w:t>iem (United Nations Daily Subsistence Allowance or DSA), terminal expenses and insurance. Efforts are being made to ensure that missions for ITU Telecom are conducted in a cost-efficient manner.</w:t>
      </w:r>
      <w:r w:rsidR="00F10E52">
        <w:rPr>
          <w:rFonts w:asciiTheme="minorHAnsi" w:hAnsiTheme="minorHAnsi"/>
          <w:szCs w:val="24"/>
        </w:rPr>
        <w:t xml:space="preserve"> </w:t>
      </w:r>
      <w:r w:rsidRPr="00AD746E">
        <w:rPr>
          <w:rFonts w:asciiTheme="minorHAnsi" w:hAnsiTheme="minorHAnsi"/>
          <w:szCs w:val="24"/>
        </w:rPr>
        <w:t>Electronic correspondence and teleconferences are being utilized as much as possible in order to avoid unnecessary expenses on travel.</w:t>
      </w:r>
      <w:r w:rsidR="00F10E52">
        <w:rPr>
          <w:rFonts w:asciiTheme="minorHAnsi" w:hAnsiTheme="minorHAnsi"/>
          <w:szCs w:val="24"/>
        </w:rPr>
        <w:t xml:space="preserve"> </w:t>
      </w:r>
      <w:r w:rsidRPr="00AD746E">
        <w:rPr>
          <w:rFonts w:asciiTheme="minorHAnsi" w:hAnsiTheme="minorHAnsi"/>
          <w:szCs w:val="24"/>
        </w:rPr>
        <w:t>Some staff travel on mission with shared terms of reference while the duration of the trips is kept on a minimum.</w:t>
      </w:r>
      <w:r w:rsidR="00F10E52">
        <w:rPr>
          <w:rFonts w:asciiTheme="minorHAnsi" w:hAnsiTheme="minorHAnsi"/>
          <w:szCs w:val="24"/>
        </w:rPr>
        <w:t xml:space="preserve"> </w:t>
      </w:r>
      <w:r w:rsidRPr="00AD746E">
        <w:rPr>
          <w:rFonts w:asciiTheme="minorHAnsi" w:hAnsiTheme="minorHAnsi"/>
          <w:szCs w:val="24"/>
        </w:rPr>
        <w:t>Thus, the estimated cost of travel on duty for 2020-2021 is reduced by 40</w:t>
      </w:r>
      <w:r w:rsidR="004C7C57">
        <w:rPr>
          <w:rFonts w:asciiTheme="minorHAnsi" w:hAnsiTheme="minorHAnsi"/>
          <w:szCs w:val="24"/>
        </w:rPr>
        <w:t xml:space="preserve"> per cent</w:t>
      </w:r>
      <w:r w:rsidRPr="00AD746E">
        <w:rPr>
          <w:rFonts w:asciiTheme="minorHAnsi" w:hAnsiTheme="minorHAnsi"/>
          <w:szCs w:val="24"/>
        </w:rPr>
        <w:t xml:space="preserve"> compared with the 2018-2019 budget.</w:t>
      </w:r>
      <w:r w:rsidR="00F10E52">
        <w:rPr>
          <w:rFonts w:asciiTheme="minorHAnsi" w:hAnsiTheme="minorHAnsi"/>
          <w:szCs w:val="24"/>
        </w:rPr>
        <w:t xml:space="preserve"> </w:t>
      </w:r>
      <w:r w:rsidRPr="00AD746E">
        <w:rPr>
          <w:rFonts w:asciiTheme="minorHAnsi" w:hAnsiTheme="minorHAnsi"/>
          <w:szCs w:val="24"/>
        </w:rPr>
        <w:t>Event-specific missions are charged to the appropriate event budget.</w:t>
      </w:r>
    </w:p>
    <w:p w:rsidR="00570113" w:rsidRPr="00AD746E" w:rsidRDefault="00570113" w:rsidP="00B3581D">
      <w:pPr>
        <w:pStyle w:val="ListParagraph"/>
        <w:numPr>
          <w:ilvl w:val="0"/>
          <w:numId w:val="23"/>
        </w:numPr>
        <w:tabs>
          <w:tab w:val="clear" w:pos="1191"/>
          <w:tab w:val="clear" w:pos="1588"/>
          <w:tab w:val="clear" w:pos="1985"/>
          <w:tab w:val="left" w:pos="1134"/>
        </w:tabs>
        <w:snapToGrid w:val="0"/>
        <w:spacing w:before="0" w:after="120"/>
        <w:ind w:left="1135" w:hanging="284"/>
        <w:contextualSpacing w:val="0"/>
        <w:jc w:val="both"/>
        <w:rPr>
          <w:rFonts w:asciiTheme="minorHAnsi" w:hAnsiTheme="minorHAnsi"/>
          <w:szCs w:val="24"/>
        </w:rPr>
      </w:pPr>
      <w:r w:rsidRPr="00AD746E">
        <w:rPr>
          <w:rFonts w:asciiTheme="minorHAnsi" w:hAnsiTheme="minorHAnsi"/>
          <w:szCs w:val="24"/>
        </w:rPr>
        <w:t>Category 4 covers contractual services.</w:t>
      </w:r>
      <w:r w:rsidR="00F10E52">
        <w:rPr>
          <w:rFonts w:asciiTheme="minorHAnsi" w:hAnsiTheme="minorHAnsi"/>
          <w:szCs w:val="24"/>
        </w:rPr>
        <w:t xml:space="preserve"> </w:t>
      </w:r>
      <w:r w:rsidRPr="00AD746E">
        <w:rPr>
          <w:rFonts w:asciiTheme="minorHAnsi" w:hAnsiTheme="minorHAnsi"/>
          <w:szCs w:val="24"/>
        </w:rPr>
        <w:t>The overall budget for contractual services is 20</w:t>
      </w:r>
      <w:r w:rsidR="004C7C57">
        <w:rPr>
          <w:rFonts w:asciiTheme="minorHAnsi" w:hAnsiTheme="minorHAnsi"/>
          <w:szCs w:val="24"/>
        </w:rPr>
        <w:t> per cent</w:t>
      </w:r>
      <w:r w:rsidRPr="00AD746E">
        <w:rPr>
          <w:rFonts w:asciiTheme="minorHAnsi" w:hAnsiTheme="minorHAnsi"/>
          <w:szCs w:val="24"/>
        </w:rPr>
        <w:t xml:space="preserve"> lower than in 2018-2019.</w:t>
      </w:r>
      <w:r w:rsidR="00F10E52">
        <w:rPr>
          <w:rFonts w:asciiTheme="minorHAnsi" w:hAnsiTheme="minorHAnsi"/>
          <w:szCs w:val="24"/>
        </w:rPr>
        <w:t xml:space="preserve"> </w:t>
      </w:r>
      <w:r w:rsidRPr="00AD746E">
        <w:rPr>
          <w:rFonts w:asciiTheme="minorHAnsi" w:hAnsiTheme="minorHAnsi"/>
          <w:szCs w:val="24"/>
        </w:rPr>
        <w:t>The marketing activities and campaigns which include event promotion are charged to the relevant event budgets.</w:t>
      </w:r>
    </w:p>
    <w:p w:rsidR="00570113" w:rsidRPr="00AD746E" w:rsidRDefault="00570113" w:rsidP="00B3581D">
      <w:pPr>
        <w:pStyle w:val="ListParagraph"/>
        <w:numPr>
          <w:ilvl w:val="0"/>
          <w:numId w:val="23"/>
        </w:numPr>
        <w:tabs>
          <w:tab w:val="clear" w:pos="1191"/>
          <w:tab w:val="clear" w:pos="1588"/>
          <w:tab w:val="clear" w:pos="1985"/>
          <w:tab w:val="left" w:pos="1134"/>
        </w:tabs>
        <w:snapToGrid w:val="0"/>
        <w:spacing w:before="0" w:after="120"/>
        <w:ind w:left="1135" w:hanging="284"/>
        <w:contextualSpacing w:val="0"/>
        <w:jc w:val="both"/>
        <w:rPr>
          <w:rFonts w:asciiTheme="minorHAnsi" w:hAnsiTheme="minorHAnsi"/>
          <w:szCs w:val="24"/>
        </w:rPr>
      </w:pPr>
      <w:r w:rsidRPr="00AD746E">
        <w:rPr>
          <w:rFonts w:asciiTheme="minorHAnsi" w:hAnsiTheme="minorHAnsi"/>
          <w:szCs w:val="24"/>
        </w:rPr>
        <w:t>Category 5 relate</w:t>
      </w:r>
      <w:r w:rsidR="00C9265F" w:rsidRPr="00AD746E">
        <w:rPr>
          <w:rFonts w:asciiTheme="minorHAnsi" w:hAnsiTheme="minorHAnsi"/>
          <w:szCs w:val="24"/>
        </w:rPr>
        <w:t>s</w:t>
      </w:r>
      <w:r w:rsidRPr="00AD746E">
        <w:rPr>
          <w:rFonts w:asciiTheme="minorHAnsi" w:hAnsiTheme="minorHAnsi"/>
          <w:szCs w:val="24"/>
        </w:rPr>
        <w:t xml:space="preserve"> to rental and maintenance of premises and equipment which is reduced by 33</w:t>
      </w:r>
      <w:r w:rsidR="004C7C57">
        <w:rPr>
          <w:rFonts w:asciiTheme="minorHAnsi" w:hAnsiTheme="minorHAnsi"/>
          <w:szCs w:val="24"/>
        </w:rPr>
        <w:t> per cent</w:t>
      </w:r>
      <w:r w:rsidRPr="00AD746E">
        <w:rPr>
          <w:rFonts w:asciiTheme="minorHAnsi" w:hAnsiTheme="minorHAnsi"/>
          <w:szCs w:val="24"/>
        </w:rPr>
        <w:t xml:space="preserve"> from 2018-2019.</w:t>
      </w:r>
      <w:r w:rsidR="00F10E52">
        <w:rPr>
          <w:rFonts w:asciiTheme="minorHAnsi" w:hAnsiTheme="minorHAnsi"/>
          <w:szCs w:val="24"/>
        </w:rPr>
        <w:t xml:space="preserve"> </w:t>
      </w:r>
      <w:r w:rsidRPr="00AD746E">
        <w:rPr>
          <w:rFonts w:asciiTheme="minorHAnsi" w:hAnsiTheme="minorHAnsi"/>
          <w:szCs w:val="24"/>
        </w:rPr>
        <w:t>This category of expense</w:t>
      </w:r>
      <w:r w:rsidR="004C7C57">
        <w:rPr>
          <w:rFonts w:asciiTheme="minorHAnsi" w:hAnsiTheme="minorHAnsi"/>
          <w:szCs w:val="24"/>
        </w:rPr>
        <w:t>s</w:t>
      </w:r>
      <w:r w:rsidRPr="00AD746E">
        <w:rPr>
          <w:rFonts w:asciiTheme="minorHAnsi" w:hAnsiTheme="minorHAnsi"/>
          <w:szCs w:val="24"/>
        </w:rPr>
        <w:t xml:space="preserve"> relates to the requirements for meetings and activities to promote ITU Telecom events in general.</w:t>
      </w:r>
    </w:p>
    <w:p w:rsidR="00570113" w:rsidRPr="00AD746E" w:rsidRDefault="00570113" w:rsidP="00B3581D">
      <w:pPr>
        <w:pStyle w:val="ListParagraph"/>
        <w:numPr>
          <w:ilvl w:val="0"/>
          <w:numId w:val="23"/>
        </w:numPr>
        <w:tabs>
          <w:tab w:val="clear" w:pos="1191"/>
          <w:tab w:val="clear" w:pos="1588"/>
          <w:tab w:val="clear" w:pos="1985"/>
          <w:tab w:val="left" w:pos="1134"/>
        </w:tabs>
        <w:snapToGrid w:val="0"/>
        <w:spacing w:before="0" w:after="120"/>
        <w:ind w:left="1135" w:hanging="284"/>
        <w:contextualSpacing w:val="0"/>
        <w:jc w:val="both"/>
        <w:rPr>
          <w:rFonts w:asciiTheme="minorHAnsi" w:hAnsiTheme="minorHAnsi"/>
          <w:szCs w:val="24"/>
        </w:rPr>
      </w:pPr>
      <w:r w:rsidRPr="00AD746E">
        <w:rPr>
          <w:rFonts w:asciiTheme="minorHAnsi" w:hAnsiTheme="minorHAnsi"/>
          <w:szCs w:val="24"/>
        </w:rPr>
        <w:t>Category 6 shows a reduction of 25</w:t>
      </w:r>
      <w:r w:rsidR="004C7C57">
        <w:rPr>
          <w:rFonts w:asciiTheme="minorHAnsi" w:hAnsiTheme="minorHAnsi"/>
          <w:szCs w:val="24"/>
        </w:rPr>
        <w:t xml:space="preserve"> per cent</w:t>
      </w:r>
      <w:r w:rsidRPr="00AD746E">
        <w:rPr>
          <w:rFonts w:asciiTheme="minorHAnsi" w:hAnsiTheme="minorHAnsi"/>
          <w:szCs w:val="24"/>
        </w:rPr>
        <w:t xml:space="preserve"> compared with 2018-2019 budget.</w:t>
      </w:r>
      <w:r w:rsidR="00F10E52">
        <w:rPr>
          <w:rFonts w:asciiTheme="minorHAnsi" w:hAnsiTheme="minorHAnsi"/>
          <w:szCs w:val="24"/>
        </w:rPr>
        <w:t xml:space="preserve"> </w:t>
      </w:r>
      <w:r w:rsidRPr="00AD746E">
        <w:rPr>
          <w:rFonts w:asciiTheme="minorHAnsi" w:hAnsiTheme="minorHAnsi"/>
          <w:szCs w:val="24"/>
        </w:rPr>
        <w:t>This category pertains to materials and supplies such as office stationery, printing supplies, IT supplies, reference materials, as well as printing and production of brochures.</w:t>
      </w:r>
      <w:r w:rsidR="00F10E52">
        <w:rPr>
          <w:rFonts w:asciiTheme="minorHAnsi" w:hAnsiTheme="minorHAnsi"/>
          <w:szCs w:val="24"/>
        </w:rPr>
        <w:t xml:space="preserve"> </w:t>
      </w:r>
      <w:r w:rsidRPr="00AD746E">
        <w:rPr>
          <w:rFonts w:asciiTheme="minorHAnsi" w:hAnsiTheme="minorHAnsi"/>
          <w:szCs w:val="24"/>
        </w:rPr>
        <w:t>The lower budget is due to significant reduction in printed materials in favour of digital which is in line with ITU policy as well as the printing of some brochures in-house.</w:t>
      </w:r>
      <w:r w:rsidR="00F10E52">
        <w:rPr>
          <w:rFonts w:asciiTheme="minorHAnsi" w:hAnsiTheme="minorHAnsi"/>
          <w:szCs w:val="24"/>
        </w:rPr>
        <w:t xml:space="preserve"> </w:t>
      </w:r>
      <w:r w:rsidRPr="00AD746E">
        <w:rPr>
          <w:rFonts w:asciiTheme="minorHAnsi" w:hAnsiTheme="minorHAnsi"/>
          <w:szCs w:val="24"/>
        </w:rPr>
        <w:t>Provisions are also being made available for printing and production of brochures for a specific event in the relevant event budget.</w:t>
      </w:r>
    </w:p>
    <w:p w:rsidR="00570113" w:rsidRPr="00AD746E" w:rsidRDefault="00570113" w:rsidP="00B3581D">
      <w:pPr>
        <w:pStyle w:val="ListParagraph"/>
        <w:numPr>
          <w:ilvl w:val="0"/>
          <w:numId w:val="23"/>
        </w:numPr>
        <w:tabs>
          <w:tab w:val="clear" w:pos="1191"/>
          <w:tab w:val="clear" w:pos="1588"/>
          <w:tab w:val="clear" w:pos="1985"/>
          <w:tab w:val="left" w:pos="1134"/>
        </w:tabs>
        <w:snapToGrid w:val="0"/>
        <w:spacing w:before="0" w:after="120"/>
        <w:ind w:left="1135" w:hanging="284"/>
        <w:contextualSpacing w:val="0"/>
        <w:jc w:val="both"/>
        <w:rPr>
          <w:rFonts w:asciiTheme="minorHAnsi" w:hAnsiTheme="minorHAnsi"/>
          <w:szCs w:val="24"/>
        </w:rPr>
      </w:pPr>
      <w:r w:rsidRPr="00AD746E">
        <w:rPr>
          <w:rFonts w:asciiTheme="minorHAnsi" w:hAnsiTheme="minorHAnsi"/>
          <w:szCs w:val="24"/>
        </w:rPr>
        <w:t>Category 7 refers to costs on acquisition of furniture, IT and other technical equipment and installations.</w:t>
      </w:r>
      <w:r w:rsidR="00F10E52">
        <w:rPr>
          <w:rFonts w:asciiTheme="minorHAnsi" w:hAnsiTheme="minorHAnsi"/>
          <w:szCs w:val="24"/>
        </w:rPr>
        <w:t xml:space="preserve"> </w:t>
      </w:r>
      <w:r w:rsidRPr="00AD746E">
        <w:rPr>
          <w:rFonts w:asciiTheme="minorHAnsi" w:hAnsiTheme="minorHAnsi"/>
          <w:szCs w:val="24"/>
        </w:rPr>
        <w:t>No increase in this budget line is foreseen in 2020-2021.</w:t>
      </w:r>
    </w:p>
    <w:p w:rsidR="00570113" w:rsidRPr="00AD746E" w:rsidRDefault="00570113" w:rsidP="000A4E6A">
      <w:pPr>
        <w:pStyle w:val="ListParagraph"/>
        <w:numPr>
          <w:ilvl w:val="0"/>
          <w:numId w:val="23"/>
        </w:numPr>
        <w:tabs>
          <w:tab w:val="clear" w:pos="1191"/>
          <w:tab w:val="clear" w:pos="1588"/>
          <w:tab w:val="clear" w:pos="1985"/>
          <w:tab w:val="left" w:pos="1134"/>
        </w:tabs>
        <w:spacing w:before="0" w:after="60"/>
        <w:ind w:left="1134" w:hanging="283"/>
        <w:jc w:val="both"/>
        <w:rPr>
          <w:rFonts w:asciiTheme="minorHAnsi" w:hAnsiTheme="minorHAnsi"/>
          <w:szCs w:val="24"/>
        </w:rPr>
      </w:pPr>
      <w:r w:rsidRPr="00AD746E">
        <w:rPr>
          <w:rFonts w:asciiTheme="minorHAnsi" w:hAnsiTheme="minorHAnsi"/>
          <w:szCs w:val="24"/>
        </w:rPr>
        <w:t>Category 8 covers public and internal service utilities costs including the official services rendered by the local and national service providers, such as electricity, water, postal and telephone services.</w:t>
      </w:r>
      <w:r w:rsidR="00F10E52">
        <w:rPr>
          <w:rFonts w:asciiTheme="minorHAnsi" w:hAnsiTheme="minorHAnsi"/>
          <w:szCs w:val="24"/>
        </w:rPr>
        <w:t xml:space="preserve"> </w:t>
      </w:r>
      <w:r w:rsidRPr="00AD746E">
        <w:rPr>
          <w:rFonts w:asciiTheme="minorHAnsi" w:hAnsiTheme="minorHAnsi"/>
          <w:szCs w:val="24"/>
        </w:rPr>
        <w:t>This expense also includes postage and freight for brochures, leaflets and other global promotional materials.</w:t>
      </w:r>
      <w:r w:rsidR="00F10E52">
        <w:rPr>
          <w:rFonts w:asciiTheme="minorHAnsi" w:hAnsiTheme="minorHAnsi"/>
          <w:szCs w:val="24"/>
        </w:rPr>
        <w:t xml:space="preserve"> </w:t>
      </w:r>
      <w:r w:rsidRPr="00AD746E">
        <w:rPr>
          <w:rFonts w:asciiTheme="minorHAnsi" w:hAnsiTheme="minorHAnsi"/>
          <w:szCs w:val="24"/>
        </w:rPr>
        <w:t>With efficiency measures being implemented, expenses under category 8 are foreseen to be 60</w:t>
      </w:r>
      <w:r w:rsidR="004C7C57">
        <w:rPr>
          <w:rFonts w:asciiTheme="minorHAnsi" w:hAnsiTheme="minorHAnsi"/>
          <w:szCs w:val="24"/>
        </w:rPr>
        <w:t xml:space="preserve"> per cent</w:t>
      </w:r>
      <w:r w:rsidRPr="00AD746E">
        <w:rPr>
          <w:rFonts w:asciiTheme="minorHAnsi" w:hAnsiTheme="minorHAnsi"/>
          <w:szCs w:val="24"/>
        </w:rPr>
        <w:t xml:space="preserve"> lower than the budgetary provisions for 2018-2019.</w:t>
      </w:r>
      <w:r w:rsidR="00F10E52">
        <w:rPr>
          <w:rFonts w:asciiTheme="minorHAnsi" w:hAnsiTheme="minorHAnsi"/>
          <w:szCs w:val="24"/>
        </w:rPr>
        <w:t xml:space="preserve"> </w:t>
      </w:r>
      <w:r w:rsidRPr="00AD746E">
        <w:rPr>
          <w:rFonts w:asciiTheme="minorHAnsi" w:hAnsiTheme="minorHAnsi"/>
          <w:szCs w:val="24"/>
        </w:rPr>
        <w:t>A specific event budget has similar provisions relating to the specific event.</w:t>
      </w:r>
    </w:p>
    <w:p w:rsidR="00570113" w:rsidRPr="00570113" w:rsidRDefault="00570113" w:rsidP="004C7C57">
      <w:pPr>
        <w:spacing w:before="0"/>
        <w:rPr>
          <w:rFonts w:asciiTheme="minorHAnsi" w:hAnsiTheme="minorHAnsi"/>
          <w:b/>
          <w:bCs/>
          <w:szCs w:val="24"/>
        </w:rPr>
      </w:pPr>
      <w:r w:rsidRPr="00570113">
        <w:rPr>
          <w:rFonts w:asciiTheme="minorHAnsi" w:hAnsiTheme="minorHAnsi"/>
          <w:b/>
          <w:bCs/>
          <w:szCs w:val="24"/>
        </w:rPr>
        <w:lastRenderedPageBreak/>
        <w:t>C</w:t>
      </w:r>
      <w:r w:rsidR="004C7C57">
        <w:rPr>
          <w:rFonts w:asciiTheme="minorHAnsi" w:hAnsiTheme="minorHAnsi"/>
          <w:b/>
          <w:bCs/>
          <w:szCs w:val="24"/>
        </w:rPr>
        <w:t>ost</w:t>
      </w:r>
      <w:r w:rsidRPr="00570113">
        <w:rPr>
          <w:rFonts w:asciiTheme="minorHAnsi" w:hAnsiTheme="minorHAnsi"/>
          <w:b/>
          <w:bCs/>
          <w:szCs w:val="24"/>
        </w:rPr>
        <w:t xml:space="preserve"> </w:t>
      </w:r>
      <w:r w:rsidR="004C7C57">
        <w:rPr>
          <w:rFonts w:asciiTheme="minorHAnsi" w:hAnsiTheme="minorHAnsi"/>
          <w:b/>
          <w:bCs/>
          <w:szCs w:val="24"/>
        </w:rPr>
        <w:t>recovery from ITU Telecom</w:t>
      </w:r>
    </w:p>
    <w:p w:rsidR="00570113" w:rsidRPr="00570113" w:rsidRDefault="00570113" w:rsidP="00570113">
      <w:pPr>
        <w:spacing w:before="0"/>
        <w:rPr>
          <w:rFonts w:asciiTheme="minorHAnsi" w:hAnsiTheme="minorHAnsi"/>
          <w:szCs w:val="24"/>
        </w:rPr>
      </w:pPr>
    </w:p>
    <w:p w:rsidR="00570113" w:rsidRDefault="00570113" w:rsidP="00305E41">
      <w:pPr>
        <w:tabs>
          <w:tab w:val="clear" w:pos="794"/>
          <w:tab w:val="left" w:pos="709"/>
        </w:tabs>
        <w:spacing w:before="0"/>
        <w:jc w:val="both"/>
        <w:rPr>
          <w:rFonts w:asciiTheme="minorHAnsi" w:hAnsiTheme="minorHAnsi"/>
          <w:szCs w:val="24"/>
        </w:rPr>
      </w:pPr>
      <w:r w:rsidRPr="00570113">
        <w:rPr>
          <w:rFonts w:asciiTheme="minorHAnsi" w:hAnsiTheme="minorHAnsi"/>
          <w:szCs w:val="24"/>
        </w:rPr>
        <w:t>6</w:t>
      </w:r>
      <w:r w:rsidRPr="00570113">
        <w:rPr>
          <w:rFonts w:asciiTheme="minorHAnsi" w:hAnsiTheme="minorHAnsi"/>
          <w:szCs w:val="24"/>
        </w:rPr>
        <w:tab/>
        <w:t>ITU cost recovery is a fixed amount representing the services rendered by staff from other ITU departments, units or sectors to ITU Telecom.</w:t>
      </w:r>
      <w:r w:rsidR="00F10E52">
        <w:rPr>
          <w:rFonts w:asciiTheme="minorHAnsi" w:hAnsiTheme="minorHAnsi"/>
          <w:szCs w:val="24"/>
        </w:rPr>
        <w:t xml:space="preserve"> </w:t>
      </w:r>
      <w:r w:rsidRPr="00570113">
        <w:rPr>
          <w:rFonts w:asciiTheme="minorHAnsi" w:hAnsiTheme="minorHAnsi"/>
          <w:szCs w:val="24"/>
        </w:rPr>
        <w:t>This is based on the estimated cost of staff salaries and other remuneration as well as all the elements that are required for other ITU staff to perform their functions in relation to ITU Telecom activities</w:t>
      </w:r>
      <w:r w:rsidR="004C7C57">
        <w:rPr>
          <w:rFonts w:asciiTheme="minorHAnsi" w:hAnsiTheme="minorHAnsi"/>
          <w:szCs w:val="24"/>
        </w:rPr>
        <w:t>,</w:t>
      </w:r>
      <w:r w:rsidRPr="00570113">
        <w:rPr>
          <w:rFonts w:asciiTheme="minorHAnsi" w:hAnsiTheme="minorHAnsi"/>
          <w:szCs w:val="24"/>
        </w:rPr>
        <w:t xml:space="preserve"> e.g. computer and other ICT equipment and materials, office space, furniture, office supplies, etc.</w:t>
      </w:r>
      <w:r w:rsidR="00F10E52">
        <w:rPr>
          <w:rFonts w:asciiTheme="minorHAnsi" w:hAnsiTheme="minorHAnsi"/>
          <w:szCs w:val="24"/>
        </w:rPr>
        <w:t xml:space="preserve"> </w:t>
      </w:r>
      <w:r w:rsidRPr="00570113">
        <w:rPr>
          <w:rFonts w:asciiTheme="minorHAnsi" w:hAnsiTheme="minorHAnsi"/>
          <w:szCs w:val="24"/>
        </w:rPr>
        <w:t>For the last biennial 2018 and 2019, the cost recovery in the Telecom Secretariat budget amounted to CHF 1.5 million per annum.</w:t>
      </w:r>
      <w:r w:rsidR="00F10E52">
        <w:rPr>
          <w:rFonts w:asciiTheme="minorHAnsi" w:hAnsiTheme="minorHAnsi"/>
          <w:szCs w:val="24"/>
        </w:rPr>
        <w:t xml:space="preserve"> </w:t>
      </w:r>
      <w:r w:rsidRPr="00570113">
        <w:rPr>
          <w:rFonts w:asciiTheme="minorHAnsi" w:hAnsiTheme="minorHAnsi"/>
          <w:szCs w:val="24"/>
        </w:rPr>
        <w:t>Since 2014, the same budgeted amount has been charged each year.</w:t>
      </w:r>
      <w:r w:rsidR="00F10E52">
        <w:rPr>
          <w:rFonts w:asciiTheme="minorHAnsi" w:hAnsiTheme="minorHAnsi"/>
          <w:szCs w:val="24"/>
        </w:rPr>
        <w:t xml:space="preserve"> </w:t>
      </w:r>
      <w:r w:rsidRPr="00570113">
        <w:rPr>
          <w:rFonts w:asciiTheme="minorHAnsi" w:hAnsiTheme="minorHAnsi"/>
          <w:szCs w:val="24"/>
        </w:rPr>
        <w:t>However, for 2018, it was decided by the Secretary-General to reduce the actual amount of cost recovery to CHF</w:t>
      </w:r>
      <w:r w:rsidR="004C7C57">
        <w:rPr>
          <w:rFonts w:asciiTheme="minorHAnsi" w:hAnsiTheme="minorHAnsi"/>
          <w:szCs w:val="24"/>
        </w:rPr>
        <w:t> </w:t>
      </w:r>
      <w:r w:rsidRPr="00570113">
        <w:rPr>
          <w:rFonts w:asciiTheme="minorHAnsi" w:hAnsiTheme="minorHAnsi"/>
          <w:szCs w:val="24"/>
        </w:rPr>
        <w:t>1</w:t>
      </w:r>
      <w:r w:rsidR="004C7C57">
        <w:rPr>
          <w:rFonts w:asciiTheme="minorHAnsi" w:hAnsiTheme="minorHAnsi"/>
          <w:szCs w:val="24"/>
        </w:rPr>
        <w:t> </w:t>
      </w:r>
      <w:r w:rsidRPr="00570113">
        <w:rPr>
          <w:rFonts w:asciiTheme="minorHAnsi" w:hAnsiTheme="minorHAnsi"/>
          <w:szCs w:val="24"/>
        </w:rPr>
        <w:t>million in order to assist the ITU Telecom Secretariat and alleviate the difficulties that it has experienced for the 2018 event.</w:t>
      </w:r>
      <w:r w:rsidR="00F10E52">
        <w:rPr>
          <w:rFonts w:asciiTheme="minorHAnsi" w:hAnsiTheme="minorHAnsi"/>
          <w:szCs w:val="24"/>
        </w:rPr>
        <w:t xml:space="preserve"> </w:t>
      </w:r>
      <w:r w:rsidRPr="00570113">
        <w:rPr>
          <w:rFonts w:asciiTheme="minorHAnsi" w:hAnsiTheme="minorHAnsi"/>
          <w:szCs w:val="24"/>
        </w:rPr>
        <w:t>For 2020-2021, the same budgeted amount of cost recovery of CHF 1.5 million per annum applies.</w:t>
      </w:r>
    </w:p>
    <w:p w:rsidR="00570113" w:rsidRDefault="00570113" w:rsidP="00305E41">
      <w:pPr>
        <w:spacing w:before="0"/>
        <w:jc w:val="both"/>
        <w:rPr>
          <w:rFonts w:asciiTheme="minorHAnsi" w:hAnsiTheme="minorHAnsi"/>
          <w:szCs w:val="24"/>
        </w:rPr>
      </w:pPr>
    </w:p>
    <w:p w:rsidR="00570113" w:rsidRPr="00570113" w:rsidRDefault="00570113" w:rsidP="00FC1A94">
      <w:pPr>
        <w:spacing w:before="0"/>
        <w:rPr>
          <w:rFonts w:asciiTheme="minorHAnsi" w:hAnsiTheme="minorHAnsi"/>
          <w:b/>
          <w:bCs/>
          <w:szCs w:val="24"/>
        </w:rPr>
      </w:pPr>
      <w:r w:rsidRPr="00570113">
        <w:rPr>
          <w:rFonts w:asciiTheme="minorHAnsi" w:hAnsiTheme="minorHAnsi"/>
          <w:b/>
          <w:bCs/>
          <w:szCs w:val="24"/>
        </w:rPr>
        <w:t>R</w:t>
      </w:r>
      <w:r w:rsidR="00FC1A94">
        <w:rPr>
          <w:rFonts w:asciiTheme="minorHAnsi" w:hAnsiTheme="minorHAnsi"/>
          <w:b/>
          <w:bCs/>
          <w:szCs w:val="24"/>
        </w:rPr>
        <w:t>esource utilization</w:t>
      </w:r>
    </w:p>
    <w:p w:rsidR="00570113" w:rsidRPr="00570113" w:rsidRDefault="00570113" w:rsidP="00570113">
      <w:pPr>
        <w:spacing w:before="0"/>
        <w:rPr>
          <w:rFonts w:asciiTheme="minorHAnsi" w:hAnsiTheme="minorHAnsi"/>
          <w:szCs w:val="24"/>
        </w:rPr>
      </w:pPr>
    </w:p>
    <w:p w:rsidR="00570113" w:rsidRPr="00570113" w:rsidRDefault="00570113" w:rsidP="00305E41">
      <w:pPr>
        <w:tabs>
          <w:tab w:val="clear" w:pos="794"/>
          <w:tab w:val="left" w:pos="709"/>
        </w:tabs>
        <w:spacing w:before="0"/>
        <w:jc w:val="both"/>
        <w:rPr>
          <w:rFonts w:asciiTheme="minorHAnsi" w:hAnsiTheme="minorHAnsi"/>
          <w:szCs w:val="24"/>
        </w:rPr>
      </w:pPr>
      <w:r w:rsidRPr="00570113">
        <w:rPr>
          <w:rFonts w:asciiTheme="minorHAnsi" w:hAnsiTheme="minorHAnsi"/>
          <w:szCs w:val="24"/>
        </w:rPr>
        <w:t>7</w:t>
      </w:r>
      <w:r w:rsidRPr="00570113">
        <w:rPr>
          <w:rFonts w:asciiTheme="minorHAnsi" w:hAnsiTheme="minorHAnsi"/>
          <w:szCs w:val="24"/>
        </w:rPr>
        <w:tab/>
        <w:t>Core expenses in ITU Telecom event budgets consist of Secretariat costs and ITU cost recovery.</w:t>
      </w:r>
      <w:r w:rsidR="00F10E52">
        <w:rPr>
          <w:rFonts w:asciiTheme="minorHAnsi" w:hAnsiTheme="minorHAnsi"/>
          <w:szCs w:val="24"/>
        </w:rPr>
        <w:t xml:space="preserve"> </w:t>
      </w:r>
      <w:r w:rsidRPr="00570113">
        <w:rPr>
          <w:rFonts w:asciiTheme="minorHAnsi" w:hAnsiTheme="minorHAnsi"/>
          <w:szCs w:val="24"/>
        </w:rPr>
        <w:t>Core expenses are allocated to each ITU Telecom event budget on the basis of the estimated amount of service time that is rendered by ITU Telecom staff for each specific event.</w:t>
      </w:r>
    </w:p>
    <w:p w:rsidR="00570113" w:rsidRDefault="00570113" w:rsidP="00305E41">
      <w:pPr>
        <w:spacing w:before="0"/>
        <w:jc w:val="both"/>
        <w:rPr>
          <w:rFonts w:asciiTheme="minorHAnsi" w:hAnsiTheme="minorHAnsi"/>
          <w:szCs w:val="24"/>
        </w:rPr>
      </w:pPr>
    </w:p>
    <w:p w:rsidR="00570113" w:rsidRDefault="00654400" w:rsidP="00305E41">
      <w:pPr>
        <w:tabs>
          <w:tab w:val="clear" w:pos="794"/>
          <w:tab w:val="left" w:pos="851"/>
        </w:tabs>
        <w:spacing w:before="0"/>
        <w:jc w:val="both"/>
        <w:rPr>
          <w:rFonts w:asciiTheme="minorHAnsi" w:hAnsiTheme="minorHAnsi"/>
          <w:szCs w:val="24"/>
        </w:rPr>
      </w:pPr>
      <w:r>
        <w:rPr>
          <w:rFonts w:asciiTheme="minorHAnsi" w:hAnsiTheme="minorHAnsi"/>
          <w:szCs w:val="24"/>
        </w:rPr>
        <w:t>8</w:t>
      </w:r>
      <w:r>
        <w:rPr>
          <w:rFonts w:asciiTheme="minorHAnsi" w:hAnsiTheme="minorHAnsi"/>
          <w:szCs w:val="24"/>
        </w:rPr>
        <w:tab/>
      </w:r>
      <w:r w:rsidR="00570113" w:rsidRPr="00570113">
        <w:rPr>
          <w:rFonts w:asciiTheme="minorHAnsi" w:hAnsiTheme="minorHAnsi"/>
          <w:szCs w:val="24"/>
        </w:rPr>
        <w:t>Table 3 below shows the estimated percentages of staff time that are used as the basis in the allocation of cost to the relevant outputs in line with the Results-</w:t>
      </w:r>
      <w:r w:rsidR="00FC1A94">
        <w:rPr>
          <w:rFonts w:asciiTheme="minorHAnsi" w:hAnsiTheme="minorHAnsi"/>
          <w:szCs w:val="24"/>
        </w:rPr>
        <w:t>B</w:t>
      </w:r>
      <w:r w:rsidR="00570113" w:rsidRPr="00570113">
        <w:rPr>
          <w:rFonts w:asciiTheme="minorHAnsi" w:hAnsiTheme="minorHAnsi"/>
          <w:szCs w:val="24"/>
        </w:rPr>
        <w:t>ased Budget (RBB).</w:t>
      </w:r>
      <w:r w:rsidR="00F10E52">
        <w:rPr>
          <w:rFonts w:asciiTheme="minorHAnsi" w:hAnsiTheme="minorHAnsi"/>
          <w:szCs w:val="24"/>
        </w:rPr>
        <w:t xml:space="preserve"> </w:t>
      </w:r>
      <w:r w:rsidR="00570113" w:rsidRPr="00570113">
        <w:rPr>
          <w:rFonts w:asciiTheme="minorHAnsi" w:hAnsiTheme="minorHAnsi"/>
          <w:szCs w:val="24"/>
        </w:rPr>
        <w:t xml:space="preserve">The table also indicates the corresponding cost for each output in relation to the percentage of the total ITU Telecom Secretariat </w:t>
      </w:r>
      <w:r w:rsidR="00FC1A94">
        <w:rPr>
          <w:rFonts w:asciiTheme="minorHAnsi" w:hAnsiTheme="minorHAnsi"/>
          <w:szCs w:val="24"/>
        </w:rPr>
        <w:t xml:space="preserve">Budget for </w:t>
      </w:r>
      <w:r w:rsidR="00570113" w:rsidRPr="00570113">
        <w:rPr>
          <w:rFonts w:asciiTheme="minorHAnsi" w:hAnsiTheme="minorHAnsi"/>
          <w:szCs w:val="24"/>
        </w:rPr>
        <w:t>2020-2021.</w:t>
      </w:r>
      <w:r w:rsidR="00F10E52">
        <w:rPr>
          <w:rFonts w:asciiTheme="minorHAnsi" w:hAnsiTheme="minorHAnsi"/>
          <w:szCs w:val="24"/>
        </w:rPr>
        <w:t xml:space="preserve"> </w:t>
      </w:r>
      <w:r w:rsidR="00570113" w:rsidRPr="00570113">
        <w:rPr>
          <w:rFonts w:asciiTheme="minorHAnsi" w:hAnsiTheme="minorHAnsi"/>
          <w:szCs w:val="24"/>
        </w:rPr>
        <w:t>In accordance with IPSAS, all event accounts are closed as of 31 December of the same year when the event took place.</w:t>
      </w:r>
    </w:p>
    <w:p w:rsidR="00570113" w:rsidRDefault="00570113" w:rsidP="00570113">
      <w:pPr>
        <w:spacing w:before="0"/>
        <w:rPr>
          <w:rFonts w:asciiTheme="minorHAnsi" w:hAnsiTheme="minorHAnsi"/>
          <w:szCs w:val="24"/>
        </w:rPr>
      </w:pPr>
    </w:p>
    <w:bookmarkStart w:id="8" w:name="_MON_1619614371"/>
    <w:bookmarkEnd w:id="8"/>
    <w:p w:rsidR="00570113" w:rsidRDefault="00C9265F" w:rsidP="00570113">
      <w:pPr>
        <w:spacing w:before="0"/>
        <w:rPr>
          <w:rFonts w:asciiTheme="minorHAnsi" w:hAnsiTheme="minorHAnsi"/>
          <w:szCs w:val="24"/>
        </w:rPr>
      </w:pPr>
      <w:r>
        <w:rPr>
          <w:noProof/>
          <w:lang w:eastAsia="zh-CN"/>
        </w:rPr>
        <w:object w:dxaOrig="8508" w:dyaOrig="5109">
          <v:shape id="_x0000_i1026" type="#_x0000_t75" style="width:425.25pt;height:255pt" o:ole="">
            <v:imagedata r:id="rId15" o:title=""/>
          </v:shape>
          <o:OLEObject Type="Embed" ProgID="Word.Document.12" ShapeID="_x0000_i1026" DrawAspect="Content" ObjectID="_1620037562" r:id="rId16">
            <o:FieldCodes>\s</o:FieldCodes>
          </o:OLEObject>
        </w:object>
      </w:r>
    </w:p>
    <w:p w:rsidR="00F24695" w:rsidRDefault="00F246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rPr>
      </w:pPr>
      <w:r>
        <w:rPr>
          <w:rFonts w:asciiTheme="minorHAnsi" w:hAnsiTheme="minorHAnsi"/>
          <w:b/>
          <w:bCs/>
          <w:szCs w:val="24"/>
        </w:rPr>
        <w:br w:type="page"/>
      </w:r>
    </w:p>
    <w:p w:rsidR="00570113" w:rsidRPr="00570113" w:rsidRDefault="00570113" w:rsidP="00FC1A94">
      <w:pPr>
        <w:spacing w:before="0"/>
        <w:rPr>
          <w:rFonts w:asciiTheme="minorHAnsi" w:hAnsiTheme="minorHAnsi"/>
          <w:b/>
          <w:bCs/>
          <w:szCs w:val="24"/>
        </w:rPr>
      </w:pPr>
      <w:r w:rsidRPr="00570113">
        <w:rPr>
          <w:rFonts w:asciiTheme="minorHAnsi" w:hAnsiTheme="minorHAnsi"/>
          <w:b/>
          <w:bCs/>
          <w:szCs w:val="24"/>
        </w:rPr>
        <w:lastRenderedPageBreak/>
        <w:t>R</w:t>
      </w:r>
      <w:r w:rsidR="00FC1A94">
        <w:rPr>
          <w:rFonts w:asciiTheme="minorHAnsi" w:hAnsiTheme="minorHAnsi"/>
          <w:b/>
          <w:bCs/>
          <w:szCs w:val="24"/>
        </w:rPr>
        <w:t>esource funding</w:t>
      </w:r>
    </w:p>
    <w:p w:rsidR="00570113" w:rsidRPr="00570113" w:rsidRDefault="00570113" w:rsidP="00570113">
      <w:pPr>
        <w:spacing w:before="0"/>
        <w:rPr>
          <w:rFonts w:asciiTheme="minorHAnsi" w:hAnsiTheme="minorHAnsi"/>
          <w:szCs w:val="24"/>
        </w:rPr>
      </w:pPr>
    </w:p>
    <w:p w:rsidR="00570113" w:rsidRPr="00570113" w:rsidRDefault="00654400" w:rsidP="00D962A3">
      <w:pPr>
        <w:spacing w:before="0"/>
        <w:jc w:val="both"/>
        <w:rPr>
          <w:rFonts w:asciiTheme="minorHAnsi" w:hAnsiTheme="minorHAnsi"/>
          <w:szCs w:val="24"/>
        </w:rPr>
      </w:pPr>
      <w:r>
        <w:rPr>
          <w:rFonts w:asciiTheme="minorHAnsi" w:hAnsiTheme="minorHAnsi"/>
          <w:szCs w:val="24"/>
        </w:rPr>
        <w:t>9</w:t>
      </w:r>
      <w:r w:rsidR="00570113" w:rsidRPr="00570113">
        <w:rPr>
          <w:rFonts w:asciiTheme="minorHAnsi" w:hAnsiTheme="minorHAnsi"/>
          <w:szCs w:val="24"/>
        </w:rPr>
        <w:tab/>
        <w:t>The gross revenue generated from ITU Telecom events is the source of funding for the ITU Telecom Secretariat budget.</w:t>
      </w:r>
      <w:r w:rsidR="00F10E52">
        <w:rPr>
          <w:rFonts w:asciiTheme="minorHAnsi" w:hAnsiTheme="minorHAnsi"/>
          <w:szCs w:val="24"/>
        </w:rPr>
        <w:t xml:space="preserve"> </w:t>
      </w:r>
      <w:r w:rsidR="00570113" w:rsidRPr="00570113">
        <w:rPr>
          <w:rFonts w:asciiTheme="minorHAnsi" w:hAnsiTheme="minorHAnsi"/>
          <w:szCs w:val="24"/>
        </w:rPr>
        <w:t xml:space="preserve">Table 4 </w:t>
      </w:r>
      <w:r w:rsidR="00C9265F">
        <w:rPr>
          <w:rFonts w:asciiTheme="minorHAnsi" w:hAnsiTheme="minorHAnsi"/>
          <w:szCs w:val="24"/>
        </w:rPr>
        <w:t>below</w:t>
      </w:r>
      <w:r w:rsidR="00570113" w:rsidRPr="00570113">
        <w:rPr>
          <w:rFonts w:asciiTheme="minorHAnsi" w:hAnsiTheme="minorHAnsi"/>
          <w:szCs w:val="24"/>
        </w:rPr>
        <w:t xml:space="preserve"> shows the estimated revenue and expenses for 2020-2021.</w:t>
      </w:r>
      <w:r w:rsidR="00F10E52">
        <w:rPr>
          <w:rFonts w:asciiTheme="minorHAnsi" w:hAnsiTheme="minorHAnsi"/>
          <w:szCs w:val="24"/>
        </w:rPr>
        <w:t xml:space="preserve"> </w:t>
      </w:r>
      <w:r w:rsidR="00570113" w:rsidRPr="00570113">
        <w:rPr>
          <w:rFonts w:asciiTheme="minorHAnsi" w:hAnsiTheme="minorHAnsi"/>
          <w:szCs w:val="24"/>
        </w:rPr>
        <w:t>With an estimated total revenue of CHF 16,200,000 foreseen for the biennium and estimated total expenses amounting to CHF 15,454,000, a positive net result of CHF 746,000 is envisaged for 2020-2021.</w:t>
      </w:r>
    </w:p>
    <w:p w:rsidR="00570113" w:rsidRPr="00570113" w:rsidRDefault="00570113" w:rsidP="00D962A3">
      <w:pPr>
        <w:spacing w:before="0"/>
        <w:jc w:val="both"/>
        <w:rPr>
          <w:rFonts w:asciiTheme="minorHAnsi" w:hAnsiTheme="minorHAnsi"/>
          <w:szCs w:val="24"/>
        </w:rPr>
      </w:pPr>
    </w:p>
    <w:p w:rsidR="00697E20" w:rsidRDefault="00654400" w:rsidP="00D962A3">
      <w:pPr>
        <w:spacing w:before="0"/>
        <w:jc w:val="both"/>
        <w:rPr>
          <w:rFonts w:asciiTheme="minorHAnsi" w:hAnsiTheme="minorHAnsi"/>
          <w:szCs w:val="24"/>
        </w:rPr>
      </w:pPr>
      <w:r>
        <w:rPr>
          <w:rFonts w:asciiTheme="minorHAnsi" w:hAnsiTheme="minorHAnsi"/>
          <w:szCs w:val="24"/>
        </w:rPr>
        <w:t>10</w:t>
      </w:r>
      <w:r w:rsidR="00570113" w:rsidRPr="00570113">
        <w:rPr>
          <w:rFonts w:asciiTheme="minorHAnsi" w:hAnsiTheme="minorHAnsi"/>
          <w:szCs w:val="24"/>
        </w:rPr>
        <w:tab/>
        <w:t>The sources of revenue are space rental, sponsorships and host country contributions, admission fees and other event-related revenue.</w:t>
      </w:r>
      <w:r w:rsidR="00F10E52">
        <w:rPr>
          <w:rFonts w:asciiTheme="minorHAnsi" w:hAnsiTheme="minorHAnsi"/>
          <w:szCs w:val="24"/>
        </w:rPr>
        <w:t xml:space="preserve"> </w:t>
      </w:r>
      <w:r w:rsidR="00570113" w:rsidRPr="00570113">
        <w:rPr>
          <w:rFonts w:asciiTheme="minorHAnsi" w:hAnsiTheme="minorHAnsi"/>
          <w:szCs w:val="24"/>
        </w:rPr>
        <w:t>ITU Telecom is continuously seeking ways and means to provide additional services to satisfy the ever-changing needs of its clients, while earning revenue for ITU.</w:t>
      </w:r>
      <w:r w:rsidR="00F10E52">
        <w:rPr>
          <w:rFonts w:asciiTheme="minorHAnsi" w:hAnsiTheme="minorHAnsi"/>
          <w:szCs w:val="24"/>
        </w:rPr>
        <w:t xml:space="preserve"> </w:t>
      </w:r>
      <w:r w:rsidR="00570113" w:rsidRPr="00570113">
        <w:rPr>
          <w:rFonts w:asciiTheme="minorHAnsi" w:hAnsiTheme="minorHAnsi"/>
          <w:szCs w:val="24"/>
        </w:rPr>
        <w:t>Total expenses comprise ITU Telecom Secretariat core expenses of CHF</w:t>
      </w:r>
      <w:r w:rsidR="00D962A3">
        <w:rPr>
          <w:rFonts w:asciiTheme="minorHAnsi" w:hAnsiTheme="minorHAnsi"/>
          <w:szCs w:val="24"/>
        </w:rPr>
        <w:t> </w:t>
      </w:r>
      <w:r w:rsidR="00570113" w:rsidRPr="00570113">
        <w:rPr>
          <w:rFonts w:asciiTheme="minorHAnsi" w:hAnsiTheme="minorHAnsi"/>
          <w:szCs w:val="24"/>
        </w:rPr>
        <w:t>10.27</w:t>
      </w:r>
      <w:r w:rsidR="00FC1A94">
        <w:rPr>
          <w:rFonts w:asciiTheme="minorHAnsi" w:hAnsiTheme="minorHAnsi"/>
          <w:szCs w:val="24"/>
        </w:rPr>
        <w:t> </w:t>
      </w:r>
      <w:r w:rsidR="00570113" w:rsidRPr="00570113">
        <w:rPr>
          <w:rFonts w:asciiTheme="minorHAnsi" w:hAnsiTheme="minorHAnsi"/>
          <w:szCs w:val="24"/>
        </w:rPr>
        <w:t>million which include the cost recovery of CHF 3 million, as well as expenses that are dedicated to the events i.e., staff costs, travel costs, contractual services, rental and maintenance services, materials and supplies, public services and miscellaneous expenses.</w:t>
      </w:r>
    </w:p>
    <w:p w:rsidR="00697E20" w:rsidRDefault="00697E20">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p>
    <w:p w:rsidR="00570113" w:rsidRDefault="00697E20" w:rsidP="00570113">
      <w:pPr>
        <w:spacing w:before="0"/>
        <w:rPr>
          <w:rFonts w:asciiTheme="minorHAnsi" w:hAnsiTheme="minorHAnsi"/>
          <w:szCs w:val="24"/>
        </w:rPr>
      </w:pPr>
      <w:r w:rsidRPr="00697E20">
        <w:rPr>
          <w:noProof/>
          <w:lang w:eastAsia="zh-CN"/>
        </w:rPr>
        <w:lastRenderedPageBreak/>
        <w:drawing>
          <wp:inline distT="0" distB="0" distL="0" distR="0">
            <wp:extent cx="5919231" cy="7665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2432" cy="7682816"/>
                    </a:xfrm>
                    <a:prstGeom prst="rect">
                      <a:avLst/>
                    </a:prstGeom>
                    <a:noFill/>
                    <a:ln>
                      <a:noFill/>
                    </a:ln>
                  </pic:spPr>
                </pic:pic>
              </a:graphicData>
            </a:graphic>
          </wp:inline>
        </w:drawing>
      </w:r>
    </w:p>
    <w:p w:rsidR="00697E20" w:rsidRDefault="00697E20" w:rsidP="00570113">
      <w:pPr>
        <w:spacing w:before="0"/>
        <w:rPr>
          <w:rFonts w:asciiTheme="minorHAnsi" w:hAnsiTheme="minorHAnsi"/>
          <w:szCs w:val="24"/>
        </w:rPr>
      </w:pPr>
    </w:p>
    <w:p w:rsidR="00697E20" w:rsidRDefault="00697E20">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697E20" w:rsidRPr="00697E20" w:rsidRDefault="00697E20" w:rsidP="00FC1A94">
      <w:pPr>
        <w:spacing w:before="0"/>
        <w:rPr>
          <w:rFonts w:asciiTheme="minorHAnsi" w:hAnsiTheme="minorHAnsi"/>
          <w:b/>
          <w:bCs/>
          <w:szCs w:val="24"/>
        </w:rPr>
      </w:pPr>
      <w:r w:rsidRPr="00697E20">
        <w:rPr>
          <w:rFonts w:asciiTheme="minorHAnsi" w:hAnsiTheme="minorHAnsi"/>
          <w:b/>
          <w:bCs/>
          <w:szCs w:val="24"/>
        </w:rPr>
        <w:lastRenderedPageBreak/>
        <w:t>E</w:t>
      </w:r>
      <w:r w:rsidR="00FC1A94">
        <w:rPr>
          <w:rFonts w:asciiTheme="minorHAnsi" w:hAnsiTheme="minorHAnsi"/>
          <w:b/>
          <w:bCs/>
          <w:szCs w:val="24"/>
        </w:rPr>
        <w:t>xhibition Working Capital Fund</w:t>
      </w:r>
      <w:r w:rsidRPr="00697E20">
        <w:rPr>
          <w:rFonts w:asciiTheme="minorHAnsi" w:hAnsiTheme="minorHAnsi"/>
          <w:b/>
          <w:bCs/>
          <w:szCs w:val="24"/>
        </w:rPr>
        <w:t xml:space="preserve"> (EWCF)</w:t>
      </w:r>
    </w:p>
    <w:p w:rsidR="00697E20" w:rsidRPr="00697E20" w:rsidRDefault="00697E20" w:rsidP="00DE2C61">
      <w:pPr>
        <w:spacing w:before="0"/>
        <w:jc w:val="both"/>
        <w:rPr>
          <w:rFonts w:asciiTheme="minorHAnsi" w:hAnsiTheme="minorHAnsi"/>
          <w:szCs w:val="24"/>
        </w:rPr>
      </w:pPr>
    </w:p>
    <w:p w:rsidR="00697E20" w:rsidRPr="00697E20" w:rsidRDefault="00697E20" w:rsidP="00DE2C61">
      <w:pPr>
        <w:spacing w:before="0"/>
        <w:jc w:val="both"/>
        <w:rPr>
          <w:rFonts w:asciiTheme="minorHAnsi" w:hAnsiTheme="minorHAnsi"/>
          <w:szCs w:val="24"/>
        </w:rPr>
      </w:pPr>
      <w:r w:rsidRPr="00697E20">
        <w:rPr>
          <w:rFonts w:asciiTheme="minorHAnsi" w:hAnsiTheme="minorHAnsi"/>
          <w:szCs w:val="24"/>
        </w:rPr>
        <w:t>1</w:t>
      </w:r>
      <w:r w:rsidR="00654400">
        <w:rPr>
          <w:rFonts w:asciiTheme="minorHAnsi" w:hAnsiTheme="minorHAnsi"/>
          <w:szCs w:val="24"/>
        </w:rPr>
        <w:t>1</w:t>
      </w:r>
      <w:r w:rsidRPr="00697E20">
        <w:rPr>
          <w:rFonts w:asciiTheme="minorHAnsi" w:hAnsiTheme="minorHAnsi"/>
          <w:szCs w:val="24"/>
        </w:rPr>
        <w:tab/>
        <w:t>Following the closure of accounts for each ITU Telecom event, the net result is transferred to the Exhibition Working Capital Fund in accordance with Article 19</w:t>
      </w:r>
      <w:r w:rsidR="00FC1A94">
        <w:rPr>
          <w:rFonts w:asciiTheme="minorHAnsi" w:hAnsiTheme="minorHAnsi"/>
          <w:szCs w:val="24"/>
        </w:rPr>
        <w:t>,</w:t>
      </w:r>
      <w:r w:rsidRPr="00697E20">
        <w:rPr>
          <w:rFonts w:asciiTheme="minorHAnsi" w:hAnsiTheme="minorHAnsi"/>
          <w:szCs w:val="24"/>
        </w:rPr>
        <w:t xml:space="preserve"> Rule 4 of the ITU Financial Regulations and Financial Rules.</w:t>
      </w:r>
      <w:r w:rsidR="00F10E52">
        <w:rPr>
          <w:rFonts w:asciiTheme="minorHAnsi" w:hAnsiTheme="minorHAnsi"/>
          <w:szCs w:val="24"/>
        </w:rPr>
        <w:t xml:space="preserve"> </w:t>
      </w:r>
      <w:r w:rsidRPr="00697E20">
        <w:rPr>
          <w:rFonts w:asciiTheme="minorHAnsi" w:hAnsiTheme="minorHAnsi"/>
          <w:szCs w:val="24"/>
        </w:rPr>
        <w:t>A positive event result increases the EWCF balance while a negative event result leads to a reduction in the amount of EWCF which offsets the financial deficit.</w:t>
      </w:r>
    </w:p>
    <w:p w:rsidR="00697E20" w:rsidRPr="00697E20" w:rsidRDefault="00697E20" w:rsidP="00DE2C61">
      <w:pPr>
        <w:spacing w:before="0"/>
        <w:jc w:val="both"/>
        <w:rPr>
          <w:rFonts w:asciiTheme="minorHAnsi" w:hAnsiTheme="minorHAnsi"/>
          <w:szCs w:val="24"/>
        </w:rPr>
      </w:pPr>
    </w:p>
    <w:p w:rsidR="00697E20" w:rsidRDefault="00697E20" w:rsidP="00DE2C61">
      <w:pPr>
        <w:spacing w:before="0"/>
        <w:jc w:val="both"/>
        <w:rPr>
          <w:rFonts w:asciiTheme="minorHAnsi" w:hAnsiTheme="minorHAnsi"/>
          <w:szCs w:val="24"/>
        </w:rPr>
      </w:pPr>
      <w:r w:rsidRPr="00697E20">
        <w:rPr>
          <w:rFonts w:asciiTheme="minorHAnsi" w:hAnsiTheme="minorHAnsi"/>
          <w:szCs w:val="24"/>
        </w:rPr>
        <w:t>1</w:t>
      </w:r>
      <w:r w:rsidR="00654400">
        <w:rPr>
          <w:rFonts w:asciiTheme="minorHAnsi" w:hAnsiTheme="minorHAnsi"/>
          <w:szCs w:val="24"/>
        </w:rPr>
        <w:t>2</w:t>
      </w:r>
      <w:r w:rsidRPr="00697E20">
        <w:rPr>
          <w:rFonts w:asciiTheme="minorHAnsi" w:hAnsiTheme="minorHAnsi"/>
          <w:szCs w:val="24"/>
        </w:rPr>
        <w:tab/>
        <w:t>It has been decided by the ITU Council that the Exhibition Working Capital Fund must have a minimum level of CHF 5 million in order to allow ITU Telecom to operate and meet its financial obligations.</w:t>
      </w:r>
      <w:r w:rsidR="00F10E52">
        <w:rPr>
          <w:rFonts w:asciiTheme="minorHAnsi" w:hAnsiTheme="minorHAnsi"/>
          <w:szCs w:val="24"/>
        </w:rPr>
        <w:t xml:space="preserve"> </w:t>
      </w:r>
      <w:r w:rsidRPr="00697E20">
        <w:rPr>
          <w:rFonts w:asciiTheme="minorHAnsi" w:hAnsiTheme="minorHAnsi"/>
          <w:szCs w:val="24"/>
        </w:rPr>
        <w:t>The table below indicates the amounts available in the Exhibition Working Capital Fund at the end of each year from 2013 until 2018.</w:t>
      </w:r>
    </w:p>
    <w:p w:rsidR="00697E20" w:rsidRDefault="00697E20" w:rsidP="00697E20">
      <w:pPr>
        <w:spacing w:before="0"/>
        <w:rPr>
          <w:rFonts w:asciiTheme="minorHAnsi" w:hAnsiTheme="minorHAnsi"/>
          <w:szCs w:val="24"/>
        </w:rPr>
      </w:pPr>
    </w:p>
    <w:p w:rsidR="00697E20" w:rsidRDefault="00697E20" w:rsidP="00697E20">
      <w:pPr>
        <w:spacing w:before="0"/>
        <w:rPr>
          <w:rFonts w:asciiTheme="minorHAnsi" w:hAnsiTheme="minorHAnsi"/>
          <w:szCs w:val="24"/>
        </w:rPr>
      </w:pPr>
      <w:r w:rsidRPr="00697E20">
        <w:rPr>
          <w:noProof/>
          <w:lang w:eastAsia="zh-CN"/>
        </w:rPr>
        <w:drawing>
          <wp:inline distT="0" distB="0" distL="0" distR="0">
            <wp:extent cx="6120765" cy="1667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1667370"/>
                    </a:xfrm>
                    <a:prstGeom prst="rect">
                      <a:avLst/>
                    </a:prstGeom>
                    <a:noFill/>
                    <a:ln>
                      <a:noFill/>
                    </a:ln>
                  </pic:spPr>
                </pic:pic>
              </a:graphicData>
            </a:graphic>
          </wp:inline>
        </w:drawing>
      </w:r>
    </w:p>
    <w:p w:rsidR="00F24695" w:rsidRDefault="00F24695" w:rsidP="00697E20">
      <w:pPr>
        <w:spacing w:before="0"/>
        <w:rPr>
          <w:rFonts w:asciiTheme="minorHAnsi" w:hAnsiTheme="minorHAnsi"/>
          <w:szCs w:val="24"/>
        </w:rPr>
      </w:pPr>
    </w:p>
    <w:p w:rsidR="00697E20" w:rsidRDefault="00697E20" w:rsidP="00DE2C61">
      <w:pPr>
        <w:spacing w:before="0"/>
        <w:jc w:val="both"/>
        <w:rPr>
          <w:rFonts w:asciiTheme="minorHAnsi" w:hAnsiTheme="minorHAnsi"/>
          <w:szCs w:val="24"/>
        </w:rPr>
      </w:pPr>
      <w:r w:rsidRPr="00697E20">
        <w:rPr>
          <w:rFonts w:asciiTheme="minorHAnsi" w:hAnsiTheme="minorHAnsi"/>
          <w:szCs w:val="24"/>
        </w:rPr>
        <w:t>1</w:t>
      </w:r>
      <w:r w:rsidR="00654400">
        <w:rPr>
          <w:rFonts w:asciiTheme="minorHAnsi" w:hAnsiTheme="minorHAnsi"/>
          <w:szCs w:val="24"/>
        </w:rPr>
        <w:t>3</w:t>
      </w:r>
      <w:r w:rsidRPr="00697E20">
        <w:rPr>
          <w:rFonts w:asciiTheme="minorHAnsi" w:hAnsiTheme="minorHAnsi"/>
          <w:szCs w:val="24"/>
        </w:rPr>
        <w:tab/>
        <w:t>The positive event result of ITU Telecom World 2013 is reflected in the balance for 2013.</w:t>
      </w:r>
      <w:r w:rsidR="00F10E52">
        <w:rPr>
          <w:rFonts w:asciiTheme="minorHAnsi" w:hAnsiTheme="minorHAnsi"/>
          <w:szCs w:val="24"/>
        </w:rPr>
        <w:t xml:space="preserve"> </w:t>
      </w:r>
      <w:r w:rsidRPr="00697E20">
        <w:rPr>
          <w:rFonts w:asciiTheme="minorHAnsi" w:hAnsiTheme="minorHAnsi"/>
          <w:szCs w:val="24"/>
        </w:rPr>
        <w:t>The balance for 2014 shows a reduction of 11</w:t>
      </w:r>
      <w:r w:rsidR="00FC1A94">
        <w:rPr>
          <w:rFonts w:asciiTheme="minorHAnsi" w:hAnsiTheme="minorHAnsi"/>
          <w:szCs w:val="24"/>
        </w:rPr>
        <w:t xml:space="preserve"> per cent</w:t>
      </w:r>
      <w:r w:rsidRPr="00697E20">
        <w:rPr>
          <w:rFonts w:asciiTheme="minorHAnsi" w:hAnsiTheme="minorHAnsi"/>
          <w:szCs w:val="24"/>
        </w:rPr>
        <w:t xml:space="preserve"> compared with 2013 which takes into consideration the positive event result of ITU Telecom World 2014 as well as the CHF 2 million that has been transferred to ICT Development Fund.</w:t>
      </w:r>
      <w:r w:rsidR="00F10E52">
        <w:rPr>
          <w:rFonts w:asciiTheme="minorHAnsi" w:hAnsiTheme="minorHAnsi"/>
          <w:szCs w:val="24"/>
        </w:rPr>
        <w:t xml:space="preserve"> </w:t>
      </w:r>
      <w:r w:rsidRPr="00697E20">
        <w:rPr>
          <w:rFonts w:asciiTheme="minorHAnsi" w:hAnsiTheme="minorHAnsi"/>
          <w:szCs w:val="24"/>
        </w:rPr>
        <w:t>An increase of 3</w:t>
      </w:r>
      <w:r w:rsidR="00FC1A94">
        <w:rPr>
          <w:rFonts w:asciiTheme="minorHAnsi" w:hAnsiTheme="minorHAnsi"/>
          <w:szCs w:val="24"/>
        </w:rPr>
        <w:t xml:space="preserve"> per cent</w:t>
      </w:r>
      <w:r w:rsidRPr="00697E20">
        <w:rPr>
          <w:rFonts w:asciiTheme="minorHAnsi" w:hAnsiTheme="minorHAnsi"/>
          <w:szCs w:val="24"/>
        </w:rPr>
        <w:t xml:space="preserve"> is shown in 2015 which is due to the positive event result of ITU Telecom World 2015.</w:t>
      </w:r>
      <w:r w:rsidR="00F10E52">
        <w:rPr>
          <w:rFonts w:asciiTheme="minorHAnsi" w:hAnsiTheme="minorHAnsi"/>
          <w:szCs w:val="24"/>
        </w:rPr>
        <w:t xml:space="preserve"> </w:t>
      </w:r>
      <w:r w:rsidRPr="00697E20">
        <w:rPr>
          <w:rFonts w:asciiTheme="minorHAnsi" w:hAnsiTheme="minorHAnsi"/>
          <w:szCs w:val="24"/>
        </w:rPr>
        <w:t>The significantly higher event result in 2016 compared with the budget is in line with the more than 9</w:t>
      </w:r>
      <w:r w:rsidR="00FC1A94">
        <w:rPr>
          <w:rFonts w:asciiTheme="minorHAnsi" w:hAnsiTheme="minorHAnsi"/>
          <w:szCs w:val="24"/>
        </w:rPr>
        <w:t xml:space="preserve"> per cent</w:t>
      </w:r>
      <w:r w:rsidRPr="00697E20">
        <w:rPr>
          <w:rFonts w:asciiTheme="minorHAnsi" w:hAnsiTheme="minorHAnsi"/>
          <w:szCs w:val="24"/>
        </w:rPr>
        <w:t xml:space="preserve"> increase in the balance for 2016 compared with 2015.</w:t>
      </w:r>
      <w:r w:rsidR="00F10E52">
        <w:rPr>
          <w:rFonts w:asciiTheme="minorHAnsi" w:hAnsiTheme="minorHAnsi"/>
          <w:szCs w:val="24"/>
        </w:rPr>
        <w:t xml:space="preserve"> </w:t>
      </w:r>
      <w:r w:rsidRPr="00697E20">
        <w:rPr>
          <w:rFonts w:asciiTheme="minorHAnsi" w:hAnsiTheme="minorHAnsi"/>
          <w:szCs w:val="24"/>
        </w:rPr>
        <w:t>Although the event result in ITU Telecom World 2017 has been positive, the balance for 2017 appears lower by 20</w:t>
      </w:r>
      <w:r w:rsidR="00FC1A94">
        <w:rPr>
          <w:rFonts w:asciiTheme="minorHAnsi" w:hAnsiTheme="minorHAnsi"/>
          <w:szCs w:val="24"/>
        </w:rPr>
        <w:t xml:space="preserve"> per cent</w:t>
      </w:r>
      <w:r w:rsidRPr="00697E20">
        <w:rPr>
          <w:rFonts w:asciiTheme="minorHAnsi" w:hAnsiTheme="minorHAnsi"/>
          <w:szCs w:val="24"/>
        </w:rPr>
        <w:t xml:space="preserve"> compared with 2016 due to the transfer of CHF</w:t>
      </w:r>
      <w:r w:rsidR="00DE2C61">
        <w:rPr>
          <w:rFonts w:asciiTheme="minorHAnsi" w:hAnsiTheme="minorHAnsi"/>
          <w:szCs w:val="24"/>
        </w:rPr>
        <w:t> </w:t>
      </w:r>
      <w:r w:rsidRPr="00697E20">
        <w:rPr>
          <w:rFonts w:asciiTheme="minorHAnsi" w:hAnsiTheme="minorHAnsi"/>
          <w:szCs w:val="24"/>
        </w:rPr>
        <w:t>2</w:t>
      </w:r>
      <w:r w:rsidR="00DE2C61">
        <w:rPr>
          <w:rFonts w:asciiTheme="minorHAnsi" w:hAnsiTheme="minorHAnsi"/>
          <w:szCs w:val="24"/>
        </w:rPr>
        <w:t> </w:t>
      </w:r>
      <w:r w:rsidRPr="00697E20">
        <w:rPr>
          <w:rFonts w:asciiTheme="minorHAnsi" w:hAnsiTheme="minorHAnsi"/>
          <w:szCs w:val="24"/>
        </w:rPr>
        <w:t>million to ICT Development Fund</w:t>
      </w:r>
      <w:r w:rsidR="00FC1A94">
        <w:rPr>
          <w:rFonts w:asciiTheme="minorHAnsi" w:hAnsiTheme="minorHAnsi"/>
          <w:szCs w:val="24"/>
        </w:rPr>
        <w:t>.</w:t>
      </w:r>
      <w:r w:rsidR="00F10E52">
        <w:rPr>
          <w:rFonts w:asciiTheme="minorHAnsi" w:hAnsiTheme="minorHAnsi"/>
          <w:szCs w:val="24"/>
        </w:rPr>
        <w:t xml:space="preserve"> </w:t>
      </w:r>
      <w:r w:rsidRPr="00697E20">
        <w:rPr>
          <w:rFonts w:asciiTheme="minorHAnsi" w:hAnsiTheme="minorHAnsi"/>
          <w:szCs w:val="24"/>
        </w:rPr>
        <w:t xml:space="preserve">The 2018 balance reflects the negative event result of ITU Telecom World 2018 which takes into account the outstanding debtors at the time of </w:t>
      </w:r>
      <w:r w:rsidR="00FC1A94">
        <w:rPr>
          <w:rFonts w:asciiTheme="minorHAnsi" w:hAnsiTheme="minorHAnsi"/>
          <w:szCs w:val="24"/>
        </w:rPr>
        <w:t xml:space="preserve">the closure of </w:t>
      </w:r>
      <w:r w:rsidRPr="00697E20">
        <w:rPr>
          <w:rFonts w:asciiTheme="minorHAnsi" w:hAnsiTheme="minorHAnsi"/>
          <w:szCs w:val="24"/>
        </w:rPr>
        <w:t>accounts.</w:t>
      </w:r>
    </w:p>
    <w:p w:rsidR="00654400" w:rsidRDefault="00654400" w:rsidP="00654400">
      <w:pPr>
        <w:spacing w:before="0"/>
        <w:rPr>
          <w:rFonts w:asciiTheme="minorHAnsi" w:hAnsiTheme="minorHAnsi"/>
          <w:szCs w:val="24"/>
        </w:rPr>
      </w:pPr>
    </w:p>
    <w:p w:rsidR="00654400" w:rsidRDefault="00654400" w:rsidP="00654400">
      <w:pPr>
        <w:spacing w:before="0"/>
        <w:rPr>
          <w:rFonts w:asciiTheme="minorHAnsi" w:hAnsiTheme="minorHAnsi"/>
          <w:szCs w:val="24"/>
        </w:rPr>
      </w:pPr>
    </w:p>
    <w:p w:rsidR="00654400" w:rsidRPr="00570113" w:rsidRDefault="00654400" w:rsidP="00654400">
      <w:pPr>
        <w:spacing w:before="0"/>
        <w:jc w:val="center"/>
        <w:rPr>
          <w:rFonts w:asciiTheme="minorHAnsi" w:hAnsiTheme="minorHAnsi"/>
          <w:szCs w:val="24"/>
        </w:rPr>
      </w:pPr>
      <w:r>
        <w:rPr>
          <w:rFonts w:asciiTheme="minorHAnsi" w:hAnsiTheme="minorHAnsi"/>
          <w:szCs w:val="24"/>
        </w:rPr>
        <w:t>_____________</w:t>
      </w:r>
    </w:p>
    <w:sectPr w:rsidR="00654400" w:rsidRPr="00570113" w:rsidSect="00570113">
      <w:headerReference w:type="default" r:id="rId19"/>
      <w:pgSz w:w="11907" w:h="16834" w:code="9"/>
      <w:pgMar w:top="1134"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47" w:rsidRDefault="004C2047">
      <w:r>
        <w:separator/>
      </w:r>
    </w:p>
  </w:endnote>
  <w:endnote w:type="continuationSeparator" w:id="0">
    <w:p w:rsidR="004C2047" w:rsidRDefault="004C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47" w:rsidRDefault="004C2047">
      <w:r>
        <w:t>____________________</w:t>
      </w:r>
    </w:p>
    <w:p w:rsidR="004C2047" w:rsidRDefault="004C2047"/>
  </w:footnote>
  <w:footnote w:type="continuationSeparator" w:id="0">
    <w:p w:rsidR="004C2047" w:rsidRDefault="004C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D3D" w:rsidRPr="00656511" w:rsidRDefault="00A97D3D" w:rsidP="007E7BDC">
    <w:pPr>
      <w:pStyle w:val="Header"/>
      <w:rPr>
        <w:rStyle w:val="PageNumber"/>
        <w:rFonts w:ascii="Calibri" w:hAnsi="Calibri"/>
        <w:sz w:val="20"/>
        <w:lang w:val="es-ES"/>
      </w:rPr>
    </w:pPr>
    <w:r w:rsidRPr="00EE71AA">
      <w:rPr>
        <w:rStyle w:val="PageNumber"/>
        <w:rFonts w:ascii="Calibri" w:hAnsi="Calibri"/>
        <w:sz w:val="20"/>
      </w:rPr>
      <w:fldChar w:fldCharType="begin"/>
    </w:r>
    <w:r w:rsidRPr="00EE71AA">
      <w:rPr>
        <w:rStyle w:val="PageNumber"/>
        <w:rFonts w:ascii="Calibri" w:hAnsi="Calibri"/>
        <w:sz w:val="20"/>
      </w:rPr>
      <w:instrText xml:space="preserve"> PAGE </w:instrText>
    </w:r>
    <w:r w:rsidRPr="00EE71AA">
      <w:rPr>
        <w:rStyle w:val="PageNumber"/>
        <w:rFonts w:ascii="Calibri" w:hAnsi="Calibri"/>
        <w:sz w:val="20"/>
      </w:rPr>
      <w:fldChar w:fldCharType="separate"/>
    </w:r>
    <w:r w:rsidR="00E95BFE">
      <w:rPr>
        <w:rStyle w:val="PageNumber"/>
        <w:rFonts w:ascii="Calibri" w:hAnsi="Calibri"/>
        <w:noProof/>
        <w:sz w:val="20"/>
      </w:rPr>
      <w:t>7</w:t>
    </w:r>
    <w:r w:rsidRPr="00EE71AA">
      <w:rPr>
        <w:rStyle w:val="PageNumber"/>
        <w:rFonts w:ascii="Calibri" w:hAnsi="Calibri"/>
        <w:sz w:val="20"/>
      </w:rPr>
      <w:fldChar w:fldCharType="end"/>
    </w:r>
    <w:r>
      <w:rPr>
        <w:rStyle w:val="PageNumber"/>
        <w:rFonts w:ascii="Calibri" w:hAnsi="Calibri"/>
        <w:sz w:val="20"/>
      </w:rPr>
      <w:t>/</w:t>
    </w:r>
    <w:r>
      <w:rPr>
        <w:rStyle w:val="PageNumber"/>
        <w:rFonts w:ascii="Calibri" w:hAnsi="Calibri"/>
        <w:noProof/>
        <w:sz w:val="20"/>
      </w:rPr>
      <w:fldChar w:fldCharType="begin"/>
    </w:r>
    <w:r>
      <w:rPr>
        <w:rStyle w:val="PageNumber"/>
        <w:rFonts w:ascii="Calibri" w:hAnsi="Calibri"/>
        <w:noProof/>
        <w:sz w:val="20"/>
      </w:rPr>
      <w:instrText xml:space="preserve"> NUMPAGES   \* MERGEFORMAT </w:instrText>
    </w:r>
    <w:r>
      <w:rPr>
        <w:rStyle w:val="PageNumber"/>
        <w:rFonts w:ascii="Calibri" w:hAnsi="Calibri"/>
        <w:noProof/>
        <w:sz w:val="20"/>
      </w:rPr>
      <w:fldChar w:fldCharType="separate"/>
    </w:r>
    <w:r w:rsidR="00E95BFE">
      <w:rPr>
        <w:rStyle w:val="PageNumber"/>
        <w:rFonts w:ascii="Calibri" w:hAnsi="Calibri"/>
        <w:noProof/>
        <w:sz w:val="20"/>
      </w:rPr>
      <w:t>7</w:t>
    </w:r>
    <w:r>
      <w:rPr>
        <w:rStyle w:val="PageNumber"/>
        <w:rFonts w:ascii="Calibri" w:hAnsi="Calibri"/>
        <w:noProof/>
        <w:sz w:val="20"/>
      </w:rPr>
      <w:fldChar w:fldCharType="end"/>
    </w:r>
  </w:p>
  <w:p w:rsidR="00F24695" w:rsidRPr="00E95BFE" w:rsidRDefault="00F24695" w:rsidP="00F24695">
    <w:pPr>
      <w:tabs>
        <w:tab w:val="clear" w:pos="794"/>
        <w:tab w:val="clear" w:pos="1191"/>
        <w:tab w:val="clear" w:pos="1588"/>
        <w:tab w:val="clear" w:pos="1985"/>
        <w:tab w:val="center" w:pos="4703"/>
        <w:tab w:val="right" w:pos="9406"/>
      </w:tabs>
      <w:overflowPunct/>
      <w:autoSpaceDE/>
      <w:autoSpaceDN/>
      <w:adjustRightInd/>
      <w:spacing w:before="0"/>
      <w:jc w:val="center"/>
      <w:textAlignment w:val="auto"/>
      <w:rPr>
        <w:rFonts w:ascii="Calibri" w:hAnsi="Calibri"/>
        <w:sz w:val="20"/>
        <w:szCs w:val="18"/>
        <w:lang w:val="en-US"/>
      </w:rPr>
    </w:pPr>
    <w:r w:rsidRPr="00E95BFE">
      <w:rPr>
        <w:rFonts w:ascii="Calibri" w:hAnsi="Calibri"/>
        <w:noProof/>
        <w:sz w:val="20"/>
        <w:szCs w:val="18"/>
        <w:lang w:val="en-US"/>
      </w:rPr>
      <w:t>C19/15(Add.1)-E</w:t>
    </w:r>
  </w:p>
  <w:p w:rsidR="00A97D3D" w:rsidRPr="00656511" w:rsidRDefault="00A97D3D" w:rsidP="003F5B35">
    <w:pPr>
      <w:pStyle w:val="Header"/>
      <w:rPr>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D5657E0"/>
    <w:lvl w:ilvl="0">
      <w:numFmt w:val="decimal"/>
      <w:lvlText w:val="*"/>
      <w:lvlJc w:val="left"/>
    </w:lvl>
  </w:abstractNum>
  <w:abstractNum w:abstractNumId="2" w15:restartNumberingAfterBreak="0">
    <w:nsid w:val="04F13C95"/>
    <w:multiLevelType w:val="hybridMultilevel"/>
    <w:tmpl w:val="E200B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B6CF9"/>
    <w:multiLevelType w:val="multilevel"/>
    <w:tmpl w:val="E5A6CC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6573D71"/>
    <w:multiLevelType w:val="hybridMultilevel"/>
    <w:tmpl w:val="F070C022"/>
    <w:lvl w:ilvl="0" w:tplc="45D8CD70">
      <w:numFmt w:val="bullet"/>
      <w:lvlText w:val="-"/>
      <w:lvlJc w:val="left"/>
      <w:pPr>
        <w:ind w:left="360" w:hanging="360"/>
      </w:pPr>
      <w:rPr>
        <w:rFonts w:ascii="Calibri" w:eastAsia="Times New Roman" w:hAnsi="Calibri"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B220E"/>
    <w:multiLevelType w:val="hybridMultilevel"/>
    <w:tmpl w:val="D374A626"/>
    <w:lvl w:ilvl="0" w:tplc="2F64936A">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34019A4"/>
    <w:multiLevelType w:val="multilevel"/>
    <w:tmpl w:val="E5A6CC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82122A2"/>
    <w:multiLevelType w:val="hybridMultilevel"/>
    <w:tmpl w:val="A4A24BB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A2765"/>
    <w:multiLevelType w:val="hybridMultilevel"/>
    <w:tmpl w:val="3274D7DC"/>
    <w:lvl w:ilvl="0" w:tplc="8660766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430E5"/>
    <w:multiLevelType w:val="hybridMultilevel"/>
    <w:tmpl w:val="BE5C409C"/>
    <w:lvl w:ilvl="0" w:tplc="A282036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67A41"/>
    <w:multiLevelType w:val="hybridMultilevel"/>
    <w:tmpl w:val="E390B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805FA"/>
    <w:multiLevelType w:val="hybridMultilevel"/>
    <w:tmpl w:val="0824C5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C70830"/>
    <w:multiLevelType w:val="hybridMultilevel"/>
    <w:tmpl w:val="32ECE488"/>
    <w:lvl w:ilvl="0" w:tplc="2F764324">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8681A"/>
    <w:multiLevelType w:val="hybridMultilevel"/>
    <w:tmpl w:val="A322EBC6"/>
    <w:lvl w:ilvl="0" w:tplc="623890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D06E5"/>
    <w:multiLevelType w:val="hybridMultilevel"/>
    <w:tmpl w:val="4DE4BA0E"/>
    <w:lvl w:ilvl="0" w:tplc="983484C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8"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A13163A"/>
    <w:multiLevelType w:val="hybridMultilevel"/>
    <w:tmpl w:val="E5A6CC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ED069D4"/>
    <w:multiLevelType w:val="hybridMultilevel"/>
    <w:tmpl w:val="B658BE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3415BE"/>
    <w:multiLevelType w:val="hybridMultilevel"/>
    <w:tmpl w:val="5FAE316A"/>
    <w:lvl w:ilvl="0" w:tplc="9FEC908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7">
    <w:abstractNumId w:val="8"/>
  </w:num>
  <w:num w:numId="8">
    <w:abstractNumId w:val="2"/>
  </w:num>
  <w:num w:numId="9">
    <w:abstractNumId w:val="13"/>
  </w:num>
  <w:num w:numId="10">
    <w:abstractNumId w:val="19"/>
  </w:num>
  <w:num w:numId="11">
    <w:abstractNumId w:val="3"/>
  </w:num>
  <w:num w:numId="12">
    <w:abstractNumId w:val="7"/>
  </w:num>
  <w:num w:numId="13">
    <w:abstractNumId w:val="21"/>
  </w:num>
  <w:num w:numId="14">
    <w:abstractNumId w:val="11"/>
  </w:num>
  <w:num w:numId="15">
    <w:abstractNumId w:val="4"/>
  </w:num>
  <w:num w:numId="16">
    <w:abstractNumId w:val="14"/>
  </w:num>
  <w:num w:numId="17">
    <w:abstractNumId w:val="5"/>
  </w:num>
  <w:num w:numId="18">
    <w:abstractNumId w:val="15"/>
  </w:num>
  <w:num w:numId="19">
    <w:abstractNumId w:val="16"/>
  </w:num>
  <w:num w:numId="20">
    <w:abstractNumId w:val="10"/>
  </w:num>
  <w:num w:numId="21">
    <w:abstractNumId w:val="1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8C"/>
    <w:rsid w:val="000017A9"/>
    <w:rsid w:val="00004FA3"/>
    <w:rsid w:val="0000552C"/>
    <w:rsid w:val="00006F06"/>
    <w:rsid w:val="00007991"/>
    <w:rsid w:val="00011EED"/>
    <w:rsid w:val="000135EC"/>
    <w:rsid w:val="0001370C"/>
    <w:rsid w:val="0001714B"/>
    <w:rsid w:val="00021128"/>
    <w:rsid w:val="0002485B"/>
    <w:rsid w:val="00030592"/>
    <w:rsid w:val="00034163"/>
    <w:rsid w:val="00034818"/>
    <w:rsid w:val="00041ADD"/>
    <w:rsid w:val="000463DC"/>
    <w:rsid w:val="00047C51"/>
    <w:rsid w:val="00047E78"/>
    <w:rsid w:val="000511C5"/>
    <w:rsid w:val="00052D05"/>
    <w:rsid w:val="00053203"/>
    <w:rsid w:val="000548F8"/>
    <w:rsid w:val="00054FCC"/>
    <w:rsid w:val="00060762"/>
    <w:rsid w:val="0006212C"/>
    <w:rsid w:val="00065739"/>
    <w:rsid w:val="000661E5"/>
    <w:rsid w:val="00067261"/>
    <w:rsid w:val="000701AA"/>
    <w:rsid w:val="00071D2B"/>
    <w:rsid w:val="0007324C"/>
    <w:rsid w:val="0007572A"/>
    <w:rsid w:val="00080135"/>
    <w:rsid w:val="00085CF2"/>
    <w:rsid w:val="00086FE2"/>
    <w:rsid w:val="0008783D"/>
    <w:rsid w:val="00093544"/>
    <w:rsid w:val="000A0022"/>
    <w:rsid w:val="000A0E93"/>
    <w:rsid w:val="000A0F9D"/>
    <w:rsid w:val="000A4E6A"/>
    <w:rsid w:val="000B1705"/>
    <w:rsid w:val="000B6C95"/>
    <w:rsid w:val="000C3B47"/>
    <w:rsid w:val="000C59DB"/>
    <w:rsid w:val="000C7FA4"/>
    <w:rsid w:val="000D54C5"/>
    <w:rsid w:val="000E7F8D"/>
    <w:rsid w:val="000F26D9"/>
    <w:rsid w:val="000F303D"/>
    <w:rsid w:val="000F48E0"/>
    <w:rsid w:val="0010332E"/>
    <w:rsid w:val="00107C4D"/>
    <w:rsid w:val="00110701"/>
    <w:rsid w:val="00111688"/>
    <w:rsid w:val="001121F5"/>
    <w:rsid w:val="00112931"/>
    <w:rsid w:val="00113AB3"/>
    <w:rsid w:val="00114066"/>
    <w:rsid w:val="001154E6"/>
    <w:rsid w:val="00117E2D"/>
    <w:rsid w:val="00121405"/>
    <w:rsid w:val="0012208D"/>
    <w:rsid w:val="00126FA1"/>
    <w:rsid w:val="00126FF8"/>
    <w:rsid w:val="001279AE"/>
    <w:rsid w:val="00132941"/>
    <w:rsid w:val="00147129"/>
    <w:rsid w:val="00147158"/>
    <w:rsid w:val="00150E85"/>
    <w:rsid w:val="00152E24"/>
    <w:rsid w:val="0015300D"/>
    <w:rsid w:val="001565AB"/>
    <w:rsid w:val="00164782"/>
    <w:rsid w:val="001675C7"/>
    <w:rsid w:val="00172065"/>
    <w:rsid w:val="00172621"/>
    <w:rsid w:val="0017539C"/>
    <w:rsid w:val="0017609F"/>
    <w:rsid w:val="001774A3"/>
    <w:rsid w:val="00180C1E"/>
    <w:rsid w:val="00183AF7"/>
    <w:rsid w:val="0018514F"/>
    <w:rsid w:val="001874A8"/>
    <w:rsid w:val="0019198D"/>
    <w:rsid w:val="00197D6B"/>
    <w:rsid w:val="001A184A"/>
    <w:rsid w:val="001A6393"/>
    <w:rsid w:val="001B14E8"/>
    <w:rsid w:val="001B1CA2"/>
    <w:rsid w:val="001B24C0"/>
    <w:rsid w:val="001B3ABD"/>
    <w:rsid w:val="001B4930"/>
    <w:rsid w:val="001B7EF8"/>
    <w:rsid w:val="001C00E2"/>
    <w:rsid w:val="001C628E"/>
    <w:rsid w:val="001D48A3"/>
    <w:rsid w:val="001D5BFC"/>
    <w:rsid w:val="001D7334"/>
    <w:rsid w:val="001E0F7B"/>
    <w:rsid w:val="001E2B7F"/>
    <w:rsid w:val="001E47D9"/>
    <w:rsid w:val="001F23ED"/>
    <w:rsid w:val="001F381F"/>
    <w:rsid w:val="001F4FD0"/>
    <w:rsid w:val="001F504E"/>
    <w:rsid w:val="001F5322"/>
    <w:rsid w:val="00215606"/>
    <w:rsid w:val="00226CB6"/>
    <w:rsid w:val="002300C6"/>
    <w:rsid w:val="00231596"/>
    <w:rsid w:val="002335F0"/>
    <w:rsid w:val="00233B55"/>
    <w:rsid w:val="00237F92"/>
    <w:rsid w:val="002579E1"/>
    <w:rsid w:val="00265875"/>
    <w:rsid w:val="0027174D"/>
    <w:rsid w:val="0027303B"/>
    <w:rsid w:val="00273FD1"/>
    <w:rsid w:val="00280CE9"/>
    <w:rsid w:val="0028109B"/>
    <w:rsid w:val="002812C0"/>
    <w:rsid w:val="00281ADA"/>
    <w:rsid w:val="00281FA4"/>
    <w:rsid w:val="00283F46"/>
    <w:rsid w:val="00290B80"/>
    <w:rsid w:val="00292D86"/>
    <w:rsid w:val="002936E5"/>
    <w:rsid w:val="002938EB"/>
    <w:rsid w:val="002A16D1"/>
    <w:rsid w:val="002A1D6D"/>
    <w:rsid w:val="002A470C"/>
    <w:rsid w:val="002A4974"/>
    <w:rsid w:val="002B0823"/>
    <w:rsid w:val="002B1EC7"/>
    <w:rsid w:val="002B603E"/>
    <w:rsid w:val="002B7B2B"/>
    <w:rsid w:val="002C1C7A"/>
    <w:rsid w:val="002C392F"/>
    <w:rsid w:val="002D2697"/>
    <w:rsid w:val="002D494B"/>
    <w:rsid w:val="002E2EA0"/>
    <w:rsid w:val="002E40A1"/>
    <w:rsid w:val="002E6EFF"/>
    <w:rsid w:val="002F0AD7"/>
    <w:rsid w:val="002F4590"/>
    <w:rsid w:val="002F55F5"/>
    <w:rsid w:val="002F6C29"/>
    <w:rsid w:val="0030261D"/>
    <w:rsid w:val="003043AC"/>
    <w:rsid w:val="00305E41"/>
    <w:rsid w:val="00314C6F"/>
    <w:rsid w:val="003211B4"/>
    <w:rsid w:val="00325A49"/>
    <w:rsid w:val="00333E29"/>
    <w:rsid w:val="00336173"/>
    <w:rsid w:val="003420DC"/>
    <w:rsid w:val="00342237"/>
    <w:rsid w:val="00344803"/>
    <w:rsid w:val="0034531D"/>
    <w:rsid w:val="0034551A"/>
    <w:rsid w:val="003458CC"/>
    <w:rsid w:val="00347510"/>
    <w:rsid w:val="003548F5"/>
    <w:rsid w:val="003569F7"/>
    <w:rsid w:val="00364172"/>
    <w:rsid w:val="00364F7F"/>
    <w:rsid w:val="003709FD"/>
    <w:rsid w:val="00374F4C"/>
    <w:rsid w:val="003823A6"/>
    <w:rsid w:val="0038338A"/>
    <w:rsid w:val="003860A9"/>
    <w:rsid w:val="00386B71"/>
    <w:rsid w:val="003942D4"/>
    <w:rsid w:val="003958A8"/>
    <w:rsid w:val="003A18FF"/>
    <w:rsid w:val="003B081D"/>
    <w:rsid w:val="003B2F92"/>
    <w:rsid w:val="003B65C6"/>
    <w:rsid w:val="003C6566"/>
    <w:rsid w:val="003D42D9"/>
    <w:rsid w:val="003D61C1"/>
    <w:rsid w:val="003E0126"/>
    <w:rsid w:val="003E2F0E"/>
    <w:rsid w:val="003E4344"/>
    <w:rsid w:val="003F5B35"/>
    <w:rsid w:val="00402D21"/>
    <w:rsid w:val="004139B1"/>
    <w:rsid w:val="00417ABB"/>
    <w:rsid w:val="004221CB"/>
    <w:rsid w:val="0042358C"/>
    <w:rsid w:val="0042432B"/>
    <w:rsid w:val="00427C37"/>
    <w:rsid w:val="00433CE8"/>
    <w:rsid w:val="004369F2"/>
    <w:rsid w:val="00441764"/>
    <w:rsid w:val="00442269"/>
    <w:rsid w:val="00442A94"/>
    <w:rsid w:val="004462A7"/>
    <w:rsid w:val="0045005F"/>
    <w:rsid w:val="004544D9"/>
    <w:rsid w:val="00461CA6"/>
    <w:rsid w:val="00461E4A"/>
    <w:rsid w:val="00464B29"/>
    <w:rsid w:val="00465F58"/>
    <w:rsid w:val="00466363"/>
    <w:rsid w:val="00467490"/>
    <w:rsid w:val="00471BF1"/>
    <w:rsid w:val="00476759"/>
    <w:rsid w:val="00483794"/>
    <w:rsid w:val="004921C8"/>
    <w:rsid w:val="0049472B"/>
    <w:rsid w:val="004949EF"/>
    <w:rsid w:val="004952C1"/>
    <w:rsid w:val="004A6080"/>
    <w:rsid w:val="004B65D2"/>
    <w:rsid w:val="004C002A"/>
    <w:rsid w:val="004C018B"/>
    <w:rsid w:val="004C2047"/>
    <w:rsid w:val="004C4F99"/>
    <w:rsid w:val="004C5C15"/>
    <w:rsid w:val="004C6845"/>
    <w:rsid w:val="004C7C57"/>
    <w:rsid w:val="004D07A5"/>
    <w:rsid w:val="004D0A51"/>
    <w:rsid w:val="004E0799"/>
    <w:rsid w:val="004E2EA5"/>
    <w:rsid w:val="004E30CD"/>
    <w:rsid w:val="004E55AB"/>
    <w:rsid w:val="004E5EE6"/>
    <w:rsid w:val="004E6189"/>
    <w:rsid w:val="004F4D4F"/>
    <w:rsid w:val="00500302"/>
    <w:rsid w:val="0050223C"/>
    <w:rsid w:val="0050416F"/>
    <w:rsid w:val="00515903"/>
    <w:rsid w:val="00516A82"/>
    <w:rsid w:val="00520416"/>
    <w:rsid w:val="005247C7"/>
    <w:rsid w:val="005271E1"/>
    <w:rsid w:val="00531811"/>
    <w:rsid w:val="005318AF"/>
    <w:rsid w:val="00533E3A"/>
    <w:rsid w:val="00547F1C"/>
    <w:rsid w:val="00551649"/>
    <w:rsid w:val="00552178"/>
    <w:rsid w:val="00564FBC"/>
    <w:rsid w:val="0056746C"/>
    <w:rsid w:val="00570113"/>
    <w:rsid w:val="005770F2"/>
    <w:rsid w:val="00582442"/>
    <w:rsid w:val="00584F72"/>
    <w:rsid w:val="00585DE7"/>
    <w:rsid w:val="005860CA"/>
    <w:rsid w:val="00586ED8"/>
    <w:rsid w:val="005A28CB"/>
    <w:rsid w:val="005A321D"/>
    <w:rsid w:val="005A4C45"/>
    <w:rsid w:val="005A7837"/>
    <w:rsid w:val="005B5ADC"/>
    <w:rsid w:val="005C277A"/>
    <w:rsid w:val="005C4AB5"/>
    <w:rsid w:val="005C5608"/>
    <w:rsid w:val="005C790D"/>
    <w:rsid w:val="005D1BAC"/>
    <w:rsid w:val="005D75FA"/>
    <w:rsid w:val="005F07B3"/>
    <w:rsid w:val="005F20ED"/>
    <w:rsid w:val="005F7A55"/>
    <w:rsid w:val="0060043C"/>
    <w:rsid w:val="00612F1B"/>
    <w:rsid w:val="006157C7"/>
    <w:rsid w:val="0061653B"/>
    <w:rsid w:val="0062368C"/>
    <w:rsid w:val="006270EA"/>
    <w:rsid w:val="00627547"/>
    <w:rsid w:val="006350D5"/>
    <w:rsid w:val="006414C6"/>
    <w:rsid w:val="00647E31"/>
    <w:rsid w:val="00647F70"/>
    <w:rsid w:val="00654400"/>
    <w:rsid w:val="00656511"/>
    <w:rsid w:val="00656A4F"/>
    <w:rsid w:val="00662984"/>
    <w:rsid w:val="00664461"/>
    <w:rsid w:val="006662CE"/>
    <w:rsid w:val="00666BCB"/>
    <w:rsid w:val="00672D75"/>
    <w:rsid w:val="0067487A"/>
    <w:rsid w:val="00676C3E"/>
    <w:rsid w:val="00681C82"/>
    <w:rsid w:val="00685018"/>
    <w:rsid w:val="0068532E"/>
    <w:rsid w:val="0069212B"/>
    <w:rsid w:val="0069295A"/>
    <w:rsid w:val="00693D55"/>
    <w:rsid w:val="00694F0E"/>
    <w:rsid w:val="00697E20"/>
    <w:rsid w:val="006A5F0C"/>
    <w:rsid w:val="006A7454"/>
    <w:rsid w:val="006A7CDA"/>
    <w:rsid w:val="006B4FF2"/>
    <w:rsid w:val="006B6DCC"/>
    <w:rsid w:val="006C7086"/>
    <w:rsid w:val="006D4C52"/>
    <w:rsid w:val="006E0AE9"/>
    <w:rsid w:val="006E7314"/>
    <w:rsid w:val="006F4083"/>
    <w:rsid w:val="00700877"/>
    <w:rsid w:val="00702738"/>
    <w:rsid w:val="0070453D"/>
    <w:rsid w:val="00707D51"/>
    <w:rsid w:val="0071098D"/>
    <w:rsid w:val="00711311"/>
    <w:rsid w:val="0071161D"/>
    <w:rsid w:val="00712D7C"/>
    <w:rsid w:val="00715B10"/>
    <w:rsid w:val="00717F5C"/>
    <w:rsid w:val="007209AD"/>
    <w:rsid w:val="007237B8"/>
    <w:rsid w:val="00726DB3"/>
    <w:rsid w:val="007303CF"/>
    <w:rsid w:val="00735B0C"/>
    <w:rsid w:val="00741DCE"/>
    <w:rsid w:val="00743863"/>
    <w:rsid w:val="00747969"/>
    <w:rsid w:val="00754673"/>
    <w:rsid w:val="00766419"/>
    <w:rsid w:val="00771696"/>
    <w:rsid w:val="00773C80"/>
    <w:rsid w:val="00773E62"/>
    <w:rsid w:val="00775165"/>
    <w:rsid w:val="00782BB2"/>
    <w:rsid w:val="00784D27"/>
    <w:rsid w:val="00785A17"/>
    <w:rsid w:val="00787D7F"/>
    <w:rsid w:val="00793D48"/>
    <w:rsid w:val="00795524"/>
    <w:rsid w:val="00796C17"/>
    <w:rsid w:val="007A1620"/>
    <w:rsid w:val="007A2BE1"/>
    <w:rsid w:val="007A2DB5"/>
    <w:rsid w:val="007A71DE"/>
    <w:rsid w:val="007B1D53"/>
    <w:rsid w:val="007B225D"/>
    <w:rsid w:val="007B503C"/>
    <w:rsid w:val="007B5F77"/>
    <w:rsid w:val="007C485E"/>
    <w:rsid w:val="007C4E2F"/>
    <w:rsid w:val="007C6C94"/>
    <w:rsid w:val="007C7096"/>
    <w:rsid w:val="007D4436"/>
    <w:rsid w:val="007E560F"/>
    <w:rsid w:val="007E64E8"/>
    <w:rsid w:val="007E7BDC"/>
    <w:rsid w:val="007F2124"/>
    <w:rsid w:val="007F5608"/>
    <w:rsid w:val="0080002E"/>
    <w:rsid w:val="00800108"/>
    <w:rsid w:val="00800268"/>
    <w:rsid w:val="00801CD2"/>
    <w:rsid w:val="008077A8"/>
    <w:rsid w:val="00810274"/>
    <w:rsid w:val="00816AA6"/>
    <w:rsid w:val="00817DF3"/>
    <w:rsid w:val="00821F91"/>
    <w:rsid w:val="00825228"/>
    <w:rsid w:val="00827316"/>
    <w:rsid w:val="00830C63"/>
    <w:rsid w:val="00832064"/>
    <w:rsid w:val="0083581B"/>
    <w:rsid w:val="00837A9E"/>
    <w:rsid w:val="00844684"/>
    <w:rsid w:val="00845FAF"/>
    <w:rsid w:val="00847AA4"/>
    <w:rsid w:val="00865F53"/>
    <w:rsid w:val="00872D58"/>
    <w:rsid w:val="0088709D"/>
    <w:rsid w:val="00893703"/>
    <w:rsid w:val="008945CA"/>
    <w:rsid w:val="0089691E"/>
    <w:rsid w:val="008A36C0"/>
    <w:rsid w:val="008A6980"/>
    <w:rsid w:val="008B4E24"/>
    <w:rsid w:val="008B7D70"/>
    <w:rsid w:val="008C0D62"/>
    <w:rsid w:val="008C1951"/>
    <w:rsid w:val="008C29A7"/>
    <w:rsid w:val="008C37A4"/>
    <w:rsid w:val="008D19FB"/>
    <w:rsid w:val="008D2405"/>
    <w:rsid w:val="008D50A0"/>
    <w:rsid w:val="008D5395"/>
    <w:rsid w:val="008D6E47"/>
    <w:rsid w:val="008E1D2F"/>
    <w:rsid w:val="008E1E87"/>
    <w:rsid w:val="008E62D3"/>
    <w:rsid w:val="008F0DF1"/>
    <w:rsid w:val="008F1730"/>
    <w:rsid w:val="008F1D88"/>
    <w:rsid w:val="008F2069"/>
    <w:rsid w:val="008F222E"/>
    <w:rsid w:val="00904700"/>
    <w:rsid w:val="00910E1A"/>
    <w:rsid w:val="00911105"/>
    <w:rsid w:val="00914B65"/>
    <w:rsid w:val="00915AE3"/>
    <w:rsid w:val="009173EF"/>
    <w:rsid w:val="00923BBF"/>
    <w:rsid w:val="009241AA"/>
    <w:rsid w:val="0092450E"/>
    <w:rsid w:val="00925213"/>
    <w:rsid w:val="00926D6F"/>
    <w:rsid w:val="00930BC0"/>
    <w:rsid w:val="00932906"/>
    <w:rsid w:val="00935815"/>
    <w:rsid w:val="00936416"/>
    <w:rsid w:val="009376D0"/>
    <w:rsid w:val="009419E5"/>
    <w:rsid w:val="00941AEC"/>
    <w:rsid w:val="009433FB"/>
    <w:rsid w:val="00946932"/>
    <w:rsid w:val="00950964"/>
    <w:rsid w:val="00953ED0"/>
    <w:rsid w:val="009610D5"/>
    <w:rsid w:val="00961B0B"/>
    <w:rsid w:val="00963E40"/>
    <w:rsid w:val="00964430"/>
    <w:rsid w:val="00965E6C"/>
    <w:rsid w:val="00966F59"/>
    <w:rsid w:val="0097329E"/>
    <w:rsid w:val="00977D40"/>
    <w:rsid w:val="00986833"/>
    <w:rsid w:val="0099285D"/>
    <w:rsid w:val="009968F6"/>
    <w:rsid w:val="009A3DA1"/>
    <w:rsid w:val="009A6005"/>
    <w:rsid w:val="009B1943"/>
    <w:rsid w:val="009B397E"/>
    <w:rsid w:val="009C0FFC"/>
    <w:rsid w:val="009C51DD"/>
    <w:rsid w:val="009C63FD"/>
    <w:rsid w:val="009C68A2"/>
    <w:rsid w:val="009D118E"/>
    <w:rsid w:val="009D35FB"/>
    <w:rsid w:val="009D4593"/>
    <w:rsid w:val="009D6DAD"/>
    <w:rsid w:val="009E17BD"/>
    <w:rsid w:val="009E49C5"/>
    <w:rsid w:val="009F2E2B"/>
    <w:rsid w:val="009F6210"/>
    <w:rsid w:val="009F758D"/>
    <w:rsid w:val="009F7665"/>
    <w:rsid w:val="00A01095"/>
    <w:rsid w:val="00A014FD"/>
    <w:rsid w:val="00A01681"/>
    <w:rsid w:val="00A04CEC"/>
    <w:rsid w:val="00A11F2D"/>
    <w:rsid w:val="00A26B68"/>
    <w:rsid w:val="00A27F92"/>
    <w:rsid w:val="00A361E1"/>
    <w:rsid w:val="00A40695"/>
    <w:rsid w:val="00A4784E"/>
    <w:rsid w:val="00A479FC"/>
    <w:rsid w:val="00A5319F"/>
    <w:rsid w:val="00A54CA6"/>
    <w:rsid w:val="00A55622"/>
    <w:rsid w:val="00A716B3"/>
    <w:rsid w:val="00A72278"/>
    <w:rsid w:val="00A72D12"/>
    <w:rsid w:val="00A73DFE"/>
    <w:rsid w:val="00A74E22"/>
    <w:rsid w:val="00A762D5"/>
    <w:rsid w:val="00A80620"/>
    <w:rsid w:val="00A83C8F"/>
    <w:rsid w:val="00A870DA"/>
    <w:rsid w:val="00A94508"/>
    <w:rsid w:val="00A9614C"/>
    <w:rsid w:val="00A97D3D"/>
    <w:rsid w:val="00AA535A"/>
    <w:rsid w:val="00AA614E"/>
    <w:rsid w:val="00AA68E7"/>
    <w:rsid w:val="00AC7A64"/>
    <w:rsid w:val="00AD438E"/>
    <w:rsid w:val="00AD58CB"/>
    <w:rsid w:val="00AD746E"/>
    <w:rsid w:val="00AE0511"/>
    <w:rsid w:val="00AE066A"/>
    <w:rsid w:val="00AE0EDC"/>
    <w:rsid w:val="00AE4153"/>
    <w:rsid w:val="00AF4E1E"/>
    <w:rsid w:val="00B0006B"/>
    <w:rsid w:val="00B0675E"/>
    <w:rsid w:val="00B123D8"/>
    <w:rsid w:val="00B12996"/>
    <w:rsid w:val="00B12CB8"/>
    <w:rsid w:val="00B255A7"/>
    <w:rsid w:val="00B31500"/>
    <w:rsid w:val="00B3581D"/>
    <w:rsid w:val="00B40A81"/>
    <w:rsid w:val="00B412D8"/>
    <w:rsid w:val="00B41515"/>
    <w:rsid w:val="00B41AC1"/>
    <w:rsid w:val="00B41E5C"/>
    <w:rsid w:val="00B43B3F"/>
    <w:rsid w:val="00B44910"/>
    <w:rsid w:val="00B50F62"/>
    <w:rsid w:val="00B530DD"/>
    <w:rsid w:val="00B564F1"/>
    <w:rsid w:val="00B63448"/>
    <w:rsid w:val="00B72267"/>
    <w:rsid w:val="00B76EB6"/>
    <w:rsid w:val="00B824C8"/>
    <w:rsid w:val="00B876AF"/>
    <w:rsid w:val="00B90EB8"/>
    <w:rsid w:val="00B96480"/>
    <w:rsid w:val="00BA08B9"/>
    <w:rsid w:val="00BD032B"/>
    <w:rsid w:val="00BD1238"/>
    <w:rsid w:val="00BD201F"/>
    <w:rsid w:val="00BD48F6"/>
    <w:rsid w:val="00BD53EF"/>
    <w:rsid w:val="00BE1908"/>
    <w:rsid w:val="00BE2640"/>
    <w:rsid w:val="00BE42E7"/>
    <w:rsid w:val="00BE43E0"/>
    <w:rsid w:val="00BE7AE8"/>
    <w:rsid w:val="00BF0E5E"/>
    <w:rsid w:val="00BF2427"/>
    <w:rsid w:val="00BF2E93"/>
    <w:rsid w:val="00BF4642"/>
    <w:rsid w:val="00C01189"/>
    <w:rsid w:val="00C01571"/>
    <w:rsid w:val="00C070A6"/>
    <w:rsid w:val="00C10544"/>
    <w:rsid w:val="00C13921"/>
    <w:rsid w:val="00C14E0D"/>
    <w:rsid w:val="00C2139D"/>
    <w:rsid w:val="00C249DF"/>
    <w:rsid w:val="00C34BEF"/>
    <w:rsid w:val="00C374DE"/>
    <w:rsid w:val="00C40CC4"/>
    <w:rsid w:val="00C50E63"/>
    <w:rsid w:val="00C57425"/>
    <w:rsid w:val="00C71C5C"/>
    <w:rsid w:val="00C901FE"/>
    <w:rsid w:val="00C91274"/>
    <w:rsid w:val="00C91662"/>
    <w:rsid w:val="00C9265F"/>
    <w:rsid w:val="00C94677"/>
    <w:rsid w:val="00C97BDE"/>
    <w:rsid w:val="00CA1B90"/>
    <w:rsid w:val="00CA2278"/>
    <w:rsid w:val="00CA28E1"/>
    <w:rsid w:val="00CA3298"/>
    <w:rsid w:val="00CA5FEC"/>
    <w:rsid w:val="00CA6393"/>
    <w:rsid w:val="00CB1B0B"/>
    <w:rsid w:val="00CB5560"/>
    <w:rsid w:val="00CC6770"/>
    <w:rsid w:val="00CC7950"/>
    <w:rsid w:val="00CD0C08"/>
    <w:rsid w:val="00CD172C"/>
    <w:rsid w:val="00CD29C3"/>
    <w:rsid w:val="00CD3130"/>
    <w:rsid w:val="00CD483E"/>
    <w:rsid w:val="00CD65E9"/>
    <w:rsid w:val="00CE27F9"/>
    <w:rsid w:val="00CE3765"/>
    <w:rsid w:val="00CE4EA5"/>
    <w:rsid w:val="00CF158B"/>
    <w:rsid w:val="00CF33F3"/>
    <w:rsid w:val="00CF3B9E"/>
    <w:rsid w:val="00CF7305"/>
    <w:rsid w:val="00D00FA7"/>
    <w:rsid w:val="00D01861"/>
    <w:rsid w:val="00D03545"/>
    <w:rsid w:val="00D03BA9"/>
    <w:rsid w:val="00D06183"/>
    <w:rsid w:val="00D1114C"/>
    <w:rsid w:val="00D1178D"/>
    <w:rsid w:val="00D12270"/>
    <w:rsid w:val="00D138AE"/>
    <w:rsid w:val="00D13B38"/>
    <w:rsid w:val="00D20269"/>
    <w:rsid w:val="00D2219A"/>
    <w:rsid w:val="00D22C42"/>
    <w:rsid w:val="00D24A1B"/>
    <w:rsid w:val="00D33CCE"/>
    <w:rsid w:val="00D41D58"/>
    <w:rsid w:val="00D46AF0"/>
    <w:rsid w:val="00D54C14"/>
    <w:rsid w:val="00D5725F"/>
    <w:rsid w:val="00D62B9B"/>
    <w:rsid w:val="00D642C1"/>
    <w:rsid w:val="00D66BA3"/>
    <w:rsid w:val="00D73819"/>
    <w:rsid w:val="00D7568E"/>
    <w:rsid w:val="00D85F30"/>
    <w:rsid w:val="00D8631E"/>
    <w:rsid w:val="00D92038"/>
    <w:rsid w:val="00D9220C"/>
    <w:rsid w:val="00D962A3"/>
    <w:rsid w:val="00D968D6"/>
    <w:rsid w:val="00D96B6F"/>
    <w:rsid w:val="00DB013D"/>
    <w:rsid w:val="00DB205E"/>
    <w:rsid w:val="00DC21D5"/>
    <w:rsid w:val="00DC7FFD"/>
    <w:rsid w:val="00DD0FAA"/>
    <w:rsid w:val="00DD3B28"/>
    <w:rsid w:val="00DE0EF1"/>
    <w:rsid w:val="00DE2C61"/>
    <w:rsid w:val="00DE3FF1"/>
    <w:rsid w:val="00DE640D"/>
    <w:rsid w:val="00DF0E32"/>
    <w:rsid w:val="00DF7AF6"/>
    <w:rsid w:val="00E06E8B"/>
    <w:rsid w:val="00E10E80"/>
    <w:rsid w:val="00E112DA"/>
    <w:rsid w:val="00E124F0"/>
    <w:rsid w:val="00E21410"/>
    <w:rsid w:val="00E240E8"/>
    <w:rsid w:val="00E26F26"/>
    <w:rsid w:val="00E30DBC"/>
    <w:rsid w:val="00E33090"/>
    <w:rsid w:val="00E3580A"/>
    <w:rsid w:val="00E37DC0"/>
    <w:rsid w:val="00E40187"/>
    <w:rsid w:val="00E41C14"/>
    <w:rsid w:val="00E4204D"/>
    <w:rsid w:val="00E50AE0"/>
    <w:rsid w:val="00E51C9D"/>
    <w:rsid w:val="00E52B24"/>
    <w:rsid w:val="00E5651B"/>
    <w:rsid w:val="00E57EEF"/>
    <w:rsid w:val="00E63DAC"/>
    <w:rsid w:val="00E64944"/>
    <w:rsid w:val="00E65828"/>
    <w:rsid w:val="00E675CE"/>
    <w:rsid w:val="00E70FEA"/>
    <w:rsid w:val="00E77162"/>
    <w:rsid w:val="00E81C06"/>
    <w:rsid w:val="00E8436B"/>
    <w:rsid w:val="00E855F9"/>
    <w:rsid w:val="00E91D28"/>
    <w:rsid w:val="00E933D3"/>
    <w:rsid w:val="00E95BFE"/>
    <w:rsid w:val="00E9743B"/>
    <w:rsid w:val="00EA1137"/>
    <w:rsid w:val="00EA152F"/>
    <w:rsid w:val="00EA290B"/>
    <w:rsid w:val="00EB2232"/>
    <w:rsid w:val="00EB23E1"/>
    <w:rsid w:val="00EB2B50"/>
    <w:rsid w:val="00EB5888"/>
    <w:rsid w:val="00EB5A31"/>
    <w:rsid w:val="00EB6EC7"/>
    <w:rsid w:val="00EC2C7C"/>
    <w:rsid w:val="00ED2CFC"/>
    <w:rsid w:val="00ED553F"/>
    <w:rsid w:val="00ED5747"/>
    <w:rsid w:val="00EE5D25"/>
    <w:rsid w:val="00EE71AA"/>
    <w:rsid w:val="00EF451D"/>
    <w:rsid w:val="00F0042A"/>
    <w:rsid w:val="00F0313A"/>
    <w:rsid w:val="00F0406F"/>
    <w:rsid w:val="00F05063"/>
    <w:rsid w:val="00F07B80"/>
    <w:rsid w:val="00F106BB"/>
    <w:rsid w:val="00F10E52"/>
    <w:rsid w:val="00F152AF"/>
    <w:rsid w:val="00F2150A"/>
    <w:rsid w:val="00F24695"/>
    <w:rsid w:val="00F3295E"/>
    <w:rsid w:val="00F3567D"/>
    <w:rsid w:val="00F36F06"/>
    <w:rsid w:val="00F41200"/>
    <w:rsid w:val="00F43977"/>
    <w:rsid w:val="00F470BE"/>
    <w:rsid w:val="00F52415"/>
    <w:rsid w:val="00F55323"/>
    <w:rsid w:val="00F636DA"/>
    <w:rsid w:val="00F644B5"/>
    <w:rsid w:val="00F6615E"/>
    <w:rsid w:val="00F71639"/>
    <w:rsid w:val="00F83B66"/>
    <w:rsid w:val="00FA0423"/>
    <w:rsid w:val="00FA2423"/>
    <w:rsid w:val="00FA4963"/>
    <w:rsid w:val="00FA639F"/>
    <w:rsid w:val="00FA794D"/>
    <w:rsid w:val="00FB1C02"/>
    <w:rsid w:val="00FC0E67"/>
    <w:rsid w:val="00FC1A94"/>
    <w:rsid w:val="00FD028C"/>
    <w:rsid w:val="00FD6391"/>
    <w:rsid w:val="00FD676D"/>
    <w:rsid w:val="00FD7A20"/>
    <w:rsid w:val="00FD7AE1"/>
    <w:rsid w:val="00FE0447"/>
    <w:rsid w:val="00FE3D5F"/>
    <w:rsid w:val="00FE6278"/>
    <w:rsid w:val="00FE77D2"/>
    <w:rsid w:val="00FF2F68"/>
    <w:rsid w:val="00FF5230"/>
    <w:rsid w:val="00FF6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EA5EE3"/>
  <w15:docId w15:val="{EFEB8477-0C1F-4A64-A1D2-F1208B0F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A1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85A17"/>
    <w:pPr>
      <w:keepNext/>
      <w:keepLines/>
      <w:spacing w:before="480"/>
      <w:ind w:left="794" w:hanging="794"/>
      <w:outlineLvl w:val="0"/>
    </w:pPr>
    <w:rPr>
      <w:b/>
      <w:sz w:val="28"/>
    </w:rPr>
  </w:style>
  <w:style w:type="paragraph" w:styleId="Heading2">
    <w:name w:val="heading 2"/>
    <w:basedOn w:val="Heading1"/>
    <w:next w:val="Normal"/>
    <w:qFormat/>
    <w:rsid w:val="00785A17"/>
    <w:pPr>
      <w:spacing w:before="320"/>
      <w:outlineLvl w:val="1"/>
    </w:pPr>
    <w:rPr>
      <w:sz w:val="24"/>
    </w:rPr>
  </w:style>
  <w:style w:type="paragraph" w:styleId="Heading3">
    <w:name w:val="heading 3"/>
    <w:basedOn w:val="Heading1"/>
    <w:next w:val="Normal"/>
    <w:qFormat/>
    <w:rsid w:val="00785A17"/>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785A17"/>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785A17"/>
    <w:pPr>
      <w:outlineLvl w:val="4"/>
    </w:pPr>
  </w:style>
  <w:style w:type="paragraph" w:styleId="Heading6">
    <w:name w:val="heading 6"/>
    <w:basedOn w:val="Heading4"/>
    <w:next w:val="Normal"/>
    <w:qFormat/>
    <w:rsid w:val="00785A17"/>
    <w:pPr>
      <w:outlineLvl w:val="5"/>
    </w:pPr>
  </w:style>
  <w:style w:type="paragraph" w:styleId="Heading7">
    <w:name w:val="heading 7"/>
    <w:basedOn w:val="Heading6"/>
    <w:next w:val="Normal"/>
    <w:qFormat/>
    <w:rsid w:val="00785A17"/>
    <w:pPr>
      <w:outlineLvl w:val="6"/>
    </w:pPr>
  </w:style>
  <w:style w:type="paragraph" w:styleId="Heading8">
    <w:name w:val="heading 8"/>
    <w:basedOn w:val="Heading6"/>
    <w:next w:val="Normal"/>
    <w:qFormat/>
    <w:rsid w:val="00785A17"/>
    <w:pPr>
      <w:outlineLvl w:val="7"/>
    </w:pPr>
  </w:style>
  <w:style w:type="paragraph" w:styleId="Heading9">
    <w:name w:val="heading 9"/>
    <w:basedOn w:val="Heading6"/>
    <w:next w:val="Normal"/>
    <w:qFormat/>
    <w:rsid w:val="00785A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85A17"/>
  </w:style>
  <w:style w:type="paragraph" w:styleId="TOC4">
    <w:name w:val="toc 4"/>
    <w:basedOn w:val="TOC3"/>
    <w:rsid w:val="00785A17"/>
    <w:pPr>
      <w:spacing w:before="80"/>
    </w:pPr>
  </w:style>
  <w:style w:type="paragraph" w:styleId="TOC3">
    <w:name w:val="toc 3"/>
    <w:basedOn w:val="TOC2"/>
    <w:rsid w:val="00785A17"/>
  </w:style>
  <w:style w:type="paragraph" w:styleId="TOC2">
    <w:name w:val="toc 2"/>
    <w:basedOn w:val="TOC1"/>
    <w:rsid w:val="00785A17"/>
    <w:pPr>
      <w:spacing w:before="160"/>
    </w:pPr>
  </w:style>
  <w:style w:type="paragraph" w:styleId="TOC1">
    <w:name w:val="toc 1"/>
    <w:basedOn w:val="Normal"/>
    <w:rsid w:val="00785A17"/>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785A17"/>
  </w:style>
  <w:style w:type="paragraph" w:styleId="TOC6">
    <w:name w:val="toc 6"/>
    <w:basedOn w:val="TOC4"/>
    <w:rsid w:val="00785A17"/>
  </w:style>
  <w:style w:type="paragraph" w:styleId="TOC5">
    <w:name w:val="toc 5"/>
    <w:basedOn w:val="TOC4"/>
    <w:rsid w:val="00785A17"/>
  </w:style>
  <w:style w:type="paragraph" w:styleId="Index7">
    <w:name w:val="index 7"/>
    <w:basedOn w:val="Normal"/>
    <w:next w:val="Normal"/>
    <w:rsid w:val="00785A17"/>
    <w:pPr>
      <w:ind w:left="1698"/>
    </w:pPr>
  </w:style>
  <w:style w:type="paragraph" w:styleId="Index6">
    <w:name w:val="index 6"/>
    <w:basedOn w:val="Normal"/>
    <w:next w:val="Normal"/>
    <w:rsid w:val="00785A17"/>
    <w:pPr>
      <w:ind w:left="1415"/>
    </w:pPr>
  </w:style>
  <w:style w:type="paragraph" w:styleId="Index5">
    <w:name w:val="index 5"/>
    <w:basedOn w:val="Normal"/>
    <w:next w:val="Normal"/>
    <w:rsid w:val="00785A17"/>
    <w:pPr>
      <w:ind w:left="1132"/>
    </w:pPr>
  </w:style>
  <w:style w:type="paragraph" w:styleId="Index4">
    <w:name w:val="index 4"/>
    <w:basedOn w:val="Normal"/>
    <w:next w:val="Normal"/>
    <w:rsid w:val="00785A17"/>
    <w:pPr>
      <w:ind w:left="849"/>
    </w:pPr>
  </w:style>
  <w:style w:type="paragraph" w:styleId="Index3">
    <w:name w:val="index 3"/>
    <w:basedOn w:val="Normal"/>
    <w:next w:val="Normal"/>
    <w:rsid w:val="00785A17"/>
    <w:pPr>
      <w:ind w:left="566"/>
    </w:pPr>
  </w:style>
  <w:style w:type="paragraph" w:styleId="Index2">
    <w:name w:val="index 2"/>
    <w:basedOn w:val="Normal"/>
    <w:next w:val="Normal"/>
    <w:rsid w:val="00785A17"/>
    <w:pPr>
      <w:ind w:left="283"/>
    </w:pPr>
  </w:style>
  <w:style w:type="paragraph" w:styleId="Index1">
    <w:name w:val="index 1"/>
    <w:basedOn w:val="Normal"/>
    <w:next w:val="Normal"/>
    <w:rsid w:val="00785A17"/>
  </w:style>
  <w:style w:type="character" w:styleId="LineNumber">
    <w:name w:val="line number"/>
    <w:basedOn w:val="DefaultParagraphFont"/>
    <w:rsid w:val="00785A17"/>
  </w:style>
  <w:style w:type="paragraph" w:styleId="IndexHeading">
    <w:name w:val="index heading"/>
    <w:basedOn w:val="Normal"/>
    <w:next w:val="Index1"/>
    <w:rsid w:val="00785A17"/>
  </w:style>
  <w:style w:type="paragraph" w:styleId="Footer">
    <w:name w:val="footer"/>
    <w:basedOn w:val="Normal"/>
    <w:rsid w:val="00785A17"/>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785A17"/>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785A17"/>
    <w:rPr>
      <w:position w:val="6"/>
      <w:sz w:val="18"/>
    </w:rPr>
  </w:style>
  <w:style w:type="paragraph" w:styleId="FootnoteText">
    <w:name w:val="footnote text"/>
    <w:basedOn w:val="Normal"/>
    <w:rsid w:val="00785A17"/>
    <w:pPr>
      <w:keepLines/>
      <w:tabs>
        <w:tab w:val="left" w:pos="255"/>
      </w:tabs>
      <w:ind w:left="255" w:hanging="255"/>
    </w:pPr>
  </w:style>
  <w:style w:type="paragraph" w:styleId="NormalIndent">
    <w:name w:val="Normal Indent"/>
    <w:basedOn w:val="Normal"/>
    <w:rsid w:val="00785A17"/>
    <w:pPr>
      <w:ind w:left="794"/>
    </w:pPr>
  </w:style>
  <w:style w:type="paragraph" w:customStyle="1" w:styleId="enumlev1">
    <w:name w:val="enumlev1"/>
    <w:basedOn w:val="Normal"/>
    <w:rsid w:val="00785A17"/>
    <w:pPr>
      <w:tabs>
        <w:tab w:val="left" w:pos="2608"/>
        <w:tab w:val="left" w:pos="3345"/>
      </w:tabs>
      <w:spacing w:before="80"/>
      <w:ind w:left="794" w:hanging="794"/>
    </w:pPr>
  </w:style>
  <w:style w:type="paragraph" w:customStyle="1" w:styleId="enumlev2">
    <w:name w:val="enumlev2"/>
    <w:basedOn w:val="enumlev1"/>
    <w:rsid w:val="00785A17"/>
    <w:pPr>
      <w:ind w:left="1191" w:hanging="397"/>
    </w:pPr>
  </w:style>
  <w:style w:type="paragraph" w:customStyle="1" w:styleId="enumlev3">
    <w:name w:val="enumlev3"/>
    <w:basedOn w:val="enumlev2"/>
    <w:rsid w:val="00785A17"/>
    <w:pPr>
      <w:ind w:left="1588"/>
    </w:pPr>
  </w:style>
  <w:style w:type="paragraph" w:customStyle="1" w:styleId="Normalaftertitle">
    <w:name w:val="Normal after title"/>
    <w:basedOn w:val="Normal"/>
    <w:next w:val="Normal"/>
    <w:rsid w:val="00785A17"/>
    <w:pPr>
      <w:spacing w:before="320"/>
    </w:pPr>
  </w:style>
  <w:style w:type="paragraph" w:customStyle="1" w:styleId="Equation">
    <w:name w:val="Equation"/>
    <w:basedOn w:val="Normal"/>
    <w:rsid w:val="00785A17"/>
    <w:pPr>
      <w:tabs>
        <w:tab w:val="clear" w:pos="1191"/>
        <w:tab w:val="clear" w:pos="1588"/>
        <w:tab w:val="clear" w:pos="1985"/>
        <w:tab w:val="center" w:pos="4820"/>
        <w:tab w:val="right" w:pos="9639"/>
      </w:tabs>
    </w:pPr>
  </w:style>
  <w:style w:type="paragraph" w:customStyle="1" w:styleId="Head">
    <w:name w:val="Head"/>
    <w:basedOn w:val="Normal"/>
    <w:rsid w:val="00785A17"/>
    <w:pPr>
      <w:tabs>
        <w:tab w:val="left" w:pos="6663"/>
      </w:tabs>
      <w:overflowPunct/>
      <w:autoSpaceDE/>
      <w:autoSpaceDN/>
      <w:adjustRightInd/>
      <w:spacing w:before="0"/>
      <w:textAlignment w:val="auto"/>
    </w:pPr>
  </w:style>
  <w:style w:type="paragraph" w:customStyle="1" w:styleId="toc0">
    <w:name w:val="toc 0"/>
    <w:basedOn w:val="Normal"/>
    <w:next w:val="TOC1"/>
    <w:rsid w:val="00785A17"/>
    <w:pPr>
      <w:tabs>
        <w:tab w:val="clear" w:pos="1191"/>
        <w:tab w:val="clear" w:pos="1588"/>
        <w:tab w:val="clear" w:pos="1985"/>
        <w:tab w:val="center" w:pos="8789"/>
      </w:tabs>
    </w:pPr>
    <w:rPr>
      <w:b/>
    </w:rPr>
  </w:style>
  <w:style w:type="paragraph" w:styleId="List">
    <w:name w:val="List"/>
    <w:basedOn w:val="Normal"/>
    <w:rsid w:val="00785A1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785A17"/>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785A1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785A17"/>
    <w:pPr>
      <w:spacing w:before="480"/>
      <w:jc w:val="center"/>
    </w:pPr>
    <w:rPr>
      <w:b/>
      <w:sz w:val="28"/>
    </w:rPr>
  </w:style>
  <w:style w:type="paragraph" w:customStyle="1" w:styleId="meeting">
    <w:name w:val="meeting"/>
    <w:basedOn w:val="Head"/>
    <w:next w:val="Head"/>
    <w:rsid w:val="00785A17"/>
    <w:pPr>
      <w:tabs>
        <w:tab w:val="left" w:pos="7371"/>
      </w:tabs>
      <w:spacing w:after="567"/>
    </w:pPr>
  </w:style>
  <w:style w:type="paragraph" w:customStyle="1" w:styleId="Subject">
    <w:name w:val="Subject"/>
    <w:basedOn w:val="Normal"/>
    <w:next w:val="Source"/>
    <w:rsid w:val="00785A17"/>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785A17"/>
  </w:style>
  <w:style w:type="paragraph" w:customStyle="1" w:styleId="Data">
    <w:name w:val="Data"/>
    <w:basedOn w:val="Subject"/>
    <w:next w:val="Subject"/>
    <w:rsid w:val="00785A17"/>
  </w:style>
  <w:style w:type="paragraph" w:customStyle="1" w:styleId="Reasons">
    <w:name w:val="Reasons"/>
    <w:basedOn w:val="Normal"/>
    <w:rsid w:val="00785A17"/>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785A17"/>
    <w:rPr>
      <w:color w:val="0000FF"/>
      <w:u w:val="single"/>
    </w:rPr>
  </w:style>
  <w:style w:type="paragraph" w:customStyle="1" w:styleId="FirstFooter">
    <w:name w:val="FirstFooter"/>
    <w:basedOn w:val="Footer"/>
    <w:rsid w:val="00785A17"/>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785A17"/>
    <w:pPr>
      <w:tabs>
        <w:tab w:val="clear" w:pos="794"/>
        <w:tab w:val="clear" w:pos="1191"/>
        <w:tab w:val="clear" w:pos="1588"/>
        <w:tab w:val="clear" w:pos="1985"/>
      </w:tabs>
      <w:spacing w:before="80"/>
    </w:pPr>
  </w:style>
  <w:style w:type="paragraph" w:styleId="TOC9">
    <w:name w:val="toc 9"/>
    <w:basedOn w:val="TOC4"/>
    <w:rsid w:val="00785A17"/>
  </w:style>
  <w:style w:type="paragraph" w:customStyle="1" w:styleId="Headingb">
    <w:name w:val="Heading_b"/>
    <w:basedOn w:val="Heading3"/>
    <w:next w:val="Normal"/>
    <w:rsid w:val="00785A1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785A17"/>
    <w:rPr>
      <w:color w:val="800080"/>
      <w:u w:val="single"/>
    </w:rPr>
  </w:style>
  <w:style w:type="paragraph" w:customStyle="1" w:styleId="Title1">
    <w:name w:val="Title 1"/>
    <w:basedOn w:val="Source"/>
    <w:next w:val="Title2"/>
    <w:rsid w:val="00785A1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785A1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785A17"/>
    <w:pPr>
      <w:spacing w:before="240"/>
    </w:pPr>
    <w:rPr>
      <w:caps w:val="0"/>
    </w:rPr>
  </w:style>
  <w:style w:type="paragraph" w:customStyle="1" w:styleId="Title4">
    <w:name w:val="Title 4"/>
    <w:basedOn w:val="Title3"/>
    <w:next w:val="Heading1"/>
    <w:rsid w:val="00785A17"/>
    <w:rPr>
      <w:b/>
    </w:rPr>
  </w:style>
  <w:style w:type="paragraph" w:customStyle="1" w:styleId="dnum">
    <w:name w:val="dnum"/>
    <w:basedOn w:val="Normal"/>
    <w:rsid w:val="00785A1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785A1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785A1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785A17"/>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785A17"/>
    <w:pPr>
      <w:keepNext/>
      <w:keepLines/>
      <w:spacing w:before="480" w:after="80"/>
      <w:jc w:val="center"/>
    </w:pPr>
    <w:rPr>
      <w:caps/>
      <w:sz w:val="28"/>
    </w:rPr>
  </w:style>
  <w:style w:type="paragraph" w:customStyle="1" w:styleId="Annextitle">
    <w:name w:val="Annex_title"/>
    <w:basedOn w:val="Normal"/>
    <w:next w:val="Annexref"/>
    <w:rsid w:val="00785A17"/>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785A17"/>
    <w:pPr>
      <w:keepNext/>
      <w:keepLines/>
      <w:spacing w:after="280"/>
      <w:jc w:val="center"/>
    </w:pPr>
  </w:style>
  <w:style w:type="paragraph" w:customStyle="1" w:styleId="AppendixNo">
    <w:name w:val="Appendix_No"/>
    <w:basedOn w:val="AnnexNo"/>
    <w:next w:val="Appendixtitle"/>
    <w:rsid w:val="00785A17"/>
  </w:style>
  <w:style w:type="paragraph" w:customStyle="1" w:styleId="Appendixtitle">
    <w:name w:val="Appendix_title"/>
    <w:basedOn w:val="Annextitle"/>
    <w:next w:val="Appendixref"/>
    <w:rsid w:val="00785A17"/>
  </w:style>
  <w:style w:type="paragraph" w:customStyle="1" w:styleId="Appendixref">
    <w:name w:val="Appendix_ref"/>
    <w:basedOn w:val="Annexref"/>
    <w:next w:val="Normalaftertitle"/>
    <w:rsid w:val="00785A17"/>
  </w:style>
  <w:style w:type="paragraph" w:customStyle="1" w:styleId="Call">
    <w:name w:val="Call"/>
    <w:basedOn w:val="Normal"/>
    <w:next w:val="Normal"/>
    <w:rsid w:val="00785A17"/>
    <w:pPr>
      <w:keepNext/>
      <w:keepLines/>
      <w:spacing w:before="160"/>
      <w:ind w:left="794"/>
    </w:pPr>
    <w:rPr>
      <w:i/>
    </w:rPr>
  </w:style>
  <w:style w:type="character" w:styleId="EndnoteReference">
    <w:name w:val="endnote reference"/>
    <w:basedOn w:val="DefaultParagraphFont"/>
    <w:rsid w:val="00785A17"/>
    <w:rPr>
      <w:vertAlign w:val="superscript"/>
    </w:rPr>
  </w:style>
  <w:style w:type="paragraph" w:customStyle="1" w:styleId="Equationlegend">
    <w:name w:val="Equation_legend"/>
    <w:basedOn w:val="Normal"/>
    <w:rsid w:val="00785A1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785A17"/>
    <w:pPr>
      <w:keepNext/>
      <w:keepLines/>
      <w:spacing w:after="120"/>
      <w:jc w:val="center"/>
    </w:pPr>
  </w:style>
  <w:style w:type="paragraph" w:customStyle="1" w:styleId="Figuretitle">
    <w:name w:val="Figure_title"/>
    <w:basedOn w:val="Tabletitle"/>
    <w:next w:val="Normalaftertitle"/>
    <w:rsid w:val="00785A17"/>
    <w:pPr>
      <w:spacing w:before="240" w:after="480"/>
    </w:pPr>
  </w:style>
  <w:style w:type="paragraph" w:customStyle="1" w:styleId="Tabletitle">
    <w:name w:val="Table_title"/>
    <w:basedOn w:val="TableNo"/>
    <w:next w:val="Tabletext"/>
    <w:rsid w:val="00785A17"/>
    <w:pPr>
      <w:spacing w:before="0"/>
    </w:pPr>
    <w:rPr>
      <w:rFonts w:ascii="Times New Roman Bold" w:hAnsi="Times New Roman Bold"/>
      <w:b/>
      <w:caps w:val="0"/>
    </w:rPr>
  </w:style>
  <w:style w:type="paragraph" w:customStyle="1" w:styleId="TableNo">
    <w:name w:val="Table_No"/>
    <w:basedOn w:val="Normal"/>
    <w:next w:val="Tabletitle"/>
    <w:rsid w:val="00785A17"/>
    <w:pPr>
      <w:keepNext/>
      <w:spacing w:before="360" w:after="120"/>
      <w:jc w:val="center"/>
    </w:pPr>
    <w:rPr>
      <w:caps/>
    </w:rPr>
  </w:style>
  <w:style w:type="paragraph" w:customStyle="1" w:styleId="Tabletext">
    <w:name w:val="Table_text"/>
    <w:basedOn w:val="Normal"/>
    <w:rsid w:val="00785A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785A1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85A17"/>
    <w:pPr>
      <w:keepNext/>
      <w:keepLines/>
      <w:spacing w:before="240" w:after="120"/>
      <w:jc w:val="center"/>
    </w:pPr>
    <w:rPr>
      <w:caps/>
    </w:rPr>
  </w:style>
  <w:style w:type="paragraph" w:customStyle="1" w:styleId="Figurewithouttitle">
    <w:name w:val="Figure_without_title"/>
    <w:basedOn w:val="Figure"/>
    <w:next w:val="Normalaftertitle"/>
    <w:rsid w:val="00785A17"/>
    <w:pPr>
      <w:keepNext w:val="0"/>
      <w:spacing w:after="240"/>
    </w:pPr>
  </w:style>
  <w:style w:type="paragraph" w:customStyle="1" w:styleId="Headingi">
    <w:name w:val="Heading_i"/>
    <w:basedOn w:val="Heading3"/>
    <w:next w:val="Normal"/>
    <w:rsid w:val="00785A17"/>
    <w:pPr>
      <w:spacing w:before="160"/>
    </w:pPr>
    <w:rPr>
      <w:b w:val="0"/>
    </w:rPr>
  </w:style>
  <w:style w:type="character" w:styleId="PageNumber">
    <w:name w:val="page number"/>
    <w:basedOn w:val="DefaultParagraphFont"/>
    <w:rsid w:val="00785A17"/>
  </w:style>
  <w:style w:type="paragraph" w:customStyle="1" w:styleId="PartNo">
    <w:name w:val="Part_No"/>
    <w:basedOn w:val="AnnexNo"/>
    <w:next w:val="Parttitle"/>
    <w:rsid w:val="00785A17"/>
  </w:style>
  <w:style w:type="paragraph" w:customStyle="1" w:styleId="Parttitle">
    <w:name w:val="Part_title"/>
    <w:basedOn w:val="Annextitle"/>
    <w:next w:val="Partref"/>
    <w:rsid w:val="00785A17"/>
  </w:style>
  <w:style w:type="paragraph" w:customStyle="1" w:styleId="Partref">
    <w:name w:val="Part_ref"/>
    <w:basedOn w:val="Annexref"/>
    <w:next w:val="Normalaftertitle"/>
    <w:rsid w:val="00785A17"/>
  </w:style>
  <w:style w:type="paragraph" w:customStyle="1" w:styleId="RecNo">
    <w:name w:val="Rec_No"/>
    <w:basedOn w:val="Normal"/>
    <w:next w:val="Rectitle"/>
    <w:rsid w:val="00785A17"/>
    <w:pPr>
      <w:keepNext/>
      <w:keepLines/>
      <w:spacing w:before="480"/>
      <w:jc w:val="center"/>
    </w:pPr>
    <w:rPr>
      <w:caps/>
      <w:sz w:val="28"/>
    </w:rPr>
  </w:style>
  <w:style w:type="paragraph" w:customStyle="1" w:styleId="Rectitle">
    <w:name w:val="Rec_title"/>
    <w:basedOn w:val="RecNo"/>
    <w:next w:val="Recref"/>
    <w:rsid w:val="00785A17"/>
    <w:pPr>
      <w:spacing w:before="240"/>
    </w:pPr>
    <w:rPr>
      <w:rFonts w:ascii="Times New Roman Bold" w:hAnsi="Times New Roman Bold"/>
      <w:b/>
      <w:caps w:val="0"/>
    </w:rPr>
  </w:style>
  <w:style w:type="paragraph" w:customStyle="1" w:styleId="Recref">
    <w:name w:val="Rec_ref"/>
    <w:basedOn w:val="Rectitle"/>
    <w:next w:val="Recdate"/>
    <w:rsid w:val="00785A1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785A17"/>
    <w:pPr>
      <w:jc w:val="right"/>
    </w:pPr>
    <w:rPr>
      <w:sz w:val="22"/>
    </w:rPr>
  </w:style>
  <w:style w:type="paragraph" w:customStyle="1" w:styleId="Questiondate">
    <w:name w:val="Question_date"/>
    <w:basedOn w:val="Recdate"/>
    <w:next w:val="Normalaftertitle"/>
    <w:rsid w:val="00785A17"/>
  </w:style>
  <w:style w:type="paragraph" w:customStyle="1" w:styleId="QuestionNo">
    <w:name w:val="Question_No"/>
    <w:basedOn w:val="RecNo"/>
    <w:next w:val="Questiontitle"/>
    <w:rsid w:val="00785A17"/>
  </w:style>
  <w:style w:type="paragraph" w:customStyle="1" w:styleId="Questiontitle">
    <w:name w:val="Question_title"/>
    <w:basedOn w:val="Rectitle"/>
    <w:next w:val="Questionref"/>
    <w:rsid w:val="00785A17"/>
  </w:style>
  <w:style w:type="paragraph" w:customStyle="1" w:styleId="Questionref">
    <w:name w:val="Question_ref"/>
    <w:basedOn w:val="Recref"/>
    <w:next w:val="Questiondate"/>
    <w:rsid w:val="00785A17"/>
  </w:style>
  <w:style w:type="paragraph" w:customStyle="1" w:styleId="Reftext">
    <w:name w:val="Ref_text"/>
    <w:basedOn w:val="Normal"/>
    <w:rsid w:val="00785A17"/>
    <w:pPr>
      <w:ind w:left="794" w:hanging="794"/>
    </w:pPr>
  </w:style>
  <w:style w:type="paragraph" w:customStyle="1" w:styleId="Reftitle">
    <w:name w:val="Ref_title"/>
    <w:basedOn w:val="Normal"/>
    <w:next w:val="Reftext"/>
    <w:rsid w:val="00785A17"/>
    <w:pPr>
      <w:spacing w:before="480"/>
      <w:jc w:val="center"/>
    </w:pPr>
    <w:rPr>
      <w:caps/>
    </w:rPr>
  </w:style>
  <w:style w:type="paragraph" w:customStyle="1" w:styleId="Repdate">
    <w:name w:val="Rep_date"/>
    <w:basedOn w:val="Recdate"/>
    <w:next w:val="Normalaftertitle"/>
    <w:rsid w:val="00785A17"/>
  </w:style>
  <w:style w:type="paragraph" w:customStyle="1" w:styleId="RepNo">
    <w:name w:val="Rep_No"/>
    <w:basedOn w:val="RecNo"/>
    <w:next w:val="Reptitle"/>
    <w:rsid w:val="00785A17"/>
  </w:style>
  <w:style w:type="paragraph" w:customStyle="1" w:styleId="Reptitle">
    <w:name w:val="Rep_title"/>
    <w:basedOn w:val="Rectitle"/>
    <w:next w:val="Repref"/>
    <w:rsid w:val="00785A17"/>
  </w:style>
  <w:style w:type="paragraph" w:customStyle="1" w:styleId="Repref">
    <w:name w:val="Rep_ref"/>
    <w:basedOn w:val="Recref"/>
    <w:next w:val="Repdate"/>
    <w:rsid w:val="00785A17"/>
  </w:style>
  <w:style w:type="paragraph" w:customStyle="1" w:styleId="Resdate">
    <w:name w:val="Res_date"/>
    <w:basedOn w:val="Recdate"/>
    <w:next w:val="Normalaftertitle"/>
    <w:rsid w:val="00785A17"/>
  </w:style>
  <w:style w:type="paragraph" w:customStyle="1" w:styleId="ResNo">
    <w:name w:val="Res_No"/>
    <w:basedOn w:val="RecNo"/>
    <w:next w:val="Restitle"/>
    <w:rsid w:val="00785A17"/>
  </w:style>
  <w:style w:type="paragraph" w:customStyle="1" w:styleId="Restitle">
    <w:name w:val="Res_title"/>
    <w:basedOn w:val="Rectitle"/>
    <w:next w:val="Resref"/>
    <w:rsid w:val="00785A17"/>
  </w:style>
  <w:style w:type="paragraph" w:customStyle="1" w:styleId="Resref">
    <w:name w:val="Res_ref"/>
    <w:basedOn w:val="Recref"/>
    <w:next w:val="Resdate"/>
    <w:rsid w:val="00785A17"/>
  </w:style>
  <w:style w:type="paragraph" w:customStyle="1" w:styleId="SectionNo">
    <w:name w:val="Section_No"/>
    <w:basedOn w:val="AnnexNo"/>
    <w:next w:val="Sectiontitle"/>
    <w:rsid w:val="00785A17"/>
  </w:style>
  <w:style w:type="paragraph" w:customStyle="1" w:styleId="Sectiontitle">
    <w:name w:val="Section_title"/>
    <w:basedOn w:val="Normal"/>
    <w:next w:val="Normalaftertitle"/>
    <w:rsid w:val="00785A17"/>
    <w:rPr>
      <w:sz w:val="28"/>
    </w:rPr>
  </w:style>
  <w:style w:type="paragraph" w:customStyle="1" w:styleId="SpecialFooter">
    <w:name w:val="Special Footer"/>
    <w:basedOn w:val="Footer"/>
    <w:rsid w:val="00785A1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785A17"/>
    <w:pPr>
      <w:keepNext/>
      <w:spacing w:before="80" w:after="80"/>
      <w:jc w:val="center"/>
    </w:pPr>
    <w:rPr>
      <w:b/>
    </w:rPr>
  </w:style>
  <w:style w:type="paragraph" w:customStyle="1" w:styleId="Tablelegend">
    <w:name w:val="Table_legend"/>
    <w:basedOn w:val="Tabletext"/>
    <w:rsid w:val="00785A17"/>
    <w:pPr>
      <w:spacing w:before="120"/>
    </w:pPr>
  </w:style>
  <w:style w:type="paragraph" w:customStyle="1" w:styleId="Tableref">
    <w:name w:val="Table_ref"/>
    <w:basedOn w:val="Normal"/>
    <w:next w:val="Tabletitle"/>
    <w:rsid w:val="00785A17"/>
    <w:pPr>
      <w:keepNext/>
      <w:spacing w:before="567"/>
      <w:jc w:val="center"/>
    </w:pPr>
  </w:style>
  <w:style w:type="paragraph" w:customStyle="1" w:styleId="Artheading">
    <w:name w:val="Art_heading"/>
    <w:basedOn w:val="Normal"/>
    <w:next w:val="Normalaftertitle"/>
    <w:rsid w:val="00785A17"/>
    <w:pPr>
      <w:spacing w:before="480"/>
      <w:jc w:val="center"/>
    </w:pPr>
    <w:rPr>
      <w:rFonts w:ascii="Times New Roman Bold" w:hAnsi="Times New Roman Bold"/>
      <w:b/>
      <w:sz w:val="28"/>
    </w:rPr>
  </w:style>
  <w:style w:type="paragraph" w:customStyle="1" w:styleId="ArtNo">
    <w:name w:val="Art_No"/>
    <w:basedOn w:val="Normal"/>
    <w:next w:val="Normal"/>
    <w:rsid w:val="00785A17"/>
    <w:pPr>
      <w:keepNext/>
      <w:keepLines/>
      <w:spacing w:before="480"/>
      <w:jc w:val="center"/>
    </w:pPr>
    <w:rPr>
      <w:caps/>
      <w:sz w:val="28"/>
    </w:rPr>
  </w:style>
  <w:style w:type="paragraph" w:customStyle="1" w:styleId="Arttitle">
    <w:name w:val="Art_title"/>
    <w:basedOn w:val="Normal"/>
    <w:next w:val="Normalaftertitle"/>
    <w:rsid w:val="00785A17"/>
    <w:pPr>
      <w:keepNext/>
      <w:keepLines/>
      <w:spacing w:before="240"/>
      <w:jc w:val="center"/>
    </w:pPr>
    <w:rPr>
      <w:b/>
      <w:sz w:val="28"/>
    </w:rPr>
  </w:style>
  <w:style w:type="paragraph" w:customStyle="1" w:styleId="ChapNo">
    <w:name w:val="Chap_No"/>
    <w:basedOn w:val="ArtNo"/>
    <w:next w:val="Chaptitle"/>
    <w:rsid w:val="00785A17"/>
    <w:rPr>
      <w:rFonts w:ascii="Times New Roman Bold" w:hAnsi="Times New Roman Bold"/>
      <w:b/>
    </w:rPr>
  </w:style>
  <w:style w:type="paragraph" w:customStyle="1" w:styleId="Chaptitle">
    <w:name w:val="Chap_title"/>
    <w:basedOn w:val="Arttitle"/>
    <w:next w:val="Normalaftertitle"/>
    <w:rsid w:val="00785A17"/>
  </w:style>
  <w:style w:type="paragraph" w:styleId="BodyText">
    <w:name w:val="Body Text"/>
    <w:basedOn w:val="Normal"/>
    <w:rsid w:val="006662CE"/>
    <w:pPr>
      <w:jc w:val="both"/>
    </w:pPr>
    <w:rPr>
      <w:lang w:val="fr-CH"/>
    </w:rPr>
  </w:style>
  <w:style w:type="paragraph" w:styleId="BalloonText">
    <w:name w:val="Balloon Text"/>
    <w:basedOn w:val="Normal"/>
    <w:semiHidden/>
    <w:rsid w:val="00AE066A"/>
    <w:rPr>
      <w:rFonts w:ascii="Tahoma" w:hAnsi="Tahoma" w:cs="Tahoma"/>
      <w:sz w:val="16"/>
      <w:szCs w:val="16"/>
    </w:rPr>
  </w:style>
  <w:style w:type="paragraph" w:styleId="ListParagraph">
    <w:name w:val="List Paragraph"/>
    <w:basedOn w:val="Normal"/>
    <w:uiPriority w:val="34"/>
    <w:qFormat/>
    <w:rsid w:val="00465F58"/>
    <w:pPr>
      <w:ind w:left="720"/>
      <w:contextualSpacing/>
    </w:pPr>
  </w:style>
  <w:style w:type="paragraph" w:customStyle="1" w:styleId="font5">
    <w:name w:val="font5"/>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65">
    <w:name w:val="xl65"/>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xl66">
    <w:name w:val="xl66"/>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paragraph" w:customStyle="1" w:styleId="xl67">
    <w:name w:val="xl67"/>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sz w:val="22"/>
      <w:szCs w:val="22"/>
      <w:lang w:val="en-US" w:eastAsia="zh-CN"/>
    </w:rPr>
  </w:style>
  <w:style w:type="paragraph" w:customStyle="1" w:styleId="xl68">
    <w:name w:val="xl68"/>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sz w:val="22"/>
      <w:szCs w:val="22"/>
      <w:lang w:val="en-US" w:eastAsia="zh-CN"/>
    </w:rPr>
  </w:style>
  <w:style w:type="paragraph" w:customStyle="1" w:styleId="xl69">
    <w:name w:val="xl69"/>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paragraph" w:customStyle="1" w:styleId="xl70">
    <w:name w:val="xl70"/>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b/>
      <w:bCs/>
      <w:sz w:val="22"/>
      <w:szCs w:val="22"/>
      <w:lang w:val="en-US" w:eastAsia="zh-CN"/>
    </w:rPr>
  </w:style>
  <w:style w:type="paragraph" w:customStyle="1" w:styleId="xl71">
    <w:name w:val="xl71"/>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alibri" w:hAnsi="Calibri"/>
      <w:sz w:val="22"/>
      <w:szCs w:val="22"/>
      <w:lang w:val="en-US" w:eastAsia="zh-CN"/>
    </w:rPr>
  </w:style>
  <w:style w:type="paragraph" w:customStyle="1" w:styleId="xl72">
    <w:name w:val="xl72"/>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paragraph" w:customStyle="1" w:styleId="xl73">
    <w:name w:val="xl73"/>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paragraph" w:customStyle="1" w:styleId="xl74">
    <w:name w:val="xl74"/>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sz w:val="22"/>
      <w:szCs w:val="22"/>
      <w:lang w:val="en-US" w:eastAsia="zh-CN"/>
    </w:rPr>
  </w:style>
  <w:style w:type="paragraph" w:customStyle="1" w:styleId="xl75">
    <w:name w:val="xl75"/>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b/>
      <w:bCs/>
      <w:sz w:val="22"/>
      <w:szCs w:val="22"/>
      <w:lang w:val="en-US" w:eastAsia="zh-CN"/>
    </w:rPr>
  </w:style>
  <w:style w:type="paragraph" w:customStyle="1" w:styleId="xl76">
    <w:name w:val="xl76"/>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77">
    <w:name w:val="xl77"/>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color w:val="000000"/>
      <w:sz w:val="22"/>
      <w:szCs w:val="22"/>
      <w:lang w:val="en-US" w:eastAsia="zh-CN"/>
    </w:rPr>
  </w:style>
  <w:style w:type="paragraph" w:customStyle="1" w:styleId="xl78">
    <w:name w:val="xl78"/>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color w:val="000000"/>
      <w:sz w:val="22"/>
      <w:szCs w:val="22"/>
      <w:lang w:val="en-US" w:eastAsia="zh-CN"/>
    </w:rPr>
  </w:style>
  <w:style w:type="paragraph" w:customStyle="1" w:styleId="xl79">
    <w:name w:val="xl79"/>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80">
    <w:name w:val="xl80"/>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81">
    <w:name w:val="xl81"/>
    <w:basedOn w:val="Normal"/>
    <w:rsid w:val="009C0FFC"/>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82">
    <w:name w:val="xl82"/>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alibri" w:hAnsi="Calibri"/>
      <w:color w:val="000000"/>
      <w:sz w:val="22"/>
      <w:szCs w:val="22"/>
      <w:lang w:val="en-US" w:eastAsia="zh-CN"/>
    </w:rPr>
  </w:style>
  <w:style w:type="paragraph" w:customStyle="1" w:styleId="xl83">
    <w:name w:val="xl83"/>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2"/>
      <w:szCs w:val="22"/>
      <w:lang w:val="en-US" w:eastAsia="zh-CN"/>
    </w:rPr>
  </w:style>
  <w:style w:type="paragraph" w:customStyle="1" w:styleId="xl84">
    <w:name w:val="xl84"/>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b/>
      <w:bCs/>
      <w:color w:val="000000"/>
      <w:sz w:val="22"/>
      <w:szCs w:val="22"/>
      <w:lang w:val="en-US" w:eastAsia="zh-CN"/>
    </w:rPr>
  </w:style>
  <w:style w:type="paragraph" w:customStyle="1" w:styleId="xl85">
    <w:name w:val="xl85"/>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color w:val="000000"/>
      <w:sz w:val="22"/>
      <w:szCs w:val="22"/>
      <w:lang w:val="en-US" w:eastAsia="zh-CN"/>
    </w:rPr>
  </w:style>
  <w:style w:type="paragraph" w:customStyle="1" w:styleId="xl86">
    <w:name w:val="xl86"/>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b/>
      <w:bCs/>
      <w:color w:val="000000"/>
      <w:sz w:val="22"/>
      <w:szCs w:val="22"/>
      <w:lang w:val="en-US" w:eastAsia="zh-CN"/>
    </w:rPr>
  </w:style>
  <w:style w:type="paragraph" w:customStyle="1" w:styleId="xl87">
    <w:name w:val="xl87"/>
    <w:basedOn w:val="Normal"/>
    <w:rsid w:val="009C0FFC"/>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paragraph" w:customStyle="1" w:styleId="xl88">
    <w:name w:val="xl88"/>
    <w:basedOn w:val="Normal"/>
    <w:rsid w:val="009C0FFC"/>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alibri" w:hAnsi="Calibri"/>
      <w:sz w:val="22"/>
      <w:szCs w:val="22"/>
      <w:lang w:val="en-US" w:eastAsia="zh-CN"/>
    </w:rPr>
  </w:style>
  <w:style w:type="paragraph" w:customStyle="1" w:styleId="xl89">
    <w:name w:val="xl89"/>
    <w:basedOn w:val="Normal"/>
    <w:rsid w:val="009C0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table" w:styleId="TableGrid">
    <w:name w:val="Table Grid"/>
    <w:basedOn w:val="TableNormal"/>
    <w:rsid w:val="0009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0">
    <w:name w:val="xl90"/>
    <w:basedOn w:val="Normal"/>
    <w:rsid w:val="00A361E1"/>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2"/>
      <w:szCs w:val="22"/>
      <w:lang w:val="en-US" w:eastAsia="zh-CN"/>
    </w:rPr>
  </w:style>
  <w:style w:type="character" w:customStyle="1" w:styleId="HeaderChar">
    <w:name w:val="Header Char"/>
    <w:link w:val="Header"/>
    <w:uiPriority w:val="99"/>
    <w:rsid w:val="00F24695"/>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2971">
      <w:bodyDiv w:val="1"/>
      <w:marLeft w:val="0"/>
      <w:marRight w:val="0"/>
      <w:marTop w:val="0"/>
      <w:marBottom w:val="0"/>
      <w:divBdr>
        <w:top w:val="none" w:sz="0" w:space="0" w:color="auto"/>
        <w:left w:val="none" w:sz="0" w:space="0" w:color="auto"/>
        <w:bottom w:val="none" w:sz="0" w:space="0" w:color="auto"/>
        <w:right w:val="none" w:sz="0" w:space="0" w:color="auto"/>
      </w:divBdr>
    </w:div>
    <w:div w:id="49117379">
      <w:bodyDiv w:val="1"/>
      <w:marLeft w:val="0"/>
      <w:marRight w:val="0"/>
      <w:marTop w:val="0"/>
      <w:marBottom w:val="0"/>
      <w:divBdr>
        <w:top w:val="none" w:sz="0" w:space="0" w:color="auto"/>
        <w:left w:val="none" w:sz="0" w:space="0" w:color="auto"/>
        <w:bottom w:val="none" w:sz="0" w:space="0" w:color="auto"/>
        <w:right w:val="none" w:sz="0" w:space="0" w:color="auto"/>
      </w:divBdr>
    </w:div>
    <w:div w:id="109084420">
      <w:bodyDiv w:val="1"/>
      <w:marLeft w:val="0"/>
      <w:marRight w:val="0"/>
      <w:marTop w:val="0"/>
      <w:marBottom w:val="0"/>
      <w:divBdr>
        <w:top w:val="none" w:sz="0" w:space="0" w:color="auto"/>
        <w:left w:val="none" w:sz="0" w:space="0" w:color="auto"/>
        <w:bottom w:val="none" w:sz="0" w:space="0" w:color="auto"/>
        <w:right w:val="none" w:sz="0" w:space="0" w:color="auto"/>
      </w:divBdr>
    </w:div>
    <w:div w:id="126898223">
      <w:bodyDiv w:val="1"/>
      <w:marLeft w:val="0"/>
      <w:marRight w:val="0"/>
      <w:marTop w:val="0"/>
      <w:marBottom w:val="0"/>
      <w:divBdr>
        <w:top w:val="none" w:sz="0" w:space="0" w:color="auto"/>
        <w:left w:val="none" w:sz="0" w:space="0" w:color="auto"/>
        <w:bottom w:val="none" w:sz="0" w:space="0" w:color="auto"/>
        <w:right w:val="none" w:sz="0" w:space="0" w:color="auto"/>
      </w:divBdr>
    </w:div>
    <w:div w:id="127822325">
      <w:bodyDiv w:val="1"/>
      <w:marLeft w:val="0"/>
      <w:marRight w:val="0"/>
      <w:marTop w:val="0"/>
      <w:marBottom w:val="0"/>
      <w:divBdr>
        <w:top w:val="none" w:sz="0" w:space="0" w:color="auto"/>
        <w:left w:val="none" w:sz="0" w:space="0" w:color="auto"/>
        <w:bottom w:val="none" w:sz="0" w:space="0" w:color="auto"/>
        <w:right w:val="none" w:sz="0" w:space="0" w:color="auto"/>
      </w:divBdr>
    </w:div>
    <w:div w:id="129329857">
      <w:bodyDiv w:val="1"/>
      <w:marLeft w:val="0"/>
      <w:marRight w:val="0"/>
      <w:marTop w:val="0"/>
      <w:marBottom w:val="0"/>
      <w:divBdr>
        <w:top w:val="none" w:sz="0" w:space="0" w:color="auto"/>
        <w:left w:val="none" w:sz="0" w:space="0" w:color="auto"/>
        <w:bottom w:val="none" w:sz="0" w:space="0" w:color="auto"/>
        <w:right w:val="none" w:sz="0" w:space="0" w:color="auto"/>
      </w:divBdr>
    </w:div>
    <w:div w:id="130447591">
      <w:bodyDiv w:val="1"/>
      <w:marLeft w:val="0"/>
      <w:marRight w:val="0"/>
      <w:marTop w:val="0"/>
      <w:marBottom w:val="0"/>
      <w:divBdr>
        <w:top w:val="none" w:sz="0" w:space="0" w:color="auto"/>
        <w:left w:val="none" w:sz="0" w:space="0" w:color="auto"/>
        <w:bottom w:val="none" w:sz="0" w:space="0" w:color="auto"/>
        <w:right w:val="none" w:sz="0" w:space="0" w:color="auto"/>
      </w:divBdr>
    </w:div>
    <w:div w:id="135494428">
      <w:bodyDiv w:val="1"/>
      <w:marLeft w:val="0"/>
      <w:marRight w:val="0"/>
      <w:marTop w:val="0"/>
      <w:marBottom w:val="0"/>
      <w:divBdr>
        <w:top w:val="none" w:sz="0" w:space="0" w:color="auto"/>
        <w:left w:val="none" w:sz="0" w:space="0" w:color="auto"/>
        <w:bottom w:val="none" w:sz="0" w:space="0" w:color="auto"/>
        <w:right w:val="none" w:sz="0" w:space="0" w:color="auto"/>
      </w:divBdr>
    </w:div>
    <w:div w:id="149104886">
      <w:bodyDiv w:val="1"/>
      <w:marLeft w:val="0"/>
      <w:marRight w:val="0"/>
      <w:marTop w:val="0"/>
      <w:marBottom w:val="0"/>
      <w:divBdr>
        <w:top w:val="none" w:sz="0" w:space="0" w:color="auto"/>
        <w:left w:val="none" w:sz="0" w:space="0" w:color="auto"/>
        <w:bottom w:val="none" w:sz="0" w:space="0" w:color="auto"/>
        <w:right w:val="none" w:sz="0" w:space="0" w:color="auto"/>
      </w:divBdr>
    </w:div>
    <w:div w:id="170068537">
      <w:bodyDiv w:val="1"/>
      <w:marLeft w:val="0"/>
      <w:marRight w:val="0"/>
      <w:marTop w:val="0"/>
      <w:marBottom w:val="0"/>
      <w:divBdr>
        <w:top w:val="none" w:sz="0" w:space="0" w:color="auto"/>
        <w:left w:val="none" w:sz="0" w:space="0" w:color="auto"/>
        <w:bottom w:val="none" w:sz="0" w:space="0" w:color="auto"/>
        <w:right w:val="none" w:sz="0" w:space="0" w:color="auto"/>
      </w:divBdr>
    </w:div>
    <w:div w:id="235437790">
      <w:bodyDiv w:val="1"/>
      <w:marLeft w:val="0"/>
      <w:marRight w:val="0"/>
      <w:marTop w:val="0"/>
      <w:marBottom w:val="0"/>
      <w:divBdr>
        <w:top w:val="none" w:sz="0" w:space="0" w:color="auto"/>
        <w:left w:val="none" w:sz="0" w:space="0" w:color="auto"/>
        <w:bottom w:val="none" w:sz="0" w:space="0" w:color="auto"/>
        <w:right w:val="none" w:sz="0" w:space="0" w:color="auto"/>
      </w:divBdr>
    </w:div>
    <w:div w:id="236332494">
      <w:bodyDiv w:val="1"/>
      <w:marLeft w:val="0"/>
      <w:marRight w:val="0"/>
      <w:marTop w:val="0"/>
      <w:marBottom w:val="0"/>
      <w:divBdr>
        <w:top w:val="none" w:sz="0" w:space="0" w:color="auto"/>
        <w:left w:val="none" w:sz="0" w:space="0" w:color="auto"/>
        <w:bottom w:val="none" w:sz="0" w:space="0" w:color="auto"/>
        <w:right w:val="none" w:sz="0" w:space="0" w:color="auto"/>
      </w:divBdr>
    </w:div>
    <w:div w:id="241644159">
      <w:bodyDiv w:val="1"/>
      <w:marLeft w:val="0"/>
      <w:marRight w:val="0"/>
      <w:marTop w:val="0"/>
      <w:marBottom w:val="0"/>
      <w:divBdr>
        <w:top w:val="none" w:sz="0" w:space="0" w:color="auto"/>
        <w:left w:val="none" w:sz="0" w:space="0" w:color="auto"/>
        <w:bottom w:val="none" w:sz="0" w:space="0" w:color="auto"/>
        <w:right w:val="none" w:sz="0" w:space="0" w:color="auto"/>
      </w:divBdr>
    </w:div>
    <w:div w:id="289946618">
      <w:bodyDiv w:val="1"/>
      <w:marLeft w:val="0"/>
      <w:marRight w:val="0"/>
      <w:marTop w:val="0"/>
      <w:marBottom w:val="0"/>
      <w:divBdr>
        <w:top w:val="none" w:sz="0" w:space="0" w:color="auto"/>
        <w:left w:val="none" w:sz="0" w:space="0" w:color="auto"/>
        <w:bottom w:val="none" w:sz="0" w:space="0" w:color="auto"/>
        <w:right w:val="none" w:sz="0" w:space="0" w:color="auto"/>
      </w:divBdr>
    </w:div>
    <w:div w:id="319815924">
      <w:bodyDiv w:val="1"/>
      <w:marLeft w:val="0"/>
      <w:marRight w:val="0"/>
      <w:marTop w:val="0"/>
      <w:marBottom w:val="0"/>
      <w:divBdr>
        <w:top w:val="none" w:sz="0" w:space="0" w:color="auto"/>
        <w:left w:val="none" w:sz="0" w:space="0" w:color="auto"/>
        <w:bottom w:val="none" w:sz="0" w:space="0" w:color="auto"/>
        <w:right w:val="none" w:sz="0" w:space="0" w:color="auto"/>
      </w:divBdr>
    </w:div>
    <w:div w:id="458456439">
      <w:bodyDiv w:val="1"/>
      <w:marLeft w:val="0"/>
      <w:marRight w:val="0"/>
      <w:marTop w:val="0"/>
      <w:marBottom w:val="0"/>
      <w:divBdr>
        <w:top w:val="none" w:sz="0" w:space="0" w:color="auto"/>
        <w:left w:val="none" w:sz="0" w:space="0" w:color="auto"/>
        <w:bottom w:val="none" w:sz="0" w:space="0" w:color="auto"/>
        <w:right w:val="none" w:sz="0" w:space="0" w:color="auto"/>
      </w:divBdr>
    </w:div>
    <w:div w:id="468060581">
      <w:bodyDiv w:val="1"/>
      <w:marLeft w:val="0"/>
      <w:marRight w:val="0"/>
      <w:marTop w:val="0"/>
      <w:marBottom w:val="0"/>
      <w:divBdr>
        <w:top w:val="none" w:sz="0" w:space="0" w:color="auto"/>
        <w:left w:val="none" w:sz="0" w:space="0" w:color="auto"/>
        <w:bottom w:val="none" w:sz="0" w:space="0" w:color="auto"/>
        <w:right w:val="none" w:sz="0" w:space="0" w:color="auto"/>
      </w:divBdr>
    </w:div>
    <w:div w:id="478770336">
      <w:bodyDiv w:val="1"/>
      <w:marLeft w:val="0"/>
      <w:marRight w:val="0"/>
      <w:marTop w:val="0"/>
      <w:marBottom w:val="0"/>
      <w:divBdr>
        <w:top w:val="none" w:sz="0" w:space="0" w:color="auto"/>
        <w:left w:val="none" w:sz="0" w:space="0" w:color="auto"/>
        <w:bottom w:val="none" w:sz="0" w:space="0" w:color="auto"/>
        <w:right w:val="none" w:sz="0" w:space="0" w:color="auto"/>
      </w:divBdr>
    </w:div>
    <w:div w:id="510070001">
      <w:bodyDiv w:val="1"/>
      <w:marLeft w:val="0"/>
      <w:marRight w:val="0"/>
      <w:marTop w:val="0"/>
      <w:marBottom w:val="0"/>
      <w:divBdr>
        <w:top w:val="none" w:sz="0" w:space="0" w:color="auto"/>
        <w:left w:val="none" w:sz="0" w:space="0" w:color="auto"/>
        <w:bottom w:val="none" w:sz="0" w:space="0" w:color="auto"/>
        <w:right w:val="none" w:sz="0" w:space="0" w:color="auto"/>
      </w:divBdr>
    </w:div>
    <w:div w:id="518737059">
      <w:bodyDiv w:val="1"/>
      <w:marLeft w:val="0"/>
      <w:marRight w:val="0"/>
      <w:marTop w:val="0"/>
      <w:marBottom w:val="0"/>
      <w:divBdr>
        <w:top w:val="none" w:sz="0" w:space="0" w:color="auto"/>
        <w:left w:val="none" w:sz="0" w:space="0" w:color="auto"/>
        <w:bottom w:val="none" w:sz="0" w:space="0" w:color="auto"/>
        <w:right w:val="none" w:sz="0" w:space="0" w:color="auto"/>
      </w:divBdr>
    </w:div>
    <w:div w:id="547179681">
      <w:bodyDiv w:val="1"/>
      <w:marLeft w:val="0"/>
      <w:marRight w:val="0"/>
      <w:marTop w:val="0"/>
      <w:marBottom w:val="0"/>
      <w:divBdr>
        <w:top w:val="none" w:sz="0" w:space="0" w:color="auto"/>
        <w:left w:val="none" w:sz="0" w:space="0" w:color="auto"/>
        <w:bottom w:val="none" w:sz="0" w:space="0" w:color="auto"/>
        <w:right w:val="none" w:sz="0" w:space="0" w:color="auto"/>
      </w:divBdr>
    </w:div>
    <w:div w:id="585071151">
      <w:bodyDiv w:val="1"/>
      <w:marLeft w:val="0"/>
      <w:marRight w:val="0"/>
      <w:marTop w:val="0"/>
      <w:marBottom w:val="0"/>
      <w:divBdr>
        <w:top w:val="none" w:sz="0" w:space="0" w:color="auto"/>
        <w:left w:val="none" w:sz="0" w:space="0" w:color="auto"/>
        <w:bottom w:val="none" w:sz="0" w:space="0" w:color="auto"/>
        <w:right w:val="none" w:sz="0" w:space="0" w:color="auto"/>
      </w:divBdr>
    </w:div>
    <w:div w:id="692266475">
      <w:bodyDiv w:val="1"/>
      <w:marLeft w:val="0"/>
      <w:marRight w:val="0"/>
      <w:marTop w:val="0"/>
      <w:marBottom w:val="0"/>
      <w:divBdr>
        <w:top w:val="none" w:sz="0" w:space="0" w:color="auto"/>
        <w:left w:val="none" w:sz="0" w:space="0" w:color="auto"/>
        <w:bottom w:val="none" w:sz="0" w:space="0" w:color="auto"/>
        <w:right w:val="none" w:sz="0" w:space="0" w:color="auto"/>
      </w:divBdr>
    </w:div>
    <w:div w:id="754590505">
      <w:bodyDiv w:val="1"/>
      <w:marLeft w:val="0"/>
      <w:marRight w:val="0"/>
      <w:marTop w:val="0"/>
      <w:marBottom w:val="0"/>
      <w:divBdr>
        <w:top w:val="none" w:sz="0" w:space="0" w:color="auto"/>
        <w:left w:val="none" w:sz="0" w:space="0" w:color="auto"/>
        <w:bottom w:val="none" w:sz="0" w:space="0" w:color="auto"/>
        <w:right w:val="none" w:sz="0" w:space="0" w:color="auto"/>
      </w:divBdr>
    </w:div>
    <w:div w:id="802582669">
      <w:bodyDiv w:val="1"/>
      <w:marLeft w:val="0"/>
      <w:marRight w:val="0"/>
      <w:marTop w:val="0"/>
      <w:marBottom w:val="0"/>
      <w:divBdr>
        <w:top w:val="none" w:sz="0" w:space="0" w:color="auto"/>
        <w:left w:val="none" w:sz="0" w:space="0" w:color="auto"/>
        <w:bottom w:val="none" w:sz="0" w:space="0" w:color="auto"/>
        <w:right w:val="none" w:sz="0" w:space="0" w:color="auto"/>
      </w:divBdr>
    </w:div>
    <w:div w:id="814417374">
      <w:bodyDiv w:val="1"/>
      <w:marLeft w:val="0"/>
      <w:marRight w:val="0"/>
      <w:marTop w:val="0"/>
      <w:marBottom w:val="0"/>
      <w:divBdr>
        <w:top w:val="none" w:sz="0" w:space="0" w:color="auto"/>
        <w:left w:val="none" w:sz="0" w:space="0" w:color="auto"/>
        <w:bottom w:val="none" w:sz="0" w:space="0" w:color="auto"/>
        <w:right w:val="none" w:sz="0" w:space="0" w:color="auto"/>
      </w:divBdr>
    </w:div>
    <w:div w:id="820773119">
      <w:bodyDiv w:val="1"/>
      <w:marLeft w:val="0"/>
      <w:marRight w:val="0"/>
      <w:marTop w:val="0"/>
      <w:marBottom w:val="0"/>
      <w:divBdr>
        <w:top w:val="none" w:sz="0" w:space="0" w:color="auto"/>
        <w:left w:val="none" w:sz="0" w:space="0" w:color="auto"/>
        <w:bottom w:val="none" w:sz="0" w:space="0" w:color="auto"/>
        <w:right w:val="none" w:sz="0" w:space="0" w:color="auto"/>
      </w:divBdr>
    </w:div>
    <w:div w:id="834996300">
      <w:bodyDiv w:val="1"/>
      <w:marLeft w:val="0"/>
      <w:marRight w:val="0"/>
      <w:marTop w:val="0"/>
      <w:marBottom w:val="0"/>
      <w:divBdr>
        <w:top w:val="none" w:sz="0" w:space="0" w:color="auto"/>
        <w:left w:val="none" w:sz="0" w:space="0" w:color="auto"/>
        <w:bottom w:val="none" w:sz="0" w:space="0" w:color="auto"/>
        <w:right w:val="none" w:sz="0" w:space="0" w:color="auto"/>
      </w:divBdr>
    </w:div>
    <w:div w:id="866259918">
      <w:bodyDiv w:val="1"/>
      <w:marLeft w:val="0"/>
      <w:marRight w:val="0"/>
      <w:marTop w:val="0"/>
      <w:marBottom w:val="0"/>
      <w:divBdr>
        <w:top w:val="none" w:sz="0" w:space="0" w:color="auto"/>
        <w:left w:val="none" w:sz="0" w:space="0" w:color="auto"/>
        <w:bottom w:val="none" w:sz="0" w:space="0" w:color="auto"/>
        <w:right w:val="none" w:sz="0" w:space="0" w:color="auto"/>
      </w:divBdr>
    </w:div>
    <w:div w:id="901258927">
      <w:bodyDiv w:val="1"/>
      <w:marLeft w:val="0"/>
      <w:marRight w:val="0"/>
      <w:marTop w:val="0"/>
      <w:marBottom w:val="0"/>
      <w:divBdr>
        <w:top w:val="none" w:sz="0" w:space="0" w:color="auto"/>
        <w:left w:val="none" w:sz="0" w:space="0" w:color="auto"/>
        <w:bottom w:val="none" w:sz="0" w:space="0" w:color="auto"/>
        <w:right w:val="none" w:sz="0" w:space="0" w:color="auto"/>
      </w:divBdr>
    </w:div>
    <w:div w:id="914818279">
      <w:bodyDiv w:val="1"/>
      <w:marLeft w:val="0"/>
      <w:marRight w:val="0"/>
      <w:marTop w:val="0"/>
      <w:marBottom w:val="0"/>
      <w:divBdr>
        <w:top w:val="none" w:sz="0" w:space="0" w:color="auto"/>
        <w:left w:val="none" w:sz="0" w:space="0" w:color="auto"/>
        <w:bottom w:val="none" w:sz="0" w:space="0" w:color="auto"/>
        <w:right w:val="none" w:sz="0" w:space="0" w:color="auto"/>
      </w:divBdr>
    </w:div>
    <w:div w:id="916666779">
      <w:bodyDiv w:val="1"/>
      <w:marLeft w:val="0"/>
      <w:marRight w:val="0"/>
      <w:marTop w:val="0"/>
      <w:marBottom w:val="0"/>
      <w:divBdr>
        <w:top w:val="none" w:sz="0" w:space="0" w:color="auto"/>
        <w:left w:val="none" w:sz="0" w:space="0" w:color="auto"/>
        <w:bottom w:val="none" w:sz="0" w:space="0" w:color="auto"/>
        <w:right w:val="none" w:sz="0" w:space="0" w:color="auto"/>
      </w:divBdr>
    </w:div>
    <w:div w:id="973364440">
      <w:bodyDiv w:val="1"/>
      <w:marLeft w:val="0"/>
      <w:marRight w:val="0"/>
      <w:marTop w:val="0"/>
      <w:marBottom w:val="0"/>
      <w:divBdr>
        <w:top w:val="none" w:sz="0" w:space="0" w:color="auto"/>
        <w:left w:val="none" w:sz="0" w:space="0" w:color="auto"/>
        <w:bottom w:val="none" w:sz="0" w:space="0" w:color="auto"/>
        <w:right w:val="none" w:sz="0" w:space="0" w:color="auto"/>
      </w:divBdr>
    </w:div>
    <w:div w:id="1044014482">
      <w:bodyDiv w:val="1"/>
      <w:marLeft w:val="0"/>
      <w:marRight w:val="0"/>
      <w:marTop w:val="0"/>
      <w:marBottom w:val="0"/>
      <w:divBdr>
        <w:top w:val="none" w:sz="0" w:space="0" w:color="auto"/>
        <w:left w:val="none" w:sz="0" w:space="0" w:color="auto"/>
        <w:bottom w:val="none" w:sz="0" w:space="0" w:color="auto"/>
        <w:right w:val="none" w:sz="0" w:space="0" w:color="auto"/>
      </w:divBdr>
    </w:div>
    <w:div w:id="1063800113">
      <w:bodyDiv w:val="1"/>
      <w:marLeft w:val="0"/>
      <w:marRight w:val="0"/>
      <w:marTop w:val="0"/>
      <w:marBottom w:val="0"/>
      <w:divBdr>
        <w:top w:val="none" w:sz="0" w:space="0" w:color="auto"/>
        <w:left w:val="none" w:sz="0" w:space="0" w:color="auto"/>
        <w:bottom w:val="none" w:sz="0" w:space="0" w:color="auto"/>
        <w:right w:val="none" w:sz="0" w:space="0" w:color="auto"/>
      </w:divBdr>
    </w:div>
    <w:div w:id="1080951710">
      <w:bodyDiv w:val="1"/>
      <w:marLeft w:val="0"/>
      <w:marRight w:val="0"/>
      <w:marTop w:val="0"/>
      <w:marBottom w:val="0"/>
      <w:divBdr>
        <w:top w:val="none" w:sz="0" w:space="0" w:color="auto"/>
        <w:left w:val="none" w:sz="0" w:space="0" w:color="auto"/>
        <w:bottom w:val="none" w:sz="0" w:space="0" w:color="auto"/>
        <w:right w:val="none" w:sz="0" w:space="0" w:color="auto"/>
      </w:divBdr>
    </w:div>
    <w:div w:id="1125197691">
      <w:bodyDiv w:val="1"/>
      <w:marLeft w:val="0"/>
      <w:marRight w:val="0"/>
      <w:marTop w:val="0"/>
      <w:marBottom w:val="0"/>
      <w:divBdr>
        <w:top w:val="none" w:sz="0" w:space="0" w:color="auto"/>
        <w:left w:val="none" w:sz="0" w:space="0" w:color="auto"/>
        <w:bottom w:val="none" w:sz="0" w:space="0" w:color="auto"/>
        <w:right w:val="none" w:sz="0" w:space="0" w:color="auto"/>
      </w:divBdr>
    </w:div>
    <w:div w:id="1128427716">
      <w:bodyDiv w:val="1"/>
      <w:marLeft w:val="0"/>
      <w:marRight w:val="0"/>
      <w:marTop w:val="0"/>
      <w:marBottom w:val="0"/>
      <w:divBdr>
        <w:top w:val="none" w:sz="0" w:space="0" w:color="auto"/>
        <w:left w:val="none" w:sz="0" w:space="0" w:color="auto"/>
        <w:bottom w:val="none" w:sz="0" w:space="0" w:color="auto"/>
        <w:right w:val="none" w:sz="0" w:space="0" w:color="auto"/>
      </w:divBdr>
    </w:div>
    <w:div w:id="1131556504">
      <w:bodyDiv w:val="1"/>
      <w:marLeft w:val="0"/>
      <w:marRight w:val="0"/>
      <w:marTop w:val="0"/>
      <w:marBottom w:val="0"/>
      <w:divBdr>
        <w:top w:val="none" w:sz="0" w:space="0" w:color="auto"/>
        <w:left w:val="none" w:sz="0" w:space="0" w:color="auto"/>
        <w:bottom w:val="none" w:sz="0" w:space="0" w:color="auto"/>
        <w:right w:val="none" w:sz="0" w:space="0" w:color="auto"/>
      </w:divBdr>
    </w:div>
    <w:div w:id="1170951454">
      <w:bodyDiv w:val="1"/>
      <w:marLeft w:val="0"/>
      <w:marRight w:val="0"/>
      <w:marTop w:val="0"/>
      <w:marBottom w:val="0"/>
      <w:divBdr>
        <w:top w:val="none" w:sz="0" w:space="0" w:color="auto"/>
        <w:left w:val="none" w:sz="0" w:space="0" w:color="auto"/>
        <w:bottom w:val="none" w:sz="0" w:space="0" w:color="auto"/>
        <w:right w:val="none" w:sz="0" w:space="0" w:color="auto"/>
      </w:divBdr>
    </w:div>
    <w:div w:id="1258829379">
      <w:bodyDiv w:val="1"/>
      <w:marLeft w:val="0"/>
      <w:marRight w:val="0"/>
      <w:marTop w:val="0"/>
      <w:marBottom w:val="0"/>
      <w:divBdr>
        <w:top w:val="none" w:sz="0" w:space="0" w:color="auto"/>
        <w:left w:val="none" w:sz="0" w:space="0" w:color="auto"/>
        <w:bottom w:val="none" w:sz="0" w:space="0" w:color="auto"/>
        <w:right w:val="none" w:sz="0" w:space="0" w:color="auto"/>
      </w:divBdr>
    </w:div>
    <w:div w:id="1280797301">
      <w:bodyDiv w:val="1"/>
      <w:marLeft w:val="0"/>
      <w:marRight w:val="0"/>
      <w:marTop w:val="0"/>
      <w:marBottom w:val="0"/>
      <w:divBdr>
        <w:top w:val="none" w:sz="0" w:space="0" w:color="auto"/>
        <w:left w:val="none" w:sz="0" w:space="0" w:color="auto"/>
        <w:bottom w:val="none" w:sz="0" w:space="0" w:color="auto"/>
        <w:right w:val="none" w:sz="0" w:space="0" w:color="auto"/>
      </w:divBdr>
    </w:div>
    <w:div w:id="1317951230">
      <w:bodyDiv w:val="1"/>
      <w:marLeft w:val="0"/>
      <w:marRight w:val="0"/>
      <w:marTop w:val="0"/>
      <w:marBottom w:val="0"/>
      <w:divBdr>
        <w:top w:val="none" w:sz="0" w:space="0" w:color="auto"/>
        <w:left w:val="none" w:sz="0" w:space="0" w:color="auto"/>
        <w:bottom w:val="none" w:sz="0" w:space="0" w:color="auto"/>
        <w:right w:val="none" w:sz="0" w:space="0" w:color="auto"/>
      </w:divBdr>
    </w:div>
    <w:div w:id="1321234206">
      <w:bodyDiv w:val="1"/>
      <w:marLeft w:val="0"/>
      <w:marRight w:val="0"/>
      <w:marTop w:val="0"/>
      <w:marBottom w:val="0"/>
      <w:divBdr>
        <w:top w:val="none" w:sz="0" w:space="0" w:color="auto"/>
        <w:left w:val="none" w:sz="0" w:space="0" w:color="auto"/>
        <w:bottom w:val="none" w:sz="0" w:space="0" w:color="auto"/>
        <w:right w:val="none" w:sz="0" w:space="0" w:color="auto"/>
      </w:divBdr>
    </w:div>
    <w:div w:id="1331830924">
      <w:bodyDiv w:val="1"/>
      <w:marLeft w:val="0"/>
      <w:marRight w:val="0"/>
      <w:marTop w:val="0"/>
      <w:marBottom w:val="0"/>
      <w:divBdr>
        <w:top w:val="none" w:sz="0" w:space="0" w:color="auto"/>
        <w:left w:val="none" w:sz="0" w:space="0" w:color="auto"/>
        <w:bottom w:val="none" w:sz="0" w:space="0" w:color="auto"/>
        <w:right w:val="none" w:sz="0" w:space="0" w:color="auto"/>
      </w:divBdr>
    </w:div>
    <w:div w:id="1344279478">
      <w:bodyDiv w:val="1"/>
      <w:marLeft w:val="0"/>
      <w:marRight w:val="0"/>
      <w:marTop w:val="0"/>
      <w:marBottom w:val="0"/>
      <w:divBdr>
        <w:top w:val="none" w:sz="0" w:space="0" w:color="auto"/>
        <w:left w:val="none" w:sz="0" w:space="0" w:color="auto"/>
        <w:bottom w:val="none" w:sz="0" w:space="0" w:color="auto"/>
        <w:right w:val="none" w:sz="0" w:space="0" w:color="auto"/>
      </w:divBdr>
    </w:div>
    <w:div w:id="1354649477">
      <w:bodyDiv w:val="1"/>
      <w:marLeft w:val="0"/>
      <w:marRight w:val="0"/>
      <w:marTop w:val="0"/>
      <w:marBottom w:val="0"/>
      <w:divBdr>
        <w:top w:val="none" w:sz="0" w:space="0" w:color="auto"/>
        <w:left w:val="none" w:sz="0" w:space="0" w:color="auto"/>
        <w:bottom w:val="none" w:sz="0" w:space="0" w:color="auto"/>
        <w:right w:val="none" w:sz="0" w:space="0" w:color="auto"/>
      </w:divBdr>
    </w:div>
    <w:div w:id="1356006759">
      <w:bodyDiv w:val="1"/>
      <w:marLeft w:val="0"/>
      <w:marRight w:val="0"/>
      <w:marTop w:val="0"/>
      <w:marBottom w:val="0"/>
      <w:divBdr>
        <w:top w:val="none" w:sz="0" w:space="0" w:color="auto"/>
        <w:left w:val="none" w:sz="0" w:space="0" w:color="auto"/>
        <w:bottom w:val="none" w:sz="0" w:space="0" w:color="auto"/>
        <w:right w:val="none" w:sz="0" w:space="0" w:color="auto"/>
      </w:divBdr>
    </w:div>
    <w:div w:id="1390105213">
      <w:bodyDiv w:val="1"/>
      <w:marLeft w:val="0"/>
      <w:marRight w:val="0"/>
      <w:marTop w:val="0"/>
      <w:marBottom w:val="0"/>
      <w:divBdr>
        <w:top w:val="none" w:sz="0" w:space="0" w:color="auto"/>
        <w:left w:val="none" w:sz="0" w:space="0" w:color="auto"/>
        <w:bottom w:val="none" w:sz="0" w:space="0" w:color="auto"/>
        <w:right w:val="none" w:sz="0" w:space="0" w:color="auto"/>
      </w:divBdr>
    </w:div>
    <w:div w:id="1407528924">
      <w:bodyDiv w:val="1"/>
      <w:marLeft w:val="0"/>
      <w:marRight w:val="0"/>
      <w:marTop w:val="0"/>
      <w:marBottom w:val="0"/>
      <w:divBdr>
        <w:top w:val="none" w:sz="0" w:space="0" w:color="auto"/>
        <w:left w:val="none" w:sz="0" w:space="0" w:color="auto"/>
        <w:bottom w:val="none" w:sz="0" w:space="0" w:color="auto"/>
        <w:right w:val="none" w:sz="0" w:space="0" w:color="auto"/>
      </w:divBdr>
    </w:div>
    <w:div w:id="1412047448">
      <w:bodyDiv w:val="1"/>
      <w:marLeft w:val="0"/>
      <w:marRight w:val="0"/>
      <w:marTop w:val="0"/>
      <w:marBottom w:val="0"/>
      <w:divBdr>
        <w:top w:val="none" w:sz="0" w:space="0" w:color="auto"/>
        <w:left w:val="none" w:sz="0" w:space="0" w:color="auto"/>
        <w:bottom w:val="none" w:sz="0" w:space="0" w:color="auto"/>
        <w:right w:val="none" w:sz="0" w:space="0" w:color="auto"/>
      </w:divBdr>
    </w:div>
    <w:div w:id="1414011933">
      <w:bodyDiv w:val="1"/>
      <w:marLeft w:val="0"/>
      <w:marRight w:val="0"/>
      <w:marTop w:val="0"/>
      <w:marBottom w:val="0"/>
      <w:divBdr>
        <w:top w:val="none" w:sz="0" w:space="0" w:color="auto"/>
        <w:left w:val="none" w:sz="0" w:space="0" w:color="auto"/>
        <w:bottom w:val="none" w:sz="0" w:space="0" w:color="auto"/>
        <w:right w:val="none" w:sz="0" w:space="0" w:color="auto"/>
      </w:divBdr>
    </w:div>
    <w:div w:id="1488282966">
      <w:bodyDiv w:val="1"/>
      <w:marLeft w:val="0"/>
      <w:marRight w:val="0"/>
      <w:marTop w:val="0"/>
      <w:marBottom w:val="0"/>
      <w:divBdr>
        <w:top w:val="none" w:sz="0" w:space="0" w:color="auto"/>
        <w:left w:val="none" w:sz="0" w:space="0" w:color="auto"/>
        <w:bottom w:val="none" w:sz="0" w:space="0" w:color="auto"/>
        <w:right w:val="none" w:sz="0" w:space="0" w:color="auto"/>
      </w:divBdr>
    </w:div>
    <w:div w:id="1497568609">
      <w:bodyDiv w:val="1"/>
      <w:marLeft w:val="0"/>
      <w:marRight w:val="0"/>
      <w:marTop w:val="0"/>
      <w:marBottom w:val="0"/>
      <w:divBdr>
        <w:top w:val="none" w:sz="0" w:space="0" w:color="auto"/>
        <w:left w:val="none" w:sz="0" w:space="0" w:color="auto"/>
        <w:bottom w:val="none" w:sz="0" w:space="0" w:color="auto"/>
        <w:right w:val="none" w:sz="0" w:space="0" w:color="auto"/>
      </w:divBdr>
    </w:div>
    <w:div w:id="1498809934">
      <w:bodyDiv w:val="1"/>
      <w:marLeft w:val="0"/>
      <w:marRight w:val="0"/>
      <w:marTop w:val="0"/>
      <w:marBottom w:val="0"/>
      <w:divBdr>
        <w:top w:val="none" w:sz="0" w:space="0" w:color="auto"/>
        <w:left w:val="none" w:sz="0" w:space="0" w:color="auto"/>
        <w:bottom w:val="none" w:sz="0" w:space="0" w:color="auto"/>
        <w:right w:val="none" w:sz="0" w:space="0" w:color="auto"/>
      </w:divBdr>
    </w:div>
    <w:div w:id="1569654229">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602445357">
      <w:bodyDiv w:val="1"/>
      <w:marLeft w:val="0"/>
      <w:marRight w:val="0"/>
      <w:marTop w:val="0"/>
      <w:marBottom w:val="0"/>
      <w:divBdr>
        <w:top w:val="none" w:sz="0" w:space="0" w:color="auto"/>
        <w:left w:val="none" w:sz="0" w:space="0" w:color="auto"/>
        <w:bottom w:val="none" w:sz="0" w:space="0" w:color="auto"/>
        <w:right w:val="none" w:sz="0" w:space="0" w:color="auto"/>
      </w:divBdr>
    </w:div>
    <w:div w:id="1654334748">
      <w:bodyDiv w:val="1"/>
      <w:marLeft w:val="0"/>
      <w:marRight w:val="0"/>
      <w:marTop w:val="0"/>
      <w:marBottom w:val="0"/>
      <w:divBdr>
        <w:top w:val="none" w:sz="0" w:space="0" w:color="auto"/>
        <w:left w:val="none" w:sz="0" w:space="0" w:color="auto"/>
        <w:bottom w:val="none" w:sz="0" w:space="0" w:color="auto"/>
        <w:right w:val="none" w:sz="0" w:space="0" w:color="auto"/>
      </w:divBdr>
    </w:div>
    <w:div w:id="1654485921">
      <w:bodyDiv w:val="1"/>
      <w:marLeft w:val="0"/>
      <w:marRight w:val="0"/>
      <w:marTop w:val="0"/>
      <w:marBottom w:val="0"/>
      <w:divBdr>
        <w:top w:val="none" w:sz="0" w:space="0" w:color="auto"/>
        <w:left w:val="none" w:sz="0" w:space="0" w:color="auto"/>
        <w:bottom w:val="none" w:sz="0" w:space="0" w:color="auto"/>
        <w:right w:val="none" w:sz="0" w:space="0" w:color="auto"/>
      </w:divBdr>
    </w:div>
    <w:div w:id="1677419716">
      <w:bodyDiv w:val="1"/>
      <w:marLeft w:val="0"/>
      <w:marRight w:val="0"/>
      <w:marTop w:val="0"/>
      <w:marBottom w:val="0"/>
      <w:divBdr>
        <w:top w:val="none" w:sz="0" w:space="0" w:color="auto"/>
        <w:left w:val="none" w:sz="0" w:space="0" w:color="auto"/>
        <w:bottom w:val="none" w:sz="0" w:space="0" w:color="auto"/>
        <w:right w:val="none" w:sz="0" w:space="0" w:color="auto"/>
      </w:divBdr>
    </w:div>
    <w:div w:id="1694644072">
      <w:bodyDiv w:val="1"/>
      <w:marLeft w:val="0"/>
      <w:marRight w:val="0"/>
      <w:marTop w:val="0"/>
      <w:marBottom w:val="0"/>
      <w:divBdr>
        <w:top w:val="none" w:sz="0" w:space="0" w:color="auto"/>
        <w:left w:val="none" w:sz="0" w:space="0" w:color="auto"/>
        <w:bottom w:val="none" w:sz="0" w:space="0" w:color="auto"/>
        <w:right w:val="none" w:sz="0" w:space="0" w:color="auto"/>
      </w:divBdr>
    </w:div>
    <w:div w:id="1719478243">
      <w:bodyDiv w:val="1"/>
      <w:marLeft w:val="0"/>
      <w:marRight w:val="0"/>
      <w:marTop w:val="0"/>
      <w:marBottom w:val="0"/>
      <w:divBdr>
        <w:top w:val="none" w:sz="0" w:space="0" w:color="auto"/>
        <w:left w:val="none" w:sz="0" w:space="0" w:color="auto"/>
        <w:bottom w:val="none" w:sz="0" w:space="0" w:color="auto"/>
        <w:right w:val="none" w:sz="0" w:space="0" w:color="auto"/>
      </w:divBdr>
    </w:div>
    <w:div w:id="1725791527">
      <w:bodyDiv w:val="1"/>
      <w:marLeft w:val="0"/>
      <w:marRight w:val="0"/>
      <w:marTop w:val="0"/>
      <w:marBottom w:val="0"/>
      <w:divBdr>
        <w:top w:val="none" w:sz="0" w:space="0" w:color="auto"/>
        <w:left w:val="none" w:sz="0" w:space="0" w:color="auto"/>
        <w:bottom w:val="none" w:sz="0" w:space="0" w:color="auto"/>
        <w:right w:val="none" w:sz="0" w:space="0" w:color="auto"/>
      </w:divBdr>
    </w:div>
    <w:div w:id="1741099858">
      <w:bodyDiv w:val="1"/>
      <w:marLeft w:val="0"/>
      <w:marRight w:val="0"/>
      <w:marTop w:val="0"/>
      <w:marBottom w:val="0"/>
      <w:divBdr>
        <w:top w:val="none" w:sz="0" w:space="0" w:color="auto"/>
        <w:left w:val="none" w:sz="0" w:space="0" w:color="auto"/>
        <w:bottom w:val="none" w:sz="0" w:space="0" w:color="auto"/>
        <w:right w:val="none" w:sz="0" w:space="0" w:color="auto"/>
      </w:divBdr>
    </w:div>
    <w:div w:id="1839538399">
      <w:bodyDiv w:val="1"/>
      <w:marLeft w:val="0"/>
      <w:marRight w:val="0"/>
      <w:marTop w:val="0"/>
      <w:marBottom w:val="0"/>
      <w:divBdr>
        <w:top w:val="none" w:sz="0" w:space="0" w:color="auto"/>
        <w:left w:val="none" w:sz="0" w:space="0" w:color="auto"/>
        <w:bottom w:val="none" w:sz="0" w:space="0" w:color="auto"/>
        <w:right w:val="none" w:sz="0" w:space="0" w:color="auto"/>
      </w:divBdr>
    </w:div>
    <w:div w:id="1855337053">
      <w:bodyDiv w:val="1"/>
      <w:marLeft w:val="0"/>
      <w:marRight w:val="0"/>
      <w:marTop w:val="0"/>
      <w:marBottom w:val="0"/>
      <w:divBdr>
        <w:top w:val="none" w:sz="0" w:space="0" w:color="auto"/>
        <w:left w:val="none" w:sz="0" w:space="0" w:color="auto"/>
        <w:bottom w:val="none" w:sz="0" w:space="0" w:color="auto"/>
        <w:right w:val="none" w:sz="0" w:space="0" w:color="auto"/>
      </w:divBdr>
    </w:div>
    <w:div w:id="1893496863">
      <w:bodyDiv w:val="1"/>
      <w:marLeft w:val="0"/>
      <w:marRight w:val="0"/>
      <w:marTop w:val="0"/>
      <w:marBottom w:val="0"/>
      <w:divBdr>
        <w:top w:val="none" w:sz="0" w:space="0" w:color="auto"/>
        <w:left w:val="none" w:sz="0" w:space="0" w:color="auto"/>
        <w:bottom w:val="none" w:sz="0" w:space="0" w:color="auto"/>
        <w:right w:val="none" w:sz="0" w:space="0" w:color="auto"/>
      </w:divBdr>
    </w:div>
    <w:div w:id="1908957073">
      <w:bodyDiv w:val="1"/>
      <w:marLeft w:val="0"/>
      <w:marRight w:val="0"/>
      <w:marTop w:val="0"/>
      <w:marBottom w:val="0"/>
      <w:divBdr>
        <w:top w:val="none" w:sz="0" w:space="0" w:color="auto"/>
        <w:left w:val="none" w:sz="0" w:space="0" w:color="auto"/>
        <w:bottom w:val="none" w:sz="0" w:space="0" w:color="auto"/>
        <w:right w:val="none" w:sz="0" w:space="0" w:color="auto"/>
      </w:divBdr>
    </w:div>
    <w:div w:id="1969122276">
      <w:bodyDiv w:val="1"/>
      <w:marLeft w:val="0"/>
      <w:marRight w:val="0"/>
      <w:marTop w:val="0"/>
      <w:marBottom w:val="0"/>
      <w:divBdr>
        <w:top w:val="none" w:sz="0" w:space="0" w:color="auto"/>
        <w:left w:val="none" w:sz="0" w:space="0" w:color="auto"/>
        <w:bottom w:val="none" w:sz="0" w:space="0" w:color="auto"/>
        <w:right w:val="none" w:sz="0" w:space="0" w:color="auto"/>
      </w:divBdr>
    </w:div>
    <w:div w:id="2014914921">
      <w:bodyDiv w:val="1"/>
      <w:marLeft w:val="0"/>
      <w:marRight w:val="0"/>
      <w:marTop w:val="0"/>
      <w:marBottom w:val="0"/>
      <w:divBdr>
        <w:top w:val="none" w:sz="0" w:space="0" w:color="auto"/>
        <w:left w:val="none" w:sz="0" w:space="0" w:color="auto"/>
        <w:bottom w:val="none" w:sz="0" w:space="0" w:color="auto"/>
        <w:right w:val="none" w:sz="0" w:space="0" w:color="auto"/>
      </w:divBdr>
    </w:div>
    <w:div w:id="2048017529">
      <w:bodyDiv w:val="1"/>
      <w:marLeft w:val="0"/>
      <w:marRight w:val="0"/>
      <w:marTop w:val="0"/>
      <w:marBottom w:val="0"/>
      <w:divBdr>
        <w:top w:val="none" w:sz="0" w:space="0" w:color="auto"/>
        <w:left w:val="none" w:sz="0" w:space="0" w:color="auto"/>
        <w:bottom w:val="none" w:sz="0" w:space="0" w:color="auto"/>
        <w:right w:val="none" w:sz="0" w:space="0" w:color="auto"/>
      </w:divBdr>
    </w:div>
    <w:div w:id="2051954910">
      <w:bodyDiv w:val="1"/>
      <w:marLeft w:val="0"/>
      <w:marRight w:val="0"/>
      <w:marTop w:val="0"/>
      <w:marBottom w:val="0"/>
      <w:divBdr>
        <w:top w:val="none" w:sz="0" w:space="0" w:color="auto"/>
        <w:left w:val="none" w:sz="0" w:space="0" w:color="auto"/>
        <w:bottom w:val="none" w:sz="0" w:space="0" w:color="auto"/>
        <w:right w:val="none" w:sz="0" w:space="0" w:color="auto"/>
      </w:divBdr>
    </w:div>
    <w:div w:id="210345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5FAD745EB744FB7A872434A168541" ma:contentTypeVersion="0" ma:contentTypeDescription="Create a new document." ma:contentTypeScope="" ma:versionID="0d770840e2151aeb149c852b3d24f1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7022-E17D-4880-B77A-BECDFCBAF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17677B-85BD-4A88-8431-BA0727B4F9AA}">
  <ds:schemaRefs>
    <ds:schemaRef ds:uri="http://schemas.microsoft.com/sharepoint/v3/contenttype/forms"/>
  </ds:schemaRefs>
</ds:datastoreItem>
</file>

<file path=customXml/itemProps3.xml><?xml version="1.0" encoding="utf-8"?>
<ds:datastoreItem xmlns:ds="http://schemas.openxmlformats.org/officeDocument/2006/customXml" ds:itemID="{6317DF2A-C439-4B03-B0DE-C47923AE49A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ADAE01-C1C7-4890-A979-55AD217A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1650</Words>
  <Characters>8630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Draft budget - ITU Telecom</vt:lpstr>
    </vt:vector>
  </TitlesOfParts>
  <Manager>General Secretariat - Pool</Manager>
  <Company>International Telecommunication Union (ITU)</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budget - ITU Telecom</dc:title>
  <dc:subject>Council 2018</dc:subject>
  <dc:creator>Note by the Secretary-General</dc:creator>
  <cp:keywords>C2019, C19</cp:keywords>
  <dc:description/>
  <cp:lastModifiedBy>Aschenbrener, Elizabeth</cp:lastModifiedBy>
  <cp:revision>2</cp:revision>
  <cp:lastPrinted>2019-04-10T14:26:00Z</cp:lastPrinted>
  <dcterms:created xsi:type="dcterms:W3CDTF">2019-05-22T11:40:00Z</dcterms:created>
  <dcterms:modified xsi:type="dcterms:W3CDTF">2019-05-22T11:40:00Z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C07/EP/001-E</vt:lpwstr>
  </property>
  <property fmtid="{D5CDD505-2E9C-101B-9397-08002B2CF9AE}" pid="3" name="Docdate">
    <vt:lpwstr>26 April 2007</vt:lpwstr>
  </property>
  <property fmtid="{D5CDD505-2E9C-101B-9397-08002B2CF9AE}" pid="4" name="Docorlang">
    <vt:lpwstr>Original: English only</vt:lpwstr>
  </property>
  <property fmtid="{D5CDD505-2E9C-101B-9397-08002B2CF9AE}" pid="5" name="Docbluepink">
    <vt:lpwstr/>
  </property>
  <property fmtid="{D5CDD505-2E9C-101B-9397-08002B2CF9AE}" pid="6" name="Docdest">
    <vt:lpwstr/>
  </property>
  <property fmtid="{D5CDD505-2E9C-101B-9397-08002B2CF9AE}" pid="7" name="Docauthor">
    <vt:lpwstr>Note by the Secretary-General</vt:lpwstr>
  </property>
  <property fmtid="{D5CDD505-2E9C-101B-9397-08002B2CF9AE}" pid="8" name="ContentTypeId">
    <vt:lpwstr>0x010100D025FAD745EB744FB7A872434A168541</vt:lpwstr>
  </property>
</Properties>
</file>