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2281D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82281D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AF35E3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82281D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82281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82281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82281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AF35E3" w:rsidP="0082281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jour: PL 1.5</w:t>
            </w:r>
          </w:p>
        </w:tc>
        <w:tc>
          <w:tcPr>
            <w:tcW w:w="3261" w:type="dxa"/>
          </w:tcPr>
          <w:p w:rsidR="00520F36" w:rsidRPr="00520F36" w:rsidRDefault="00520F36" w:rsidP="0082281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AF35E3">
              <w:rPr>
                <w:b/>
                <w:bCs/>
              </w:rPr>
              <w:t>18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82281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AF35E3" w:rsidP="0082281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1er avril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82281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82281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AF35E3" w:rsidP="0082281D">
            <w:pPr>
              <w:pStyle w:val="Source"/>
            </w:pPr>
            <w:bookmarkStart w:id="6" w:name="dsource" w:colFirst="0" w:colLast="0"/>
            <w:bookmarkEnd w:id="5"/>
            <w:r w:rsidRPr="009C17A4">
              <w:rPr>
                <w:lang w:eastAsia="fr-FR"/>
              </w:rP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AF35E3" w:rsidP="0082281D">
            <w:pPr>
              <w:pStyle w:val="Title1"/>
            </w:pPr>
            <w:bookmarkStart w:id="7" w:name="dtitle1" w:colFirst="0" w:colLast="0"/>
            <w:bookmarkEnd w:id="6"/>
            <w:r w:rsidRPr="009C17A4">
              <w:rPr>
                <w:rFonts w:asciiTheme="minorHAnsi" w:hAnsiTheme="minorHAnsi"/>
              </w:rPr>
              <w:t>Activités de l</w:t>
            </w:r>
            <w:r>
              <w:rPr>
                <w:rFonts w:asciiTheme="minorHAnsi" w:hAnsiTheme="minorHAnsi"/>
              </w:rPr>
              <w:t>'</w:t>
            </w:r>
            <w:r w:rsidRPr="009C17A4">
              <w:rPr>
                <w:rFonts w:asciiTheme="minorHAnsi" w:hAnsiTheme="minorHAnsi"/>
              </w:rPr>
              <w:t>UIT relatives au renforcement du rôle de l</w:t>
            </w:r>
            <w:r>
              <w:rPr>
                <w:rFonts w:asciiTheme="minorHAnsi" w:hAnsiTheme="minorHAnsi"/>
              </w:rPr>
              <w:t>'</w:t>
            </w:r>
            <w:r w:rsidRPr="009C17A4">
              <w:rPr>
                <w:rFonts w:asciiTheme="minorHAnsi" w:hAnsiTheme="minorHAnsi"/>
              </w:rPr>
              <w:t>union dans l</w:t>
            </w:r>
            <w:r>
              <w:rPr>
                <w:rFonts w:asciiTheme="minorHAnsi" w:hAnsiTheme="minorHAnsi"/>
              </w:rPr>
              <w:t>'</w:t>
            </w:r>
            <w:r w:rsidRPr="009C17A4">
              <w:rPr>
                <w:rFonts w:asciiTheme="minorHAnsi" w:hAnsiTheme="minorHAnsi"/>
              </w:rPr>
              <w:t>instauration de la confiance et de la sécurité dans l</w:t>
            </w:r>
            <w:r>
              <w:rPr>
                <w:rFonts w:asciiTheme="minorHAnsi" w:hAnsiTheme="minorHAnsi"/>
              </w:rPr>
              <w:t>'</w:t>
            </w:r>
            <w:r w:rsidRPr="009C17A4">
              <w:rPr>
                <w:rFonts w:asciiTheme="minorHAnsi" w:hAnsiTheme="minorHAnsi"/>
              </w:rPr>
              <w:t>utilisation des technologies de l</w:t>
            </w:r>
            <w:r>
              <w:rPr>
                <w:rFonts w:asciiTheme="minorHAnsi" w:hAnsiTheme="minorHAnsi"/>
              </w:rPr>
              <w:t>'</w:t>
            </w:r>
            <w:r w:rsidRPr="009C17A4">
              <w:rPr>
                <w:rFonts w:asciiTheme="minorHAnsi" w:hAnsiTheme="minorHAnsi"/>
              </w:rPr>
              <w:t>information et de la communication</w:t>
            </w:r>
          </w:p>
        </w:tc>
      </w:tr>
      <w:bookmarkEnd w:id="7"/>
    </w:tbl>
    <w:p w:rsidR="00520F36" w:rsidRPr="00AF35E3" w:rsidRDefault="00520F36" w:rsidP="0082281D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82281D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AF35E3" w:rsidRPr="009C17A4" w:rsidRDefault="00AF35E3" w:rsidP="0082281D">
            <w:r w:rsidRPr="009C17A4">
              <w:rPr>
                <w:rFonts w:asciiTheme="minorHAnsi" w:hAnsiTheme="minorHAnsi"/>
                <w:color w:val="000000"/>
              </w:rPr>
              <w:t>Le présent rapport résume les activités menées par l</w:t>
            </w:r>
            <w:r>
              <w:rPr>
                <w:rFonts w:asciiTheme="minorHAnsi" w:hAnsiTheme="minorHAnsi"/>
                <w:color w:val="000000"/>
              </w:rPr>
              <w:t>'</w:t>
            </w:r>
            <w:r w:rsidRPr="009C17A4">
              <w:rPr>
                <w:rFonts w:asciiTheme="minorHAnsi" w:hAnsiTheme="minorHAnsi"/>
                <w:color w:val="000000"/>
              </w:rPr>
              <w:t>UIT depuis la session de 201</w:t>
            </w:r>
            <w:r>
              <w:rPr>
                <w:rFonts w:asciiTheme="minorHAnsi" w:hAnsiTheme="minorHAnsi"/>
                <w:color w:val="000000"/>
              </w:rPr>
              <w:t>8</w:t>
            </w:r>
            <w:r w:rsidRPr="009C17A4">
              <w:rPr>
                <w:rFonts w:asciiTheme="minorHAnsi" w:hAnsiTheme="minorHAnsi"/>
                <w:color w:val="000000"/>
              </w:rPr>
              <w:t xml:space="preserve"> du Conseil au titre de la Résolution 130 (</w:t>
            </w:r>
            <w:proofErr w:type="spellStart"/>
            <w:r w:rsidRPr="009C17A4">
              <w:rPr>
                <w:rFonts w:asciiTheme="minorHAnsi" w:hAnsiTheme="minorHAnsi"/>
                <w:color w:val="000000"/>
              </w:rPr>
              <w:t>Rév</w:t>
            </w:r>
            <w:proofErr w:type="spellEnd"/>
            <w:r w:rsidRPr="009C17A4">
              <w:rPr>
                <w:rFonts w:asciiTheme="minorHAnsi" w:hAnsiTheme="minorHAnsi"/>
                <w:color w:val="000000"/>
              </w:rPr>
              <w:t xml:space="preserve">. </w:t>
            </w:r>
            <w:r>
              <w:rPr>
                <w:rFonts w:cstheme="minorHAnsi"/>
              </w:rPr>
              <w:t>Dubaï</w:t>
            </w:r>
            <w:r w:rsidRPr="007050A6">
              <w:rPr>
                <w:rFonts w:cstheme="minorHAnsi"/>
              </w:rPr>
              <w:t>, 2018</w:t>
            </w:r>
            <w:r w:rsidRPr="009C17A4">
              <w:rPr>
                <w:rFonts w:asciiTheme="minorHAnsi" w:hAnsiTheme="minorHAnsi"/>
                <w:color w:val="000000"/>
              </w:rPr>
              <w:t>) de la Conférence de plénipotentiaires, du rôle de l</w:t>
            </w:r>
            <w:r>
              <w:rPr>
                <w:rFonts w:asciiTheme="minorHAnsi" w:hAnsiTheme="minorHAnsi"/>
                <w:color w:val="000000"/>
              </w:rPr>
              <w:t>'</w:t>
            </w:r>
            <w:r w:rsidRPr="009C17A4">
              <w:rPr>
                <w:rFonts w:asciiTheme="minorHAnsi" w:hAnsiTheme="minorHAnsi"/>
                <w:color w:val="000000"/>
              </w:rPr>
              <w:t>UIT en tant que coordonnateur unique pour la grande orientation C5 du SMSI et des autres décisions prises par les membres concernant le renforcement du rôle de l</w:t>
            </w:r>
            <w:r>
              <w:rPr>
                <w:rFonts w:asciiTheme="minorHAnsi" w:hAnsiTheme="minorHAnsi"/>
                <w:color w:val="000000"/>
              </w:rPr>
              <w:t>'</w:t>
            </w:r>
            <w:r w:rsidRPr="009C17A4">
              <w:rPr>
                <w:rFonts w:asciiTheme="minorHAnsi" w:hAnsiTheme="minorHAnsi"/>
                <w:color w:val="000000"/>
              </w:rPr>
              <w:t>UIT dans l</w:t>
            </w:r>
            <w:r>
              <w:rPr>
                <w:rFonts w:asciiTheme="minorHAnsi" w:hAnsiTheme="minorHAnsi"/>
                <w:color w:val="000000"/>
              </w:rPr>
              <w:t>'</w:t>
            </w:r>
            <w:r w:rsidRPr="009C17A4">
              <w:rPr>
                <w:rFonts w:asciiTheme="minorHAnsi" w:hAnsiTheme="minorHAnsi"/>
                <w:color w:val="000000"/>
              </w:rPr>
              <w:t>instauration de la confiance et de la sécurité dans l</w:t>
            </w:r>
            <w:r>
              <w:rPr>
                <w:rFonts w:asciiTheme="minorHAnsi" w:hAnsiTheme="minorHAnsi"/>
                <w:color w:val="000000"/>
              </w:rPr>
              <w:t>'</w:t>
            </w:r>
            <w:r w:rsidRPr="009C17A4">
              <w:rPr>
                <w:rFonts w:asciiTheme="minorHAnsi" w:hAnsiTheme="minorHAnsi"/>
                <w:color w:val="000000"/>
              </w:rPr>
              <w:t>utilisation des technologies de l</w:t>
            </w:r>
            <w:r>
              <w:rPr>
                <w:rFonts w:asciiTheme="minorHAnsi" w:hAnsiTheme="minorHAnsi"/>
                <w:color w:val="000000"/>
              </w:rPr>
              <w:t>'</w:t>
            </w:r>
            <w:r w:rsidRPr="009C17A4">
              <w:rPr>
                <w:rFonts w:asciiTheme="minorHAnsi" w:hAnsiTheme="minorHAnsi"/>
                <w:color w:val="000000"/>
              </w:rPr>
              <w:t>information et de la communication (TIC)</w:t>
            </w:r>
            <w:r w:rsidRPr="009C17A4">
              <w:rPr>
                <w:rFonts w:asciiTheme="minorHAnsi" w:hAnsiTheme="minorHAnsi"/>
                <w:szCs w:val="24"/>
              </w:rPr>
              <w:t>.</w:t>
            </w:r>
          </w:p>
          <w:p w:rsidR="00AF35E3" w:rsidRPr="009C17A4" w:rsidRDefault="00AF35E3" w:rsidP="0082281D">
            <w:pPr>
              <w:pStyle w:val="Headingb"/>
            </w:pPr>
            <w:r w:rsidRPr="009C17A4">
              <w:t>Suite à donner</w:t>
            </w:r>
            <w:bookmarkStart w:id="8" w:name="_GoBack"/>
            <w:bookmarkEnd w:id="8"/>
          </w:p>
          <w:p w:rsidR="00AF35E3" w:rsidRPr="009C17A4" w:rsidRDefault="00AF35E3" w:rsidP="0082281D">
            <w:pPr>
              <w:spacing w:after="120"/>
            </w:pPr>
            <w:r w:rsidRPr="009C17A4">
              <w:rPr>
                <w:rFonts w:asciiTheme="minorHAnsi" w:hAnsiTheme="minorHAnsi"/>
                <w:lang w:eastAsia="fr-FR"/>
              </w:rPr>
              <w:t xml:space="preserve">Le Conseil est invité à </w:t>
            </w:r>
            <w:r w:rsidRPr="009C17A4">
              <w:rPr>
                <w:rFonts w:asciiTheme="minorHAnsi" w:hAnsiTheme="minorHAnsi"/>
                <w:b/>
                <w:lang w:eastAsia="fr-FR"/>
              </w:rPr>
              <w:t>prendre note</w:t>
            </w:r>
            <w:r w:rsidRPr="009C17A4">
              <w:rPr>
                <w:rFonts w:asciiTheme="minorHAnsi" w:hAnsiTheme="minorHAnsi"/>
                <w:lang w:eastAsia="fr-FR"/>
              </w:rPr>
              <w:t xml:space="preserve"> du présent rapport.</w:t>
            </w:r>
          </w:p>
          <w:p w:rsidR="00AF35E3" w:rsidRPr="009C17A4" w:rsidRDefault="00AF35E3" w:rsidP="0082281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9C17A4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AF35E3" w:rsidRPr="009C17A4" w:rsidRDefault="00AF35E3" w:rsidP="0082281D">
            <w:pPr>
              <w:pStyle w:val="Headingb"/>
            </w:pPr>
            <w:r w:rsidRPr="009C17A4">
              <w:t>Références</w:t>
            </w:r>
          </w:p>
          <w:p w:rsidR="00520F36" w:rsidRPr="0092392D" w:rsidRDefault="00AF35E3" w:rsidP="0082281D">
            <w:pPr>
              <w:spacing w:after="120"/>
              <w:rPr>
                <w:i/>
                <w:iCs/>
                <w:lang w:val="fr-CH"/>
              </w:rPr>
            </w:pPr>
            <w:bookmarkStart w:id="9" w:name="lt_pId020"/>
            <w:r w:rsidRPr="009C17A4">
              <w:rPr>
                <w:i/>
                <w:iCs/>
              </w:rPr>
              <w:t xml:space="preserve">Résolutions </w:t>
            </w:r>
            <w:hyperlink r:id="rId9" w:history="1">
              <w:r w:rsidRPr="00126A8E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</w:rPr>
                <w:t>71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</w:rPr>
              <w:t xml:space="preserve">, </w:t>
            </w:r>
            <w:hyperlink r:id="rId10" w:history="1">
              <w:r w:rsidRPr="00126A8E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</w:rPr>
                <w:t>130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</w:rPr>
              <w:t xml:space="preserve">, </w:t>
            </w:r>
            <w:hyperlink r:id="rId11" w:history="1">
              <w:r w:rsidRPr="00126A8E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</w:rPr>
                <w:t>140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</w:rPr>
              <w:t xml:space="preserve">, </w:t>
            </w:r>
            <w:hyperlink r:id="rId12" w:history="1">
              <w:r w:rsidRPr="00126A8E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174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FF"/>
                <w:szCs w:val="24"/>
              </w:rPr>
              <w:t xml:space="preserve">, </w:t>
            </w:r>
            <w:hyperlink r:id="rId13" w:history="1">
              <w:r w:rsidRPr="00126A8E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179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FF"/>
                <w:szCs w:val="24"/>
              </w:rPr>
              <w:t xml:space="preserve"> </w:t>
            </w:r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(</w:t>
            </w:r>
            <w:proofErr w:type="spellStart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Rév</w:t>
            </w:r>
            <w:proofErr w:type="spellEnd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. </w:t>
            </w:r>
            <w:r>
              <w:rPr>
                <w:rFonts w:cstheme="minorHAnsi"/>
              </w:rPr>
              <w:t>Dubaï</w:t>
            </w:r>
            <w:r w:rsidRPr="007050A6">
              <w:rPr>
                <w:rFonts w:cstheme="minorHAnsi"/>
              </w:rPr>
              <w:t>, 2018</w:t>
            </w:r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) et </w:t>
            </w:r>
            <w:hyperlink r:id="rId14" w:history="1">
              <w:r w:rsidRPr="00126A8E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181</w:t>
              </w:r>
            </w:hyperlink>
            <w:r w:rsidRPr="009C17A4">
              <w:rPr>
                <w:rFonts w:asciiTheme="minorHAnsi" w:hAnsiTheme="minorHAnsi"/>
                <w:i/>
                <w:iCs/>
                <w:szCs w:val="24"/>
              </w:rPr>
              <w:t xml:space="preserve"> (Guadalajara, 2010)</w:t>
            </w:r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de la Conférence de plénipotentiaires, </w:t>
            </w:r>
            <w:hyperlink r:id="rId15" w:history="1">
              <w:r w:rsidRPr="008A3E1B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Règlement des télécommunications internationales</w:t>
              </w:r>
            </w:hyperlink>
            <w:r w:rsidRPr="0015073B"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(</w:t>
            </w:r>
            <w:proofErr w:type="spellStart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Rév.Dubaï</w:t>
            </w:r>
            <w:proofErr w:type="spellEnd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2012), </w:t>
            </w:r>
            <w:hyperlink r:id="rId16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Résolution 1306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du Conseil, Résolutions </w:t>
            </w:r>
            <w:hyperlink r:id="rId17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45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(</w:t>
            </w:r>
            <w:proofErr w:type="spellStart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Rév.Dubaï</w:t>
            </w:r>
            <w:proofErr w:type="spellEnd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2014) et </w:t>
            </w:r>
            <w:hyperlink r:id="rId18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2</w:t>
              </w:r>
              <w:r w:rsidRPr="009C17A4">
                <w:rPr>
                  <w:rStyle w:val="Hyperlink"/>
                  <w:rFonts w:asciiTheme="minorHAnsi" w:hAnsiTheme="minorHAnsi"/>
                  <w:i/>
                  <w:iCs/>
                  <w:color w:val="auto"/>
                  <w:szCs w:val="24"/>
                  <w:u w:val="none"/>
                </w:rPr>
                <w:t xml:space="preserve">, </w:t>
              </w:r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67</w:t>
              </w:r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  <w:u w:val="none"/>
                </w:rPr>
                <w:t xml:space="preserve"> </w:t>
              </w:r>
              <w:r w:rsidRPr="009C17A4">
                <w:rPr>
                  <w:i/>
                  <w:iCs/>
                </w:rPr>
                <w:t>et</w:t>
              </w:r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  <w:u w:val="none"/>
                </w:rPr>
                <w:t xml:space="preserve"> </w:t>
              </w:r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69</w:t>
              </w:r>
              <w:r w:rsidRPr="008A3E1B">
                <w:rPr>
                  <w:rStyle w:val="Hyperlink"/>
                  <w:rFonts w:asciiTheme="minorHAnsi" w:hAnsiTheme="minorHAnsi"/>
                  <w:i/>
                  <w:iCs/>
                  <w:color w:val="auto"/>
                  <w:szCs w:val="24"/>
                  <w:u w:val="none"/>
                </w:rPr>
                <w:t xml:space="preserve"> </w:t>
              </w:r>
              <w:r w:rsidRPr="009C17A4">
                <w:rPr>
                  <w:rStyle w:val="Hyperlink"/>
                  <w:rFonts w:asciiTheme="minorHAnsi" w:hAnsiTheme="minorHAnsi"/>
                  <w:i/>
                  <w:iCs/>
                  <w:color w:val="auto"/>
                  <w:szCs w:val="24"/>
                  <w:u w:val="none"/>
                </w:rPr>
                <w:t>(</w:t>
              </w:r>
              <w:proofErr w:type="spellStart"/>
              <w:r w:rsidRPr="009C17A4">
                <w:rPr>
                  <w:rStyle w:val="Hyperlink"/>
                  <w:rFonts w:asciiTheme="minorHAnsi" w:hAnsiTheme="minorHAnsi"/>
                  <w:i/>
                  <w:iCs/>
                  <w:color w:val="auto"/>
                  <w:szCs w:val="24"/>
                  <w:u w:val="none"/>
                </w:rPr>
                <w:t>Rév.Buenos</w:t>
              </w:r>
              <w:proofErr w:type="spellEnd"/>
              <w:r w:rsidRPr="009C17A4">
                <w:rPr>
                  <w:rStyle w:val="Hyperlink"/>
                  <w:rFonts w:asciiTheme="minorHAnsi" w:hAnsiTheme="minorHAnsi"/>
                  <w:i/>
                  <w:iCs/>
                  <w:color w:val="auto"/>
                  <w:szCs w:val="24"/>
                  <w:u w:val="none"/>
                </w:rPr>
                <w:t xml:space="preserve"> Aires, 2017)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de la CMDT, Objectif 2/Produit 2.2 de l</w:t>
            </w:r>
            <w:r>
              <w:rPr>
                <w:rFonts w:asciiTheme="minorHAnsi" w:hAnsiTheme="minorHAnsi"/>
                <w:i/>
                <w:iCs/>
                <w:color w:val="000000"/>
                <w:szCs w:val="24"/>
              </w:rPr>
              <w:t>'</w:t>
            </w:r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UIT-D (</w:t>
            </w:r>
            <w:hyperlink r:id="rId19" w:history="1">
              <w:r w:rsidRPr="009C17A4">
                <w:rPr>
                  <w:rStyle w:val="Hyperlink"/>
                  <w:i/>
                  <w:iCs/>
                </w:rPr>
                <w:t>Plan d</w:t>
              </w:r>
              <w:r>
                <w:rPr>
                  <w:rStyle w:val="Hyperlink"/>
                  <w:i/>
                  <w:iCs/>
                </w:rPr>
                <w:t>'</w:t>
              </w:r>
              <w:r w:rsidRPr="009C17A4">
                <w:rPr>
                  <w:rStyle w:val="Hyperlink"/>
                  <w:i/>
                  <w:iCs/>
                </w:rPr>
                <w:t>action de Buenos Aires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)</w:t>
            </w:r>
            <w:hyperlink r:id="rId20" w:history="1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Résolutions </w:t>
            </w:r>
            <w:hyperlink r:id="rId21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50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, </w:t>
            </w:r>
            <w:hyperlink r:id="rId22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52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, </w:t>
            </w:r>
            <w:hyperlink r:id="rId23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75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 (</w:t>
            </w:r>
            <w:proofErr w:type="spellStart"/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Rév.Hammamet</w:t>
            </w:r>
            <w:proofErr w:type="spellEnd"/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, 2016) et </w:t>
            </w:r>
            <w:hyperlink r:id="rId24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58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 (</w:t>
            </w:r>
            <w:proofErr w:type="spellStart"/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Rév.Dubaï</w:t>
            </w:r>
            <w:proofErr w:type="spellEnd"/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, 2012) de l</w:t>
            </w:r>
            <w:r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'</w:t>
            </w:r>
            <w:r w:rsidRPr="009C17A4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AMNT, </w:t>
            </w:r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Documents </w:t>
            </w:r>
            <w:hyperlink r:id="rId25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C05/32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6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C05/INF/10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7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C06/4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8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C07/21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9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C08/33</w:t>
              </w:r>
            </w:hyperlink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30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C09/50</w:t>
              </w:r>
            </w:hyperlink>
            <w:r w:rsidRPr="009C17A4">
              <w:rPr>
                <w:rFonts w:asciiTheme="minorHAnsi" w:hAnsiTheme="minorHAnsi"/>
                <w:i/>
                <w:iCs/>
                <w:szCs w:val="24"/>
              </w:rPr>
              <w:t xml:space="preserve">, </w:t>
            </w:r>
            <w:hyperlink r:id="rId31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C10/12</w:t>
              </w:r>
            </w:hyperlink>
            <w:r w:rsidRPr="008A3E1B">
              <w:rPr>
                <w:rFonts w:asciiTheme="minorHAnsi" w:hAnsiTheme="minorHAnsi"/>
                <w:i/>
                <w:iCs/>
                <w:szCs w:val="24"/>
              </w:rPr>
              <w:t xml:space="preserve">, </w:t>
            </w:r>
            <w:hyperlink r:id="rId32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C11/54</w:t>
              </w:r>
            </w:hyperlink>
            <w:r w:rsidRPr="008A3E1B">
              <w:rPr>
                <w:rFonts w:asciiTheme="minorHAnsi" w:hAnsiTheme="minorHAnsi"/>
                <w:i/>
                <w:iCs/>
                <w:szCs w:val="24"/>
              </w:rPr>
              <w:t xml:space="preserve">, </w:t>
            </w:r>
            <w:hyperlink r:id="rId33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C12/29</w:t>
              </w:r>
            </w:hyperlink>
            <w:r w:rsidRPr="008A3E1B">
              <w:rPr>
                <w:rFonts w:asciiTheme="minorHAnsi" w:hAnsiTheme="minorHAnsi"/>
                <w:i/>
                <w:iCs/>
                <w:szCs w:val="24"/>
              </w:rPr>
              <w:t xml:space="preserve">, </w:t>
            </w:r>
            <w:hyperlink r:id="rId34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C13/23</w:t>
              </w:r>
            </w:hyperlink>
            <w:r w:rsidRPr="009C17A4">
              <w:rPr>
                <w:rFonts w:asciiTheme="minorHAnsi" w:hAnsiTheme="minorHAnsi"/>
                <w:i/>
                <w:iCs/>
                <w:szCs w:val="24"/>
              </w:rPr>
              <w:t xml:space="preserve">, </w:t>
            </w:r>
            <w:hyperlink r:id="rId35" w:history="1">
              <w:r w:rsidRPr="009C17A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C14/23</w:t>
              </w:r>
            </w:hyperlink>
            <w:r w:rsidRPr="009C17A4">
              <w:rPr>
                <w:rFonts w:asciiTheme="minorHAnsi" w:hAnsiTheme="minorHAnsi"/>
                <w:i/>
                <w:iCs/>
                <w:szCs w:val="24"/>
              </w:rPr>
              <w:t xml:space="preserve">, </w:t>
            </w:r>
            <w:hyperlink r:id="rId36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C15/18</w:t>
              </w:r>
            </w:hyperlink>
            <w:r w:rsidRPr="009C17A4"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</w:rPr>
              <w:t xml:space="preserve">, </w:t>
            </w:r>
            <w:hyperlink r:id="rId37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C16/18</w:t>
              </w:r>
            </w:hyperlink>
            <w:r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</w:rPr>
              <w:t>,</w:t>
            </w:r>
            <w:r w:rsidR="008A3E1B">
              <w:rPr>
                <w:rStyle w:val="Hyperlink"/>
                <w:rFonts w:asciiTheme="minorHAnsi" w:hAnsiTheme="minorHAnsi"/>
                <w:i/>
                <w:iCs/>
                <w:color w:val="auto"/>
                <w:szCs w:val="24"/>
                <w:u w:val="none"/>
              </w:rPr>
              <w:t xml:space="preserve"> </w:t>
            </w:r>
            <w:hyperlink r:id="rId38" w:history="1">
              <w:r w:rsidRPr="009C17A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C17/18</w:t>
              </w:r>
            </w:hyperlink>
            <w:bookmarkEnd w:id="9"/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et </w:t>
            </w:r>
            <w:hyperlink r:id="rId39" w:history="1">
              <w:r w:rsidRPr="00124223">
                <w:rPr>
                  <w:rStyle w:val="Hyperlink"/>
                  <w:rFonts w:cstheme="minorHAnsi"/>
                  <w:i/>
                  <w:iCs/>
                </w:rPr>
                <w:t>C18/18</w:t>
              </w:r>
            </w:hyperlink>
            <w:r>
              <w:rPr>
                <w:rStyle w:val="Hyperlink"/>
                <w:rFonts w:cstheme="minorHAnsi"/>
                <w:i/>
                <w:iCs/>
              </w:rPr>
              <w:t xml:space="preserve"> </w:t>
            </w:r>
            <w:r w:rsidRPr="009C17A4">
              <w:rPr>
                <w:rFonts w:asciiTheme="minorHAnsi" w:hAnsiTheme="minorHAnsi"/>
                <w:i/>
                <w:iCs/>
                <w:color w:val="000000"/>
                <w:szCs w:val="24"/>
              </w:rPr>
              <w:t>du Conseil</w:t>
            </w:r>
          </w:p>
        </w:tc>
      </w:tr>
    </w:tbl>
    <w:p w:rsidR="00AF35E3" w:rsidRDefault="00AF35E3" w:rsidP="0082281D">
      <w:pPr>
        <w:pStyle w:val="Heading1"/>
      </w:pPr>
      <w:r>
        <w:br w:type="page"/>
      </w:r>
    </w:p>
    <w:p w:rsidR="00AF35E3" w:rsidRPr="009C17A4" w:rsidRDefault="00AF35E3" w:rsidP="0082281D">
      <w:pPr>
        <w:pStyle w:val="Heading1"/>
      </w:pPr>
      <w:r w:rsidRPr="009C17A4">
        <w:lastRenderedPageBreak/>
        <w:t>1</w:t>
      </w:r>
      <w:r w:rsidRPr="009C17A4">
        <w:tab/>
        <w:t xml:space="preserve">Activités relatives à la </w:t>
      </w:r>
      <w:proofErr w:type="spellStart"/>
      <w:r w:rsidRPr="009C17A4">
        <w:t>cybersécurité</w:t>
      </w:r>
      <w:proofErr w:type="spellEnd"/>
      <w:r w:rsidRPr="009C17A4">
        <w:t xml:space="preserve"> et à la lutte contr</w:t>
      </w:r>
      <w:r w:rsidR="008A3E1B">
        <w:t>e le spam</w:t>
      </w:r>
    </w:p>
    <w:p w:rsidR="00AF35E3" w:rsidRDefault="00AF35E3" w:rsidP="0082281D">
      <w:r w:rsidRPr="009C17A4">
        <w:rPr>
          <w:szCs w:val="24"/>
        </w:rPr>
        <w:t>1.1</w:t>
      </w:r>
      <w:r w:rsidRPr="009C17A4">
        <w:rPr>
          <w:szCs w:val="24"/>
        </w:rPr>
        <w:tab/>
      </w:r>
      <w:r w:rsidRPr="009C17A4">
        <w:t>Le développement des TIC, étayé par la sécurité et la confiance, est reconnu comme un facteur essentiel du développement durable.</w:t>
      </w:r>
      <w:r w:rsidRPr="009C17A4">
        <w:rPr>
          <w:szCs w:val="24"/>
        </w:rPr>
        <w:t xml:space="preserve"> </w:t>
      </w:r>
      <w:r w:rsidRPr="009C17A4">
        <w:t>Le présent rapport, qui s</w:t>
      </w:r>
      <w:r>
        <w:t>'</w:t>
      </w:r>
      <w:r w:rsidRPr="009C17A4">
        <w:t>articule autour des cinq</w:t>
      </w:r>
      <w:r>
        <w:t> </w:t>
      </w:r>
      <w:r w:rsidRPr="009C17A4">
        <w:t xml:space="preserve">piliers du </w:t>
      </w:r>
      <w:hyperlink r:id="rId40" w:history="1">
        <w:r w:rsidRPr="009C17A4">
          <w:rPr>
            <w:rStyle w:val="Hyperlink"/>
            <w:rFonts w:asciiTheme="minorHAnsi" w:hAnsiTheme="minorHAnsi"/>
          </w:rPr>
          <w:t xml:space="preserve">Programme mondial </w:t>
        </w:r>
        <w:proofErr w:type="spellStart"/>
        <w:r w:rsidRPr="009C17A4">
          <w:rPr>
            <w:rStyle w:val="Hyperlink"/>
            <w:rFonts w:asciiTheme="minorHAnsi" w:hAnsiTheme="minorHAnsi"/>
          </w:rPr>
          <w:t>cybersécurité</w:t>
        </w:r>
        <w:proofErr w:type="spellEnd"/>
        <w:r w:rsidRPr="009C17A4">
          <w:rPr>
            <w:rStyle w:val="Hyperlink"/>
            <w:rFonts w:asciiTheme="minorHAnsi" w:hAnsiTheme="minorHAnsi"/>
          </w:rPr>
          <w:t xml:space="preserve"> (GCA)</w:t>
        </w:r>
      </w:hyperlink>
      <w:r w:rsidRPr="009C17A4">
        <w:t>, fait apparaître la complémentarité des programmes de travail existants de l</w:t>
      </w:r>
      <w:r>
        <w:t>'</w:t>
      </w:r>
      <w:r w:rsidRPr="009C17A4">
        <w:t xml:space="preserve">UIT et vise à faciliter la mise en </w:t>
      </w:r>
      <w:proofErr w:type="spellStart"/>
      <w:r w:rsidRPr="009C17A4">
        <w:t>oeuvre</w:t>
      </w:r>
      <w:proofErr w:type="spellEnd"/>
      <w:r w:rsidRPr="009C17A4">
        <w:t xml:space="preserve"> des activités menées par le BDT, le TSB et le BR dans ce domaine. </w:t>
      </w:r>
    </w:p>
    <w:p w:rsidR="00AF35E3" w:rsidRPr="001B2B2A" w:rsidRDefault="00AF35E3" w:rsidP="0082281D">
      <w:r w:rsidRPr="001B2B2A">
        <w:t>1.2</w:t>
      </w:r>
      <w:r w:rsidRPr="001B2B2A">
        <w:tab/>
      </w:r>
      <w:r w:rsidRPr="00B92640">
        <w:t>La Conférence</w:t>
      </w:r>
      <w:r>
        <w:t xml:space="preserve"> </w:t>
      </w:r>
      <w:r w:rsidRPr="00B92640">
        <w:t>de plénipotentiaires de l</w:t>
      </w:r>
      <w:r>
        <w:t>'</w:t>
      </w:r>
      <w:r w:rsidRPr="00B92640">
        <w:t>UIT</w:t>
      </w:r>
      <w:r>
        <w:t>,</w:t>
      </w:r>
      <w:r w:rsidRPr="00B92640">
        <w:t xml:space="preserve"> tenue </w:t>
      </w:r>
      <w:r>
        <w:t xml:space="preserve">du 29 octobre </w:t>
      </w:r>
      <w:r w:rsidR="00D067A8">
        <w:t xml:space="preserve">au </w:t>
      </w:r>
      <w:r>
        <w:t xml:space="preserve">16 novembre </w:t>
      </w:r>
      <w:r w:rsidRPr="00B92640">
        <w:t xml:space="preserve">2018 </w:t>
      </w:r>
      <w:r>
        <w:t>à Dubaï (UAE), a modifié ses Résolutions</w:t>
      </w:r>
      <w:r w:rsidRPr="001B2B2A">
        <w:t xml:space="preserve"> 130 </w:t>
      </w:r>
      <w:r>
        <w:t xml:space="preserve">et </w:t>
      </w:r>
      <w:r w:rsidRPr="001B2B2A">
        <w:t>179.</w:t>
      </w:r>
    </w:p>
    <w:p w:rsidR="00AF35E3" w:rsidRPr="009C17A4" w:rsidRDefault="00AF35E3" w:rsidP="0082281D">
      <w:pPr>
        <w:pStyle w:val="Heading1"/>
      </w:pPr>
      <w:r w:rsidRPr="009C17A4">
        <w:rPr>
          <w:rFonts w:asciiTheme="minorHAnsi" w:hAnsiTheme="minorHAnsi"/>
          <w:bCs/>
          <w:szCs w:val="24"/>
        </w:rPr>
        <w:t>2</w:t>
      </w:r>
      <w:r w:rsidRPr="009C17A4">
        <w:rPr>
          <w:rFonts w:asciiTheme="minorHAnsi" w:hAnsiTheme="minorHAnsi"/>
          <w:bCs/>
          <w:szCs w:val="24"/>
        </w:rPr>
        <w:tab/>
      </w:r>
      <w:r w:rsidRPr="009C17A4">
        <w:t>Cadre législatif</w:t>
      </w:r>
    </w:p>
    <w:p w:rsidR="00AF35E3" w:rsidRPr="009C17A4" w:rsidRDefault="00AF35E3" w:rsidP="0082281D">
      <w:r w:rsidRPr="009C17A4">
        <w:t>2.1</w:t>
      </w:r>
      <w:r w:rsidRPr="009C17A4">
        <w:tab/>
        <w:t>Dans le cadre de l</w:t>
      </w:r>
      <w:r>
        <w:t>'</w:t>
      </w:r>
      <w:r w:rsidRPr="009C17A4">
        <w:t>Objectif 2.2 du Plan d</w:t>
      </w:r>
      <w:r>
        <w:t>'</w:t>
      </w:r>
      <w:r w:rsidRPr="009C17A4">
        <w:t>action de Buenos Aires, et compte tenu de la Question 3/2 (ancienne Question 22/1) de l</w:t>
      </w:r>
      <w:r>
        <w:t>'</w:t>
      </w:r>
      <w:r w:rsidRPr="009C17A4">
        <w:t>UIT-D, l</w:t>
      </w:r>
      <w:r>
        <w:t>'</w:t>
      </w:r>
      <w:r w:rsidRPr="009C17A4">
        <w:t xml:space="preserve">UIT aide les Etats Membres à comprendre les aspects juridiques de la </w:t>
      </w:r>
      <w:proofErr w:type="spellStart"/>
      <w:r w:rsidRPr="009C17A4">
        <w:t>cybersécurité</w:t>
      </w:r>
      <w:proofErr w:type="spellEnd"/>
      <w:r w:rsidRPr="009C17A4">
        <w:t xml:space="preserve">, en mettant à leur disposition ses </w:t>
      </w:r>
      <w:hyperlink r:id="rId41" w:history="1">
        <w:r w:rsidRPr="009C17A4">
          <w:rPr>
            <w:rStyle w:val="Hyperlink"/>
            <w:rFonts w:asciiTheme="minorHAnsi" w:hAnsiTheme="minorHAnsi"/>
            <w:szCs w:val="24"/>
          </w:rPr>
          <w:t>ressources sur la législation relative à la cybercriminalité</w:t>
        </w:r>
      </w:hyperlink>
      <w:r w:rsidRPr="009C17A4">
        <w:t>, afin de contribuer à l</w:t>
      </w:r>
      <w:r>
        <w:t>'</w:t>
      </w:r>
      <w:r w:rsidRPr="009C17A4">
        <w:t>harmonisation de leurs cadres juridiques.</w:t>
      </w:r>
      <w:r w:rsidRPr="0013411F">
        <w:t xml:space="preserve"> </w:t>
      </w:r>
      <w:r w:rsidRPr="009C17A4">
        <w:t>En ce qui concerne le cadre législatif, l</w:t>
      </w:r>
      <w:r>
        <w:t>'</w:t>
      </w:r>
      <w:r w:rsidRPr="009C17A4">
        <w:t>UIT collabore étroitement avec des partenaires tels que l</w:t>
      </w:r>
      <w:r>
        <w:t>'</w:t>
      </w:r>
      <w:r w:rsidRPr="009C17A4">
        <w:t>Office des Nations Unies contre la drogue et le crime (ONUDC) et d</w:t>
      </w:r>
      <w:r>
        <w:t>'</w:t>
      </w:r>
      <w:r w:rsidRPr="009C17A4">
        <w:t xml:space="preserve">autres </w:t>
      </w:r>
      <w:r w:rsidR="00D067A8">
        <w:t>experts</w:t>
      </w:r>
      <w:r w:rsidRPr="009C17A4">
        <w:t>.</w:t>
      </w:r>
    </w:p>
    <w:p w:rsidR="00AF35E3" w:rsidRPr="009C17A4" w:rsidRDefault="00AF35E3" w:rsidP="0082281D">
      <w:pPr>
        <w:pStyle w:val="Heading1"/>
      </w:pPr>
      <w:r w:rsidRPr="009C17A4">
        <w:t>3</w:t>
      </w:r>
      <w:r w:rsidRPr="009C17A4">
        <w:tab/>
        <w:t xml:space="preserve">Mesures techniques et procédures </w:t>
      </w:r>
    </w:p>
    <w:p w:rsidR="00AF35E3" w:rsidRDefault="00AF35E3" w:rsidP="0082281D">
      <w:r w:rsidRPr="009C17A4">
        <w:t>3.1</w:t>
      </w:r>
      <w:r w:rsidRPr="009C17A4">
        <w:tab/>
        <w:t xml:space="preserve">La </w:t>
      </w:r>
      <w:hyperlink r:id="rId42" w:history="1">
        <w:r w:rsidRPr="009C17A4">
          <w:rPr>
            <w:rStyle w:val="Hyperlink"/>
            <w:rFonts w:asciiTheme="minorHAnsi" w:hAnsiTheme="minorHAnsi"/>
            <w:szCs w:val="24"/>
          </w:rPr>
          <w:t>Commission d</w:t>
        </w:r>
        <w:r>
          <w:rPr>
            <w:rStyle w:val="Hyperlink"/>
            <w:rFonts w:asciiTheme="minorHAnsi" w:hAnsiTheme="minorHAnsi"/>
            <w:szCs w:val="24"/>
          </w:rPr>
          <w:t>'</w:t>
        </w:r>
        <w:r w:rsidRPr="009C17A4">
          <w:rPr>
            <w:rStyle w:val="Hyperlink"/>
            <w:rFonts w:asciiTheme="minorHAnsi" w:hAnsiTheme="minorHAnsi"/>
            <w:szCs w:val="24"/>
          </w:rPr>
          <w:t>études 17 (CE 17)</w:t>
        </w:r>
      </w:hyperlink>
      <w:r w:rsidRPr="009C17A4">
        <w:t xml:space="preserve"> de l</w:t>
      </w:r>
      <w:r>
        <w:t>'</w:t>
      </w:r>
      <w:r w:rsidRPr="009C17A4">
        <w:t>UIT-T, en sa qualité de commission d</w:t>
      </w:r>
      <w:r>
        <w:t>'</w:t>
      </w:r>
      <w:r w:rsidRPr="009C17A4">
        <w:t>études directrice chargée de la sécurité et de la gestion d</w:t>
      </w:r>
      <w:r>
        <w:t>'</w:t>
      </w:r>
      <w:r w:rsidRPr="009C17A4">
        <w:t>identité (</w:t>
      </w:r>
      <w:proofErr w:type="spellStart"/>
      <w:r w:rsidRPr="009C17A4">
        <w:t>IdM</w:t>
      </w:r>
      <w:proofErr w:type="spellEnd"/>
      <w:r w:rsidRPr="009C17A4">
        <w:t xml:space="preserve">), continue de contribuer aux études et à la normalisation </w:t>
      </w:r>
      <w:r>
        <w:t>concernant</w:t>
      </w:r>
      <w:r w:rsidRPr="009C17A4">
        <w:t xml:space="preserve"> la </w:t>
      </w:r>
      <w:proofErr w:type="spellStart"/>
      <w:r w:rsidRPr="009C17A4">
        <w:t>cybersécurité</w:t>
      </w:r>
      <w:proofErr w:type="spellEnd"/>
      <w:r w:rsidRPr="009C17A4">
        <w:t>,</w:t>
      </w:r>
      <w:r>
        <w:t xml:space="preserve"> </w:t>
      </w:r>
      <w:r w:rsidRPr="009C17A4">
        <w:t>la lutte contre le spam,</w:t>
      </w:r>
      <w:r>
        <w:t xml:space="preserve"> </w:t>
      </w:r>
      <w:r w:rsidRPr="009C17A4">
        <w:t>la gestion d</w:t>
      </w:r>
      <w:r>
        <w:t>'</w:t>
      </w:r>
      <w:r w:rsidRPr="009C17A4">
        <w:t xml:space="preserve">identité, </w:t>
      </w:r>
      <w:r>
        <w:t>l</w:t>
      </w:r>
      <w:r w:rsidRPr="009C17A4">
        <w:t>es certificats UIT-T X.509,</w:t>
      </w:r>
      <w:r>
        <w:t xml:space="preserve"> </w:t>
      </w:r>
      <w:r w:rsidRPr="009C17A4">
        <w:t>la gestion de la sécurité de l</w:t>
      </w:r>
      <w:r>
        <w:t>'</w:t>
      </w:r>
      <w:r w:rsidRPr="009C17A4">
        <w:t xml:space="preserve">information, </w:t>
      </w:r>
      <w:r>
        <w:t>l</w:t>
      </w:r>
      <w:r w:rsidRPr="009C17A4">
        <w:t>es réseaux de capteurs ubiquitaires,</w:t>
      </w:r>
      <w:r>
        <w:t xml:space="preserve"> </w:t>
      </w:r>
      <w:r w:rsidRPr="009C17A4">
        <w:t xml:space="preserve">la </w:t>
      </w:r>
      <w:proofErr w:type="spellStart"/>
      <w:r w:rsidRPr="009C17A4">
        <w:t>télébiométrie</w:t>
      </w:r>
      <w:proofErr w:type="spellEnd"/>
      <w:r w:rsidRPr="009C17A4">
        <w:t>,</w:t>
      </w:r>
      <w:r>
        <w:t xml:space="preserve"> </w:t>
      </w:r>
      <w:r w:rsidRPr="009C17A4">
        <w:t>la sécurité mobile,</w:t>
      </w:r>
      <w:r>
        <w:t xml:space="preserve"> </w:t>
      </w:r>
      <w:r w:rsidRPr="009C17A4">
        <w:t>la sécurité de la virtualisation dans l</w:t>
      </w:r>
      <w:r>
        <w:t>'</w:t>
      </w:r>
      <w:r w:rsidRPr="009C17A4">
        <w:t>optique de la sécurité de l</w:t>
      </w:r>
      <w:r>
        <w:t>'</w:t>
      </w:r>
      <w:r w:rsidRPr="009C17A4">
        <w:t>informatique en nuage,</w:t>
      </w:r>
      <w:r>
        <w:rPr>
          <w:color w:val="000000"/>
        </w:rPr>
        <w:t xml:space="preserve"> </w:t>
      </w:r>
      <w:r w:rsidRPr="009C17A4">
        <w:rPr>
          <w:color w:val="000000"/>
        </w:rPr>
        <w:t>la protection des informations d</w:t>
      </w:r>
      <w:r>
        <w:rPr>
          <w:color w:val="000000"/>
        </w:rPr>
        <w:t>'</w:t>
      </w:r>
      <w:r w:rsidRPr="009C17A4">
        <w:rPr>
          <w:color w:val="000000"/>
        </w:rPr>
        <w:t>identification personnelle</w:t>
      </w:r>
      <w:r w:rsidRPr="009C17A4">
        <w:t xml:space="preserve"> ainsi que</w:t>
      </w:r>
      <w:r>
        <w:t xml:space="preserve"> </w:t>
      </w:r>
      <w:r w:rsidRPr="009C17A4">
        <w:t>l</w:t>
      </w:r>
      <w:r>
        <w:t>'</w:t>
      </w:r>
      <w:r w:rsidRPr="009C17A4">
        <w:t>architecture de la sécurité et de la sécurité des applications,</w:t>
      </w:r>
      <w:r>
        <w:t xml:space="preserve"> conjointement </w:t>
      </w:r>
      <w:r w:rsidRPr="009C17A4">
        <w:t>avec des organisations</w:t>
      </w:r>
      <w:r>
        <w:t xml:space="preserve"> </w:t>
      </w:r>
      <w:r w:rsidRPr="009C17A4">
        <w:t>de normalisation extérieur</w:t>
      </w:r>
      <w:r>
        <w:t>e</w:t>
      </w:r>
      <w:r w:rsidRPr="009C17A4">
        <w:t xml:space="preserve">. </w:t>
      </w:r>
    </w:p>
    <w:p w:rsidR="00D00C3C" w:rsidRDefault="00AF35E3" w:rsidP="00D00C3C">
      <w:pPr>
        <w:rPr>
          <w:color w:val="000000"/>
        </w:rPr>
      </w:pPr>
      <w:r w:rsidRPr="00B92640">
        <w:rPr>
          <w:bCs/>
          <w:lang w:val="fr-CH"/>
        </w:rPr>
        <w:t>3.2</w:t>
      </w:r>
      <w:r w:rsidRPr="00B92640">
        <w:rPr>
          <w:bCs/>
          <w:lang w:val="fr-CH"/>
        </w:rPr>
        <w:tab/>
        <w:t>Depuis le dernier rapport à l</w:t>
      </w:r>
      <w:r>
        <w:rPr>
          <w:bCs/>
          <w:lang w:val="fr-CH"/>
        </w:rPr>
        <w:t>'</w:t>
      </w:r>
      <w:r w:rsidRPr="00B92640">
        <w:rPr>
          <w:bCs/>
          <w:lang w:val="fr-CH"/>
        </w:rPr>
        <w:t xml:space="preserve">intention du Conseil, </w:t>
      </w:r>
      <w:proofErr w:type="spellStart"/>
      <w:r w:rsidRPr="00B92640">
        <w:rPr>
          <w:bCs/>
          <w:lang w:val="fr-CH"/>
        </w:rPr>
        <w:t>la</w:t>
      </w:r>
      <w:proofErr w:type="spellEnd"/>
      <w:r w:rsidRPr="00B92640">
        <w:rPr>
          <w:bCs/>
          <w:lang w:val="fr-CH"/>
        </w:rPr>
        <w:t xml:space="preserve"> CE</w:t>
      </w:r>
      <w:r w:rsidR="009D610E">
        <w:rPr>
          <w:bCs/>
          <w:lang w:val="fr-CH"/>
        </w:rPr>
        <w:t xml:space="preserve"> </w:t>
      </w:r>
      <w:r w:rsidRPr="00B92640">
        <w:rPr>
          <w:bCs/>
          <w:lang w:val="fr-CH"/>
        </w:rPr>
        <w:t>17 s</w:t>
      </w:r>
      <w:r>
        <w:rPr>
          <w:bCs/>
          <w:lang w:val="fr-CH"/>
        </w:rPr>
        <w:t>'</w:t>
      </w:r>
      <w:r w:rsidRPr="00B92640">
        <w:rPr>
          <w:bCs/>
          <w:lang w:val="fr-CH"/>
        </w:rPr>
        <w:t>est réuni</w:t>
      </w:r>
      <w:r>
        <w:rPr>
          <w:bCs/>
          <w:lang w:val="fr-CH"/>
        </w:rPr>
        <w:t>e</w:t>
      </w:r>
      <w:r w:rsidRPr="00B92640">
        <w:rPr>
          <w:bCs/>
          <w:lang w:val="fr-CH"/>
        </w:rPr>
        <w:t xml:space="preserve"> à t</w:t>
      </w:r>
      <w:r>
        <w:rPr>
          <w:bCs/>
          <w:lang w:val="fr-CH"/>
        </w:rPr>
        <w:t>rois reprises en mars 2018, en août</w:t>
      </w:r>
      <w:r w:rsidR="009D610E">
        <w:rPr>
          <w:bCs/>
          <w:lang w:val="fr-CH"/>
        </w:rPr>
        <w:t>-</w:t>
      </w:r>
      <w:r w:rsidRPr="00B92640">
        <w:rPr>
          <w:bCs/>
          <w:lang w:val="fr-CH"/>
        </w:rPr>
        <w:t>septembre 2018 et en janvier 2019.</w:t>
      </w:r>
      <w:r>
        <w:rPr>
          <w:bCs/>
          <w:lang w:val="fr-CH"/>
        </w:rPr>
        <w:t xml:space="preserve"> </w:t>
      </w:r>
      <w:proofErr w:type="spellStart"/>
      <w:r>
        <w:rPr>
          <w:bCs/>
          <w:lang w:val="fr-CH"/>
        </w:rPr>
        <w:t>La</w:t>
      </w:r>
      <w:proofErr w:type="spellEnd"/>
      <w:r>
        <w:rPr>
          <w:bCs/>
          <w:lang w:val="fr-CH"/>
        </w:rPr>
        <w:t xml:space="preserve"> CE</w:t>
      </w:r>
      <w:r w:rsidR="009D610E">
        <w:rPr>
          <w:bCs/>
          <w:lang w:val="fr-CH"/>
        </w:rPr>
        <w:t xml:space="preserve"> </w:t>
      </w:r>
      <w:r w:rsidRPr="00B92640">
        <w:rPr>
          <w:bCs/>
          <w:lang w:val="fr-CH"/>
        </w:rPr>
        <w:t xml:space="preserve">17 a défini </w:t>
      </w:r>
      <w:hyperlink r:id="rId43" w:history="1">
        <w:r w:rsidRPr="009D610E">
          <w:rPr>
            <w:rStyle w:val="Hyperlink"/>
            <w:bCs/>
            <w:lang w:val="fr-CH"/>
          </w:rPr>
          <w:t>55 nouveau</w:t>
        </w:r>
        <w:r w:rsidR="008A3E1B" w:rsidRPr="009D610E">
          <w:rPr>
            <w:rStyle w:val="Hyperlink"/>
            <w:bCs/>
            <w:lang w:val="fr-CH"/>
          </w:rPr>
          <w:t>x</w:t>
        </w:r>
        <w:r w:rsidRPr="009D610E">
          <w:rPr>
            <w:rStyle w:val="Hyperlink"/>
            <w:bCs/>
            <w:lang w:val="fr-CH"/>
          </w:rPr>
          <w:t xml:space="preserve"> sujets d'étude en matière de normalisation</w:t>
        </w:r>
      </w:hyperlink>
      <w:r w:rsidRPr="00B92640">
        <w:rPr>
          <w:bCs/>
          <w:lang w:val="fr-CH"/>
        </w:rPr>
        <w:t>. Elle a approuvé 17 Recommandations UIT-T, nouvelles ou révisées, sur la sécurité des TIC, intitulées</w:t>
      </w:r>
      <w:r w:rsidR="00D067A8">
        <w:rPr>
          <w:bCs/>
          <w:lang w:val="fr-CH"/>
        </w:rPr>
        <w:t>:</w:t>
      </w:r>
      <w:r w:rsidRPr="00B92640">
        <w:rPr>
          <w:color w:val="000000"/>
          <w:lang w:val="fr-CH"/>
        </w:rPr>
        <w:t xml:space="preserve"> </w:t>
      </w:r>
      <w:hyperlink r:id="rId44" w:history="1">
        <w:r w:rsidRPr="009D610E">
          <w:rPr>
            <w:rStyle w:val="Hyperlink"/>
            <w:lang w:val="fr-CH"/>
          </w:rPr>
          <w:t>Applications génériques de l'ASN.1 – Syntaxe de message cryptographique</w:t>
        </w:r>
      </w:hyperlink>
      <w:r w:rsidRPr="00B92640">
        <w:rPr>
          <w:color w:val="000000"/>
          <w:lang w:val="fr-CH"/>
        </w:rPr>
        <w:t xml:space="preserve">, </w:t>
      </w:r>
      <w:hyperlink r:id="rId45" w:history="1">
        <w:r w:rsidRPr="009D610E">
          <w:rPr>
            <w:rStyle w:val="Hyperlink"/>
            <w:lang w:val="fr-CH"/>
          </w:rPr>
          <w:t xml:space="preserve">Cadre de sécurité pour l'exploitation des réseaux vocaux </w:t>
        </w:r>
        <w:proofErr w:type="spellStart"/>
        <w:r w:rsidRPr="009D610E">
          <w:rPr>
            <w:rStyle w:val="Hyperlink"/>
            <w:lang w:val="fr-CH"/>
          </w:rPr>
          <w:t>VoLTE</w:t>
        </w:r>
        <w:proofErr w:type="spellEnd"/>
      </w:hyperlink>
      <w:r w:rsidRPr="00B92640">
        <w:rPr>
          <w:color w:val="000000"/>
          <w:lang w:val="fr-CH"/>
        </w:rPr>
        <w:t xml:space="preserve">), </w:t>
      </w:r>
      <w:hyperlink r:id="rId46" w:history="1">
        <w:r w:rsidRPr="009D610E">
          <w:rPr>
            <w:rStyle w:val="Hyperlink"/>
            <w:lang w:val="fr-CH"/>
          </w:rPr>
          <w:t>Services de sécurité utilisant les réseaux pilotés par logiciel</w:t>
        </w:r>
      </w:hyperlink>
      <w:r w:rsidR="009D610E">
        <w:rPr>
          <w:bCs/>
          <w:lang w:val="fr-CH"/>
        </w:rPr>
        <w:t xml:space="preserve">, </w:t>
      </w:r>
      <w:hyperlink r:id="rId47" w:history="1">
        <w:r w:rsidR="009D610E" w:rsidRPr="009D610E">
          <w:rPr>
            <w:rStyle w:val="Hyperlink"/>
          </w:rPr>
          <w:t>Cadre </w:t>
        </w:r>
        <w:r w:rsidRPr="009D610E">
          <w:rPr>
            <w:rStyle w:val="Hyperlink"/>
          </w:rPr>
          <w:t xml:space="preserve">et exigences de </w:t>
        </w:r>
        <w:r w:rsidRPr="009D610E">
          <w:rPr>
            <w:rStyle w:val="Hyperlink"/>
          </w:rPr>
          <w:lastRenderedPageBreak/>
          <w:t>sécurité</w:t>
        </w:r>
        <w:r w:rsidRPr="009D610E">
          <w:rPr>
            <w:rStyle w:val="Hyperlink"/>
            <w:bCs/>
            <w:lang w:val="fr-CH"/>
          </w:rPr>
          <w:t xml:space="preserve"> </w:t>
        </w:r>
        <w:r w:rsidRPr="009D610E">
          <w:rPr>
            <w:rStyle w:val="Hyperlink"/>
            <w:lang w:val="fr-CH"/>
          </w:rPr>
          <w:t>pour le chaînage de fonctions de service</w:t>
        </w:r>
        <w:r w:rsidRPr="009D610E">
          <w:rPr>
            <w:rStyle w:val="Hyperlink"/>
            <w:bCs/>
            <w:lang w:val="fr-CH"/>
          </w:rPr>
          <w:t xml:space="preserve"> </w:t>
        </w:r>
        <w:r w:rsidRPr="009D610E">
          <w:rPr>
            <w:rStyle w:val="Hyperlink"/>
          </w:rPr>
          <w:t>fondé sur les</w:t>
        </w:r>
        <w:r w:rsidRPr="009D610E">
          <w:rPr>
            <w:rStyle w:val="Hyperlink"/>
            <w:lang w:val="fr-CH"/>
          </w:rPr>
          <w:t xml:space="preserve"> réseaux pilotés par logiciel</w:t>
        </w:r>
      </w:hyperlink>
      <w:r>
        <w:rPr>
          <w:color w:val="000000"/>
          <w:lang w:val="fr-CH"/>
        </w:rPr>
        <w:t>,</w:t>
      </w:r>
      <w:r w:rsidRPr="00FA42FA">
        <w:rPr>
          <w:color w:val="000000"/>
        </w:rPr>
        <w:t xml:space="preserve"> </w:t>
      </w:r>
      <w:hyperlink r:id="rId48" w:history="1">
        <w:r w:rsidRPr="00126A8E">
          <w:rPr>
            <w:rStyle w:val="Hyperlink"/>
          </w:rPr>
          <w:t xml:space="preserve">Contrôle d'accès </w:t>
        </w:r>
        <w:proofErr w:type="spellStart"/>
        <w:r w:rsidRPr="00126A8E">
          <w:rPr>
            <w:rStyle w:val="Hyperlink"/>
          </w:rPr>
          <w:t>télébiométrique</w:t>
        </w:r>
        <w:proofErr w:type="spellEnd"/>
        <w:r w:rsidRPr="00126A8E">
          <w:rPr>
            <w:rStyle w:val="Hyperlink"/>
          </w:rPr>
          <w:t xml:space="preserve"> </w:t>
        </w:r>
        <w:r w:rsidR="0061746F" w:rsidRPr="00126A8E">
          <w:rPr>
            <w:rStyle w:val="Hyperlink"/>
          </w:rPr>
          <w:t>au moyen de</w:t>
        </w:r>
        <w:r w:rsidRPr="00126A8E">
          <w:rPr>
            <w:rStyle w:val="Hyperlink"/>
          </w:rPr>
          <w:t xml:space="preserve"> cartes d'identi</w:t>
        </w:r>
        <w:r w:rsidR="0061746F" w:rsidRPr="00126A8E">
          <w:rPr>
            <w:rStyle w:val="Hyperlink"/>
          </w:rPr>
          <w:t>fication intelligentes</w:t>
        </w:r>
      </w:hyperlink>
      <w:r w:rsidRPr="00126A8E">
        <w:rPr>
          <w:color w:val="000000"/>
        </w:rPr>
        <w:t>,</w:t>
      </w:r>
      <w:r>
        <w:rPr>
          <w:bCs/>
          <w:lang w:val="fr-CH"/>
        </w:rPr>
        <w:t xml:space="preserve"> </w:t>
      </w:r>
      <w:hyperlink r:id="rId49" w:history="1">
        <w:r w:rsidR="009D610E" w:rsidRPr="009D610E">
          <w:rPr>
            <w:rStyle w:val="Hyperlink"/>
          </w:rPr>
          <w:t>A</w:t>
        </w:r>
        <w:r w:rsidRPr="009D610E">
          <w:rPr>
            <w:rStyle w:val="Hyperlink"/>
          </w:rPr>
          <w:t xml:space="preserve">uthentification </w:t>
        </w:r>
        <w:proofErr w:type="spellStart"/>
        <w:r w:rsidRPr="009D610E">
          <w:rPr>
            <w:rStyle w:val="Hyperlink"/>
          </w:rPr>
          <w:t>télébiométrique</w:t>
        </w:r>
        <w:proofErr w:type="spellEnd"/>
        <w:r w:rsidRPr="009D610E">
          <w:rPr>
            <w:rStyle w:val="Hyperlink"/>
          </w:rPr>
          <w:t xml:space="preserve"> utilisant des </w:t>
        </w:r>
        <w:proofErr w:type="spellStart"/>
        <w:r w:rsidRPr="009D610E">
          <w:rPr>
            <w:rStyle w:val="Hyperlink"/>
          </w:rPr>
          <w:t>biosignaux</w:t>
        </w:r>
        <w:proofErr w:type="spellEnd"/>
      </w:hyperlink>
      <w:r>
        <w:rPr>
          <w:color w:val="000000"/>
        </w:rPr>
        <w:t>,</w:t>
      </w:r>
      <w:r w:rsidRPr="00182185">
        <w:rPr>
          <w:color w:val="000000"/>
        </w:rPr>
        <w:t xml:space="preserve"> </w:t>
      </w:r>
      <w:hyperlink r:id="rId50" w:history="1">
        <w:r w:rsidR="0061746F">
          <w:rPr>
            <w:rStyle w:val="Hyperlink"/>
          </w:rPr>
          <w:t>E</w:t>
        </w:r>
        <w:r w:rsidRPr="009D610E">
          <w:rPr>
            <w:rStyle w:val="Hyperlink"/>
          </w:rPr>
          <w:t>xigences de sécurité</w:t>
        </w:r>
        <w:r w:rsidRPr="009D610E">
          <w:rPr>
            <w:rStyle w:val="Hyperlink"/>
            <w:bCs/>
            <w:lang w:val="fr-CH"/>
          </w:rPr>
          <w:t xml:space="preserve"> </w:t>
        </w:r>
        <w:r w:rsidR="0061746F">
          <w:rPr>
            <w:rStyle w:val="Hyperlink"/>
            <w:bCs/>
            <w:lang w:val="fr-CH"/>
          </w:rPr>
          <w:t xml:space="preserve">et cadre </w:t>
        </w:r>
        <w:r w:rsidRPr="009D610E">
          <w:rPr>
            <w:rStyle w:val="Hyperlink"/>
            <w:lang w:val="fr-CH"/>
          </w:rPr>
          <w:t>pour</w:t>
        </w:r>
        <w:r w:rsidRPr="009D610E">
          <w:rPr>
            <w:rStyle w:val="Hyperlink"/>
          </w:rPr>
          <w:t xml:space="preserve"> l'analyse des </w:t>
        </w:r>
        <w:proofErr w:type="spellStart"/>
        <w:r w:rsidRPr="009D610E">
          <w:rPr>
            <w:rStyle w:val="Hyperlink"/>
          </w:rPr>
          <w:t>mégadonnées</w:t>
        </w:r>
        <w:proofErr w:type="spellEnd"/>
        <w:r w:rsidRPr="009D610E">
          <w:rPr>
            <w:rStyle w:val="Hyperlink"/>
          </w:rPr>
          <w:t xml:space="preserve"> </w:t>
        </w:r>
        <w:r w:rsidRPr="009D610E">
          <w:rPr>
            <w:rStyle w:val="Hyperlink"/>
            <w:bCs/>
            <w:lang w:val="fr-CH"/>
          </w:rPr>
          <w:t>dans les services</w:t>
        </w:r>
        <w:r w:rsidRPr="009D610E">
          <w:rPr>
            <w:rStyle w:val="Hyperlink"/>
          </w:rPr>
          <w:t xml:space="preserve"> </w:t>
        </w:r>
        <w:r w:rsidR="00D067A8" w:rsidRPr="009D610E">
          <w:rPr>
            <w:rStyle w:val="Hyperlink"/>
          </w:rPr>
          <w:t>I</w:t>
        </w:r>
        <w:r w:rsidRPr="009D610E">
          <w:rPr>
            <w:rStyle w:val="Hyperlink"/>
          </w:rPr>
          <w:t>nternet</w:t>
        </w:r>
        <w:r w:rsidR="0061746F">
          <w:rPr>
            <w:rStyle w:val="Hyperlink"/>
          </w:rPr>
          <w:t xml:space="preserve"> sur</w:t>
        </w:r>
        <w:r w:rsidRPr="009D610E">
          <w:rPr>
            <w:rStyle w:val="Hyperlink"/>
          </w:rPr>
          <w:t xml:space="preserve"> mobile</w:t>
        </w:r>
      </w:hyperlink>
      <w:r w:rsidRPr="00B92640">
        <w:rPr>
          <w:bCs/>
          <w:lang w:val="fr-CH"/>
        </w:rPr>
        <w:t xml:space="preserve">, </w:t>
      </w:r>
      <w:hyperlink r:id="rId51" w:history="1">
        <w:r w:rsidRPr="009D610E">
          <w:rPr>
            <w:rStyle w:val="Hyperlink"/>
          </w:rPr>
          <w:t>Techniques d'évaluation de la sécurité dans les réseaux de télécommunication/TIC</w:t>
        </w:r>
      </w:hyperlink>
      <w:r>
        <w:rPr>
          <w:color w:val="000000"/>
        </w:rPr>
        <w:t>,</w:t>
      </w:r>
      <w:r w:rsidRPr="00182185">
        <w:rPr>
          <w:color w:val="000000"/>
        </w:rPr>
        <w:t xml:space="preserve"> </w:t>
      </w:r>
      <w:hyperlink r:id="rId52" w:history="1">
        <w:r w:rsidRPr="009D610E">
          <w:rPr>
            <w:rStyle w:val="Hyperlink"/>
          </w:rPr>
          <w:t xml:space="preserve">Cas d'utilisation pour l'expression structurée d'informations sur les menaces </w:t>
        </w:r>
        <w:r w:rsidRPr="009D610E">
          <w:rPr>
            <w:rStyle w:val="Hyperlink"/>
            <w:bCs/>
            <w:lang w:val="fr-CH"/>
          </w:rPr>
          <w:t>(STIX)</w:t>
        </w:r>
      </w:hyperlink>
      <w:r w:rsidRPr="00B92640">
        <w:rPr>
          <w:bCs/>
          <w:lang w:val="fr-CH"/>
        </w:rPr>
        <w:t xml:space="preserve">, </w:t>
      </w:r>
      <w:hyperlink r:id="rId53" w:history="1">
        <w:r w:rsidRPr="009D610E">
          <w:rPr>
            <w:rStyle w:val="Hyperlink"/>
          </w:rPr>
          <w:t>Cadre technique de lutte contre le spam publicitaire sur les applications mobiles</w:t>
        </w:r>
      </w:hyperlink>
      <w:r>
        <w:rPr>
          <w:color w:val="000000"/>
        </w:rPr>
        <w:t>,</w:t>
      </w:r>
      <w:r w:rsidRPr="00182185">
        <w:rPr>
          <w:color w:val="000000"/>
        </w:rPr>
        <w:t xml:space="preserve"> </w:t>
      </w:r>
      <w:hyperlink r:id="rId54" w:history="1">
        <w:r w:rsidRPr="009D610E">
          <w:rPr>
            <w:rStyle w:val="Hyperlink"/>
          </w:rPr>
          <w:t>Protocole d'amélioration de l'authentification et métadonnées – Version 1.0</w:t>
        </w:r>
      </w:hyperlink>
      <w:r w:rsidR="009D610E">
        <w:rPr>
          <w:color w:val="000000"/>
        </w:rPr>
        <w:t xml:space="preserve">, </w:t>
      </w:r>
      <w:r w:rsidR="00D00C3C">
        <w:rPr>
          <w:color w:val="000000"/>
        </w:rPr>
        <w:br w:type="page"/>
      </w:r>
    </w:p>
    <w:p w:rsidR="00AF35E3" w:rsidRDefault="008A0E60" w:rsidP="00D00C3C">
      <w:pPr>
        <w:rPr>
          <w:bCs/>
          <w:lang w:val="fr-CH"/>
        </w:rPr>
      </w:pPr>
      <w:hyperlink r:id="rId55" w:history="1">
        <w:r w:rsidR="00AF35E3" w:rsidRPr="009D610E">
          <w:rPr>
            <w:rStyle w:val="Hyperlink"/>
          </w:rPr>
          <w:t>Cadre d'authentification universel</w:t>
        </w:r>
        <w:r w:rsidR="00D812A9">
          <w:rPr>
            <w:rStyle w:val="Hyperlink"/>
          </w:rPr>
          <w:t>le</w:t>
        </w:r>
        <w:r w:rsidR="00AF35E3" w:rsidRPr="009D610E">
          <w:rPr>
            <w:rStyle w:val="Hyperlink"/>
          </w:rPr>
          <w:t xml:space="preserve"> </w:t>
        </w:r>
        <w:r w:rsidR="00AF35E3" w:rsidRPr="009D610E">
          <w:rPr>
            <w:rStyle w:val="Hyperlink"/>
            <w:bCs/>
            <w:lang w:val="fr-CH"/>
          </w:rPr>
          <w:t>(UAF)</w:t>
        </w:r>
      </w:hyperlink>
      <w:r w:rsidR="00AF35E3" w:rsidRPr="00B92640">
        <w:rPr>
          <w:bCs/>
          <w:lang w:val="fr-CH"/>
        </w:rPr>
        <w:t xml:space="preserve">, </w:t>
      </w:r>
      <w:hyperlink r:id="rId56" w:history="1">
        <w:r w:rsidR="00AF35E3" w:rsidRPr="009D610E">
          <w:rPr>
            <w:rStyle w:val="Hyperlink"/>
          </w:rPr>
          <w:t>Protocole clien</w:t>
        </w:r>
        <w:r w:rsidR="0061746F">
          <w:rPr>
            <w:rStyle w:val="Hyperlink"/>
          </w:rPr>
          <w:t>t</w:t>
        </w:r>
        <w:r w:rsidR="00AF35E3" w:rsidRPr="009D610E">
          <w:rPr>
            <w:rStyle w:val="Hyperlink"/>
          </w:rPr>
          <w:t>-authentificateur</w:t>
        </w:r>
        <w:r w:rsidR="00AF35E3" w:rsidRPr="009D610E">
          <w:rPr>
            <w:rStyle w:val="Hyperlink"/>
            <w:bCs/>
            <w:lang w:val="fr-CH"/>
          </w:rPr>
          <w:t xml:space="preserve">/Cadre </w:t>
        </w:r>
        <w:r w:rsidR="0061746F">
          <w:rPr>
            <w:rStyle w:val="Hyperlink"/>
            <w:bCs/>
            <w:lang w:val="fr-CH"/>
          </w:rPr>
          <w:t xml:space="preserve">applicable au double facteur </w:t>
        </w:r>
        <w:r w:rsidR="00AF35E3" w:rsidRPr="009D610E">
          <w:rPr>
            <w:rStyle w:val="Hyperlink"/>
            <w:bCs/>
            <w:lang w:val="fr-CH"/>
          </w:rPr>
          <w:t>universel</w:t>
        </w:r>
      </w:hyperlink>
      <w:r w:rsidR="00AF35E3" w:rsidRPr="00B92640">
        <w:rPr>
          <w:bCs/>
          <w:lang w:val="fr-CH"/>
        </w:rPr>
        <w:t xml:space="preserve">, </w:t>
      </w:r>
      <w:hyperlink r:id="rId57" w:history="1">
        <w:r w:rsidR="00AF35E3" w:rsidRPr="009D610E">
          <w:rPr>
            <w:rStyle w:val="Hyperlink"/>
          </w:rPr>
          <w:t>Lignes directrices relatives à la sécurité des dispositifs des réseaux domestiques (HAN) dans les réseaux électriques intelligents</w:t>
        </w:r>
      </w:hyperlink>
      <w:r w:rsidR="00AF35E3">
        <w:rPr>
          <w:color w:val="000000"/>
        </w:rPr>
        <w:t>,</w:t>
      </w:r>
      <w:r w:rsidR="00AF35E3" w:rsidRPr="00BE60DD">
        <w:rPr>
          <w:color w:val="000000"/>
        </w:rPr>
        <w:t xml:space="preserve"> </w:t>
      </w:r>
      <w:hyperlink r:id="rId58" w:history="1">
        <w:r w:rsidR="00AF35E3" w:rsidRPr="009D610E">
          <w:rPr>
            <w:rStyle w:val="Hyperlink"/>
          </w:rPr>
          <w:t>Cadre de sécurité applicable à l'Internet des objets fondé sur le modèle passerelle</w:t>
        </w:r>
      </w:hyperlink>
      <w:r w:rsidR="00AF35E3" w:rsidRPr="00B92640">
        <w:rPr>
          <w:bCs/>
          <w:lang w:val="fr-CH"/>
        </w:rPr>
        <w:t>,</w:t>
      </w:r>
      <w:r w:rsidR="00AF35E3">
        <w:rPr>
          <w:bCs/>
          <w:lang w:val="fr-CH"/>
        </w:rPr>
        <w:t xml:space="preserve"> </w:t>
      </w:r>
      <w:hyperlink r:id="rId59" w:history="1">
        <w:r w:rsidR="00AF35E3" w:rsidRPr="009D610E">
          <w:rPr>
            <w:rStyle w:val="Hyperlink"/>
            <w:bCs/>
            <w:lang w:val="fr-CH"/>
          </w:rPr>
          <w:t xml:space="preserve">Lignes directrices </w:t>
        </w:r>
        <w:r w:rsidR="0061746F">
          <w:rPr>
            <w:rStyle w:val="Hyperlink"/>
            <w:bCs/>
            <w:lang w:val="fr-CH"/>
          </w:rPr>
          <w:t>sur les</w:t>
        </w:r>
        <w:r w:rsidR="00AF35E3" w:rsidRPr="009D610E">
          <w:rPr>
            <w:rStyle w:val="Hyperlink"/>
            <w:bCs/>
            <w:lang w:val="fr-CH"/>
          </w:rPr>
          <w:t xml:space="preserve"> </w:t>
        </w:r>
        <w:r w:rsidR="00AF35E3" w:rsidRPr="009D610E">
          <w:rPr>
            <w:rStyle w:val="Hyperlink"/>
          </w:rPr>
          <w:t xml:space="preserve">mécanismes </w:t>
        </w:r>
        <w:r w:rsidR="0061746F">
          <w:rPr>
            <w:rStyle w:val="Hyperlink"/>
          </w:rPr>
          <w:t>d'</w:t>
        </w:r>
        <w:proofErr w:type="spellStart"/>
        <w:r w:rsidR="0061746F">
          <w:rPr>
            <w:rStyle w:val="Hyperlink"/>
          </w:rPr>
          <w:t>authen</w:t>
        </w:r>
        <w:r w:rsidR="00AF35E3" w:rsidRPr="009D610E">
          <w:rPr>
            <w:rStyle w:val="Hyperlink"/>
          </w:rPr>
          <w:t>fication</w:t>
        </w:r>
        <w:proofErr w:type="spellEnd"/>
        <w:r w:rsidR="0061746F">
          <w:rPr>
            <w:rStyle w:val="Hyperlink"/>
          </w:rPr>
          <w:t xml:space="preserve"> hybride</w:t>
        </w:r>
        <w:r w:rsidR="00AF35E3" w:rsidRPr="009D610E">
          <w:rPr>
            <w:rStyle w:val="Hyperlink"/>
          </w:rPr>
          <w:t xml:space="preserve"> et de gestion de clés dans le modèle client-serveur</w:t>
        </w:r>
      </w:hyperlink>
      <w:r w:rsidR="00AF35E3">
        <w:rPr>
          <w:bCs/>
          <w:lang w:val="fr-CH"/>
        </w:rPr>
        <w:t xml:space="preserve"> et </w:t>
      </w:r>
      <w:hyperlink r:id="rId60" w:history="1">
        <w:r w:rsidR="00AF35E3" w:rsidRPr="009D610E">
          <w:rPr>
            <w:rStyle w:val="Hyperlink"/>
          </w:rPr>
          <w:t>Exigences de sécurité des données approuvées pour le service de surveillance de l'informatique en nuage</w:t>
        </w:r>
      </w:hyperlink>
      <w:r w:rsidR="0082281D">
        <w:rPr>
          <w:color w:val="000000"/>
        </w:rPr>
        <w:t>.</w:t>
      </w:r>
    </w:p>
    <w:p w:rsidR="00AF35E3" w:rsidRPr="00922AC0" w:rsidRDefault="00AF35E3" w:rsidP="0061746F">
      <w:pPr>
        <w:snapToGrid w:val="0"/>
        <w:spacing w:after="120"/>
        <w:rPr>
          <w:rFonts w:cstheme="minorHAnsi"/>
          <w:lang w:val="fr-CH"/>
        </w:rPr>
      </w:pPr>
      <w:r w:rsidRPr="00922AC0">
        <w:rPr>
          <w:rFonts w:cstheme="minorHAnsi"/>
          <w:lang w:val="fr-CH"/>
        </w:rPr>
        <w:t>3.3</w:t>
      </w:r>
      <w:r w:rsidRPr="00922AC0">
        <w:rPr>
          <w:rFonts w:cstheme="minorHAnsi"/>
          <w:lang w:val="fr-CH"/>
        </w:rPr>
        <w:tab/>
        <w:t>La CE</w:t>
      </w:r>
      <w:r w:rsidR="00D067A8">
        <w:rPr>
          <w:rFonts w:cstheme="minorHAnsi"/>
          <w:lang w:val="fr-CH"/>
        </w:rPr>
        <w:t xml:space="preserve"> </w:t>
      </w:r>
      <w:r w:rsidRPr="00922AC0">
        <w:rPr>
          <w:rFonts w:cstheme="minorHAnsi"/>
          <w:lang w:val="fr-CH"/>
        </w:rPr>
        <w:t xml:space="preserve">17 a approuvé la version révisée du </w:t>
      </w:r>
      <w:hyperlink r:id="rId61" w:history="1">
        <w:r w:rsidRPr="00D812A9">
          <w:rPr>
            <w:rStyle w:val="Hyperlink"/>
            <w:rFonts w:cstheme="minorHAnsi"/>
            <w:lang w:val="fr-CH"/>
          </w:rPr>
          <w:t xml:space="preserve">Supplément à la Recommandation UIT-T X.1051, intitulé </w:t>
        </w:r>
        <w:r w:rsidR="00D067A8" w:rsidRPr="00D812A9">
          <w:rPr>
            <w:rStyle w:val="Hyperlink"/>
            <w:rFonts w:cstheme="minorHAnsi"/>
            <w:lang w:val="fr-CH"/>
          </w:rPr>
          <w:t>"</w:t>
        </w:r>
        <w:r w:rsidRPr="00D812A9">
          <w:rPr>
            <w:rStyle w:val="Hyperlink"/>
            <w:rFonts w:cstheme="minorHAnsi"/>
            <w:lang w:val="fr-CH"/>
          </w:rPr>
          <w:t>Manuel d'utilisation pour les contrôles de sécurité de l'information au sein d</w:t>
        </w:r>
        <w:r w:rsidR="00D067A8" w:rsidRPr="00D812A9">
          <w:rPr>
            <w:rStyle w:val="Hyperlink"/>
            <w:rFonts w:cstheme="minorHAnsi"/>
            <w:lang w:val="fr-CH"/>
          </w:rPr>
          <w:t xml:space="preserve">es </w:t>
        </w:r>
        <w:r w:rsidRPr="00D812A9">
          <w:rPr>
            <w:rStyle w:val="Hyperlink"/>
            <w:rFonts w:cstheme="minorHAnsi"/>
            <w:lang w:val="fr-CH"/>
          </w:rPr>
          <w:t>organisations de télécommunication"</w:t>
        </w:r>
      </w:hyperlink>
      <w:r>
        <w:rPr>
          <w:rFonts w:cstheme="minorHAnsi"/>
          <w:lang w:val="fr-CH"/>
        </w:rPr>
        <w:t xml:space="preserve"> ainsi que cinq nouveaux Suppléments aux</w:t>
      </w:r>
      <w:r w:rsidRPr="00922AC0">
        <w:rPr>
          <w:rFonts w:cstheme="minorHAnsi"/>
          <w:lang w:val="fr-CH"/>
        </w:rPr>
        <w:t xml:space="preserve"> Recommandations UIT-T de la série X</w:t>
      </w:r>
      <w:r w:rsidR="00D067A8">
        <w:rPr>
          <w:rFonts w:cstheme="minorHAnsi"/>
          <w:lang w:val="fr-CH"/>
        </w:rPr>
        <w:t>, à savoir:</w:t>
      </w:r>
      <w:r w:rsidRPr="000C4D93">
        <w:rPr>
          <w:rFonts w:cstheme="minorHAnsi"/>
          <w:lang w:val="fr-CH"/>
        </w:rPr>
        <w:t xml:space="preserve"> </w:t>
      </w:r>
      <w:hyperlink r:id="rId62" w:history="1">
        <w:r w:rsidRPr="0061746F">
          <w:rPr>
            <w:rStyle w:val="Hyperlink"/>
            <w:rFonts w:cstheme="minorHAnsi"/>
            <w:lang w:val="fr-CH"/>
          </w:rPr>
          <w:t xml:space="preserve">Supplément à la Recommandation UIT-T X.805: </w:t>
        </w:r>
        <w:r w:rsidRPr="0061746F">
          <w:rPr>
            <w:rStyle w:val="Hyperlink"/>
          </w:rPr>
          <w:t>Lignes directrices sur la sécurité pour les opérateurs de réseaux virtuels mobiles</w:t>
        </w:r>
        <w:r w:rsidRPr="0061746F">
          <w:rPr>
            <w:rStyle w:val="Hyperlink"/>
            <w:rFonts w:cstheme="minorHAnsi"/>
            <w:lang w:val="fr-CH"/>
          </w:rPr>
          <w:t xml:space="preserve"> (MVNO)</w:t>
        </w:r>
      </w:hyperlink>
      <w:r w:rsidRPr="00922AC0">
        <w:rPr>
          <w:rFonts w:cstheme="minorHAnsi"/>
          <w:lang w:val="fr-CH"/>
        </w:rPr>
        <w:t xml:space="preserve">, </w:t>
      </w:r>
      <w:hyperlink r:id="rId63" w:history="1">
        <w:r w:rsidRPr="0061746F">
          <w:rPr>
            <w:rStyle w:val="Hyperlink"/>
            <w:rFonts w:cstheme="minorHAnsi"/>
            <w:lang w:val="fr-CH"/>
          </w:rPr>
          <w:t>Supplément à la Recommandation UIT-T X.660 –</w:t>
        </w:r>
        <w:r w:rsidRPr="0061746F">
          <w:rPr>
            <w:rStyle w:val="Hyperlink"/>
          </w:rPr>
          <w:t xml:space="preserve"> Lignes directrices relatives à l'utilisation des identificateurs d'objet pour l'Internet des objets</w:t>
        </w:r>
      </w:hyperlink>
      <w:r w:rsidRPr="00922AC0">
        <w:rPr>
          <w:rFonts w:cstheme="minorHAnsi"/>
          <w:lang w:val="fr-CH"/>
        </w:rPr>
        <w:t xml:space="preserve">, </w:t>
      </w:r>
      <w:hyperlink r:id="rId64" w:history="1">
        <w:r w:rsidRPr="0061746F">
          <w:rPr>
            <w:rStyle w:val="Hyperlink"/>
            <w:rFonts w:cstheme="minorHAnsi"/>
            <w:lang w:val="fr-CH"/>
          </w:rPr>
          <w:t xml:space="preserve">Supplément à la Recommandation UIT-T X.1058: </w:t>
        </w:r>
        <w:r w:rsidRPr="0061746F">
          <w:rPr>
            <w:rStyle w:val="Hyperlink"/>
          </w:rPr>
          <w:t>Code de bonne pratique pour la protection des informations d'identification personnelle</w:t>
        </w:r>
        <w:r w:rsidRPr="0061746F">
          <w:rPr>
            <w:rStyle w:val="Hyperlink"/>
            <w:rFonts w:cstheme="minorHAnsi"/>
            <w:lang w:val="fr-CH"/>
          </w:rPr>
          <w:t xml:space="preserve"> </w:t>
        </w:r>
        <w:r w:rsidRPr="0061746F">
          <w:rPr>
            <w:rStyle w:val="Hyperlink"/>
          </w:rPr>
          <w:t>sur la base de la Recommandation</w:t>
        </w:r>
        <w:r w:rsidRPr="0061746F">
          <w:rPr>
            <w:rStyle w:val="Hyperlink"/>
            <w:rFonts w:cstheme="minorHAnsi"/>
            <w:lang w:val="fr-CH"/>
          </w:rPr>
          <w:t xml:space="preserve"> UIT-T X.1058 pour les organisations de télécommunication</w:t>
        </w:r>
      </w:hyperlink>
      <w:r>
        <w:rPr>
          <w:rFonts w:cstheme="minorHAnsi"/>
          <w:lang w:val="fr-CH"/>
        </w:rPr>
        <w:t xml:space="preserve">, </w:t>
      </w:r>
      <w:hyperlink r:id="rId65" w:history="1">
        <w:r w:rsidRPr="0061746F">
          <w:rPr>
            <w:rStyle w:val="Hyperlink"/>
            <w:rFonts w:cstheme="minorHAnsi"/>
            <w:lang w:val="fr-CH"/>
          </w:rPr>
          <w:t>Suppl</w:t>
        </w:r>
        <w:r w:rsidR="00D067A8" w:rsidRPr="0061746F">
          <w:rPr>
            <w:rStyle w:val="Hyperlink"/>
            <w:rFonts w:cstheme="minorHAnsi"/>
            <w:lang w:val="fr-CH"/>
          </w:rPr>
          <w:t>é</w:t>
        </w:r>
        <w:r w:rsidRPr="0061746F">
          <w:rPr>
            <w:rStyle w:val="Hyperlink"/>
            <w:rFonts w:cstheme="minorHAnsi"/>
            <w:lang w:val="fr-CH"/>
          </w:rPr>
          <w:t xml:space="preserve">ment à la Recommandation UIT-T X.1231: Cadre technique de </w:t>
        </w:r>
        <w:r w:rsidRPr="0061746F">
          <w:rPr>
            <w:rStyle w:val="Hyperlink"/>
          </w:rPr>
          <w:t>lutte contre les escroqueries par service téléphonique</w:t>
        </w:r>
      </w:hyperlink>
      <w:r w:rsidRPr="00922AC0">
        <w:rPr>
          <w:rFonts w:cstheme="minorHAnsi"/>
          <w:lang w:val="fr-CH"/>
        </w:rPr>
        <w:t xml:space="preserve"> </w:t>
      </w:r>
      <w:r>
        <w:rPr>
          <w:rFonts w:cstheme="minorHAnsi"/>
          <w:lang w:val="fr-CH"/>
        </w:rPr>
        <w:t xml:space="preserve">et </w:t>
      </w:r>
      <w:hyperlink r:id="rId66" w:history="1">
        <w:r w:rsidRPr="0061746F">
          <w:rPr>
            <w:rStyle w:val="Hyperlink"/>
            <w:rFonts w:cstheme="minorHAnsi"/>
            <w:lang w:val="fr-CH"/>
          </w:rPr>
          <w:t xml:space="preserve">Supplément à la Recommandation UIT-T X.1051 | </w:t>
        </w:r>
        <w:r w:rsidR="00D067A8" w:rsidRPr="0061746F">
          <w:rPr>
            <w:rStyle w:val="Hyperlink"/>
            <w:rFonts w:cstheme="minorHAnsi"/>
            <w:lang w:val="fr-CH"/>
          </w:rPr>
          <w:t xml:space="preserve">Norme </w:t>
        </w:r>
        <w:r w:rsidRPr="0061746F">
          <w:rPr>
            <w:rStyle w:val="Hyperlink"/>
            <w:rFonts w:cstheme="minorHAnsi"/>
            <w:lang w:val="fr-CH"/>
          </w:rPr>
          <w:t>ISO/</w:t>
        </w:r>
        <w:r w:rsidR="00D067A8" w:rsidRPr="0061746F">
          <w:rPr>
            <w:rStyle w:val="Hyperlink"/>
            <w:rFonts w:cstheme="minorHAnsi"/>
            <w:lang w:val="fr-CH"/>
          </w:rPr>
          <w:t>CEI</w:t>
        </w:r>
        <w:r w:rsidRPr="0061746F">
          <w:rPr>
            <w:rStyle w:val="Hyperlink"/>
            <w:rFonts w:cstheme="minorHAnsi"/>
            <w:lang w:val="fr-CH"/>
          </w:rPr>
          <w:t xml:space="preserve"> 27011 (2016): </w:t>
        </w:r>
        <w:r w:rsidRPr="0061746F">
          <w:rPr>
            <w:rStyle w:val="Hyperlink"/>
          </w:rPr>
          <w:t xml:space="preserve">Technologies de l'information – Techniques de sécurité </w:t>
        </w:r>
        <w:r w:rsidRPr="0061746F">
          <w:rPr>
            <w:rStyle w:val="Hyperlink"/>
            <w:rFonts w:cstheme="minorHAnsi"/>
            <w:lang w:val="fr-CH"/>
          </w:rPr>
          <w:t xml:space="preserve">– </w:t>
        </w:r>
        <w:r w:rsidRPr="0061746F">
          <w:rPr>
            <w:rStyle w:val="Hyperlink"/>
          </w:rPr>
          <w:t xml:space="preserve">Code de bonne pratique pour les contrôles de sécurité de l'information sur la base de la Norme </w:t>
        </w:r>
        <w:r w:rsidRPr="0061746F">
          <w:rPr>
            <w:rStyle w:val="Hyperlink"/>
            <w:rFonts w:cstheme="minorHAnsi"/>
            <w:lang w:val="fr-CH"/>
          </w:rPr>
          <w:t xml:space="preserve">ISO/CEI 27002 </w:t>
        </w:r>
        <w:r w:rsidRPr="0061746F">
          <w:rPr>
            <w:rStyle w:val="Hyperlink"/>
          </w:rPr>
          <w:t>pour les orga</w:t>
        </w:r>
        <w:r w:rsidR="00D067A8" w:rsidRPr="0061746F">
          <w:rPr>
            <w:rStyle w:val="Hyperlink"/>
          </w:rPr>
          <w:t>nisations de télécommunication</w:t>
        </w:r>
      </w:hyperlink>
      <w:r w:rsidR="00D067A8">
        <w:rPr>
          <w:color w:val="000000"/>
        </w:rPr>
        <w:t>.</w:t>
      </w:r>
      <w:r>
        <w:rPr>
          <w:color w:val="000000"/>
        </w:rPr>
        <w:t xml:space="preserve"> </w:t>
      </w:r>
    </w:p>
    <w:p w:rsidR="00AF35E3" w:rsidRDefault="00AF35E3" w:rsidP="0082281D">
      <w:pPr>
        <w:snapToGrid w:val="0"/>
        <w:spacing w:after="120"/>
        <w:jc w:val="both"/>
        <w:rPr>
          <w:color w:val="000000"/>
          <w:lang w:val="fr-CH"/>
        </w:rPr>
      </w:pPr>
      <w:r w:rsidRPr="00922AC0">
        <w:rPr>
          <w:rFonts w:eastAsia="SimSun" w:cstheme="minorHAnsi"/>
          <w:bCs/>
          <w:lang w:val="fr-CH"/>
        </w:rPr>
        <w:t>3.4</w:t>
      </w:r>
      <w:r w:rsidRPr="00922AC0">
        <w:rPr>
          <w:rFonts w:eastAsia="SimSun" w:cstheme="minorHAnsi"/>
          <w:bCs/>
          <w:lang w:val="fr-CH"/>
        </w:rPr>
        <w:tab/>
      </w:r>
      <w:r>
        <w:rPr>
          <w:color w:val="000000"/>
        </w:rPr>
        <w:t xml:space="preserve">Le </w:t>
      </w:r>
      <w:hyperlink r:id="rId67" w:history="1">
        <w:r w:rsidRPr="00F12A59">
          <w:rPr>
            <w:rStyle w:val="Hyperlink"/>
          </w:rPr>
          <w:t>Groupe régional de la CE 17 pour la région des Etats arabes</w:t>
        </w:r>
      </w:hyperlink>
      <w:r>
        <w:rPr>
          <w:color w:val="000000"/>
        </w:rPr>
        <w:t xml:space="preserve"> a tenu sa deuxième réunion au Koweït (octobre 2018). </w:t>
      </w:r>
      <w:r w:rsidRPr="00B92640">
        <w:rPr>
          <w:color w:val="000000"/>
          <w:lang w:val="fr-CH"/>
        </w:rPr>
        <w:t>Le Groupe régional pour l</w:t>
      </w:r>
      <w:r>
        <w:rPr>
          <w:color w:val="000000"/>
          <w:lang w:val="fr-CH"/>
        </w:rPr>
        <w:t>'</w:t>
      </w:r>
      <w:r w:rsidRPr="00B92640">
        <w:rPr>
          <w:color w:val="000000"/>
          <w:lang w:val="fr-CH"/>
        </w:rPr>
        <w:t>Afrique</w:t>
      </w:r>
      <w:r w:rsidRPr="00B92640">
        <w:rPr>
          <w:rFonts w:eastAsia="SimSun" w:cstheme="minorHAnsi"/>
          <w:bCs/>
          <w:spacing w:val="2"/>
          <w:lang w:val="fr-CH"/>
        </w:rPr>
        <w:t xml:space="preserve"> et</w:t>
      </w:r>
      <w:r>
        <w:rPr>
          <w:rFonts w:eastAsia="SimSun" w:cstheme="minorHAnsi"/>
          <w:bCs/>
          <w:spacing w:val="2"/>
          <w:lang w:val="fr-CH"/>
        </w:rPr>
        <w:t xml:space="preserve"> le </w:t>
      </w:r>
      <w:r>
        <w:rPr>
          <w:color w:val="000000"/>
        </w:rPr>
        <w:t xml:space="preserve">Groupe régional pour la région </w:t>
      </w:r>
      <w:r w:rsidR="00743304">
        <w:rPr>
          <w:color w:val="000000"/>
        </w:rPr>
        <w:t>des Etats arabes</w:t>
      </w:r>
      <w:r w:rsidRPr="00922AC0">
        <w:rPr>
          <w:color w:val="000000"/>
          <w:lang w:val="fr-CH"/>
        </w:rPr>
        <w:t xml:space="preserve"> </w:t>
      </w:r>
      <w:r w:rsidRPr="00B04D09">
        <w:rPr>
          <w:color w:val="000000"/>
          <w:lang w:val="fr-CH"/>
        </w:rPr>
        <w:t xml:space="preserve">de </w:t>
      </w:r>
      <w:proofErr w:type="spellStart"/>
      <w:r w:rsidRPr="00B04D09">
        <w:rPr>
          <w:color w:val="000000"/>
          <w:lang w:val="fr-CH"/>
        </w:rPr>
        <w:t>la</w:t>
      </w:r>
      <w:proofErr w:type="spellEnd"/>
      <w:r w:rsidRPr="00B04D09">
        <w:rPr>
          <w:color w:val="000000"/>
          <w:lang w:val="fr-CH"/>
        </w:rPr>
        <w:t xml:space="preserve"> CE 17</w:t>
      </w:r>
      <w:r>
        <w:rPr>
          <w:color w:val="000000"/>
          <w:lang w:val="fr-CH"/>
        </w:rPr>
        <w:t xml:space="preserve"> se réuniront à Tunis</w:t>
      </w:r>
      <w:r w:rsidR="00743304">
        <w:rPr>
          <w:color w:val="000000"/>
          <w:lang w:val="fr-CH"/>
        </w:rPr>
        <w:t xml:space="preserve"> (Tunisie) en </w:t>
      </w:r>
      <w:r>
        <w:rPr>
          <w:color w:val="000000"/>
          <w:lang w:val="fr-CH"/>
        </w:rPr>
        <w:t>avril 2019.</w:t>
      </w:r>
    </w:p>
    <w:p w:rsidR="00AF35E3" w:rsidRPr="00F2153D" w:rsidRDefault="00AF35E3" w:rsidP="0082281D">
      <w:pPr>
        <w:rPr>
          <w:rFonts w:asciiTheme="minorHAnsi" w:hAnsiTheme="minorHAnsi" w:cstheme="minorHAnsi"/>
          <w:bCs/>
          <w:lang w:val="fr-CH"/>
        </w:rPr>
      </w:pPr>
      <w:r w:rsidRPr="003E27CB">
        <w:rPr>
          <w:rFonts w:asciiTheme="minorHAnsi" w:hAnsiTheme="minorHAnsi" w:cstheme="minorHAnsi"/>
          <w:lang w:val="fr-CH"/>
        </w:rPr>
        <w:t>3.5</w:t>
      </w:r>
      <w:r w:rsidRPr="003E27CB">
        <w:rPr>
          <w:rFonts w:asciiTheme="minorHAnsi" w:hAnsiTheme="minorHAnsi" w:cstheme="minorHAnsi"/>
          <w:lang w:val="fr-CH"/>
        </w:rPr>
        <w:tab/>
      </w:r>
      <w:r w:rsidR="00743304">
        <w:rPr>
          <w:lang w:val="fr-CH"/>
        </w:rPr>
        <w:t>L</w:t>
      </w:r>
      <w:r w:rsidRPr="003E27CB">
        <w:rPr>
          <w:lang w:val="fr-CH"/>
        </w:rPr>
        <w:t>a CE 17</w:t>
      </w:r>
      <w:r>
        <w:rPr>
          <w:lang w:val="fr-CH"/>
        </w:rPr>
        <w:t xml:space="preserve"> </w:t>
      </w:r>
      <w:r w:rsidRPr="003E27CB">
        <w:rPr>
          <w:lang w:val="fr-CH"/>
        </w:rPr>
        <w:t xml:space="preserve">a organisé un </w:t>
      </w:r>
      <w:hyperlink r:id="rId68" w:history="1">
        <w:r w:rsidRPr="00F12A59">
          <w:rPr>
            <w:rStyle w:val="Hyperlink"/>
            <w:lang w:val="fr-CH"/>
          </w:rPr>
          <w:t>atelier de l'UIT sur la sécurité de la 5G</w:t>
        </w:r>
        <w:r w:rsidRPr="00F12A59">
          <w:rPr>
            <w:rStyle w:val="Hyperlink"/>
            <w:rFonts w:asciiTheme="minorHAnsi" w:hAnsiTheme="minorHAnsi" w:cstheme="minorHAnsi"/>
            <w:lang w:val="fr-CH"/>
          </w:rPr>
          <w:t xml:space="preserve"> (mars 2018)</w:t>
        </w:r>
      </w:hyperlink>
      <w:r w:rsidRPr="003E27CB">
        <w:rPr>
          <w:rFonts w:asciiTheme="minorHAnsi" w:hAnsiTheme="minorHAnsi" w:cstheme="minorHAnsi"/>
          <w:lang w:val="fr-CH"/>
        </w:rPr>
        <w:t xml:space="preserve">, </w:t>
      </w:r>
      <w:r w:rsidRPr="003E27CB">
        <w:rPr>
          <w:lang w:val="fr-CH"/>
        </w:rPr>
        <w:t xml:space="preserve">un </w:t>
      </w:r>
      <w:hyperlink r:id="rId69" w:history="1">
        <w:r w:rsidRPr="00F12A59">
          <w:rPr>
            <w:rStyle w:val="Hyperlink"/>
            <w:lang w:val="fr-CH"/>
          </w:rPr>
          <w:t xml:space="preserve">atelier de l'UIT sur les attaques de </w:t>
        </w:r>
        <w:proofErr w:type="spellStart"/>
        <w:r w:rsidRPr="00F12A59">
          <w:rPr>
            <w:rStyle w:val="Hyperlink"/>
            <w:lang w:val="fr-CH"/>
          </w:rPr>
          <w:t>cybersécurité</w:t>
        </w:r>
        <w:proofErr w:type="spellEnd"/>
        <w:r w:rsidRPr="00F12A59">
          <w:rPr>
            <w:rStyle w:val="Hyperlink"/>
            <w:lang w:val="fr-CH"/>
          </w:rPr>
          <w:t xml:space="preserve"> avancées et les </w:t>
        </w:r>
        <w:proofErr w:type="spellStart"/>
        <w:r w:rsidRPr="00F12A59">
          <w:rPr>
            <w:rStyle w:val="Hyperlink"/>
            <w:lang w:val="fr-CH"/>
          </w:rPr>
          <w:t>rançongiciels</w:t>
        </w:r>
        <w:proofErr w:type="spellEnd"/>
        <w:r w:rsidRPr="00F12A59">
          <w:rPr>
            <w:rStyle w:val="Hyperlink"/>
            <w:lang w:val="fr-CH"/>
          </w:rPr>
          <w:t xml:space="preserve"> </w:t>
        </w:r>
        <w:r w:rsidRPr="00F12A59">
          <w:rPr>
            <w:rStyle w:val="Hyperlink"/>
            <w:rFonts w:asciiTheme="minorHAnsi" w:hAnsiTheme="minorHAnsi" w:cstheme="minorHAnsi"/>
            <w:lang w:val="fr-CH"/>
          </w:rPr>
          <w:t>(août 2018)</w:t>
        </w:r>
      </w:hyperlink>
      <w:r w:rsidRPr="00F12A59">
        <w:rPr>
          <w:rFonts w:asciiTheme="minorHAnsi" w:hAnsiTheme="minorHAnsi" w:cstheme="minorHAnsi"/>
          <w:lang w:val="fr-CH"/>
        </w:rPr>
        <w:t xml:space="preserve">, </w:t>
      </w:r>
      <w:r w:rsidRPr="00F12A59">
        <w:rPr>
          <w:rStyle w:val="Hyperlink"/>
          <w:rFonts w:asciiTheme="minorHAnsi" w:hAnsiTheme="minorHAnsi" w:cstheme="minorHAnsi"/>
          <w:color w:val="auto"/>
          <w:u w:val="none"/>
          <w:lang w:val="fr-CH"/>
        </w:rPr>
        <w:t>un</w:t>
      </w:r>
      <w:r w:rsidR="00F12A59">
        <w:rPr>
          <w:rStyle w:val="Hyperlink"/>
          <w:rFonts w:asciiTheme="minorHAnsi" w:hAnsiTheme="minorHAnsi" w:cstheme="minorHAnsi"/>
          <w:color w:val="auto"/>
          <w:u w:val="none"/>
          <w:lang w:val="fr-CH"/>
        </w:rPr>
        <w:t xml:space="preserve"> </w:t>
      </w:r>
      <w:hyperlink r:id="rId70" w:history="1">
        <w:r w:rsidRPr="00F12A59">
          <w:rPr>
            <w:rStyle w:val="Hyperlink"/>
            <w:lang w:val="fr-CH"/>
          </w:rPr>
          <w:t>atelier de l'UIT sur l'</w:t>
        </w:r>
        <w:r w:rsidR="00743304" w:rsidRPr="00F12A59">
          <w:rPr>
            <w:rStyle w:val="Hyperlink"/>
            <w:lang w:val="fr-CH"/>
          </w:rPr>
          <w:t>intelligence artificielle/</w:t>
        </w:r>
        <w:r w:rsidRPr="00F12A59">
          <w:rPr>
            <w:rStyle w:val="Hyperlink"/>
            <w:lang w:val="fr-CH"/>
          </w:rPr>
          <w:t>l'apprentissage automatique et la sécurité</w:t>
        </w:r>
        <w:r w:rsidRPr="00F12A59">
          <w:rPr>
            <w:rStyle w:val="Hyperlink"/>
            <w:rFonts w:asciiTheme="minorHAnsi" w:hAnsiTheme="minorHAnsi" w:cstheme="minorHAnsi"/>
            <w:lang w:val="fr-CH"/>
          </w:rPr>
          <w:t xml:space="preserve"> (janvier 2019)</w:t>
        </w:r>
      </w:hyperlink>
      <w:r>
        <w:rPr>
          <w:rFonts w:asciiTheme="minorHAnsi" w:hAnsiTheme="minorHAnsi" w:cstheme="minorHAnsi"/>
          <w:lang w:val="fr-CH"/>
        </w:rPr>
        <w:t xml:space="preserve"> et un </w:t>
      </w:r>
      <w:hyperlink r:id="rId71" w:history="1">
        <w:r w:rsidRPr="0004669D">
          <w:rPr>
            <w:rStyle w:val="Hyperlink"/>
            <w:rFonts w:asciiTheme="minorHAnsi" w:hAnsiTheme="minorHAnsi" w:cstheme="minorHAnsi"/>
            <w:lang w:val="fr-CH"/>
          </w:rPr>
          <w:t>atelier sur les communications quantiques sécurisés (janvier 2019)</w:t>
        </w:r>
      </w:hyperlink>
      <w:r w:rsidRPr="003E27CB">
        <w:rPr>
          <w:rFonts w:asciiTheme="minorHAnsi" w:hAnsiTheme="minorHAnsi" w:cstheme="minorHAnsi"/>
          <w:lang w:val="fr-CH"/>
        </w:rPr>
        <w:t>,</w:t>
      </w:r>
      <w:r w:rsidR="00743304">
        <w:rPr>
          <w:rFonts w:asciiTheme="minorHAnsi" w:hAnsiTheme="minorHAnsi" w:cstheme="minorHAnsi"/>
          <w:lang w:val="fr-CH"/>
        </w:rPr>
        <w:t xml:space="preserve"> en vue de déterminer l</w:t>
      </w:r>
      <w:r>
        <w:rPr>
          <w:rFonts w:asciiTheme="minorHAnsi" w:hAnsiTheme="minorHAnsi" w:cstheme="minorHAnsi"/>
          <w:lang w:val="fr-CH"/>
        </w:rPr>
        <w:t>es moyens permettant à la CE 17</w:t>
      </w:r>
      <w:r w:rsidRPr="003E27CB">
        <w:rPr>
          <w:rFonts w:asciiTheme="minorHAnsi" w:hAnsiTheme="minorHAnsi" w:cstheme="minorHAnsi"/>
          <w:lang w:val="fr-CH"/>
        </w:rPr>
        <w:t xml:space="preserve"> </w:t>
      </w:r>
      <w:r>
        <w:rPr>
          <w:rFonts w:asciiTheme="minorHAnsi" w:hAnsiTheme="minorHAnsi" w:cstheme="minorHAnsi"/>
          <w:lang w:val="fr-CH"/>
        </w:rPr>
        <w:t>d'entreprendre l'étude, à terme, des questions de normalisation se rapportant à ces thèmes, notamment en définissant de nouveaux sujets d'étude possibles</w:t>
      </w:r>
      <w:r w:rsidR="00743304">
        <w:rPr>
          <w:rFonts w:asciiTheme="minorHAnsi" w:hAnsiTheme="minorHAnsi" w:cstheme="minorHAnsi"/>
          <w:lang w:val="fr-CH"/>
        </w:rPr>
        <w:t>.</w:t>
      </w:r>
    </w:p>
    <w:p w:rsidR="00AF35E3" w:rsidRDefault="00AF35E3" w:rsidP="0082281D">
      <w:r w:rsidRPr="009C17A4">
        <w:rPr>
          <w:rFonts w:asciiTheme="minorHAnsi" w:eastAsia="SimSun" w:hAnsiTheme="minorHAnsi" w:cs="Arial"/>
          <w:bCs/>
          <w:szCs w:val="24"/>
          <w:lang w:eastAsia="zh-CN"/>
        </w:rPr>
        <w:t>3.</w:t>
      </w:r>
      <w:r>
        <w:rPr>
          <w:rFonts w:asciiTheme="minorHAnsi" w:eastAsia="SimSun" w:hAnsiTheme="minorHAnsi" w:cs="Arial"/>
          <w:bCs/>
          <w:szCs w:val="24"/>
          <w:lang w:eastAsia="zh-CN"/>
        </w:rPr>
        <w:t>6</w:t>
      </w:r>
      <w:r w:rsidRPr="009C17A4">
        <w:rPr>
          <w:rFonts w:asciiTheme="minorHAnsi" w:eastAsia="SimSun" w:hAnsiTheme="minorHAnsi" w:cs="Arial"/>
          <w:bCs/>
          <w:szCs w:val="24"/>
          <w:lang w:eastAsia="zh-CN"/>
        </w:rPr>
        <w:tab/>
      </w:r>
      <w:r w:rsidRPr="009C17A4">
        <w:t>La CE 17</w:t>
      </w:r>
      <w:r w:rsidRPr="009C17A4">
        <w:rPr>
          <w:rFonts w:asciiTheme="minorHAnsi" w:hAnsiTheme="minorHAnsi"/>
        </w:rPr>
        <w:t xml:space="preserve"> </w:t>
      </w:r>
      <w:r w:rsidRPr="009C17A4">
        <w:t xml:space="preserve">a poursuivi </w:t>
      </w:r>
      <w:r>
        <w:t>ses travaux sur la sécurité de l'</w:t>
      </w:r>
      <w:proofErr w:type="spellStart"/>
      <w:r w:rsidRPr="00F775AD">
        <w:rPr>
          <w:rFonts w:eastAsia="SimSun" w:cstheme="minorHAnsi"/>
          <w:bCs/>
        </w:rPr>
        <w:t>IoT</w:t>
      </w:r>
      <w:proofErr w:type="spellEnd"/>
      <w:r>
        <w:rPr>
          <w:rFonts w:eastAsia="SimSun" w:cstheme="minorHAnsi"/>
          <w:bCs/>
        </w:rPr>
        <w:t xml:space="preserve"> </w:t>
      </w:r>
      <w:r>
        <w:t xml:space="preserve">et </w:t>
      </w:r>
      <w:r w:rsidR="00743304">
        <w:t xml:space="preserve">a continué </w:t>
      </w:r>
      <w:r>
        <w:t>d'assurer une</w:t>
      </w:r>
      <w:r w:rsidRPr="009C17A4">
        <w:t xml:space="preserve"> coordination avec la CE 20 de l</w:t>
      </w:r>
      <w:r>
        <w:t>'</w:t>
      </w:r>
      <w:r w:rsidRPr="009C17A4">
        <w:t>UIT-T, chargée de l</w:t>
      </w:r>
      <w:r>
        <w:t>'</w:t>
      </w:r>
      <w:r w:rsidRPr="009C17A4">
        <w:t>étude de: "L</w:t>
      </w:r>
      <w:r>
        <w:t>'</w:t>
      </w:r>
      <w:r w:rsidRPr="009C17A4">
        <w:t xml:space="preserve">Internet </w:t>
      </w:r>
      <w:r w:rsidRPr="009C17A4">
        <w:lastRenderedPageBreak/>
        <w:t>des objets et ses applications, y compris les villes et les communautés intelligentes (SC&amp;C)"</w:t>
      </w:r>
      <w:r w:rsidR="00743304">
        <w:t>.</w:t>
      </w:r>
    </w:p>
    <w:p w:rsidR="00AF35E3" w:rsidRDefault="00AF35E3" w:rsidP="0082281D">
      <w:pPr>
        <w:rPr>
          <w:color w:val="000000"/>
        </w:rPr>
      </w:pPr>
      <w:r w:rsidRPr="00F2153D">
        <w:rPr>
          <w:rFonts w:eastAsia="SimSun" w:cstheme="minorHAnsi"/>
          <w:bCs/>
          <w:lang w:val="fr-CH"/>
        </w:rPr>
        <w:t>3.7</w:t>
      </w:r>
      <w:r w:rsidRPr="00F2153D">
        <w:rPr>
          <w:rFonts w:eastAsia="SimSun" w:cstheme="minorHAnsi"/>
          <w:bCs/>
          <w:lang w:val="fr-CH"/>
        </w:rPr>
        <w:tab/>
      </w:r>
      <w:proofErr w:type="spellStart"/>
      <w:r w:rsidRPr="009C17A4">
        <w:t>La</w:t>
      </w:r>
      <w:proofErr w:type="spellEnd"/>
      <w:r w:rsidRPr="009C17A4">
        <w:t xml:space="preserve"> CE </w:t>
      </w:r>
      <w:r>
        <w:t xml:space="preserve">9 </w:t>
      </w:r>
      <w:r w:rsidRPr="009C17A4">
        <w:rPr>
          <w:rFonts w:asciiTheme="minorHAnsi" w:hAnsiTheme="minorHAnsi"/>
        </w:rPr>
        <w:t>de l</w:t>
      </w:r>
      <w:r>
        <w:rPr>
          <w:rFonts w:asciiTheme="minorHAnsi" w:hAnsiTheme="minorHAnsi"/>
        </w:rPr>
        <w:t>'</w:t>
      </w:r>
      <w:r w:rsidRPr="009C17A4">
        <w:rPr>
          <w:rFonts w:asciiTheme="minorHAnsi" w:hAnsiTheme="minorHAnsi"/>
        </w:rPr>
        <w:t xml:space="preserve">UIT-T </w:t>
      </w:r>
      <w:r>
        <w:rPr>
          <w:color w:val="000000"/>
        </w:rPr>
        <w:t xml:space="preserve">a déterminé cinq projets de Recommandation </w:t>
      </w:r>
      <w:r w:rsidR="00743304">
        <w:rPr>
          <w:color w:val="000000"/>
        </w:rPr>
        <w:t>(</w:t>
      </w:r>
      <w:r>
        <w:rPr>
          <w:rFonts w:eastAsia="SimSun" w:cstheme="minorHAnsi"/>
          <w:bCs/>
          <w:lang w:val="fr-CH"/>
        </w:rPr>
        <w:t>UIT</w:t>
      </w:r>
      <w:r w:rsidRPr="00F2153D">
        <w:rPr>
          <w:rFonts w:eastAsia="SimSun" w:cstheme="minorHAnsi"/>
          <w:bCs/>
          <w:lang w:val="fr-CH"/>
        </w:rPr>
        <w:t>-T J.1012 J.1013, J.1014, J.1015</w:t>
      </w:r>
      <w:r>
        <w:rPr>
          <w:rFonts w:eastAsia="SimSun" w:cstheme="minorHAnsi"/>
          <w:bCs/>
          <w:lang w:val="fr-CH"/>
        </w:rPr>
        <w:t xml:space="preserve"> et </w:t>
      </w:r>
      <w:r w:rsidRPr="00F2153D">
        <w:rPr>
          <w:rFonts w:eastAsia="SimSun" w:cstheme="minorHAnsi"/>
          <w:bCs/>
          <w:lang w:val="fr-CH"/>
        </w:rPr>
        <w:t>J.1015.1</w:t>
      </w:r>
      <w:r w:rsidR="00743304">
        <w:rPr>
          <w:rFonts w:eastAsia="SimSun" w:cstheme="minorHAnsi"/>
          <w:bCs/>
          <w:lang w:val="fr-CH"/>
        </w:rPr>
        <w:t>)</w:t>
      </w:r>
      <w:r w:rsidRPr="00F2153D">
        <w:rPr>
          <w:rFonts w:eastAsia="SimSun" w:cstheme="minorHAnsi"/>
          <w:bCs/>
          <w:lang w:val="fr-CH"/>
        </w:rPr>
        <w:t xml:space="preserve"> </w:t>
      </w:r>
      <w:r>
        <w:rPr>
          <w:rFonts w:eastAsia="SimSun" w:cstheme="minorHAnsi"/>
          <w:bCs/>
          <w:lang w:val="fr-CH"/>
        </w:rPr>
        <w:t>sur l'</w:t>
      </w:r>
      <w:r>
        <w:rPr>
          <w:color w:val="000000"/>
        </w:rPr>
        <w:t>interface commune intégrée pour les so</w:t>
      </w:r>
      <w:r w:rsidR="00743304">
        <w:rPr>
          <w:color w:val="000000"/>
        </w:rPr>
        <w:t>lutions CA/DRM interchangeables.</w:t>
      </w:r>
    </w:p>
    <w:p w:rsidR="00AF35E3" w:rsidRPr="00F9001A" w:rsidRDefault="00AF35E3" w:rsidP="0082281D">
      <w:pPr>
        <w:snapToGrid w:val="0"/>
        <w:spacing w:after="120"/>
        <w:rPr>
          <w:rFonts w:eastAsia="SimSun" w:cstheme="minorHAnsi"/>
          <w:bCs/>
          <w:lang w:val="fr-CH"/>
        </w:rPr>
      </w:pPr>
      <w:r w:rsidRPr="00F9001A">
        <w:rPr>
          <w:rFonts w:eastAsia="SimSun" w:cstheme="minorHAnsi"/>
          <w:bCs/>
          <w:lang w:val="fr-CH"/>
        </w:rPr>
        <w:t>3.8</w:t>
      </w:r>
      <w:r w:rsidRPr="00F9001A">
        <w:rPr>
          <w:rFonts w:eastAsia="SimSun" w:cstheme="minorHAnsi"/>
          <w:bCs/>
          <w:lang w:val="fr-CH"/>
        </w:rPr>
        <w:tab/>
      </w:r>
      <w:r w:rsidRPr="00F9001A">
        <w:rPr>
          <w:lang w:val="fr-CH"/>
        </w:rPr>
        <w:t xml:space="preserve">La CE 13 </w:t>
      </w:r>
      <w:r w:rsidRPr="00F9001A">
        <w:rPr>
          <w:rFonts w:asciiTheme="minorHAnsi" w:hAnsiTheme="minorHAnsi"/>
          <w:lang w:val="fr-CH"/>
        </w:rPr>
        <w:t>de l</w:t>
      </w:r>
      <w:r>
        <w:rPr>
          <w:rFonts w:asciiTheme="minorHAnsi" w:hAnsiTheme="minorHAnsi"/>
          <w:lang w:val="fr-CH"/>
        </w:rPr>
        <w:t>'</w:t>
      </w:r>
      <w:r w:rsidRPr="00F9001A">
        <w:rPr>
          <w:rFonts w:asciiTheme="minorHAnsi" w:hAnsiTheme="minorHAnsi"/>
          <w:lang w:val="fr-CH"/>
        </w:rPr>
        <w:t>UIT-T</w:t>
      </w:r>
      <w:r w:rsidRPr="00F9001A">
        <w:rPr>
          <w:rFonts w:eastAsia="SimSun" w:cstheme="minorHAnsi"/>
          <w:bCs/>
          <w:lang w:val="fr-CH"/>
        </w:rPr>
        <w:t xml:space="preserve"> a approuvé la Recommandation UIT-T Y.3053 (2018) Amd.1 </w:t>
      </w:r>
      <w:r w:rsidR="00743304">
        <w:rPr>
          <w:rFonts w:eastAsia="SimSun" w:cstheme="minorHAnsi"/>
          <w:bCs/>
          <w:lang w:val="fr-CH"/>
        </w:rPr>
        <w:t>"</w:t>
      </w:r>
      <w:r>
        <w:rPr>
          <w:color w:val="000000"/>
        </w:rPr>
        <w:t>Cadre applicable aux réseaux de confiance ayant des domaines de réseau centrés sur la confiance</w:t>
      </w:r>
      <w:r w:rsidR="00D067A8" w:rsidRPr="00743304">
        <w:rPr>
          <w:rFonts w:eastAsia="SimSun" w:cstheme="minorHAnsi"/>
          <w:bCs/>
          <w:lang w:val="fr-CH"/>
        </w:rPr>
        <w:t>:</w:t>
      </w:r>
      <w:r w:rsidRPr="00F9001A">
        <w:rPr>
          <w:rFonts w:eastAsia="SimSun" w:cstheme="minorHAnsi"/>
          <w:bCs/>
          <w:lang w:val="fr-CH"/>
        </w:rPr>
        <w:t xml:space="preserve"> Amend</w:t>
      </w:r>
      <w:r>
        <w:rPr>
          <w:rFonts w:eastAsia="SimSun" w:cstheme="minorHAnsi"/>
          <w:bCs/>
          <w:lang w:val="fr-CH"/>
        </w:rPr>
        <w:t>e</w:t>
      </w:r>
      <w:r w:rsidRPr="00F9001A">
        <w:rPr>
          <w:rFonts w:eastAsia="SimSun" w:cstheme="minorHAnsi"/>
          <w:bCs/>
          <w:lang w:val="fr-CH"/>
        </w:rPr>
        <w:t xml:space="preserve">ment 1 </w:t>
      </w:r>
      <w:r w:rsidR="00743304">
        <w:rPr>
          <w:rFonts w:eastAsia="SimSun" w:cstheme="minorHAnsi"/>
          <w:bCs/>
          <w:lang w:val="fr-CH"/>
        </w:rPr>
        <w:t>–</w:t>
      </w:r>
      <w:r w:rsidRPr="00F9001A">
        <w:rPr>
          <w:rFonts w:eastAsia="SimSun" w:cstheme="minorHAnsi"/>
          <w:bCs/>
          <w:lang w:val="fr-CH"/>
        </w:rPr>
        <w:t xml:space="preserve"> </w:t>
      </w:r>
      <w:r>
        <w:rPr>
          <w:color w:val="000000"/>
        </w:rPr>
        <w:t>Architecture et procédures de déploiement des réseaux de confiance</w:t>
      </w:r>
      <w:r w:rsidR="00743304" w:rsidRPr="0082281D">
        <w:rPr>
          <w:rFonts w:eastAsia="SimSun" w:cs="Calibri"/>
          <w:lang w:val="fr-CH"/>
        </w:rPr>
        <w:t>".</w:t>
      </w:r>
    </w:p>
    <w:p w:rsidR="00AF35E3" w:rsidRPr="00F9001A" w:rsidRDefault="00AF35E3" w:rsidP="0082281D">
      <w:pPr>
        <w:snapToGrid w:val="0"/>
        <w:spacing w:after="120"/>
        <w:rPr>
          <w:rFonts w:eastAsia="SimSun" w:cstheme="minorHAnsi"/>
          <w:bCs/>
          <w:lang w:val="fr-CH"/>
        </w:rPr>
      </w:pPr>
      <w:r w:rsidRPr="00F9001A">
        <w:rPr>
          <w:rFonts w:eastAsia="SimSun" w:cstheme="minorHAnsi"/>
          <w:bCs/>
          <w:lang w:val="fr-CH"/>
        </w:rPr>
        <w:t>3.9</w:t>
      </w:r>
      <w:r w:rsidRPr="00F9001A">
        <w:rPr>
          <w:rFonts w:eastAsia="SimSun" w:cstheme="minorHAnsi"/>
          <w:bCs/>
          <w:lang w:val="fr-CH"/>
        </w:rPr>
        <w:tab/>
      </w:r>
      <w:proofErr w:type="spellStart"/>
      <w:r w:rsidRPr="009C17A4">
        <w:t>La</w:t>
      </w:r>
      <w:proofErr w:type="spellEnd"/>
      <w:r w:rsidRPr="009C17A4">
        <w:t xml:space="preserve"> CE</w:t>
      </w:r>
      <w:r w:rsidR="00743304">
        <w:t xml:space="preserve"> </w:t>
      </w:r>
      <w:r>
        <w:t xml:space="preserve">15 </w:t>
      </w:r>
      <w:r w:rsidRPr="009C17A4">
        <w:rPr>
          <w:rFonts w:asciiTheme="minorHAnsi" w:hAnsiTheme="minorHAnsi"/>
        </w:rPr>
        <w:t>de l</w:t>
      </w:r>
      <w:r>
        <w:rPr>
          <w:rFonts w:asciiTheme="minorHAnsi" w:hAnsiTheme="minorHAnsi"/>
        </w:rPr>
        <w:t>'</w:t>
      </w:r>
      <w:r w:rsidRPr="009C17A4">
        <w:rPr>
          <w:rFonts w:asciiTheme="minorHAnsi" w:hAnsiTheme="minorHAnsi"/>
        </w:rPr>
        <w:t xml:space="preserve">UIT-T </w:t>
      </w:r>
      <w:r w:rsidRPr="00F9001A">
        <w:rPr>
          <w:rFonts w:eastAsia="SimSun" w:cstheme="minorHAnsi"/>
          <w:bCs/>
          <w:lang w:val="fr-CH"/>
        </w:rPr>
        <w:t>a approuvé la Recommandation</w:t>
      </w:r>
      <w:r>
        <w:rPr>
          <w:rFonts w:eastAsia="SimSun" w:cstheme="minorHAnsi"/>
          <w:bCs/>
          <w:lang w:val="fr-CH"/>
        </w:rPr>
        <w:t xml:space="preserve"> révisée </w:t>
      </w:r>
      <w:r w:rsidRPr="00F9001A">
        <w:rPr>
          <w:rFonts w:eastAsia="SimSun" w:cstheme="minorHAnsi"/>
          <w:bCs/>
          <w:lang w:val="fr-CH"/>
        </w:rPr>
        <w:t xml:space="preserve">UIT-T G.9978 </w:t>
      </w:r>
      <w:r w:rsidR="00743304">
        <w:rPr>
          <w:rFonts w:cstheme="minorHAnsi"/>
          <w:lang w:val="fr-CH"/>
        </w:rPr>
        <w:t>"</w:t>
      </w:r>
      <w:r>
        <w:rPr>
          <w:color w:val="000000"/>
        </w:rPr>
        <w:t>Admission sécurisée dans un réseau G.hn</w:t>
      </w:r>
      <w:r w:rsidR="00743304">
        <w:rPr>
          <w:rFonts w:eastAsia="SimSun" w:cstheme="minorHAnsi"/>
          <w:bCs/>
        </w:rPr>
        <w:t>"</w:t>
      </w:r>
      <w:r w:rsidRPr="00F9001A">
        <w:rPr>
          <w:rFonts w:eastAsia="SimSun" w:cstheme="minorHAnsi"/>
          <w:bCs/>
          <w:lang w:val="fr-CH"/>
        </w:rPr>
        <w:t>.</w:t>
      </w:r>
    </w:p>
    <w:p w:rsidR="00AF35E3" w:rsidRPr="00F9001A" w:rsidRDefault="00743304" w:rsidP="0082281D">
      <w:pPr>
        <w:snapToGrid w:val="0"/>
        <w:spacing w:after="120"/>
        <w:rPr>
          <w:rFonts w:cstheme="minorHAnsi"/>
          <w:lang w:val="fr-CH"/>
        </w:rPr>
      </w:pPr>
      <w:r>
        <w:rPr>
          <w:rFonts w:eastAsia="SimSun" w:cstheme="minorHAnsi"/>
          <w:bCs/>
          <w:lang w:val="fr-CH"/>
        </w:rPr>
        <w:t>3.10</w:t>
      </w:r>
      <w:r>
        <w:rPr>
          <w:rFonts w:eastAsia="SimSun" w:cstheme="minorHAnsi"/>
          <w:bCs/>
          <w:lang w:val="fr-CH"/>
        </w:rPr>
        <w:tab/>
      </w:r>
      <w:r w:rsidR="00AF35E3" w:rsidRPr="00F9001A">
        <w:rPr>
          <w:rFonts w:eastAsia="SimSun" w:cstheme="minorHAnsi"/>
          <w:bCs/>
          <w:lang w:val="fr-CH"/>
        </w:rPr>
        <w:t>La</w:t>
      </w:r>
      <w:r w:rsidR="00AF35E3">
        <w:rPr>
          <w:rFonts w:eastAsia="SimSun" w:cstheme="minorHAnsi"/>
          <w:bCs/>
          <w:lang w:val="fr-CH"/>
        </w:rPr>
        <w:t xml:space="preserve"> </w:t>
      </w:r>
      <w:r w:rsidR="00AF35E3" w:rsidRPr="00F9001A">
        <w:rPr>
          <w:lang w:val="fr-CH"/>
        </w:rPr>
        <w:t>CE</w:t>
      </w:r>
      <w:r w:rsidR="00AF35E3" w:rsidRPr="00F9001A">
        <w:rPr>
          <w:rFonts w:eastAsia="SimSun" w:cstheme="minorHAnsi"/>
          <w:bCs/>
          <w:lang w:val="fr-CH"/>
        </w:rPr>
        <w:t xml:space="preserve"> 20 </w:t>
      </w:r>
      <w:r w:rsidR="00AF35E3" w:rsidRPr="00F9001A">
        <w:rPr>
          <w:rFonts w:asciiTheme="minorHAnsi" w:hAnsiTheme="minorHAnsi"/>
          <w:lang w:val="fr-CH"/>
        </w:rPr>
        <w:t>de l</w:t>
      </w:r>
      <w:r w:rsidR="00AF35E3">
        <w:rPr>
          <w:rFonts w:asciiTheme="minorHAnsi" w:hAnsiTheme="minorHAnsi"/>
          <w:lang w:val="fr-CH"/>
        </w:rPr>
        <w:t>'</w:t>
      </w:r>
      <w:r w:rsidR="00AF35E3" w:rsidRPr="00F9001A">
        <w:rPr>
          <w:rFonts w:asciiTheme="minorHAnsi" w:hAnsiTheme="minorHAnsi"/>
          <w:lang w:val="fr-CH"/>
        </w:rPr>
        <w:t>UIT-T</w:t>
      </w:r>
      <w:r w:rsidR="00AF35E3">
        <w:rPr>
          <w:rFonts w:asciiTheme="minorHAnsi" w:hAnsiTheme="minorHAnsi"/>
          <w:lang w:val="fr-CH"/>
        </w:rPr>
        <w:t xml:space="preserve"> </w:t>
      </w:r>
      <w:r w:rsidR="00AF35E3" w:rsidRPr="00F9001A">
        <w:rPr>
          <w:rFonts w:eastAsia="SimSun" w:cstheme="minorHAnsi"/>
          <w:bCs/>
          <w:lang w:val="fr-CH"/>
        </w:rPr>
        <w:t>a approuvé la Recommandation</w:t>
      </w:r>
      <w:r w:rsidR="00AF35E3">
        <w:rPr>
          <w:rFonts w:eastAsia="SimSun" w:cstheme="minorHAnsi"/>
          <w:bCs/>
          <w:lang w:val="fr-CH"/>
        </w:rPr>
        <w:t xml:space="preserve"> </w:t>
      </w:r>
      <w:r w:rsidR="00AF35E3" w:rsidRPr="00F9001A">
        <w:rPr>
          <w:rFonts w:eastAsia="SimSun" w:cstheme="minorHAnsi"/>
          <w:bCs/>
          <w:lang w:val="fr-CH"/>
        </w:rPr>
        <w:t xml:space="preserve">UIT-T Y.4205 </w:t>
      </w:r>
      <w:r>
        <w:rPr>
          <w:rFonts w:eastAsia="SimSun" w:cstheme="minorHAnsi"/>
          <w:bCs/>
          <w:lang w:val="fr-CH"/>
        </w:rPr>
        <w:t>"</w:t>
      </w:r>
      <w:r w:rsidR="00AF35E3">
        <w:rPr>
          <w:color w:val="000000"/>
        </w:rPr>
        <w:t>Exigences et modèle de référence des systèmes externalisés liés à l'Internet des objets</w:t>
      </w:r>
      <w:r>
        <w:rPr>
          <w:color w:val="000000"/>
        </w:rPr>
        <w:t>"</w:t>
      </w:r>
      <w:r w:rsidR="00AF35E3">
        <w:rPr>
          <w:color w:val="000000"/>
        </w:rPr>
        <w:t>.</w:t>
      </w:r>
      <w:r w:rsidR="00AF35E3">
        <w:rPr>
          <w:rFonts w:eastAsia="SimSun" w:cstheme="minorHAnsi"/>
          <w:bCs/>
          <w:lang w:val="fr-CH"/>
        </w:rPr>
        <w:t xml:space="preserve"> </w:t>
      </w:r>
    </w:p>
    <w:p w:rsidR="00D00C3C" w:rsidRDefault="00D00C3C" w:rsidP="0082281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AF35E3" w:rsidRPr="009C17A4" w:rsidRDefault="00AF35E3" w:rsidP="00D00C3C">
      <w:r w:rsidRPr="009C17A4">
        <w:rPr>
          <w:rFonts w:asciiTheme="minorHAnsi" w:hAnsiTheme="minorHAnsi"/>
          <w:szCs w:val="24"/>
        </w:rPr>
        <w:lastRenderedPageBreak/>
        <w:t>3.1</w:t>
      </w:r>
      <w:r>
        <w:rPr>
          <w:rFonts w:asciiTheme="minorHAnsi" w:hAnsiTheme="minorHAnsi"/>
          <w:szCs w:val="24"/>
        </w:rPr>
        <w:t>1</w:t>
      </w:r>
      <w:r w:rsidRPr="009C17A4">
        <w:rPr>
          <w:rFonts w:asciiTheme="minorHAnsi" w:hAnsiTheme="minorHAnsi"/>
          <w:szCs w:val="24"/>
        </w:rPr>
        <w:tab/>
      </w:r>
      <w:r w:rsidRPr="009C17A4">
        <w:t>L</w:t>
      </w:r>
      <w:r>
        <w:t>'</w:t>
      </w:r>
      <w:r w:rsidRPr="009C17A4">
        <w:t>UIT-R poursuit ses travaux dans le domaine de la normalisation des radiocommunications, de façon à répondre à l</w:t>
      </w:r>
      <w:r>
        <w:t>'</w:t>
      </w:r>
      <w:r w:rsidRPr="009C17A4">
        <w:t>évolution constante des réseaux mod</w:t>
      </w:r>
      <w:r w:rsidR="00743304">
        <w:t>ernes de télécommunication. Ce S</w:t>
      </w:r>
      <w:r w:rsidRPr="009C17A4">
        <w:t>ecteur a défini des principes de sécurité précis concernant les réseaux IMT (3G, 4G et 5G) (Recommandations UIT-R M.1078, M.1223, M.1457, M.1645, M.2012 et M.2083). Il a également publié des Recommandations sur les questions de sécurité relatives à l</w:t>
      </w:r>
      <w:r>
        <w:t>'</w:t>
      </w:r>
      <w:r w:rsidRPr="009C17A4">
        <w:t>architecture de gestion des réseaux pour les systèmes numériques à satellites (Recommandation UIT-R S.1250) et sur l</w:t>
      </w:r>
      <w:r>
        <w:t>'</w:t>
      </w:r>
      <w:r w:rsidRPr="009C17A4">
        <w:t>amélioration de la qualité de fonctionnement du protocole de commande de transmission sur les réseaux à satellite (Recommandation UIT-R S.1711).</w:t>
      </w:r>
    </w:p>
    <w:p w:rsidR="00AF35E3" w:rsidRPr="009C17A4" w:rsidRDefault="00AF35E3" w:rsidP="0082281D">
      <w:pPr>
        <w:pStyle w:val="Heading1"/>
        <w:rPr>
          <w:rFonts w:asciiTheme="minorHAnsi" w:hAnsiTheme="minorHAnsi"/>
          <w:sz w:val="24"/>
          <w:szCs w:val="24"/>
        </w:rPr>
      </w:pPr>
      <w:r w:rsidRPr="009C17A4">
        <w:t>4</w:t>
      </w:r>
      <w:r w:rsidRPr="009C17A4">
        <w:tab/>
        <w:t>Structures organisationnelles</w:t>
      </w:r>
      <w:r w:rsidRPr="009C17A4">
        <w:rPr>
          <w:rFonts w:asciiTheme="minorHAnsi" w:hAnsiTheme="minorHAnsi"/>
          <w:sz w:val="24"/>
          <w:szCs w:val="24"/>
        </w:rPr>
        <w:t xml:space="preserve"> </w:t>
      </w:r>
    </w:p>
    <w:p w:rsidR="00AF35E3" w:rsidRDefault="00AF35E3" w:rsidP="0082281D">
      <w:pPr>
        <w:keepNext/>
        <w:keepLines/>
      </w:pPr>
      <w:r w:rsidRPr="009C17A4">
        <w:t>4.1</w:t>
      </w:r>
      <w:r w:rsidRPr="009C17A4">
        <w:tab/>
        <w:t>L</w:t>
      </w:r>
      <w:r>
        <w:t>'</w:t>
      </w:r>
      <w:r w:rsidRPr="009C17A4">
        <w:t>UIT a procédé à des évaluations techniques pour faire le point sur l</w:t>
      </w:r>
      <w:r>
        <w:t>'</w:t>
      </w:r>
      <w:r w:rsidRPr="009C17A4">
        <w:t xml:space="preserve">état de préparation à la </w:t>
      </w:r>
      <w:hyperlink r:id="rId72" w:history="1">
        <w:r w:rsidRPr="0004669D">
          <w:rPr>
            <w:rStyle w:val="Hyperlink"/>
            <w:color w:val="auto"/>
            <w:u w:val="none"/>
          </w:rPr>
          <w:t>création d'équipes d'intervention en cas d'incident informatique (CIRT)</w:t>
        </w:r>
      </w:hyperlink>
      <w:r w:rsidRPr="0004669D">
        <w:t xml:space="preserve"> da</w:t>
      </w:r>
      <w:r w:rsidRPr="009C17A4">
        <w:t>ns</w:t>
      </w:r>
      <w:r>
        <w:t xml:space="preserve"> 75 </w:t>
      </w:r>
      <w:r w:rsidRPr="009C17A4">
        <w:t>pays, et</w:t>
      </w:r>
      <w:r>
        <w:t xml:space="preserve"> </w:t>
      </w:r>
      <w:r w:rsidRPr="009C17A4">
        <w:t>prend</w:t>
      </w:r>
      <w:r>
        <w:t xml:space="preserve"> actuellement</w:t>
      </w:r>
      <w:r w:rsidRPr="009C17A4">
        <w:t xml:space="preserve"> les mesures de suivi nécessaires. </w:t>
      </w:r>
      <w:r>
        <w:t>La participation directe à 14 de ces activités a pris fin et d'autres activités sont en cours ou en projet pour 2019.</w:t>
      </w:r>
    </w:p>
    <w:p w:rsidR="00AF35E3" w:rsidRPr="00F95BE4" w:rsidRDefault="00AF35E3" w:rsidP="0082281D">
      <w:r w:rsidRPr="009C17A4">
        <w:t>4.2</w:t>
      </w:r>
      <w:r w:rsidRPr="009C17A4">
        <w:tab/>
      </w:r>
      <w:bookmarkStart w:id="10" w:name="lt_pId068"/>
      <w:r w:rsidRPr="009C17A4">
        <w:t>L</w:t>
      </w:r>
      <w:r>
        <w:t>'</w:t>
      </w:r>
      <w:r w:rsidRPr="009C17A4">
        <w:t xml:space="preserve">UIT a travaillé en partenariat avec le Centre mondial des capacités de </w:t>
      </w:r>
      <w:proofErr w:type="spellStart"/>
      <w:r w:rsidRPr="009C17A4">
        <w:t>cybersécurité</w:t>
      </w:r>
      <w:proofErr w:type="spellEnd"/>
      <w:r>
        <w:t xml:space="preserve"> (</w:t>
      </w:r>
      <w:r w:rsidR="00743304">
        <w:t>Oxford </w:t>
      </w:r>
      <w:r w:rsidRPr="009C17A4">
        <w:t xml:space="preserve">Martin </w:t>
      </w:r>
      <w:proofErr w:type="spellStart"/>
      <w:r w:rsidRPr="009C17A4">
        <w:t>School</w:t>
      </w:r>
      <w:proofErr w:type="spellEnd"/>
      <w:r>
        <w:t>)</w:t>
      </w:r>
      <w:r w:rsidRPr="009C17A4">
        <w:t>,</w:t>
      </w:r>
      <w:r>
        <w:t xml:space="preserve"> afin de mener à bien des </w:t>
      </w:r>
      <w:r w:rsidRPr="009C17A4">
        <w:t>évaluation</w:t>
      </w:r>
      <w:r>
        <w:t>s</w:t>
      </w:r>
      <w:r w:rsidRPr="009C17A4">
        <w:t xml:space="preserve"> </w:t>
      </w:r>
      <w:r w:rsidR="00743304">
        <w:t xml:space="preserve">communes </w:t>
      </w:r>
      <w:r w:rsidRPr="009C17A4">
        <w:t xml:space="preserve">des capacités de </w:t>
      </w:r>
      <w:proofErr w:type="spellStart"/>
      <w:r w:rsidRPr="009C17A4">
        <w:t>cybersécurité</w:t>
      </w:r>
      <w:proofErr w:type="spellEnd"/>
      <w:r w:rsidRPr="009C17A4">
        <w:t xml:space="preserve"> en Thaïlande, en Sierra Leone et à Madagascar.</w:t>
      </w:r>
      <w:bookmarkEnd w:id="10"/>
      <w:r w:rsidR="00743304">
        <w:t xml:space="preserve"> G</w:t>
      </w:r>
      <w:r>
        <w:t>râc</w:t>
      </w:r>
      <w:r w:rsidR="00743304">
        <w:t>e au financement apporté par le </w:t>
      </w:r>
      <w:r w:rsidRPr="009C17A4">
        <w:t>Gouvernement australien (DOCA), l</w:t>
      </w:r>
      <w:r>
        <w:t>'</w:t>
      </w:r>
      <w:r w:rsidRPr="009C17A4">
        <w:t xml:space="preserve">UIT procédera à des évaluations CIRT aux Samoa, au Tonga, à Vanuatu, et en Papouasie-Nouvelle-Guinée, </w:t>
      </w:r>
      <w:bookmarkStart w:id="11" w:name="lt_pId069"/>
      <w:r w:rsidRPr="009C17A4">
        <w:t xml:space="preserve">après quoi elle mènera une évaluation des capacités de </w:t>
      </w:r>
      <w:proofErr w:type="spellStart"/>
      <w:r w:rsidRPr="009C17A4">
        <w:t>cybersécurité</w:t>
      </w:r>
      <w:bookmarkEnd w:id="11"/>
      <w:proofErr w:type="spellEnd"/>
      <w:r w:rsidRPr="009C17A4">
        <w:t>.</w:t>
      </w:r>
      <w:r w:rsidRPr="00F95B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outre, </w:t>
      </w:r>
      <w:r w:rsidRPr="009C17A4">
        <w:t>l</w:t>
      </w:r>
      <w:r>
        <w:t>'</w:t>
      </w:r>
      <w:r w:rsidRPr="009C17A4">
        <w:t>UIT</w:t>
      </w:r>
      <w:r>
        <w:rPr>
          <w:rFonts w:asciiTheme="minorHAnsi" w:hAnsiTheme="minorHAnsi" w:cstheme="minorHAnsi"/>
        </w:rPr>
        <w:t xml:space="preserve"> a procédé à des évaluations</w:t>
      </w:r>
      <w:r w:rsidRPr="00F95BE4">
        <w:rPr>
          <w:rFonts w:asciiTheme="minorHAnsi" w:hAnsiTheme="minorHAnsi" w:cstheme="minorHAnsi"/>
        </w:rPr>
        <w:t xml:space="preserve"> CIRT </w:t>
      </w:r>
      <w:r w:rsidR="00743304">
        <w:rPr>
          <w:rFonts w:asciiTheme="minorHAnsi" w:hAnsiTheme="minorHAnsi" w:cstheme="minorHAnsi"/>
        </w:rPr>
        <w:t>pour l'Albanie, la Bosnie</w:t>
      </w:r>
      <w:r w:rsidR="00743304">
        <w:rPr>
          <w:rFonts w:asciiTheme="minorHAnsi" w:hAnsiTheme="minorHAnsi" w:cstheme="minorHAnsi"/>
        </w:rPr>
        <w:noBreakHyphen/>
      </w:r>
      <w:r>
        <w:rPr>
          <w:rFonts w:asciiTheme="minorHAnsi" w:hAnsiTheme="minorHAnsi" w:cstheme="minorHAnsi"/>
        </w:rPr>
        <w:t>Herzégovine, le Malawi, la Mauritanie et la</w:t>
      </w:r>
      <w:r w:rsidRPr="00F95BE4">
        <w:rPr>
          <w:color w:val="000000"/>
        </w:rPr>
        <w:t xml:space="preserve"> </w:t>
      </w:r>
      <w:r>
        <w:rPr>
          <w:color w:val="000000"/>
        </w:rPr>
        <w:t>République démocratique du Congo</w:t>
      </w:r>
      <w:r w:rsidR="00743304">
        <w:rPr>
          <w:color w:val="000000"/>
        </w:rPr>
        <w:t>.</w:t>
      </w:r>
    </w:p>
    <w:p w:rsidR="00AF35E3" w:rsidRPr="002161E2" w:rsidRDefault="00AF35E3" w:rsidP="0082281D">
      <w:pPr>
        <w:rPr>
          <w:lang w:val="fr-CH"/>
        </w:rPr>
      </w:pPr>
      <w:r w:rsidRPr="00F95BE4">
        <w:t>4.3</w:t>
      </w:r>
      <w:r w:rsidRPr="00F95BE4">
        <w:tab/>
        <w:t>L</w:t>
      </w:r>
      <w:r>
        <w:t>'</w:t>
      </w:r>
      <w:r w:rsidRPr="00F95BE4">
        <w:t xml:space="preserve">UIT a organisé 24 </w:t>
      </w:r>
      <w:hyperlink r:id="rId73" w:history="1">
        <w:proofErr w:type="spellStart"/>
        <w:r w:rsidRPr="0004669D">
          <w:rPr>
            <w:rStyle w:val="Hyperlink"/>
          </w:rPr>
          <w:t>cyberexercices</w:t>
        </w:r>
        <w:proofErr w:type="spellEnd"/>
      </w:hyperlink>
      <w:r w:rsidRPr="00F95BE4">
        <w:t>, auxquels plus de 100 pays ont participé</w:t>
      </w:r>
      <w:r>
        <w:t xml:space="preserve">. Ces </w:t>
      </w:r>
      <w:proofErr w:type="spellStart"/>
      <w:r>
        <w:t>cyberexercices</w:t>
      </w:r>
      <w:proofErr w:type="spellEnd"/>
      <w:r>
        <w:t xml:space="preserve"> ont eu lieu à</w:t>
      </w:r>
      <w:r w:rsidR="00743304">
        <w:t xml:space="preserve"> </w:t>
      </w:r>
      <w:hyperlink r:id="rId74" w:history="1">
        <w:r w:rsidR="00743304" w:rsidRPr="0004669D">
          <w:rPr>
            <w:rStyle w:val="Hyperlink"/>
          </w:rPr>
          <w:t>Grand Bassam,</w:t>
        </w:r>
        <w:r w:rsidRPr="0004669D">
          <w:rPr>
            <w:rStyle w:val="Hyperlink"/>
            <w:spacing w:val="2"/>
          </w:rPr>
          <w:t xml:space="preserve"> </w:t>
        </w:r>
        <w:r w:rsidRPr="0004669D">
          <w:rPr>
            <w:rStyle w:val="Hyperlink"/>
            <w:rFonts w:asciiTheme="minorHAnsi" w:hAnsiTheme="minorHAnsi" w:cstheme="minorHAnsi"/>
            <w:spacing w:val="2"/>
          </w:rPr>
          <w:t>Côte d'Ivoire</w:t>
        </w:r>
      </w:hyperlink>
      <w:r w:rsidRPr="0004669D">
        <w:rPr>
          <w:rStyle w:val="Hyperlink"/>
          <w:rFonts w:asciiTheme="minorHAnsi" w:hAnsiTheme="minorHAnsi" w:cstheme="minorHAnsi"/>
          <w:color w:val="auto"/>
          <w:spacing w:val="2"/>
          <w:u w:val="none"/>
        </w:rPr>
        <w:t xml:space="preserve"> </w:t>
      </w:r>
      <w:r w:rsidRPr="00F95BE4">
        <w:rPr>
          <w:spacing w:val="2"/>
        </w:rPr>
        <w:t>(</w:t>
      </w:r>
      <w:r>
        <w:rPr>
          <w:spacing w:val="2"/>
        </w:rPr>
        <w:t xml:space="preserve">région Afrique, octobre </w:t>
      </w:r>
      <w:r w:rsidRPr="00F95BE4">
        <w:rPr>
          <w:spacing w:val="2"/>
        </w:rPr>
        <w:t>2018);</w:t>
      </w:r>
      <w:r w:rsidRPr="00743304">
        <w:rPr>
          <w:color w:val="444444"/>
          <w:spacing w:val="2"/>
          <w:bdr w:val="none" w:sz="0" w:space="0" w:color="auto" w:frame="1"/>
          <w:shd w:val="clear" w:color="auto" w:fill="FFFFFF"/>
        </w:rPr>
        <w:t xml:space="preserve"> </w:t>
      </w:r>
      <w:r w:rsidR="00743304" w:rsidRPr="00743304">
        <w:rPr>
          <w:color w:val="444444"/>
          <w:spacing w:val="2"/>
          <w:bdr w:val="none" w:sz="0" w:space="0" w:color="auto" w:frame="1"/>
          <w:shd w:val="clear" w:color="auto" w:fill="FFFFFF"/>
        </w:rPr>
        <w:t xml:space="preserve">à </w:t>
      </w:r>
      <w:hyperlink r:id="rId75" w:history="1">
        <w:r w:rsidRPr="00F95BE4">
          <w:rPr>
            <w:rStyle w:val="Hyperlink"/>
            <w:rFonts w:asciiTheme="minorHAnsi" w:hAnsiTheme="minorHAnsi" w:cstheme="minorHAnsi"/>
            <w:spacing w:val="6"/>
          </w:rPr>
          <w:t xml:space="preserve">La </w:t>
        </w:r>
        <w:proofErr w:type="spellStart"/>
        <w:r w:rsidRPr="00F95BE4">
          <w:rPr>
            <w:rStyle w:val="Hyperlink"/>
            <w:rFonts w:asciiTheme="minorHAnsi" w:hAnsiTheme="minorHAnsi" w:cstheme="minorHAnsi"/>
            <w:spacing w:val="6"/>
          </w:rPr>
          <w:t>Plata</w:t>
        </w:r>
        <w:proofErr w:type="spellEnd"/>
        <w:r w:rsidRPr="00F95BE4">
          <w:rPr>
            <w:rStyle w:val="Hyperlink"/>
            <w:rFonts w:asciiTheme="minorHAnsi" w:hAnsiTheme="minorHAnsi" w:cstheme="minorHAnsi"/>
            <w:spacing w:val="6"/>
          </w:rPr>
          <w:t xml:space="preserve"> City, Argentin</w:t>
        </w:r>
        <w:r>
          <w:rPr>
            <w:rStyle w:val="Hyperlink"/>
            <w:rFonts w:asciiTheme="minorHAnsi" w:hAnsiTheme="minorHAnsi" w:cstheme="minorHAnsi"/>
            <w:spacing w:val="6"/>
          </w:rPr>
          <w:t>e</w:t>
        </w:r>
      </w:hyperlink>
      <w:r w:rsidRPr="00F95BE4">
        <w:rPr>
          <w:spacing w:val="6"/>
        </w:rPr>
        <w:t xml:space="preserve"> (</w:t>
      </w:r>
      <w:r>
        <w:rPr>
          <w:spacing w:val="6"/>
        </w:rPr>
        <w:t>région Amérique</w:t>
      </w:r>
      <w:r w:rsidR="00743304">
        <w:rPr>
          <w:spacing w:val="6"/>
        </w:rPr>
        <w:t>s</w:t>
      </w:r>
      <w:r>
        <w:rPr>
          <w:spacing w:val="6"/>
        </w:rPr>
        <w:t>, juin 2018)</w:t>
      </w:r>
      <w:r w:rsidR="0082281D">
        <w:rPr>
          <w:spacing w:val="6"/>
        </w:rPr>
        <w:t>;</w:t>
      </w:r>
      <w:r w:rsidR="00743304">
        <w:rPr>
          <w:spacing w:val="6"/>
        </w:rPr>
        <w:t xml:space="preserve"> à</w:t>
      </w:r>
      <w:r>
        <w:rPr>
          <w:spacing w:val="6"/>
        </w:rPr>
        <w:t xml:space="preserve"> </w:t>
      </w:r>
      <w:hyperlink r:id="rId76" w:history="1">
        <w:r w:rsidRPr="0004669D">
          <w:rPr>
            <w:rStyle w:val="Hyperlink"/>
            <w:lang w:val="fr-CH"/>
          </w:rPr>
          <w:t xml:space="preserve">Koweït </w:t>
        </w:r>
        <w:r w:rsidR="00743304" w:rsidRPr="0004669D">
          <w:rPr>
            <w:rStyle w:val="Hyperlink"/>
            <w:lang w:val="fr-CH"/>
          </w:rPr>
          <w:t xml:space="preserve">City </w:t>
        </w:r>
        <w:r w:rsidRPr="0004669D">
          <w:rPr>
            <w:rStyle w:val="Hyperlink"/>
            <w:lang w:val="fr-CH"/>
          </w:rPr>
          <w:t>(Koweït)</w:t>
        </w:r>
      </w:hyperlink>
      <w:r>
        <w:rPr>
          <w:lang w:val="fr-CH"/>
        </w:rPr>
        <w:t xml:space="preserve"> </w:t>
      </w:r>
      <w:r w:rsidRPr="00F95BE4">
        <w:rPr>
          <w:bCs/>
        </w:rPr>
        <w:t>(</w:t>
      </w:r>
      <w:r>
        <w:rPr>
          <w:bCs/>
        </w:rPr>
        <w:t xml:space="preserve">région des </w:t>
      </w:r>
      <w:r w:rsidR="00743304">
        <w:rPr>
          <w:bCs/>
        </w:rPr>
        <w:t>É</w:t>
      </w:r>
      <w:r>
        <w:rPr>
          <w:bCs/>
        </w:rPr>
        <w:t xml:space="preserve">tats arabes, octobre </w:t>
      </w:r>
      <w:r w:rsidRPr="00F95BE4">
        <w:t xml:space="preserve">2018); </w:t>
      </w:r>
      <w:r w:rsidR="00743304">
        <w:t xml:space="preserve">à </w:t>
      </w:r>
      <w:hyperlink r:id="rId77" w:history="1">
        <w:r w:rsidRPr="0004669D">
          <w:rPr>
            <w:rStyle w:val="Hyperlink"/>
            <w:rFonts w:asciiTheme="minorHAnsi" w:hAnsiTheme="minorHAnsi" w:cstheme="minorHAnsi"/>
          </w:rPr>
          <w:t>Limassol, Chypre</w:t>
        </w:r>
      </w:hyperlink>
      <w:r w:rsidRPr="0004669D">
        <w:rPr>
          <w:rStyle w:val="Hyperlink"/>
          <w:rFonts w:asciiTheme="minorHAnsi" w:hAnsiTheme="minorHAnsi" w:cstheme="minorHAnsi"/>
          <w:color w:val="auto"/>
          <w:u w:val="none"/>
        </w:rPr>
        <w:t xml:space="preserve"> (région Europe, novembre </w:t>
      </w:r>
      <w:r w:rsidRPr="00F95BE4">
        <w:t>2018)</w:t>
      </w:r>
      <w:r>
        <w:t xml:space="preserve"> et</w:t>
      </w:r>
      <w:r w:rsidR="00743304">
        <w:t xml:space="preserve"> à</w:t>
      </w:r>
      <w:r>
        <w:t xml:space="preserve"> </w:t>
      </w:r>
      <w:hyperlink r:id="rId78" w:history="1">
        <w:r w:rsidRPr="0004669D">
          <w:rPr>
            <w:rStyle w:val="Hyperlink"/>
            <w:lang w:val="fr-CH"/>
          </w:rPr>
          <w:t>Bakou (Azerbaïdjan)</w:t>
        </w:r>
      </w:hyperlink>
      <w:r w:rsidRPr="00F95BE4">
        <w:t xml:space="preserve"> (</w:t>
      </w:r>
      <w:r>
        <w:t xml:space="preserve">région de la CEI, septembre </w:t>
      </w:r>
      <w:r w:rsidRPr="00F95BE4">
        <w:t>2018).</w:t>
      </w:r>
      <w:r w:rsidR="00743304">
        <w:t xml:space="preserve"> U</w:t>
      </w:r>
      <w:r>
        <w:t xml:space="preserve">n </w:t>
      </w:r>
      <w:proofErr w:type="spellStart"/>
      <w:r w:rsidRPr="00F95BE4">
        <w:t>cyberexercice</w:t>
      </w:r>
      <w:proofErr w:type="spellEnd"/>
      <w:r>
        <w:t xml:space="preserve"> pour l'Europe est en cours d'organisation en </w:t>
      </w:r>
      <w:hyperlink r:id="rId79" w:history="1">
        <w:r w:rsidRPr="0004669D">
          <w:rPr>
            <w:rStyle w:val="Hyperlink"/>
          </w:rPr>
          <w:t>Roumanie (mai 2019)</w:t>
        </w:r>
      </w:hyperlink>
      <w:r>
        <w:t>.</w:t>
      </w:r>
      <w:r w:rsidRPr="002161E2">
        <w:rPr>
          <w:lang w:val="fr-CH"/>
        </w:rPr>
        <w:t xml:space="preserve"> </w:t>
      </w:r>
    </w:p>
    <w:p w:rsidR="00AF35E3" w:rsidRPr="000E6A1D" w:rsidRDefault="00AF35E3" w:rsidP="0082281D">
      <w:pPr>
        <w:snapToGrid w:val="0"/>
        <w:spacing w:after="120"/>
        <w:rPr>
          <w:rFonts w:cstheme="minorHAnsi"/>
          <w:lang w:val="fr-CH"/>
        </w:rPr>
      </w:pPr>
      <w:r w:rsidRPr="002161E2">
        <w:rPr>
          <w:rFonts w:cstheme="minorHAnsi"/>
          <w:lang w:val="fr-CH"/>
        </w:rPr>
        <w:t>4.4</w:t>
      </w:r>
      <w:r w:rsidRPr="002161E2">
        <w:rPr>
          <w:rFonts w:cstheme="minorHAnsi"/>
          <w:lang w:val="fr-CH"/>
        </w:rPr>
        <w:tab/>
        <w:t xml:space="preserve">Un </w:t>
      </w:r>
      <w:hyperlink r:id="rId80" w:history="1">
        <w:r w:rsidRPr="0004669D">
          <w:rPr>
            <w:rStyle w:val="Hyperlink"/>
            <w:lang w:val="fr-CH"/>
          </w:rPr>
          <w:t xml:space="preserve">Guide d'élaboration d'une stratégie nationale en matière de </w:t>
        </w:r>
        <w:proofErr w:type="spellStart"/>
        <w:r w:rsidRPr="0004669D">
          <w:rPr>
            <w:rStyle w:val="Hyperlink"/>
            <w:lang w:val="fr-CH"/>
          </w:rPr>
          <w:t>cybersécurité</w:t>
        </w:r>
        <w:proofErr w:type="spellEnd"/>
        <w:r w:rsidRPr="0004669D">
          <w:rPr>
            <w:rStyle w:val="Hyperlink"/>
            <w:rFonts w:cstheme="minorHAnsi"/>
            <w:lang w:val="fr-CH"/>
          </w:rPr>
          <w:t xml:space="preserve"> (NCS)</w:t>
        </w:r>
      </w:hyperlink>
      <w:r w:rsidRPr="0004669D">
        <w:rPr>
          <w:rStyle w:val="Hyperlink"/>
          <w:rFonts w:cstheme="minorHAnsi"/>
          <w:color w:val="auto"/>
          <w:u w:val="none"/>
          <w:lang w:val="fr-CH"/>
        </w:rPr>
        <w:t>,</w:t>
      </w:r>
      <w:r w:rsidRPr="0004669D">
        <w:rPr>
          <w:rFonts w:cstheme="minorHAnsi"/>
          <w:lang w:val="fr-CH"/>
        </w:rPr>
        <w:t xml:space="preserve"> </w:t>
      </w:r>
      <w:r>
        <w:rPr>
          <w:rFonts w:cstheme="minorHAnsi"/>
          <w:lang w:val="fr-CH"/>
        </w:rPr>
        <w:t xml:space="preserve">élaboré </w:t>
      </w:r>
      <w:r>
        <w:rPr>
          <w:color w:val="000000"/>
        </w:rPr>
        <w:t xml:space="preserve">avec le concours de l'UIT </w:t>
      </w:r>
      <w:r>
        <w:rPr>
          <w:rFonts w:cstheme="minorHAnsi"/>
          <w:lang w:val="fr-CH"/>
        </w:rPr>
        <w:t xml:space="preserve">dans le cadre d'un </w:t>
      </w:r>
      <w:r>
        <w:rPr>
          <w:color w:val="000000"/>
        </w:rPr>
        <w:t xml:space="preserve">processus de collaboration multi-parties prenantes, </w:t>
      </w:r>
      <w:r w:rsidR="00743304">
        <w:rPr>
          <w:color w:val="000000"/>
        </w:rPr>
        <w:t xml:space="preserve">et </w:t>
      </w:r>
      <w:r>
        <w:rPr>
          <w:color w:val="000000"/>
        </w:rPr>
        <w:t>réunis</w:t>
      </w:r>
      <w:r w:rsidR="007C25BC">
        <w:rPr>
          <w:color w:val="000000"/>
        </w:rPr>
        <w:t>s</w:t>
      </w:r>
      <w:r>
        <w:rPr>
          <w:color w:val="000000"/>
        </w:rPr>
        <w:t>ant 15 organisations intergouvernementales</w:t>
      </w:r>
      <w:r w:rsidRPr="002161E2">
        <w:rPr>
          <w:rFonts w:cstheme="minorHAnsi"/>
          <w:lang w:val="fr-CH"/>
        </w:rPr>
        <w:t xml:space="preserve"> </w:t>
      </w:r>
      <w:r>
        <w:rPr>
          <w:rFonts w:cstheme="minorHAnsi"/>
          <w:lang w:val="fr-CH"/>
        </w:rPr>
        <w:t xml:space="preserve">et représentants </w:t>
      </w:r>
      <w:r>
        <w:rPr>
          <w:color w:val="000000"/>
        </w:rPr>
        <w:t xml:space="preserve">du secteur privé, d'établissements universitaires et de la société civile, a été publié en septembre 2018. </w:t>
      </w:r>
      <w:r w:rsidRPr="002161E2">
        <w:rPr>
          <w:color w:val="000000"/>
          <w:lang w:val="fr-CH"/>
        </w:rPr>
        <w:t>L</w:t>
      </w:r>
      <w:r>
        <w:rPr>
          <w:color w:val="000000"/>
          <w:lang w:val="fr-CH"/>
        </w:rPr>
        <w:t>'</w:t>
      </w:r>
      <w:r w:rsidRPr="002161E2">
        <w:rPr>
          <w:color w:val="000000"/>
          <w:lang w:val="fr-CH"/>
        </w:rPr>
        <w:t>initiative</w:t>
      </w:r>
      <w:r>
        <w:rPr>
          <w:rFonts w:cstheme="minorHAnsi"/>
          <w:lang w:val="fr-CH"/>
        </w:rPr>
        <w:t xml:space="preserve"> </w:t>
      </w:r>
      <w:r w:rsidRPr="002161E2">
        <w:rPr>
          <w:rFonts w:cstheme="minorHAnsi"/>
          <w:lang w:val="fr-CH"/>
        </w:rPr>
        <w:t>NCS est un outil fonctionnel destiné à aider les gouvernements à concevoir et améliorer</w:t>
      </w:r>
      <w:r>
        <w:rPr>
          <w:rFonts w:cstheme="minorHAnsi"/>
          <w:lang w:val="fr-CH"/>
        </w:rPr>
        <w:t xml:space="preserve"> leurs stratégies en matière de </w:t>
      </w:r>
      <w:proofErr w:type="spellStart"/>
      <w:r>
        <w:rPr>
          <w:rFonts w:cstheme="minorHAnsi"/>
          <w:lang w:val="fr-CH"/>
        </w:rPr>
        <w:t>cybersécurité</w:t>
      </w:r>
      <w:proofErr w:type="spellEnd"/>
      <w:r>
        <w:rPr>
          <w:rFonts w:cstheme="minorHAnsi"/>
          <w:lang w:val="fr-CH"/>
        </w:rPr>
        <w:t xml:space="preserve">. L'UIT organise des ateliers régionaux et nationaux sur la stratégie relative à la </w:t>
      </w:r>
      <w:proofErr w:type="spellStart"/>
      <w:r>
        <w:rPr>
          <w:rFonts w:cstheme="minorHAnsi"/>
          <w:lang w:val="fr-CH"/>
        </w:rPr>
        <w:t>cybersécurité</w:t>
      </w:r>
      <w:proofErr w:type="spellEnd"/>
      <w:r>
        <w:rPr>
          <w:rFonts w:cstheme="minorHAnsi"/>
          <w:lang w:val="fr-CH"/>
        </w:rPr>
        <w:t xml:space="preserve"> pour aider les États Membres à concevoir leur</w:t>
      </w:r>
      <w:r w:rsidRPr="002161E2">
        <w:rPr>
          <w:color w:val="000000"/>
          <w:lang w:val="fr-CH"/>
        </w:rPr>
        <w:t xml:space="preserve"> stratégie nationale en matière de </w:t>
      </w:r>
      <w:proofErr w:type="spellStart"/>
      <w:r w:rsidRPr="002161E2">
        <w:rPr>
          <w:color w:val="000000"/>
          <w:lang w:val="fr-CH"/>
        </w:rPr>
        <w:t>cybersécurité</w:t>
      </w:r>
      <w:proofErr w:type="spellEnd"/>
      <w:r>
        <w:rPr>
          <w:rFonts w:cstheme="minorHAnsi"/>
          <w:lang w:val="fr-CH"/>
        </w:rPr>
        <w:t>. Un atelier national a eu lieu en Pologne en 2018 et un atelier régional pour la région Euro</w:t>
      </w:r>
      <w:r w:rsidR="00743304">
        <w:rPr>
          <w:rFonts w:cstheme="minorHAnsi"/>
          <w:lang w:val="fr-CH"/>
        </w:rPr>
        <w:t>pe sera organisé en juin 2019. D</w:t>
      </w:r>
      <w:r>
        <w:rPr>
          <w:rFonts w:cstheme="minorHAnsi"/>
          <w:lang w:val="fr-CH"/>
        </w:rPr>
        <w:t>es discussions sont également en cours afin d'organiser des ateliers analogues pour</w:t>
      </w:r>
      <w:r w:rsidRPr="000E6A1D">
        <w:rPr>
          <w:color w:val="000000"/>
        </w:rPr>
        <w:t xml:space="preserve"> </w:t>
      </w:r>
      <w:r>
        <w:rPr>
          <w:color w:val="000000"/>
        </w:rPr>
        <w:t>les pays membres de la SADC</w:t>
      </w:r>
      <w:r w:rsidR="00743304">
        <w:rPr>
          <w:rFonts w:cstheme="minorHAnsi"/>
          <w:lang w:val="fr-CH"/>
        </w:rPr>
        <w:t>, Malte, le Bénin et la Guinée</w:t>
      </w:r>
      <w:r>
        <w:rPr>
          <w:rFonts w:cstheme="minorHAnsi"/>
          <w:lang w:val="fr-CH"/>
        </w:rPr>
        <w:t xml:space="preserve">. </w:t>
      </w:r>
      <w:r w:rsidRPr="000E6A1D">
        <w:rPr>
          <w:rFonts w:cstheme="minorHAnsi"/>
          <w:lang w:val="fr-CH"/>
        </w:rPr>
        <w:t>L</w:t>
      </w:r>
      <w:r>
        <w:rPr>
          <w:rFonts w:cstheme="minorHAnsi"/>
          <w:lang w:val="fr-CH"/>
        </w:rPr>
        <w:t>'</w:t>
      </w:r>
      <w:r w:rsidRPr="000E6A1D">
        <w:rPr>
          <w:rFonts w:cstheme="minorHAnsi"/>
          <w:lang w:val="fr-CH"/>
        </w:rPr>
        <w:t>UIT a apporté une assistance à la Mauritanie pour l</w:t>
      </w:r>
      <w:r>
        <w:rPr>
          <w:rFonts w:cstheme="minorHAnsi"/>
          <w:lang w:val="fr-CH"/>
        </w:rPr>
        <w:t>'</w:t>
      </w:r>
      <w:r w:rsidRPr="000E6A1D">
        <w:rPr>
          <w:rFonts w:cstheme="minorHAnsi"/>
          <w:lang w:val="fr-CH"/>
        </w:rPr>
        <w:t xml:space="preserve">élaboration de </w:t>
      </w:r>
      <w:r>
        <w:rPr>
          <w:rFonts w:cstheme="minorHAnsi"/>
          <w:lang w:val="fr-CH"/>
        </w:rPr>
        <w:t xml:space="preserve">sa stratégie en matière de </w:t>
      </w:r>
      <w:proofErr w:type="spellStart"/>
      <w:r>
        <w:rPr>
          <w:rFonts w:cstheme="minorHAnsi"/>
          <w:lang w:val="fr-CH"/>
        </w:rPr>
        <w:t>cybersécurité</w:t>
      </w:r>
      <w:proofErr w:type="spellEnd"/>
      <w:r>
        <w:rPr>
          <w:rFonts w:cstheme="minorHAnsi"/>
          <w:lang w:val="fr-CH"/>
        </w:rPr>
        <w:t xml:space="preserve"> et a organisé un atelier de validation </w:t>
      </w:r>
      <w:r w:rsidRPr="000E6A1D">
        <w:rPr>
          <w:rFonts w:cstheme="minorHAnsi"/>
          <w:lang w:val="fr-CH"/>
        </w:rPr>
        <w:t>(Nouakchott –</w:t>
      </w:r>
      <w:r>
        <w:rPr>
          <w:rFonts w:cstheme="minorHAnsi"/>
          <w:lang w:val="fr-CH"/>
        </w:rPr>
        <w:t xml:space="preserve">décembre </w:t>
      </w:r>
      <w:r w:rsidRPr="000E6A1D">
        <w:rPr>
          <w:rFonts w:cstheme="minorHAnsi"/>
          <w:lang w:val="fr-CH"/>
        </w:rPr>
        <w:t>2018)</w:t>
      </w:r>
      <w:r w:rsidR="00743304">
        <w:rPr>
          <w:rFonts w:cstheme="minorHAnsi"/>
          <w:lang w:val="fr-CH"/>
        </w:rPr>
        <w:t>,</w:t>
      </w:r>
      <w:r>
        <w:rPr>
          <w:rFonts w:cstheme="minorHAnsi"/>
          <w:lang w:val="fr-CH"/>
        </w:rPr>
        <w:t xml:space="preserve"> en vue de présenter le rapport intérimaire sur la stratégie en matière de </w:t>
      </w:r>
      <w:proofErr w:type="spellStart"/>
      <w:r>
        <w:rPr>
          <w:rFonts w:cstheme="minorHAnsi"/>
          <w:lang w:val="fr-CH"/>
        </w:rPr>
        <w:t>cybersécurité</w:t>
      </w:r>
      <w:proofErr w:type="spellEnd"/>
      <w:r>
        <w:rPr>
          <w:rFonts w:cstheme="minorHAnsi"/>
          <w:lang w:val="fr-CH"/>
        </w:rPr>
        <w:t xml:space="preserve"> pour la période </w:t>
      </w:r>
      <w:r w:rsidRPr="000E6A1D">
        <w:rPr>
          <w:rFonts w:cstheme="minorHAnsi"/>
          <w:lang w:val="fr-CH"/>
        </w:rPr>
        <w:t>2019-2022</w:t>
      </w:r>
      <w:r>
        <w:rPr>
          <w:rFonts w:cstheme="minorHAnsi"/>
          <w:lang w:val="fr-CH"/>
        </w:rPr>
        <w:t xml:space="preserve"> en Mauritanie. L'UIT a également aidé </w:t>
      </w:r>
      <w:r>
        <w:rPr>
          <w:color w:val="000000"/>
        </w:rPr>
        <w:t xml:space="preserve">Kiribati </w:t>
      </w:r>
      <w:r>
        <w:rPr>
          <w:rFonts w:cstheme="minorHAnsi"/>
          <w:lang w:val="fr-CH"/>
        </w:rPr>
        <w:t>et le Bhoutan à concevoir leur stratégie en matière d</w:t>
      </w:r>
      <w:r w:rsidR="00743304">
        <w:rPr>
          <w:rFonts w:cstheme="minorHAnsi"/>
          <w:lang w:val="fr-CH"/>
        </w:rPr>
        <w:t xml:space="preserve">e </w:t>
      </w:r>
      <w:proofErr w:type="spellStart"/>
      <w:r w:rsidR="00743304">
        <w:rPr>
          <w:rFonts w:cstheme="minorHAnsi"/>
          <w:lang w:val="fr-CH"/>
        </w:rPr>
        <w:t>cybersécurité</w:t>
      </w:r>
      <w:proofErr w:type="spellEnd"/>
      <w:r w:rsidR="00743304">
        <w:rPr>
          <w:rFonts w:cstheme="minorHAnsi"/>
          <w:lang w:val="fr-CH"/>
        </w:rPr>
        <w:t xml:space="preserve"> (novembre 2018).</w:t>
      </w:r>
    </w:p>
    <w:p w:rsidR="00AF35E3" w:rsidRPr="009C17A4" w:rsidRDefault="00AF35E3" w:rsidP="0082281D">
      <w:pPr>
        <w:pStyle w:val="Heading1"/>
      </w:pPr>
      <w:r w:rsidRPr="009C17A4">
        <w:t>5</w:t>
      </w:r>
      <w:r w:rsidRPr="009C17A4">
        <w:tab/>
        <w:t>Renforcement des capacités</w:t>
      </w:r>
    </w:p>
    <w:p w:rsidR="00AF35E3" w:rsidRPr="009C17A4" w:rsidRDefault="00AF35E3" w:rsidP="0082281D">
      <w:pPr>
        <w:rPr>
          <w:rFonts w:asciiTheme="minorHAnsi" w:hAnsiTheme="minorHAnsi"/>
          <w:szCs w:val="24"/>
        </w:rPr>
      </w:pPr>
      <w:r w:rsidRPr="009C17A4">
        <w:t>5.1</w:t>
      </w:r>
      <w:r w:rsidRPr="009C17A4">
        <w:tab/>
        <w:t>L</w:t>
      </w:r>
      <w:r>
        <w:t>'</w:t>
      </w:r>
      <w:r w:rsidRPr="009C17A4">
        <w:t>UIT</w:t>
      </w:r>
      <w:r>
        <w:t xml:space="preserve"> a organisé </w:t>
      </w:r>
      <w:r w:rsidRPr="009C17A4">
        <w:t xml:space="preserve">des </w:t>
      </w:r>
      <w:hyperlink r:id="rId81" w:history="1">
        <w:r w:rsidRPr="009C17A4">
          <w:rPr>
            <w:rStyle w:val="Hyperlink"/>
            <w:rFonts w:asciiTheme="minorHAnsi" w:hAnsiTheme="minorHAnsi"/>
            <w:szCs w:val="24"/>
          </w:rPr>
          <w:t xml:space="preserve">forums régionaux sur la </w:t>
        </w:r>
        <w:proofErr w:type="spellStart"/>
        <w:r w:rsidRPr="009C17A4">
          <w:rPr>
            <w:rStyle w:val="Hyperlink"/>
            <w:rFonts w:asciiTheme="minorHAnsi" w:hAnsiTheme="minorHAnsi"/>
            <w:szCs w:val="24"/>
          </w:rPr>
          <w:t>cybersécurité</w:t>
        </w:r>
        <w:proofErr w:type="spellEnd"/>
      </w:hyperlink>
      <w:r w:rsidRPr="0004669D">
        <w:rPr>
          <w:rStyle w:val="Hyperlink"/>
          <w:rFonts w:asciiTheme="minorHAnsi" w:hAnsiTheme="minorHAnsi"/>
          <w:color w:val="auto"/>
          <w:szCs w:val="24"/>
          <w:u w:val="none"/>
        </w:rPr>
        <w:t xml:space="preserve"> </w:t>
      </w:r>
      <w:r w:rsidRPr="009C17A4">
        <w:t>à l</w:t>
      </w:r>
      <w:r>
        <w:t>'</w:t>
      </w:r>
      <w:r w:rsidRPr="009C17A4">
        <w:t>intention de toutes ses régions,</w:t>
      </w:r>
      <w:r>
        <w:t xml:space="preserve"> afin de renforcer les </w:t>
      </w:r>
      <w:r w:rsidRPr="009C17A4">
        <w:t>capacités pour différents programmes</w:t>
      </w:r>
      <w:r>
        <w:t>/</w:t>
      </w:r>
      <w:r w:rsidRPr="009C17A4">
        <w:t xml:space="preserve"> diverses activités du BDT</w:t>
      </w:r>
      <w:r>
        <w:t xml:space="preserve"> et de fournir un </w:t>
      </w:r>
      <w:r w:rsidRPr="009C17A4">
        <w:t>cadre opérationnel</w:t>
      </w:r>
      <w:r>
        <w:t xml:space="preserve"> pour la </w:t>
      </w:r>
      <w:r w:rsidRPr="009C17A4">
        <w:t>coopération</w:t>
      </w:r>
      <w:r>
        <w:t xml:space="preserve"> </w:t>
      </w:r>
      <w:r w:rsidRPr="009C17A4">
        <w:t>régional</w:t>
      </w:r>
      <w:r>
        <w:t>e</w:t>
      </w:r>
      <w:r w:rsidRPr="009C17A4">
        <w:t xml:space="preserve"> et international</w:t>
      </w:r>
      <w:r>
        <w:t>e</w:t>
      </w:r>
      <w:r w:rsidRPr="009C17A4">
        <w:t>.</w:t>
      </w:r>
    </w:p>
    <w:p w:rsidR="00AF35E3" w:rsidRPr="009C17A4" w:rsidRDefault="00AF35E3" w:rsidP="0082281D">
      <w:pPr>
        <w:rPr>
          <w:rFonts w:asciiTheme="minorHAnsi" w:hAnsiTheme="minorHAnsi"/>
          <w:spacing w:val="-2"/>
          <w:szCs w:val="24"/>
        </w:rPr>
      </w:pPr>
      <w:r w:rsidRPr="009C17A4">
        <w:rPr>
          <w:rFonts w:asciiTheme="minorHAnsi" w:hAnsiTheme="minorHAnsi"/>
          <w:szCs w:val="24"/>
        </w:rPr>
        <w:t>5.2</w:t>
      </w:r>
      <w:r w:rsidRPr="009C17A4">
        <w:rPr>
          <w:rFonts w:asciiTheme="minorHAnsi" w:hAnsiTheme="minorHAnsi"/>
          <w:b/>
          <w:bCs/>
          <w:szCs w:val="24"/>
        </w:rPr>
        <w:tab/>
      </w:r>
      <w:bookmarkStart w:id="12" w:name="lt_pId084"/>
      <w:r w:rsidRPr="009C17A4">
        <w:rPr>
          <w:rFonts w:asciiTheme="minorHAnsi" w:hAnsiTheme="minorHAnsi"/>
          <w:spacing w:val="-2"/>
          <w:szCs w:val="24"/>
        </w:rPr>
        <w:t>Suite à la CMDT-17, les travaux au titre de la Question 3/2 (</w:t>
      </w:r>
      <w:hyperlink r:id="rId82" w:history="1">
        <w:r w:rsidRPr="009C17A4">
          <w:rPr>
            <w:rStyle w:val="Hyperlink"/>
          </w:rPr>
          <w:t>Sécurisation des réseaux d</w:t>
        </w:r>
        <w:r>
          <w:rPr>
            <w:rStyle w:val="Hyperlink"/>
          </w:rPr>
          <w:t>'</w:t>
        </w:r>
        <w:r w:rsidRPr="009C17A4">
          <w:rPr>
            <w:rStyle w:val="Hyperlink"/>
          </w:rPr>
          <w:t xml:space="preserve">information et de communication: bonnes pratiques pour créer une culture de la </w:t>
        </w:r>
        <w:proofErr w:type="spellStart"/>
        <w:r w:rsidRPr="009C17A4">
          <w:rPr>
            <w:rStyle w:val="Hyperlink"/>
          </w:rPr>
          <w:t>cybersécurité</w:t>
        </w:r>
        <w:proofErr w:type="spellEnd"/>
      </w:hyperlink>
      <w:r w:rsidRPr="009C17A4">
        <w:t>)</w:t>
      </w:r>
      <w:r w:rsidRPr="009C17A4">
        <w:rPr>
          <w:rFonts w:asciiTheme="minorHAnsi" w:hAnsiTheme="minorHAnsi"/>
          <w:spacing w:val="-2"/>
          <w:szCs w:val="24"/>
        </w:rPr>
        <w:t xml:space="preserve"> se poursuivront pendant la période d</w:t>
      </w:r>
      <w:r>
        <w:rPr>
          <w:rFonts w:asciiTheme="minorHAnsi" w:hAnsiTheme="minorHAnsi"/>
          <w:spacing w:val="-2"/>
          <w:szCs w:val="24"/>
        </w:rPr>
        <w:t>'</w:t>
      </w:r>
      <w:r w:rsidRPr="009C17A4">
        <w:rPr>
          <w:rFonts w:asciiTheme="minorHAnsi" w:hAnsiTheme="minorHAnsi"/>
          <w:spacing w:val="-2"/>
          <w:szCs w:val="24"/>
        </w:rPr>
        <w:t>études 2018-2021.</w:t>
      </w:r>
      <w:bookmarkEnd w:id="12"/>
    </w:p>
    <w:p w:rsidR="00AF35E3" w:rsidRPr="009C17A4" w:rsidRDefault="00AF35E3" w:rsidP="0082281D">
      <w:r w:rsidRPr="009C17A4">
        <w:t>5.3</w:t>
      </w:r>
      <w:r w:rsidRPr="009C17A4">
        <w:tab/>
        <w:t>L</w:t>
      </w:r>
      <w:r>
        <w:t>'</w:t>
      </w:r>
      <w:r w:rsidRPr="009C17A4">
        <w:t xml:space="preserve">UIT, </w:t>
      </w:r>
      <w:r>
        <w:t>l'</w:t>
      </w:r>
      <w:r w:rsidRPr="00F775AD">
        <w:rPr>
          <w:rFonts w:asciiTheme="minorHAnsi" w:hAnsiTheme="minorHAnsi" w:cstheme="minorHAnsi"/>
        </w:rPr>
        <w:t xml:space="preserve">ICANN </w:t>
      </w:r>
      <w:r>
        <w:rPr>
          <w:rFonts w:asciiTheme="minorHAnsi" w:hAnsiTheme="minorHAnsi" w:cstheme="minorHAnsi"/>
        </w:rPr>
        <w:t xml:space="preserve">et </w:t>
      </w:r>
      <w:r>
        <w:rPr>
          <w:color w:val="000000"/>
        </w:rPr>
        <w:t>l'ARTAO</w:t>
      </w:r>
      <w:r>
        <w:t xml:space="preserve"> </w:t>
      </w:r>
      <w:r w:rsidR="00743304">
        <w:t>ont</w:t>
      </w:r>
      <w:r w:rsidRPr="009C17A4">
        <w:t xml:space="preserve"> organisé un atelier de renforce</w:t>
      </w:r>
      <w:r w:rsidR="00743304">
        <w:t>ment des capacités sur le thème </w:t>
      </w:r>
      <w:r w:rsidRPr="009C17A4">
        <w:t>"</w:t>
      </w:r>
      <w:proofErr w:type="spellStart"/>
      <w:r>
        <w:rPr>
          <w:rFonts w:asciiTheme="minorHAnsi" w:hAnsiTheme="minorHAnsi" w:cstheme="minorHAnsi"/>
        </w:rPr>
        <w:t>C</w:t>
      </w:r>
      <w:r w:rsidRPr="005D68CA">
        <w:rPr>
          <w:rFonts w:asciiTheme="minorHAnsi" w:hAnsiTheme="minorHAnsi" w:cstheme="minorHAnsi"/>
        </w:rPr>
        <w:t>ybersécurité</w:t>
      </w:r>
      <w:proofErr w:type="spellEnd"/>
      <w:r w:rsidRPr="00F775AD">
        <w:rPr>
          <w:rFonts w:asciiTheme="minorHAnsi" w:hAnsiTheme="minorHAnsi" w:cstheme="minorHAnsi"/>
        </w:rPr>
        <w:t xml:space="preserve">, </w:t>
      </w:r>
      <w:r>
        <w:rPr>
          <w:color w:val="000000"/>
        </w:rPr>
        <w:t>équipes CIRT</w:t>
      </w:r>
      <w:r w:rsidRPr="005D68CA">
        <w:rPr>
          <w:color w:val="000000"/>
        </w:rPr>
        <w:t xml:space="preserve"> </w:t>
      </w:r>
      <w:r>
        <w:rPr>
          <w:color w:val="000000"/>
        </w:rPr>
        <w:t xml:space="preserve">et écosystème de l'ICANN" </w:t>
      </w:r>
      <w:r>
        <w:rPr>
          <w:rFonts w:asciiTheme="minorHAnsi" w:hAnsiTheme="minorHAnsi" w:cstheme="minorHAnsi"/>
        </w:rPr>
        <w:t>(</w:t>
      </w:r>
      <w:r w:rsidRPr="00F775AD">
        <w:rPr>
          <w:rFonts w:asciiTheme="minorHAnsi" w:hAnsiTheme="minorHAnsi" w:cstheme="minorHAnsi"/>
        </w:rPr>
        <w:t xml:space="preserve">Ouagadougou, Burkina Faso </w:t>
      </w:r>
      <w:r w:rsidR="00743304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octobre </w:t>
      </w:r>
      <w:r w:rsidRPr="00F775AD"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</w:rPr>
        <w:t>)</w:t>
      </w:r>
      <w:r w:rsidR="00743304">
        <w:rPr>
          <w:rFonts w:asciiTheme="minorHAnsi" w:hAnsiTheme="minorHAnsi" w:cstheme="minorHAnsi"/>
        </w:rPr>
        <w:t>,</w:t>
      </w:r>
      <w:r w:rsidRPr="00F775AD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 xml:space="preserve">à l'invitation de Autorité de </w:t>
      </w:r>
      <w:r w:rsidR="00743304">
        <w:rPr>
          <w:color w:val="000000"/>
        </w:rPr>
        <w:t>r</w:t>
      </w:r>
      <w:r>
        <w:rPr>
          <w:color w:val="000000"/>
        </w:rPr>
        <w:t xml:space="preserve">égulation des </w:t>
      </w:r>
      <w:r w:rsidR="00743304">
        <w:rPr>
          <w:color w:val="000000"/>
        </w:rPr>
        <w:t>communications é</w:t>
      </w:r>
      <w:r>
        <w:rPr>
          <w:color w:val="000000"/>
        </w:rPr>
        <w:t xml:space="preserve">lectroniques et des </w:t>
      </w:r>
      <w:r w:rsidR="00743304">
        <w:rPr>
          <w:color w:val="000000"/>
        </w:rPr>
        <w:t>p</w:t>
      </w:r>
      <w:r>
        <w:rPr>
          <w:color w:val="000000"/>
        </w:rPr>
        <w:t>ostes (ARCEP</w:t>
      </w:r>
      <w:r>
        <w:rPr>
          <w:rFonts w:asciiTheme="minorHAnsi" w:hAnsiTheme="minorHAnsi" w:cstheme="minorHAnsi"/>
        </w:rPr>
        <w:t>)</w:t>
      </w:r>
      <w:r w:rsidR="0082281D">
        <w:t>.</w:t>
      </w:r>
    </w:p>
    <w:p w:rsidR="00AF35E3" w:rsidRPr="005D68CA" w:rsidRDefault="00AF35E3" w:rsidP="0082281D">
      <w:pPr>
        <w:rPr>
          <w:rFonts w:asciiTheme="minorHAnsi" w:hAnsiTheme="minorHAnsi" w:cstheme="minorHAnsi"/>
          <w:lang w:val="fr-CH"/>
        </w:rPr>
      </w:pPr>
      <w:r w:rsidRPr="005D68CA">
        <w:rPr>
          <w:rFonts w:asciiTheme="minorHAnsi" w:hAnsiTheme="minorHAnsi" w:cstheme="minorHAnsi"/>
          <w:lang w:val="fr-CH"/>
        </w:rPr>
        <w:t>5.4</w:t>
      </w:r>
      <w:r w:rsidRPr="005D68CA">
        <w:rPr>
          <w:rFonts w:asciiTheme="minorHAnsi" w:hAnsiTheme="minorHAnsi" w:cstheme="minorHAnsi"/>
          <w:lang w:val="fr-CH"/>
        </w:rPr>
        <w:tab/>
      </w:r>
      <w:r w:rsidR="00743304" w:rsidRPr="005D68CA">
        <w:rPr>
          <w:lang w:val="fr-CH"/>
        </w:rPr>
        <w:t>L</w:t>
      </w:r>
      <w:r>
        <w:rPr>
          <w:lang w:val="fr-CH"/>
        </w:rPr>
        <w:t>'</w:t>
      </w:r>
      <w:r w:rsidRPr="005D68CA">
        <w:rPr>
          <w:lang w:val="fr-CH"/>
        </w:rPr>
        <w:t xml:space="preserve">UIT et le Centre régional de </w:t>
      </w:r>
      <w:proofErr w:type="spellStart"/>
      <w:r w:rsidRPr="005D68CA">
        <w:rPr>
          <w:lang w:val="fr-CH"/>
        </w:rPr>
        <w:t>cybersécurité</w:t>
      </w:r>
      <w:proofErr w:type="spellEnd"/>
      <w:r w:rsidRPr="005D68CA">
        <w:rPr>
          <w:lang w:val="fr-CH"/>
        </w:rPr>
        <w:t xml:space="preserve"> pour la région des Etats arabes</w:t>
      </w:r>
      <w:r>
        <w:rPr>
          <w:rFonts w:asciiTheme="minorHAnsi" w:hAnsiTheme="minorHAnsi" w:cstheme="minorHAnsi"/>
          <w:lang w:val="fr-CH"/>
        </w:rPr>
        <w:t xml:space="preserve"> ont organisé </w:t>
      </w:r>
      <w:r w:rsidR="0082281D">
        <w:rPr>
          <w:lang w:val="fr-CH"/>
        </w:rPr>
        <w:t xml:space="preserve">la </w:t>
      </w:r>
      <w:hyperlink r:id="rId83" w:history="1">
        <w:r w:rsidR="0082281D" w:rsidRPr="0004669D">
          <w:rPr>
            <w:rStyle w:val="Hyperlink"/>
            <w:lang w:val="fr-CH"/>
          </w:rPr>
          <w:t>S</w:t>
        </w:r>
        <w:r w:rsidRPr="0004669D">
          <w:rPr>
            <w:rStyle w:val="Hyperlink"/>
            <w:lang w:val="fr-CH"/>
          </w:rPr>
          <w:t xml:space="preserve">emaine régionale de la </w:t>
        </w:r>
        <w:proofErr w:type="spellStart"/>
        <w:r w:rsidRPr="0004669D">
          <w:rPr>
            <w:rStyle w:val="Hyperlink"/>
            <w:lang w:val="fr-CH"/>
          </w:rPr>
          <w:t>cybersécurité</w:t>
        </w:r>
        <w:proofErr w:type="spellEnd"/>
      </w:hyperlink>
      <w:r w:rsidRPr="005D68CA">
        <w:rPr>
          <w:rFonts w:asciiTheme="minorHAnsi" w:hAnsiTheme="minorHAnsi" w:cstheme="minorHAnsi"/>
          <w:lang w:val="fr-CH"/>
        </w:rPr>
        <w:t xml:space="preserve"> (</w:t>
      </w:r>
      <w:r>
        <w:rPr>
          <w:rFonts w:asciiTheme="minorHAnsi" w:hAnsiTheme="minorHAnsi" w:cstheme="minorHAnsi"/>
          <w:lang w:val="fr-CH"/>
        </w:rPr>
        <w:t xml:space="preserve">Koweït, octobre 2018), qui a </w:t>
      </w:r>
      <w:r w:rsidR="0082281D">
        <w:rPr>
          <w:rFonts w:asciiTheme="minorHAnsi" w:hAnsiTheme="minorHAnsi" w:cstheme="minorHAnsi"/>
          <w:lang w:val="fr-CH"/>
        </w:rPr>
        <w:t>servi de</w:t>
      </w:r>
      <w:r>
        <w:rPr>
          <w:rFonts w:asciiTheme="minorHAnsi" w:hAnsiTheme="minorHAnsi" w:cstheme="minorHAnsi"/>
          <w:lang w:val="fr-CH"/>
        </w:rPr>
        <w:t xml:space="preserve"> cadre pour améliorer la coopération et la communication entre les </w:t>
      </w:r>
      <w:r w:rsidRPr="00A719D9">
        <w:rPr>
          <w:lang w:val="fr-CH"/>
        </w:rPr>
        <w:t>équipes CIRT des États arabes</w:t>
      </w:r>
      <w:r w:rsidR="00743304">
        <w:rPr>
          <w:lang w:val="fr-CH"/>
        </w:rPr>
        <w:t>.</w:t>
      </w:r>
    </w:p>
    <w:p w:rsidR="00AF35E3" w:rsidRPr="00A719D9" w:rsidRDefault="00AF35E3" w:rsidP="00656F45">
      <w:pPr>
        <w:rPr>
          <w:rFonts w:asciiTheme="minorHAnsi" w:hAnsiTheme="minorHAnsi" w:cstheme="minorHAnsi"/>
          <w:lang w:val="fr-CH"/>
        </w:rPr>
      </w:pPr>
      <w:r w:rsidRPr="00A719D9">
        <w:rPr>
          <w:rFonts w:asciiTheme="minorHAnsi" w:hAnsiTheme="minorHAnsi" w:cstheme="minorHAnsi"/>
          <w:lang w:val="fr-CH"/>
        </w:rPr>
        <w:t>5.5</w:t>
      </w:r>
      <w:r w:rsidRPr="00A719D9">
        <w:rPr>
          <w:rFonts w:asciiTheme="minorHAnsi" w:hAnsiTheme="minorHAnsi" w:cstheme="minorHAnsi"/>
          <w:lang w:val="fr-CH"/>
        </w:rPr>
        <w:tab/>
      </w:r>
      <w:r w:rsidR="00743304">
        <w:rPr>
          <w:lang w:val="fr-CH"/>
        </w:rPr>
        <w:t>L</w:t>
      </w:r>
      <w:r>
        <w:rPr>
          <w:lang w:val="fr-CH"/>
        </w:rPr>
        <w:t>'</w:t>
      </w:r>
      <w:r w:rsidRPr="00A719D9">
        <w:rPr>
          <w:lang w:val="fr-CH"/>
        </w:rPr>
        <w:t>UIT</w:t>
      </w:r>
      <w:r w:rsidRPr="00A719D9">
        <w:rPr>
          <w:rFonts w:asciiTheme="minorHAnsi" w:hAnsiTheme="minorHAnsi" w:cstheme="minorHAnsi"/>
          <w:lang w:val="fr-CH"/>
        </w:rPr>
        <w:t xml:space="preserve">, le </w:t>
      </w:r>
      <w:r w:rsidRPr="00A719D9">
        <w:rPr>
          <w:lang w:val="fr-CH"/>
        </w:rPr>
        <w:t>Centre supérieur de formation aux télécommunications</w:t>
      </w:r>
      <w:r>
        <w:rPr>
          <w:lang w:val="fr-CH"/>
        </w:rPr>
        <w:t xml:space="preserve"> et la Faculté des sciences appliquées des postes et télécommunications </w:t>
      </w:r>
      <w:r w:rsidRPr="00A719D9">
        <w:rPr>
          <w:rFonts w:asciiTheme="minorHAnsi" w:hAnsiTheme="minorHAnsi" w:cstheme="minorHAnsi"/>
          <w:lang w:val="fr-CH"/>
        </w:rPr>
        <w:t>(</w:t>
      </w:r>
      <w:r w:rsidRPr="00A719D9">
        <w:rPr>
          <w:lang w:val="fr-CH"/>
        </w:rPr>
        <w:t>Faculté des TIC</w:t>
      </w:r>
      <w:r w:rsidRPr="00A719D9">
        <w:rPr>
          <w:rFonts w:asciiTheme="minorHAnsi" w:hAnsiTheme="minorHAnsi" w:cstheme="minorHAnsi"/>
          <w:lang w:val="fr-CH"/>
        </w:rPr>
        <w:t xml:space="preserve">, </w:t>
      </w:r>
      <w:r w:rsidRPr="00A719D9">
        <w:rPr>
          <w:lang w:val="fr-CH"/>
        </w:rPr>
        <w:t>République islamique d</w:t>
      </w:r>
      <w:r>
        <w:rPr>
          <w:lang w:val="fr-CH"/>
        </w:rPr>
        <w:t>'</w:t>
      </w:r>
      <w:r w:rsidRPr="00A719D9">
        <w:rPr>
          <w:lang w:val="fr-CH"/>
        </w:rPr>
        <w:t>Iran</w:t>
      </w:r>
      <w:r w:rsidR="00743304">
        <w:rPr>
          <w:rFonts w:asciiTheme="minorHAnsi" w:hAnsiTheme="minorHAnsi" w:cstheme="minorHAnsi"/>
          <w:lang w:val="fr-CH"/>
        </w:rPr>
        <w:t>)</w:t>
      </w:r>
      <w:r w:rsidRPr="00A719D9">
        <w:rPr>
          <w:rFonts w:asciiTheme="minorHAnsi" w:hAnsiTheme="minorHAnsi" w:cstheme="minorHAnsi"/>
          <w:lang w:val="fr-CH"/>
        </w:rPr>
        <w:t xml:space="preserve"> </w:t>
      </w:r>
      <w:r>
        <w:rPr>
          <w:rFonts w:asciiTheme="minorHAnsi" w:hAnsiTheme="minorHAnsi" w:cstheme="minorHAnsi"/>
          <w:lang w:val="fr-CH"/>
        </w:rPr>
        <w:t xml:space="preserve">ont organisé </w:t>
      </w:r>
      <w:hyperlink r:id="rId84" w:history="1">
        <w:r w:rsidRPr="0004669D">
          <w:rPr>
            <w:rStyle w:val="Hyperlink"/>
            <w:rFonts w:asciiTheme="minorHAnsi" w:hAnsiTheme="minorHAnsi" w:cstheme="minorHAnsi"/>
            <w:lang w:val="fr-CH"/>
          </w:rPr>
          <w:t xml:space="preserve">une </w:t>
        </w:r>
        <w:r w:rsidRPr="0004669D">
          <w:rPr>
            <w:rStyle w:val="Hyperlink"/>
            <w:lang w:val="fr-CH"/>
          </w:rPr>
          <w:t>formation</w:t>
        </w:r>
        <w:r w:rsidR="00743304" w:rsidRPr="0004669D">
          <w:rPr>
            <w:rStyle w:val="Hyperlink"/>
            <w:lang w:val="fr-CH"/>
          </w:rPr>
          <w:t xml:space="preserve"> sur la </w:t>
        </w:r>
        <w:proofErr w:type="spellStart"/>
        <w:r w:rsidR="00743304" w:rsidRPr="0004669D">
          <w:rPr>
            <w:rStyle w:val="Hyperlink"/>
            <w:lang w:val="fr-CH"/>
          </w:rPr>
          <w:t>cyber</w:t>
        </w:r>
        <w:r w:rsidRPr="0004669D">
          <w:rPr>
            <w:rStyle w:val="Hyperlink"/>
            <w:lang w:val="fr-CH"/>
          </w:rPr>
          <w:t>sécurité</w:t>
        </w:r>
        <w:proofErr w:type="spellEnd"/>
        <w:r w:rsidRPr="0004669D">
          <w:rPr>
            <w:rStyle w:val="Hyperlink"/>
            <w:lang w:val="fr-CH"/>
          </w:rPr>
          <w:t xml:space="preserve"> dispensée par le Centre d'excellence de l'UIT pour la région Asie-Pacifique</w:t>
        </w:r>
        <w:r w:rsidRPr="0004669D">
          <w:rPr>
            <w:rStyle w:val="Hyperlink"/>
            <w:color w:val="auto"/>
            <w:u w:val="none"/>
            <w:lang w:val="fr-CH"/>
          </w:rPr>
          <w:t xml:space="preserve"> </w:t>
        </w:r>
        <w:r w:rsidRPr="0004669D">
          <w:rPr>
            <w:rStyle w:val="Hyperlink"/>
            <w:rFonts w:asciiTheme="minorHAnsi" w:hAnsiTheme="minorHAnsi" w:cstheme="minorHAnsi"/>
            <w:color w:val="auto"/>
            <w:u w:val="none"/>
            <w:lang w:val="fr-CH"/>
          </w:rPr>
          <w:t>(Téhéran, Iran</w:t>
        </w:r>
        <w:r w:rsidR="00656F45">
          <w:rPr>
            <w:rStyle w:val="Hyperlink"/>
            <w:rFonts w:asciiTheme="minorHAnsi" w:hAnsiTheme="minorHAnsi" w:cstheme="minorHAnsi"/>
            <w:color w:val="auto"/>
            <w:u w:val="none"/>
            <w:lang w:val="fr-CH"/>
          </w:rPr>
          <w:t xml:space="preserve"> –</w:t>
        </w:r>
        <w:r w:rsidRPr="0004669D">
          <w:rPr>
            <w:rStyle w:val="Hyperlink"/>
            <w:rFonts w:asciiTheme="minorHAnsi" w:hAnsiTheme="minorHAnsi" w:cstheme="minorHAnsi"/>
            <w:color w:val="auto"/>
            <w:u w:val="none"/>
            <w:lang w:val="fr-CH"/>
          </w:rPr>
          <w:t xml:space="preserve"> décembre 2018)</w:t>
        </w:r>
      </w:hyperlink>
      <w:r w:rsidR="00743304" w:rsidRPr="0004669D">
        <w:rPr>
          <w:rStyle w:val="Hyperlink"/>
          <w:rFonts w:asciiTheme="minorHAnsi" w:hAnsiTheme="minorHAnsi" w:cstheme="minorHAnsi"/>
          <w:color w:val="auto"/>
          <w:u w:val="none"/>
          <w:lang w:val="fr-CH"/>
        </w:rPr>
        <w:t>.</w:t>
      </w:r>
    </w:p>
    <w:p w:rsidR="00AF35E3" w:rsidRPr="000835DC" w:rsidRDefault="00AF35E3" w:rsidP="0082281D">
      <w:pPr>
        <w:rPr>
          <w:rFonts w:asciiTheme="minorHAnsi" w:hAnsiTheme="minorHAnsi" w:cstheme="minorHAnsi"/>
          <w:lang w:val="fr-CH"/>
        </w:rPr>
      </w:pPr>
      <w:r w:rsidRPr="000835DC">
        <w:rPr>
          <w:rFonts w:asciiTheme="minorHAnsi" w:hAnsiTheme="minorHAnsi" w:cstheme="minorHAnsi"/>
          <w:lang w:val="fr-CH"/>
        </w:rPr>
        <w:t>5.6</w:t>
      </w:r>
      <w:r w:rsidRPr="000835DC">
        <w:rPr>
          <w:rFonts w:asciiTheme="minorHAnsi" w:hAnsiTheme="minorHAnsi" w:cstheme="minorHAnsi"/>
          <w:lang w:val="fr-CH"/>
        </w:rPr>
        <w:tab/>
        <w:t>La troisième version</w:t>
      </w:r>
      <w:r w:rsidRPr="000835DC">
        <w:rPr>
          <w:lang w:val="fr-CH"/>
        </w:rPr>
        <w:t xml:space="preserve"> de l</w:t>
      </w:r>
      <w:r>
        <w:rPr>
          <w:lang w:val="fr-CH"/>
        </w:rPr>
        <w:t>'</w:t>
      </w:r>
      <w:hyperlink r:id="rId85" w:history="1">
        <w:r w:rsidRPr="0004669D">
          <w:rPr>
            <w:rStyle w:val="Hyperlink"/>
            <w:lang w:val="fr-CH"/>
          </w:rPr>
          <w:t xml:space="preserve">Indice mondial de </w:t>
        </w:r>
        <w:proofErr w:type="spellStart"/>
        <w:r w:rsidRPr="0004669D">
          <w:rPr>
            <w:rStyle w:val="Hyperlink"/>
            <w:lang w:val="fr-CH"/>
          </w:rPr>
          <w:t>cybersécurité</w:t>
        </w:r>
        <w:proofErr w:type="spellEnd"/>
      </w:hyperlink>
      <w:r w:rsidRPr="000835DC">
        <w:rPr>
          <w:rFonts w:asciiTheme="minorHAnsi" w:hAnsiTheme="minorHAnsi" w:cstheme="minorHAnsi"/>
          <w:lang w:val="fr-CH"/>
        </w:rPr>
        <w:t xml:space="preserve"> (GCIv3), </w:t>
      </w:r>
      <w:r w:rsidRPr="000835DC">
        <w:rPr>
          <w:lang w:val="fr-CH"/>
        </w:rPr>
        <w:t>à laquelle ont participé 1</w:t>
      </w:r>
      <w:r>
        <w:rPr>
          <w:lang w:val="fr-CH"/>
        </w:rPr>
        <w:t>55</w:t>
      </w:r>
      <w:r w:rsidRPr="000835DC">
        <w:rPr>
          <w:lang w:val="fr-CH"/>
        </w:rPr>
        <w:t xml:space="preserve"> Etats Membres</w:t>
      </w:r>
      <w:r>
        <w:rPr>
          <w:lang w:val="fr-CH"/>
        </w:rPr>
        <w:t>, a été lancé</w:t>
      </w:r>
      <w:r w:rsidR="00743304">
        <w:rPr>
          <w:lang w:val="fr-CH"/>
        </w:rPr>
        <w:t>e</w:t>
      </w:r>
      <w:r>
        <w:rPr>
          <w:lang w:val="fr-CH"/>
        </w:rPr>
        <w:t xml:space="preserve"> en mars 2019</w:t>
      </w:r>
      <w:r w:rsidR="00743304">
        <w:rPr>
          <w:lang w:val="fr-CH"/>
        </w:rPr>
        <w:t>,</w:t>
      </w:r>
      <w:r w:rsidR="0082281D">
        <w:rPr>
          <w:lang w:val="fr-CH"/>
        </w:rPr>
        <w:t xml:space="preserve"> à l'occasion des réunions des C</w:t>
      </w:r>
      <w:r>
        <w:rPr>
          <w:lang w:val="fr-CH"/>
        </w:rPr>
        <w:t>ommissions d'étude</w:t>
      </w:r>
      <w:r w:rsidR="00743304">
        <w:rPr>
          <w:lang w:val="fr-CH"/>
        </w:rPr>
        <w:t>s de l'UIT-D</w:t>
      </w:r>
      <w:r>
        <w:rPr>
          <w:lang w:val="fr-CH"/>
        </w:rPr>
        <w:t xml:space="preserve">. </w:t>
      </w:r>
      <w:r w:rsidR="00743304">
        <w:rPr>
          <w:lang w:val="fr-CH"/>
        </w:rPr>
        <w:t>Cette version</w:t>
      </w:r>
      <w:r>
        <w:rPr>
          <w:lang w:val="fr-CH"/>
        </w:rPr>
        <w:t xml:space="preserve"> fournit davantage de renseignements sur la </w:t>
      </w:r>
      <w:proofErr w:type="spellStart"/>
      <w:r>
        <w:rPr>
          <w:lang w:val="fr-CH"/>
        </w:rPr>
        <w:t>cybersécurité</w:t>
      </w:r>
      <w:proofErr w:type="spellEnd"/>
      <w:r>
        <w:rPr>
          <w:lang w:val="fr-CH"/>
        </w:rPr>
        <w:t xml:space="preserve">, tout en élargissant les partenariats </w:t>
      </w:r>
      <w:r w:rsidR="00743304">
        <w:rPr>
          <w:lang w:val="fr-CH"/>
        </w:rPr>
        <w:t xml:space="preserve">pour </w:t>
      </w:r>
      <w:r>
        <w:rPr>
          <w:lang w:val="fr-CH"/>
        </w:rPr>
        <w:t xml:space="preserve">qu'ils servent </w:t>
      </w:r>
      <w:r w:rsidR="0082281D">
        <w:rPr>
          <w:lang w:val="fr-CH"/>
        </w:rPr>
        <w:t xml:space="preserve">de cadre de </w:t>
      </w:r>
      <w:proofErr w:type="gramStart"/>
      <w:r w:rsidR="0082281D">
        <w:rPr>
          <w:lang w:val="fr-CH"/>
        </w:rPr>
        <w:t>collaboration multi-parties prenantes</w:t>
      </w:r>
      <w:proofErr w:type="gramEnd"/>
      <w:r w:rsidR="0082281D">
        <w:rPr>
          <w:lang w:val="fr-CH"/>
        </w:rPr>
        <w:t>. L'</w:t>
      </w:r>
      <w:r w:rsidRPr="000835DC">
        <w:rPr>
          <w:lang w:val="fr-CH"/>
        </w:rPr>
        <w:t>UIT a lancé la phase de préparation du processus</w:t>
      </w:r>
      <w:r w:rsidRPr="000835DC">
        <w:rPr>
          <w:rFonts w:asciiTheme="minorHAnsi" w:hAnsiTheme="minorHAnsi" w:cstheme="minorHAnsi"/>
          <w:lang w:val="fr-CH"/>
        </w:rPr>
        <w:t xml:space="preserve"> GCIv4</w:t>
      </w:r>
      <w:r w:rsidRPr="000835DC">
        <w:rPr>
          <w:lang w:val="fr-CH"/>
        </w:rPr>
        <w:t>, qui débutera en avril 2019</w:t>
      </w:r>
      <w:r w:rsidR="00743304">
        <w:rPr>
          <w:lang w:val="fr-CH"/>
        </w:rPr>
        <w:t>.</w:t>
      </w:r>
    </w:p>
    <w:p w:rsidR="00AF35E3" w:rsidRPr="000835DC" w:rsidRDefault="00743304" w:rsidP="0082281D">
      <w:pPr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>5.7</w:t>
      </w:r>
      <w:r w:rsidR="00AF35E3" w:rsidRPr="000835DC">
        <w:rPr>
          <w:rFonts w:asciiTheme="minorHAnsi" w:hAnsiTheme="minorHAnsi" w:cstheme="minorHAnsi"/>
          <w:lang w:val="fr-CH"/>
        </w:rPr>
        <w:tab/>
      </w:r>
      <w:r w:rsidR="00AF35E3" w:rsidRPr="000835DC">
        <w:rPr>
          <w:lang w:val="fr-CH"/>
        </w:rPr>
        <w:t>L</w:t>
      </w:r>
      <w:r w:rsidR="00AF35E3">
        <w:rPr>
          <w:lang w:val="fr-CH"/>
        </w:rPr>
        <w:t>'</w:t>
      </w:r>
      <w:r w:rsidR="00AF35E3" w:rsidRPr="000835DC">
        <w:rPr>
          <w:lang w:val="fr-CH"/>
        </w:rPr>
        <w:t xml:space="preserve">UIT a organisé </w:t>
      </w:r>
      <w:r w:rsidR="00AF35E3">
        <w:rPr>
          <w:lang w:val="fr-CH"/>
        </w:rPr>
        <w:t>l'</w:t>
      </w:r>
      <w:hyperlink r:id="rId86" w:history="1">
        <w:r w:rsidR="00AF35E3" w:rsidRPr="0004669D">
          <w:rPr>
            <w:rStyle w:val="Hyperlink"/>
            <w:lang w:val="fr-CH"/>
          </w:rPr>
          <w:t xml:space="preserve">Atelier régional pour l'Europe et la CEI sur la </w:t>
        </w:r>
        <w:proofErr w:type="spellStart"/>
        <w:r w:rsidR="00AF35E3" w:rsidRPr="0004669D">
          <w:rPr>
            <w:rStyle w:val="Hyperlink"/>
            <w:lang w:val="fr-CH"/>
          </w:rPr>
          <w:t>cybersécurité</w:t>
        </w:r>
        <w:proofErr w:type="spellEnd"/>
        <w:r w:rsidR="00AF35E3" w:rsidRPr="0004669D">
          <w:rPr>
            <w:rStyle w:val="Hyperlink"/>
            <w:lang w:val="fr-CH"/>
          </w:rPr>
          <w:t xml:space="preserve"> et la protection </w:t>
        </w:r>
        <w:r w:rsidRPr="0004669D">
          <w:rPr>
            <w:rStyle w:val="Hyperlink"/>
            <w:lang w:val="fr-CH"/>
          </w:rPr>
          <w:t>en ligne des enfants</w:t>
        </w:r>
      </w:hyperlink>
      <w:r>
        <w:rPr>
          <w:lang w:val="fr-CH"/>
        </w:rPr>
        <w:t xml:space="preserve"> </w:t>
      </w:r>
      <w:r w:rsidR="0082281D">
        <w:rPr>
          <w:lang w:val="fr-CH"/>
        </w:rPr>
        <w:t>(</w:t>
      </w:r>
      <w:r w:rsidR="0004669D">
        <w:rPr>
          <w:lang w:val="fr-CH"/>
        </w:rPr>
        <w:t xml:space="preserve">Odessa, </w:t>
      </w:r>
      <w:r w:rsidR="00AF35E3" w:rsidRPr="000835DC">
        <w:rPr>
          <w:lang w:val="fr-CH"/>
        </w:rPr>
        <w:t>Ukraine</w:t>
      </w:r>
      <w:r w:rsidR="00AF35E3">
        <w:rPr>
          <w:lang w:val="fr-CH"/>
        </w:rPr>
        <w:t>,</w:t>
      </w:r>
      <w:r w:rsidR="00AF35E3">
        <w:rPr>
          <w:rFonts w:asciiTheme="minorHAnsi" w:hAnsiTheme="minorHAnsi" w:cstheme="minorHAnsi"/>
          <w:lang w:val="fr-CH"/>
        </w:rPr>
        <w:t xml:space="preserve"> </w:t>
      </w:r>
      <w:r w:rsidR="00AF35E3" w:rsidRPr="000835DC">
        <w:rPr>
          <w:rFonts w:asciiTheme="minorHAnsi" w:hAnsiTheme="minorHAnsi" w:cstheme="minorHAnsi"/>
          <w:lang w:val="fr-CH"/>
        </w:rPr>
        <w:t>avril</w:t>
      </w:r>
      <w:r w:rsidR="00AF35E3">
        <w:rPr>
          <w:rFonts w:asciiTheme="minorHAnsi" w:hAnsiTheme="minorHAnsi" w:cstheme="minorHAnsi"/>
          <w:lang w:val="fr-CH"/>
        </w:rPr>
        <w:t xml:space="preserve"> </w:t>
      </w:r>
      <w:r w:rsidR="00AF35E3" w:rsidRPr="000835DC">
        <w:rPr>
          <w:rFonts w:asciiTheme="minorHAnsi" w:hAnsiTheme="minorHAnsi" w:cstheme="minorHAnsi"/>
          <w:lang w:val="fr-CH"/>
        </w:rPr>
        <w:t xml:space="preserve">2018). </w:t>
      </w:r>
    </w:p>
    <w:p w:rsidR="00AF35E3" w:rsidRPr="009C17A4" w:rsidRDefault="00AF35E3" w:rsidP="0082281D">
      <w:pPr>
        <w:pStyle w:val="Heading1"/>
        <w:spacing w:before="360"/>
      </w:pPr>
      <w:r w:rsidRPr="009C17A4">
        <w:t>6</w:t>
      </w:r>
      <w:r w:rsidRPr="009C17A4">
        <w:tab/>
        <w:t>Coopération internationale</w:t>
      </w:r>
    </w:p>
    <w:p w:rsidR="00AF35E3" w:rsidRDefault="00AF35E3" w:rsidP="0082281D">
      <w:bookmarkStart w:id="13" w:name="lt_pId100"/>
      <w:r w:rsidRPr="009C17A4">
        <w:t>6.1</w:t>
      </w:r>
      <w:r w:rsidRPr="009C17A4">
        <w:tab/>
        <w:t>L</w:t>
      </w:r>
      <w:r>
        <w:t>'</w:t>
      </w:r>
      <w:r w:rsidRPr="009C17A4">
        <w:t>UIT</w:t>
      </w:r>
      <w:r>
        <w:t xml:space="preserve"> </w:t>
      </w:r>
      <w:r w:rsidRPr="009C17A4">
        <w:t>noue</w:t>
      </w:r>
      <w:r>
        <w:t xml:space="preserve"> </w:t>
      </w:r>
      <w:r w:rsidRPr="009C17A4">
        <w:t xml:space="preserve">des relations et des </w:t>
      </w:r>
      <w:hyperlink r:id="rId87" w:history="1">
        <w:r w:rsidRPr="009C17A4">
          <w:rPr>
            <w:rStyle w:val="Hyperlink"/>
            <w:rFonts w:asciiTheme="minorHAnsi" w:hAnsiTheme="minorHAnsi"/>
            <w:szCs w:val="24"/>
          </w:rPr>
          <w:t>partenariats</w:t>
        </w:r>
      </w:hyperlink>
      <w:r w:rsidRPr="009C17A4">
        <w:t xml:space="preserve"> avec diverses organisati</w:t>
      </w:r>
      <w:r>
        <w:t>ons et initiatives régionales ou</w:t>
      </w:r>
      <w:r w:rsidRPr="009C17A4">
        <w:t xml:space="preserve"> internationales, notamment la Commonwealth </w:t>
      </w:r>
      <w:proofErr w:type="spellStart"/>
      <w:r w:rsidRPr="009C17A4">
        <w:t>Cybercrime</w:t>
      </w:r>
      <w:proofErr w:type="spellEnd"/>
      <w:r w:rsidRPr="009C17A4">
        <w:t xml:space="preserve"> Initiative, l</w:t>
      </w:r>
      <w:r>
        <w:t>'</w:t>
      </w:r>
      <w:r w:rsidRPr="009C17A4">
        <w:t>ENISA, INTERPOL, la CEDEAO, la Banque mondiale le Forum FIRST et les associations régionales d</w:t>
      </w:r>
      <w:r>
        <w:t>'</w:t>
      </w:r>
      <w:r w:rsidRPr="009C17A4">
        <w:t xml:space="preserve">équipes CSIRT/CERT, comme AP CERT, AFRICA CERT et OIC CERT. </w:t>
      </w:r>
    </w:p>
    <w:p w:rsidR="00AF35E3" w:rsidRDefault="00AF35E3" w:rsidP="0082281D">
      <w:pPr>
        <w:rPr>
          <w:rFonts w:asciiTheme="minorHAnsi" w:hAnsiTheme="minorHAnsi" w:cstheme="minorHAnsi"/>
          <w:lang w:val="fr-CH"/>
        </w:rPr>
      </w:pPr>
      <w:r w:rsidRPr="00A65131">
        <w:rPr>
          <w:rFonts w:asciiTheme="minorHAnsi" w:hAnsiTheme="minorHAnsi"/>
          <w:szCs w:val="24"/>
        </w:rPr>
        <w:t>Toutes les activités menées dans le cadre du partenariat entre l</w:t>
      </w:r>
      <w:r>
        <w:rPr>
          <w:rFonts w:asciiTheme="minorHAnsi" w:hAnsiTheme="minorHAnsi"/>
          <w:szCs w:val="24"/>
        </w:rPr>
        <w:t>'</w:t>
      </w:r>
      <w:r w:rsidRPr="00A65131">
        <w:rPr>
          <w:rFonts w:asciiTheme="minorHAnsi" w:hAnsiTheme="minorHAnsi"/>
          <w:szCs w:val="24"/>
        </w:rPr>
        <w:t>UIT et</w:t>
      </w:r>
      <w:r>
        <w:rPr>
          <w:rFonts w:asciiTheme="minorHAnsi" w:hAnsiTheme="minorHAnsi"/>
          <w:szCs w:val="24"/>
        </w:rPr>
        <w:t xml:space="preserve"> </w:t>
      </w:r>
      <w:r w:rsidRPr="00A65131">
        <w:rPr>
          <w:rFonts w:asciiTheme="minorHAnsi" w:hAnsiTheme="minorHAnsi" w:cstheme="minorHAnsi"/>
        </w:rPr>
        <w:t>IMPACT</w:t>
      </w:r>
      <w:r w:rsidR="00743304">
        <w:rPr>
          <w:rFonts w:asciiTheme="minorHAnsi" w:hAnsiTheme="minorHAnsi" w:cstheme="minorHAnsi"/>
        </w:rPr>
        <w:t xml:space="preserve"> ont pris fin en </w:t>
      </w:r>
      <w:r w:rsidRPr="00A65131">
        <w:rPr>
          <w:rFonts w:asciiTheme="minorHAnsi" w:hAnsiTheme="minorHAnsi" w:cstheme="minorHAnsi"/>
        </w:rPr>
        <w:t>2016</w:t>
      </w:r>
      <w:r w:rsidR="00743304">
        <w:rPr>
          <w:rFonts w:asciiTheme="minorHAnsi" w:hAnsiTheme="minorHAnsi" w:cstheme="minorHAnsi"/>
        </w:rPr>
        <w:t xml:space="preserve">, une fois mis en </w:t>
      </w:r>
      <w:proofErr w:type="spellStart"/>
      <w:r w:rsidR="00743304">
        <w:rPr>
          <w:rFonts w:asciiTheme="minorHAnsi" w:hAnsiTheme="minorHAnsi" w:cstheme="minorHAnsi"/>
        </w:rPr>
        <w:t>oeuvre</w:t>
      </w:r>
      <w:proofErr w:type="spellEnd"/>
      <w:r w:rsidR="00743304">
        <w:rPr>
          <w:rFonts w:asciiTheme="minorHAnsi" w:hAnsiTheme="minorHAnsi" w:cstheme="minorHAnsi"/>
        </w:rPr>
        <w:t xml:space="preserve"> les pr</w:t>
      </w:r>
      <w:r>
        <w:rPr>
          <w:rFonts w:asciiTheme="minorHAnsi" w:hAnsiTheme="minorHAnsi" w:cstheme="minorHAnsi"/>
        </w:rPr>
        <w:t xml:space="preserve">ojets qui demeuraient en suspens. </w:t>
      </w:r>
      <w:r w:rsidRPr="000835DC">
        <w:rPr>
          <w:rFonts w:asciiTheme="minorHAnsi" w:hAnsiTheme="minorHAnsi" w:cstheme="minorHAnsi"/>
          <w:lang w:val="fr-CH"/>
        </w:rPr>
        <w:t xml:space="preserve">IMPACT </w:t>
      </w:r>
      <w:r>
        <w:rPr>
          <w:rFonts w:asciiTheme="minorHAnsi" w:hAnsiTheme="minorHAnsi" w:cstheme="minorHAnsi"/>
          <w:lang w:val="fr-CH"/>
        </w:rPr>
        <w:t>a annoncé l</w:t>
      </w:r>
      <w:r w:rsidR="00743304">
        <w:rPr>
          <w:rFonts w:asciiTheme="minorHAnsi" w:hAnsiTheme="minorHAnsi" w:cstheme="minorHAnsi"/>
          <w:lang w:val="fr-CH"/>
        </w:rPr>
        <w:t>a dissolution officielle de ce P</w:t>
      </w:r>
      <w:r>
        <w:rPr>
          <w:rFonts w:asciiTheme="minorHAnsi" w:hAnsiTheme="minorHAnsi" w:cstheme="minorHAnsi"/>
          <w:lang w:val="fr-CH"/>
        </w:rPr>
        <w:t xml:space="preserve">artenariat au début de 2018. </w:t>
      </w:r>
      <w:r w:rsidRPr="00C71C6A">
        <w:rPr>
          <w:rFonts w:asciiTheme="minorHAnsi" w:hAnsiTheme="minorHAnsi" w:cstheme="minorHAnsi"/>
          <w:lang w:val="fr-CH"/>
        </w:rPr>
        <w:t>Cette dissolution signifie que le mémorandum d</w:t>
      </w:r>
      <w:r>
        <w:rPr>
          <w:rFonts w:asciiTheme="minorHAnsi" w:hAnsiTheme="minorHAnsi" w:cstheme="minorHAnsi"/>
          <w:lang w:val="fr-CH"/>
        </w:rPr>
        <w:t>'</w:t>
      </w:r>
      <w:r w:rsidRPr="00C71C6A">
        <w:rPr>
          <w:rFonts w:asciiTheme="minorHAnsi" w:hAnsiTheme="minorHAnsi" w:cstheme="minorHAnsi"/>
          <w:lang w:val="fr-CH"/>
        </w:rPr>
        <w:t>accord e</w:t>
      </w:r>
      <w:r>
        <w:rPr>
          <w:rFonts w:asciiTheme="minorHAnsi" w:hAnsiTheme="minorHAnsi" w:cstheme="minorHAnsi"/>
          <w:lang w:val="fr-CH"/>
        </w:rPr>
        <w:t>t l'accord de coopération signés</w:t>
      </w:r>
      <w:r w:rsidRPr="00C71C6A">
        <w:rPr>
          <w:rFonts w:asciiTheme="minorHAnsi" w:hAnsiTheme="minorHAnsi" w:cstheme="minorHAnsi"/>
          <w:lang w:val="fr-CH"/>
        </w:rPr>
        <w:t xml:space="preserve"> entre l</w:t>
      </w:r>
      <w:r>
        <w:rPr>
          <w:rFonts w:asciiTheme="minorHAnsi" w:hAnsiTheme="minorHAnsi" w:cstheme="minorHAnsi"/>
          <w:lang w:val="fr-CH"/>
        </w:rPr>
        <w:t>'</w:t>
      </w:r>
      <w:r w:rsidRPr="00C71C6A">
        <w:rPr>
          <w:rFonts w:asciiTheme="minorHAnsi" w:hAnsiTheme="minorHAnsi" w:cstheme="minorHAnsi"/>
          <w:lang w:val="fr-CH"/>
        </w:rPr>
        <w:t>UIT et</w:t>
      </w:r>
      <w:r>
        <w:rPr>
          <w:rFonts w:asciiTheme="minorHAnsi" w:hAnsiTheme="minorHAnsi" w:cstheme="minorHAnsi"/>
          <w:lang w:val="fr-CH"/>
        </w:rPr>
        <w:t xml:space="preserve"> </w:t>
      </w:r>
      <w:r w:rsidRPr="000835DC">
        <w:rPr>
          <w:rFonts w:asciiTheme="minorHAnsi" w:hAnsiTheme="minorHAnsi" w:cstheme="minorHAnsi"/>
          <w:lang w:val="fr-CH"/>
        </w:rPr>
        <w:t>IMPACT</w:t>
      </w:r>
      <w:r>
        <w:rPr>
          <w:rFonts w:asciiTheme="minorHAnsi" w:hAnsiTheme="minorHAnsi" w:cstheme="minorHAnsi"/>
          <w:lang w:val="fr-CH"/>
        </w:rPr>
        <w:t xml:space="preserve"> </w:t>
      </w:r>
      <w:r w:rsidR="0082281D">
        <w:rPr>
          <w:rFonts w:asciiTheme="minorHAnsi" w:hAnsiTheme="minorHAnsi" w:cstheme="minorHAnsi"/>
          <w:lang w:val="fr-CH"/>
        </w:rPr>
        <w:t>ont été résiliés avec effet immédiat.</w:t>
      </w:r>
    </w:p>
    <w:p w:rsidR="00AF35E3" w:rsidRPr="00C71C6A" w:rsidRDefault="00AF35E3" w:rsidP="0082281D">
      <w:pPr>
        <w:rPr>
          <w:lang w:val="fr-CH"/>
        </w:rPr>
      </w:pPr>
      <w:r w:rsidRPr="009C17A4">
        <w:t>6.2</w:t>
      </w:r>
      <w:r w:rsidRPr="009C17A4">
        <w:tab/>
        <w:t>En tant que coordonnateur principal de la grande orientation C5 du SMSI, l</w:t>
      </w:r>
      <w:r>
        <w:t>'</w:t>
      </w:r>
      <w:r w:rsidRPr="009C17A4">
        <w:t>UIT a organisé plusieurs</w:t>
      </w:r>
      <w:r>
        <w:t xml:space="preserve"> sessions</w:t>
      </w:r>
      <w:r w:rsidRPr="009C17A4">
        <w:t xml:space="preserve"> à l</w:t>
      </w:r>
      <w:r>
        <w:t>'</w:t>
      </w:r>
      <w:r w:rsidRPr="009C17A4">
        <w:t xml:space="preserve">occasion du </w:t>
      </w:r>
      <w:hyperlink r:id="rId88" w:history="1">
        <w:r w:rsidRPr="009C17A4">
          <w:rPr>
            <w:rStyle w:val="Hyperlink"/>
          </w:rPr>
          <w:t>Forum 201</w:t>
        </w:r>
        <w:r>
          <w:rPr>
            <w:rStyle w:val="Hyperlink"/>
          </w:rPr>
          <w:t>8</w:t>
        </w:r>
        <w:r w:rsidRPr="009C17A4">
          <w:rPr>
            <w:rStyle w:val="Hyperlink"/>
          </w:rPr>
          <w:t xml:space="preserve"> du SMSI</w:t>
        </w:r>
      </w:hyperlink>
      <w:r w:rsidRPr="009C17A4">
        <w:t>,</w:t>
      </w:r>
      <w:r>
        <w:t xml:space="preserve"> en accordant une attention toute particulière au </w:t>
      </w:r>
      <w:r w:rsidRPr="009C17A4">
        <w:t xml:space="preserve">10ème anniversaire du lancement du Programme mondial </w:t>
      </w:r>
      <w:proofErr w:type="spellStart"/>
      <w:r w:rsidRPr="009C17A4">
        <w:t>cybersécurité</w:t>
      </w:r>
      <w:proofErr w:type="spellEnd"/>
      <w:r w:rsidRPr="009C17A4">
        <w:t xml:space="preserve"> (GCA) et de </w:t>
      </w:r>
      <w:bookmarkEnd w:id="13"/>
      <w:r w:rsidRPr="009C17A4">
        <w:t>l</w:t>
      </w:r>
      <w:r>
        <w:t>'</w:t>
      </w:r>
      <w:r w:rsidRPr="009C17A4">
        <w:t>initiative pour la protection en ligne des enfants.</w:t>
      </w:r>
      <w:r w:rsidRPr="00C71C6A">
        <w:rPr>
          <w:rFonts w:asciiTheme="minorHAnsi" w:hAnsiTheme="minorHAnsi" w:cstheme="minorHAnsi"/>
          <w:spacing w:val="-2"/>
        </w:rPr>
        <w:t xml:space="preserve"> </w:t>
      </w:r>
      <w:r>
        <w:rPr>
          <w:color w:val="000000"/>
        </w:rPr>
        <w:t>Des sessions de haut niveau, portant notamment sur l'intelligence artificielle et la sécurité,</w:t>
      </w:r>
      <w:r w:rsidRPr="00C71C6A">
        <w:rPr>
          <w:rFonts w:asciiTheme="minorHAnsi" w:hAnsiTheme="minorHAnsi" w:cstheme="minorHAnsi"/>
          <w:spacing w:val="-2"/>
          <w:lang w:val="fr-CH"/>
        </w:rPr>
        <w:t xml:space="preserve"> </w:t>
      </w:r>
      <w:r>
        <w:rPr>
          <w:rFonts w:asciiTheme="minorHAnsi" w:hAnsiTheme="minorHAnsi" w:cstheme="minorHAnsi"/>
          <w:spacing w:val="-2"/>
          <w:lang w:val="fr-CH"/>
        </w:rPr>
        <w:t xml:space="preserve">ont également été organisées </w:t>
      </w:r>
      <w:r w:rsidRPr="009C17A4">
        <w:t>à l</w:t>
      </w:r>
      <w:r>
        <w:t>'</w:t>
      </w:r>
      <w:r w:rsidRPr="009C17A4">
        <w:t xml:space="preserve">occasion du </w:t>
      </w:r>
      <w:hyperlink r:id="rId89" w:history="1">
        <w:r w:rsidRPr="00A54FC5">
          <w:rPr>
            <w:rStyle w:val="Hyperlink"/>
          </w:rPr>
          <w:t>Forum 2019 du SMSI</w:t>
        </w:r>
      </w:hyperlink>
      <w:r w:rsidR="0082281D" w:rsidRPr="00A54FC5">
        <w:rPr>
          <w:rStyle w:val="Hyperlink"/>
          <w:color w:val="auto"/>
          <w:u w:val="none"/>
        </w:rPr>
        <w:t>.</w:t>
      </w:r>
    </w:p>
    <w:p w:rsidR="00AF35E3" w:rsidRPr="0068521C" w:rsidRDefault="00AF35E3" w:rsidP="0082281D">
      <w:pPr>
        <w:rPr>
          <w:lang w:val="fr-CH"/>
        </w:rPr>
      </w:pPr>
      <w:bookmarkStart w:id="14" w:name="lt_pId102"/>
      <w:r w:rsidRPr="0068521C">
        <w:rPr>
          <w:lang w:val="fr-CH"/>
        </w:rPr>
        <w:t>6.3</w:t>
      </w:r>
      <w:r w:rsidRPr="0068521C">
        <w:rPr>
          <w:lang w:val="fr-CH"/>
        </w:rPr>
        <w:tab/>
        <w:t>En juillet 2018,</w:t>
      </w:r>
      <w:r w:rsidR="0082281D">
        <w:rPr>
          <w:lang w:val="fr-CH"/>
        </w:rPr>
        <w:t xml:space="preserve"> </w:t>
      </w:r>
      <w:r w:rsidRPr="0068521C">
        <w:rPr>
          <w:lang w:val="fr-CH"/>
        </w:rPr>
        <w:t xml:space="preserve">un </w:t>
      </w:r>
      <w:r>
        <w:rPr>
          <w:lang w:val="fr-CH"/>
        </w:rPr>
        <w:t>"</w:t>
      </w:r>
      <w:hyperlink r:id="rId90" w:history="1">
        <w:r w:rsidRPr="00A54FC5">
          <w:rPr>
            <w:rStyle w:val="Hyperlink"/>
            <w:lang w:val="fr-CH"/>
          </w:rPr>
          <w:t xml:space="preserve">Dialogue mondial sur l'intelligence artificielle, l'Internet des objets et la politique en matière de </w:t>
        </w:r>
        <w:proofErr w:type="spellStart"/>
        <w:r w:rsidRPr="00A54FC5">
          <w:rPr>
            <w:rStyle w:val="Hyperlink"/>
            <w:lang w:val="fr-CH"/>
          </w:rPr>
          <w:t>cybersécurité</w:t>
        </w:r>
        <w:proofErr w:type="spellEnd"/>
        <w:r w:rsidRPr="00A54FC5">
          <w:rPr>
            <w:rStyle w:val="Hyperlink"/>
          </w:rPr>
          <w:t xml:space="preserve"> – Problèmes et perspectives sur le p</w:t>
        </w:r>
        <w:r w:rsidR="0082281D" w:rsidRPr="00A54FC5">
          <w:rPr>
            <w:rStyle w:val="Hyperlink"/>
          </w:rPr>
          <w:t>lan politique et réglementaire</w:t>
        </w:r>
      </w:hyperlink>
      <w:r w:rsidR="0082281D">
        <w:rPr>
          <w:color w:val="000000"/>
        </w:rPr>
        <w:t>"</w:t>
      </w:r>
      <w:r>
        <w:rPr>
          <w:color w:val="000000"/>
        </w:rPr>
        <w:t xml:space="preserve">, réunissant des régulateurs de différents États Membres et </w:t>
      </w:r>
      <w:r w:rsidR="0082281D">
        <w:rPr>
          <w:color w:val="000000"/>
        </w:rPr>
        <w:t xml:space="preserve">de </w:t>
      </w:r>
      <w:r>
        <w:rPr>
          <w:color w:val="000000"/>
        </w:rPr>
        <w:t>différentes organisations, a été organisée à l'UIT</w:t>
      </w:r>
      <w:r>
        <w:rPr>
          <w:lang w:val="fr-CH"/>
        </w:rPr>
        <w:t>.</w:t>
      </w:r>
    </w:p>
    <w:p w:rsidR="00AF35E3" w:rsidRPr="00825085" w:rsidRDefault="00AF35E3" w:rsidP="0082281D">
      <w:pPr>
        <w:rPr>
          <w:lang w:val="fr-CH"/>
        </w:rPr>
      </w:pPr>
      <w:r w:rsidRPr="0068521C">
        <w:rPr>
          <w:lang w:val="fr-CH"/>
        </w:rPr>
        <w:t>6.4</w:t>
      </w:r>
      <w:r w:rsidRPr="0068521C">
        <w:rPr>
          <w:lang w:val="fr-CH"/>
        </w:rPr>
        <w:tab/>
        <w:t>L</w:t>
      </w:r>
      <w:r>
        <w:rPr>
          <w:lang w:val="fr-CH"/>
        </w:rPr>
        <w:t>'</w:t>
      </w:r>
      <w:r w:rsidRPr="0068521C">
        <w:rPr>
          <w:lang w:val="fr-CH"/>
        </w:rPr>
        <w:t xml:space="preserve">UIT a conclu </w:t>
      </w:r>
      <w:r>
        <w:rPr>
          <w:lang w:val="fr-CH"/>
        </w:rPr>
        <w:t>des</w:t>
      </w:r>
      <w:r w:rsidRPr="0068521C">
        <w:rPr>
          <w:lang w:val="fr-CH"/>
        </w:rPr>
        <w:t xml:space="preserve"> partenariat</w:t>
      </w:r>
      <w:r>
        <w:rPr>
          <w:lang w:val="fr-CH"/>
        </w:rPr>
        <w:t>s</w:t>
      </w:r>
      <w:r w:rsidRPr="0068521C">
        <w:rPr>
          <w:lang w:val="fr-CH"/>
        </w:rPr>
        <w:t xml:space="preserve"> avec des établissements universitaires de la région des États arabes</w:t>
      </w:r>
      <w:r>
        <w:rPr>
          <w:lang w:val="fr-CH"/>
        </w:rPr>
        <w:t xml:space="preserve"> </w:t>
      </w:r>
      <w:r w:rsidRPr="0068521C">
        <w:rPr>
          <w:lang w:val="fr-CH"/>
        </w:rPr>
        <w:t>(</w:t>
      </w:r>
      <w:r>
        <w:rPr>
          <w:color w:val="000000"/>
        </w:rPr>
        <w:t>Réseau de recherche et d'enseignement des Etats arabes</w:t>
      </w:r>
      <w:r w:rsidRPr="0068521C">
        <w:rPr>
          <w:lang w:val="fr-CH"/>
        </w:rPr>
        <w:t xml:space="preserve"> </w:t>
      </w:r>
      <w:r>
        <w:rPr>
          <w:lang w:val="fr-CH"/>
        </w:rPr>
        <w:t xml:space="preserve">et </w:t>
      </w:r>
      <w:r w:rsidRPr="0068521C">
        <w:rPr>
          <w:lang w:val="fr-CH"/>
        </w:rPr>
        <w:t xml:space="preserve">Naïf </w:t>
      </w:r>
      <w:proofErr w:type="spellStart"/>
      <w:r w:rsidRPr="0068521C">
        <w:rPr>
          <w:lang w:val="fr-CH"/>
        </w:rPr>
        <w:t>Arab</w:t>
      </w:r>
      <w:proofErr w:type="spellEnd"/>
      <w:r w:rsidRPr="0068521C">
        <w:rPr>
          <w:lang w:val="fr-CH"/>
        </w:rPr>
        <w:t xml:space="preserve"> </w:t>
      </w:r>
      <w:proofErr w:type="spellStart"/>
      <w:r w:rsidRPr="0068521C">
        <w:rPr>
          <w:lang w:val="fr-CH"/>
        </w:rPr>
        <w:t>Un</w:t>
      </w:r>
      <w:r w:rsidR="0082281D">
        <w:rPr>
          <w:lang w:val="fr-CH"/>
        </w:rPr>
        <w:t>iversity</w:t>
      </w:r>
      <w:proofErr w:type="spellEnd"/>
      <w:r w:rsidR="0082281D">
        <w:rPr>
          <w:lang w:val="fr-CH"/>
        </w:rPr>
        <w:t xml:space="preserve"> for Security Sciences)</w:t>
      </w:r>
      <w:r>
        <w:rPr>
          <w:lang w:val="fr-CH"/>
        </w:rPr>
        <w:t xml:space="preserve">, afin de renforcer leur rôle dans la promotion </w:t>
      </w:r>
      <w:r>
        <w:rPr>
          <w:color w:val="000000"/>
        </w:rPr>
        <w:t xml:space="preserve">d'une culture de la </w:t>
      </w:r>
      <w:proofErr w:type="spellStart"/>
      <w:r>
        <w:rPr>
          <w:color w:val="000000"/>
        </w:rPr>
        <w:t>cybersécurité</w:t>
      </w:r>
      <w:proofErr w:type="spellEnd"/>
      <w:r w:rsidRPr="0068521C">
        <w:rPr>
          <w:lang w:val="fr-CH"/>
        </w:rPr>
        <w:t xml:space="preserve"> </w:t>
      </w:r>
      <w:r>
        <w:rPr>
          <w:lang w:val="fr-CH"/>
        </w:rPr>
        <w:t xml:space="preserve">et d'encourager leur participation active aux travaux de l'UIT. </w:t>
      </w:r>
      <w:r w:rsidRPr="00825085">
        <w:rPr>
          <w:lang w:val="fr-CH"/>
        </w:rPr>
        <w:t>Dans le cadre de ces partenariats, des activités ont été organisées dans la région des États arabes.</w:t>
      </w:r>
      <w:r>
        <w:rPr>
          <w:lang w:val="fr-CH"/>
        </w:rPr>
        <w:t xml:space="preserve"> </w:t>
      </w:r>
    </w:p>
    <w:p w:rsidR="00AF35E3" w:rsidRPr="00825085" w:rsidRDefault="00AF35E3" w:rsidP="0082281D">
      <w:pPr>
        <w:rPr>
          <w:lang w:val="fr-CH"/>
        </w:rPr>
      </w:pPr>
      <w:r w:rsidRPr="00825085">
        <w:rPr>
          <w:lang w:val="fr-CH"/>
        </w:rPr>
        <w:t>6.5</w:t>
      </w:r>
      <w:r w:rsidRPr="00825085">
        <w:rPr>
          <w:lang w:val="fr-CH"/>
        </w:rPr>
        <w:tab/>
        <w:t xml:space="preserve">Dans le cadre de </w:t>
      </w:r>
      <w:r w:rsidRPr="00825085">
        <w:rPr>
          <w:color w:val="000000"/>
          <w:lang w:val="fr-CH"/>
        </w:rPr>
        <w:t>l</w:t>
      </w:r>
      <w:r>
        <w:rPr>
          <w:color w:val="000000"/>
          <w:lang w:val="fr-CH"/>
        </w:rPr>
        <w:t>'</w:t>
      </w:r>
      <w:r w:rsidRPr="00825085">
        <w:rPr>
          <w:color w:val="000000"/>
          <w:lang w:val="fr-CH"/>
        </w:rPr>
        <w:t>Initiative régionale de l</w:t>
      </w:r>
      <w:r>
        <w:rPr>
          <w:color w:val="000000"/>
          <w:lang w:val="fr-CH"/>
        </w:rPr>
        <w:t>'</w:t>
      </w:r>
      <w:r w:rsidRPr="00825085">
        <w:rPr>
          <w:color w:val="000000"/>
          <w:lang w:val="fr-CH"/>
        </w:rPr>
        <w:t>UIT pour l</w:t>
      </w:r>
      <w:r>
        <w:rPr>
          <w:color w:val="000000"/>
          <w:lang w:val="fr-CH"/>
        </w:rPr>
        <w:t>'</w:t>
      </w:r>
      <w:r w:rsidRPr="00825085">
        <w:rPr>
          <w:color w:val="000000"/>
          <w:lang w:val="fr-CH"/>
        </w:rPr>
        <w:t>Europe</w:t>
      </w:r>
      <w:r w:rsidRPr="00825085">
        <w:rPr>
          <w:lang w:val="fr-CH"/>
        </w:rPr>
        <w:t>, l</w:t>
      </w:r>
      <w:r>
        <w:rPr>
          <w:lang w:val="fr-CH"/>
        </w:rPr>
        <w:t>'</w:t>
      </w:r>
      <w:r w:rsidRPr="00825085">
        <w:rPr>
          <w:lang w:val="fr-CH"/>
        </w:rPr>
        <w:t>UIT</w:t>
      </w:r>
      <w:r>
        <w:rPr>
          <w:lang w:val="fr-CH"/>
        </w:rPr>
        <w:t xml:space="preserve"> </w:t>
      </w:r>
      <w:r w:rsidRPr="00825085">
        <w:rPr>
          <w:lang w:val="fr-CH"/>
        </w:rPr>
        <w:t xml:space="preserve">a </w:t>
      </w:r>
      <w:proofErr w:type="spellStart"/>
      <w:r w:rsidRPr="00825085">
        <w:rPr>
          <w:lang w:val="fr-CH"/>
        </w:rPr>
        <w:t>coorganisé</w:t>
      </w:r>
      <w:proofErr w:type="spellEnd"/>
      <w:r w:rsidRPr="00825085">
        <w:rPr>
          <w:lang w:val="fr-CH"/>
        </w:rPr>
        <w:t xml:space="preserve"> une série</w:t>
      </w:r>
      <w:r>
        <w:rPr>
          <w:lang w:val="fr-CH"/>
        </w:rPr>
        <w:t xml:space="preserve"> de réunions sur la </w:t>
      </w:r>
      <w:proofErr w:type="spellStart"/>
      <w:r>
        <w:rPr>
          <w:lang w:val="fr-CH"/>
        </w:rPr>
        <w:t>cyber</w:t>
      </w:r>
      <w:r w:rsidRPr="00825085">
        <w:rPr>
          <w:lang w:val="fr-CH"/>
        </w:rPr>
        <w:t>sécurité</w:t>
      </w:r>
      <w:proofErr w:type="spellEnd"/>
      <w:r w:rsidRPr="00825085">
        <w:rPr>
          <w:lang w:val="fr-CH"/>
        </w:rPr>
        <w:t>, notamment</w:t>
      </w:r>
      <w:r>
        <w:rPr>
          <w:lang w:val="fr-CH"/>
        </w:rPr>
        <w:t xml:space="preserve"> la</w:t>
      </w:r>
      <w:r w:rsidRPr="00825085">
        <w:rPr>
          <w:color w:val="000000"/>
        </w:rPr>
        <w:t xml:space="preserve"> </w:t>
      </w:r>
      <w:hyperlink r:id="rId91" w:history="1">
        <w:r w:rsidRPr="00A54FC5">
          <w:rPr>
            <w:rStyle w:val="Hyperlink"/>
          </w:rPr>
          <w:t xml:space="preserve">6ème édition de la Plate-forme de dialogue entre secteur public et secteur privé sur la </w:t>
        </w:r>
        <w:proofErr w:type="spellStart"/>
        <w:r w:rsidRPr="00A54FC5">
          <w:rPr>
            <w:rStyle w:val="Hyperlink"/>
          </w:rPr>
          <w:t>cybersécurité</w:t>
        </w:r>
        <w:proofErr w:type="spellEnd"/>
        <w:r w:rsidRPr="00A54FC5">
          <w:rPr>
            <w:rStyle w:val="Hyperlink"/>
          </w:rPr>
          <w:t xml:space="preserve"> en Europe centrale</w:t>
        </w:r>
      </w:hyperlink>
      <w:r>
        <w:rPr>
          <w:color w:val="000000"/>
        </w:rPr>
        <w:t xml:space="preserve"> </w:t>
      </w:r>
      <w:r w:rsidRPr="00825085">
        <w:rPr>
          <w:lang w:val="fr-CH"/>
        </w:rPr>
        <w:t xml:space="preserve">(Sibiu, </w:t>
      </w:r>
      <w:r w:rsidR="00A54FC5">
        <w:rPr>
          <w:lang w:val="fr-CH"/>
        </w:rPr>
        <w:t>Roumanie –</w:t>
      </w:r>
      <w:r>
        <w:rPr>
          <w:lang w:val="fr-CH"/>
        </w:rPr>
        <w:t xml:space="preserve"> septembre 2018)</w:t>
      </w:r>
      <w:r w:rsidR="0082281D">
        <w:rPr>
          <w:lang w:val="fr-CH"/>
        </w:rPr>
        <w:t>,</w:t>
      </w:r>
      <w:r>
        <w:rPr>
          <w:lang w:val="fr-CH"/>
        </w:rPr>
        <w:t xml:space="preserve"> le Forum international sur </w:t>
      </w:r>
      <w:r w:rsidR="0082281D">
        <w:rPr>
          <w:lang w:val="fr-CH"/>
        </w:rPr>
        <w:t>"</w:t>
      </w:r>
      <w:hyperlink r:id="rId92" w:history="1">
        <w:r w:rsidRPr="00A54FC5">
          <w:rPr>
            <w:rStyle w:val="Hyperlink"/>
          </w:rPr>
          <w:t xml:space="preserve">Les nouveaux enjeux mondiaux de la </w:t>
        </w:r>
        <w:proofErr w:type="spellStart"/>
        <w:r w:rsidRPr="00A54FC5">
          <w:rPr>
            <w:rStyle w:val="Hyperlink"/>
          </w:rPr>
          <w:t>cybersécurité</w:t>
        </w:r>
        <w:proofErr w:type="spellEnd"/>
      </w:hyperlink>
      <w:r>
        <w:rPr>
          <w:color w:val="000000"/>
        </w:rPr>
        <w:t>"</w:t>
      </w:r>
      <w:r w:rsidRPr="00825085">
        <w:rPr>
          <w:lang w:val="fr-CH"/>
        </w:rPr>
        <w:t xml:space="preserve"> (</w:t>
      </w:r>
      <w:r w:rsidR="00A54FC5">
        <w:rPr>
          <w:lang w:val="fr-CH"/>
        </w:rPr>
        <w:t>Bucarest, Roumanie –</w:t>
      </w:r>
      <w:r>
        <w:rPr>
          <w:lang w:val="fr-CH"/>
        </w:rPr>
        <w:t xml:space="preserve"> octobre 2018), </w:t>
      </w:r>
      <w:r>
        <w:rPr>
          <w:color w:val="000000"/>
        </w:rPr>
        <w:t xml:space="preserve">la </w:t>
      </w:r>
      <w:hyperlink r:id="rId93" w:history="1">
        <w:r w:rsidRPr="00A54FC5">
          <w:rPr>
            <w:rStyle w:val="Hyperlink"/>
          </w:rPr>
          <w:t xml:space="preserve">Plate-forme de dialogue entre secteur public et secteur privé sur la </w:t>
        </w:r>
        <w:proofErr w:type="spellStart"/>
        <w:r w:rsidRPr="00A54FC5">
          <w:rPr>
            <w:rStyle w:val="Hyperlink"/>
          </w:rPr>
          <w:t>cybersécurité</w:t>
        </w:r>
        <w:proofErr w:type="spellEnd"/>
        <w:r w:rsidRPr="00A54FC5">
          <w:rPr>
            <w:rStyle w:val="Hyperlink"/>
          </w:rPr>
          <w:t xml:space="preserve"> en Europe</w:t>
        </w:r>
        <w:r w:rsidRPr="00A54FC5">
          <w:rPr>
            <w:rStyle w:val="Hyperlink"/>
            <w:lang w:val="fr-CH"/>
          </w:rPr>
          <w:t xml:space="preserve"> </w:t>
        </w:r>
        <w:r w:rsidRPr="00A54FC5">
          <w:rPr>
            <w:rStyle w:val="Hyperlink"/>
          </w:rPr>
          <w:t>occidentale</w:t>
        </w:r>
      </w:hyperlink>
      <w:r>
        <w:rPr>
          <w:lang w:val="fr-CH"/>
        </w:rPr>
        <w:t xml:space="preserve"> </w:t>
      </w:r>
      <w:r w:rsidRPr="00825085">
        <w:rPr>
          <w:lang w:val="fr-CH"/>
        </w:rPr>
        <w:t xml:space="preserve">(Porrentruy, </w:t>
      </w:r>
      <w:r w:rsidR="00A54FC5">
        <w:rPr>
          <w:lang w:val="fr-CH"/>
        </w:rPr>
        <w:t>Suisse –</w:t>
      </w:r>
      <w:r>
        <w:rPr>
          <w:lang w:val="fr-CH"/>
        </w:rPr>
        <w:t xml:space="preserve"> novembre 2010)</w:t>
      </w:r>
      <w:r w:rsidR="0082281D">
        <w:rPr>
          <w:lang w:val="fr-CH"/>
        </w:rPr>
        <w:t xml:space="preserve"> et</w:t>
      </w:r>
      <w:r>
        <w:rPr>
          <w:lang w:val="fr-CH"/>
        </w:rPr>
        <w:t xml:space="preserve"> la </w:t>
      </w:r>
      <w:hyperlink r:id="rId94" w:history="1">
        <w:r w:rsidRPr="00A54FC5">
          <w:rPr>
            <w:rStyle w:val="Hyperlink"/>
          </w:rPr>
          <w:t xml:space="preserve">Semaine de la </w:t>
        </w:r>
        <w:proofErr w:type="spellStart"/>
        <w:r w:rsidRPr="00A54FC5">
          <w:rPr>
            <w:rStyle w:val="Hyperlink"/>
          </w:rPr>
          <w:t>cybersécurité</w:t>
        </w:r>
        <w:proofErr w:type="spellEnd"/>
        <w:r w:rsidRPr="00A54FC5">
          <w:rPr>
            <w:rStyle w:val="Hyperlink"/>
          </w:rPr>
          <w:t xml:space="preserve"> organisée à Vienne</w:t>
        </w:r>
        <w:r w:rsidRPr="00A54FC5">
          <w:rPr>
            <w:rStyle w:val="Hyperlink"/>
            <w:lang w:val="fr-CH"/>
          </w:rPr>
          <w:t xml:space="preserve"> </w:t>
        </w:r>
        <w:r w:rsidR="0082281D" w:rsidRPr="00A54FC5">
          <w:rPr>
            <w:rStyle w:val="Hyperlink"/>
            <w:lang w:val="fr-CH"/>
          </w:rPr>
          <w:t>–</w:t>
        </w:r>
        <w:r w:rsidRPr="00A54FC5">
          <w:rPr>
            <w:rStyle w:val="Hyperlink"/>
            <w:lang w:val="fr-CH"/>
          </w:rPr>
          <w:t xml:space="preserve"> </w:t>
        </w:r>
        <w:r w:rsidRPr="00A54FC5">
          <w:rPr>
            <w:rStyle w:val="Hyperlink"/>
          </w:rPr>
          <w:t>Protection des infrastructures essentielles</w:t>
        </w:r>
      </w:hyperlink>
      <w:r w:rsidRPr="00825085">
        <w:rPr>
          <w:lang w:val="fr-CH"/>
        </w:rPr>
        <w:t xml:space="preserve"> (</w:t>
      </w:r>
      <w:r>
        <w:rPr>
          <w:lang w:val="fr-CH"/>
        </w:rPr>
        <w:t xml:space="preserve">Vienne, Autriche </w:t>
      </w:r>
      <w:r w:rsidRPr="00825085">
        <w:rPr>
          <w:lang w:val="fr-CH"/>
        </w:rPr>
        <w:t>(</w:t>
      </w:r>
      <w:proofErr w:type="spellStart"/>
      <w:r w:rsidRPr="00825085">
        <w:rPr>
          <w:lang w:val="fr-CH"/>
        </w:rPr>
        <w:t>coorganisé</w:t>
      </w:r>
      <w:r w:rsidR="0082281D">
        <w:rPr>
          <w:lang w:val="fr-CH"/>
        </w:rPr>
        <w:t>e</w:t>
      </w:r>
      <w:proofErr w:type="spellEnd"/>
      <w:r>
        <w:rPr>
          <w:lang w:val="fr-CH"/>
        </w:rPr>
        <w:t xml:space="preserve"> par la CEI</w:t>
      </w:r>
      <w:r w:rsidRPr="00825085">
        <w:rPr>
          <w:lang w:val="fr-CH"/>
        </w:rPr>
        <w:t xml:space="preserve">, </w:t>
      </w:r>
      <w:r>
        <w:rPr>
          <w:color w:val="000000"/>
        </w:rPr>
        <w:t>avec le concours de l'OSCE</w:t>
      </w:r>
      <w:r w:rsidR="00A54FC5">
        <w:rPr>
          <w:color w:val="000000"/>
        </w:rPr>
        <w:t>)</w:t>
      </w:r>
      <w:r w:rsidRPr="00825085">
        <w:rPr>
          <w:lang w:val="fr-CH"/>
        </w:rPr>
        <w:t xml:space="preserve"> </w:t>
      </w:r>
      <w:r w:rsidR="0082281D">
        <w:rPr>
          <w:lang w:val="fr-CH"/>
        </w:rPr>
        <w:t>–</w:t>
      </w:r>
      <w:r>
        <w:rPr>
          <w:lang w:val="fr-CH"/>
        </w:rPr>
        <w:t xml:space="preserve"> mars </w:t>
      </w:r>
      <w:r w:rsidRPr="00825085">
        <w:rPr>
          <w:lang w:val="fr-CH"/>
        </w:rPr>
        <w:t>2019).</w:t>
      </w:r>
    </w:p>
    <w:bookmarkEnd w:id="14"/>
    <w:p w:rsidR="00AF35E3" w:rsidRPr="009C17A4" w:rsidRDefault="00AF35E3" w:rsidP="0082281D">
      <w:pPr>
        <w:pStyle w:val="Heading1"/>
        <w:rPr>
          <w:rFonts w:eastAsia="SimSun" w:cs="Arial"/>
          <w:bCs/>
          <w:szCs w:val="22"/>
        </w:rPr>
      </w:pPr>
      <w:r w:rsidRPr="009C17A4">
        <w:rPr>
          <w:rFonts w:eastAsia="SimSun" w:cs="Arial"/>
          <w:bCs/>
          <w:szCs w:val="22"/>
        </w:rPr>
        <w:t>7</w:t>
      </w:r>
      <w:r w:rsidRPr="009C17A4">
        <w:rPr>
          <w:rFonts w:eastAsia="SimSun" w:cs="Arial"/>
          <w:bCs/>
          <w:szCs w:val="22"/>
        </w:rPr>
        <w:tab/>
      </w:r>
      <w:r w:rsidRPr="009C17A4">
        <w:t xml:space="preserve">Protection en ligne des enfants (COP) </w:t>
      </w:r>
    </w:p>
    <w:p w:rsidR="00AF35E3" w:rsidRPr="00367EB2" w:rsidRDefault="00AF35E3" w:rsidP="00A00A99">
      <w:pPr>
        <w:rPr>
          <w:rFonts w:asciiTheme="minorHAnsi" w:hAnsiTheme="minorHAnsi"/>
          <w:szCs w:val="24"/>
          <w:lang w:val="fr-CH"/>
        </w:rPr>
      </w:pPr>
      <w:r w:rsidRPr="00367EB2">
        <w:rPr>
          <w:rFonts w:asciiTheme="minorHAnsi" w:hAnsiTheme="minorHAnsi"/>
          <w:szCs w:val="24"/>
          <w:lang w:val="fr-CH"/>
        </w:rPr>
        <w:t>7.1</w:t>
      </w:r>
      <w:r w:rsidRPr="00367EB2">
        <w:rPr>
          <w:rFonts w:asciiTheme="minorHAnsi" w:hAnsiTheme="minorHAnsi"/>
          <w:szCs w:val="24"/>
          <w:lang w:val="fr-CH"/>
        </w:rPr>
        <w:tab/>
        <w:t>L</w:t>
      </w:r>
      <w:r>
        <w:rPr>
          <w:rFonts w:asciiTheme="minorHAnsi" w:hAnsiTheme="minorHAnsi"/>
          <w:szCs w:val="24"/>
          <w:lang w:val="fr-CH"/>
        </w:rPr>
        <w:t>'</w:t>
      </w:r>
      <w:r w:rsidRPr="00367EB2">
        <w:rPr>
          <w:rFonts w:asciiTheme="minorHAnsi" w:hAnsiTheme="minorHAnsi"/>
          <w:szCs w:val="24"/>
          <w:lang w:val="fr-CH"/>
        </w:rPr>
        <w:t xml:space="preserve">UIT a aidé le Soudan </w:t>
      </w:r>
      <w:r w:rsidR="00A00A99">
        <w:rPr>
          <w:rFonts w:asciiTheme="minorHAnsi" w:hAnsiTheme="minorHAnsi"/>
          <w:szCs w:val="24"/>
          <w:lang w:val="fr-CH"/>
        </w:rPr>
        <w:t>à</w:t>
      </w:r>
      <w:r w:rsidRPr="00367EB2">
        <w:rPr>
          <w:rFonts w:asciiTheme="minorHAnsi" w:hAnsiTheme="minorHAnsi"/>
          <w:szCs w:val="24"/>
          <w:lang w:val="fr-CH"/>
        </w:rPr>
        <w:t xml:space="preserve"> élaborer sa stratégie nationale en matière de protection en ligne des enfants. En outre, des</w:t>
      </w:r>
      <w:r>
        <w:rPr>
          <w:rFonts w:asciiTheme="minorHAnsi" w:hAnsiTheme="minorHAnsi"/>
          <w:szCs w:val="24"/>
          <w:lang w:val="fr-CH"/>
        </w:rPr>
        <w:t xml:space="preserve"> </w:t>
      </w:r>
      <w:r w:rsidRPr="00367EB2">
        <w:rPr>
          <w:lang w:val="fr-CH"/>
        </w:rPr>
        <w:t xml:space="preserve">activités de sensibilisation et des concours ont été organisés dans plusieurs </w:t>
      </w:r>
      <w:r w:rsidR="0082281D">
        <w:rPr>
          <w:lang w:val="fr-CH"/>
        </w:rPr>
        <w:t>Etats</w:t>
      </w:r>
      <w:r w:rsidRPr="00367EB2">
        <w:rPr>
          <w:lang w:val="fr-CH"/>
        </w:rPr>
        <w:t xml:space="preserve"> arabes pour</w:t>
      </w:r>
      <w:r>
        <w:rPr>
          <w:lang w:val="fr-CH"/>
        </w:rPr>
        <w:t xml:space="preserve"> faire prendre davantage conscience les enfants, les éducateurs et les parents de la sécurité</w:t>
      </w:r>
      <w:r w:rsidRPr="00367EB2">
        <w:rPr>
          <w:color w:val="000000"/>
        </w:rPr>
        <w:t xml:space="preserve"> </w:t>
      </w:r>
      <w:r>
        <w:rPr>
          <w:color w:val="000000"/>
        </w:rPr>
        <w:t>de l'Internet</w:t>
      </w:r>
      <w:r>
        <w:rPr>
          <w:lang w:val="fr-CH"/>
        </w:rPr>
        <w:t xml:space="preserve">, en collaboration avec les parties prenantes concernées. </w:t>
      </w:r>
    </w:p>
    <w:p w:rsidR="00AF35E3" w:rsidRPr="00367EB2" w:rsidRDefault="00D44DDA" w:rsidP="00D44DDA">
      <w:pPr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7.2</w:t>
      </w:r>
      <w:r w:rsidR="00AF35E3" w:rsidRPr="00367EB2">
        <w:rPr>
          <w:rFonts w:asciiTheme="minorHAnsi" w:hAnsiTheme="minorHAnsi"/>
          <w:szCs w:val="24"/>
          <w:lang w:val="fr-CH"/>
        </w:rPr>
        <w:tab/>
      </w:r>
      <w:r w:rsidR="00AF35E3" w:rsidRPr="00367EB2">
        <w:rPr>
          <w:lang w:val="fr-CH"/>
        </w:rPr>
        <w:t xml:space="preserve">Dans le cadre de </w:t>
      </w:r>
      <w:r w:rsidR="00AF35E3" w:rsidRPr="00367EB2">
        <w:rPr>
          <w:color w:val="000000"/>
          <w:lang w:val="fr-CH"/>
        </w:rPr>
        <w:t>l</w:t>
      </w:r>
      <w:r w:rsidR="00AF35E3">
        <w:rPr>
          <w:color w:val="000000"/>
          <w:lang w:val="fr-CH"/>
        </w:rPr>
        <w:t>'</w:t>
      </w:r>
      <w:r w:rsidR="00AF35E3" w:rsidRPr="00367EB2">
        <w:rPr>
          <w:color w:val="000000"/>
          <w:lang w:val="fr-CH"/>
        </w:rPr>
        <w:t>Initiative régionale de l</w:t>
      </w:r>
      <w:r w:rsidR="00AF35E3">
        <w:rPr>
          <w:color w:val="000000"/>
          <w:lang w:val="fr-CH"/>
        </w:rPr>
        <w:t>'</w:t>
      </w:r>
      <w:r w:rsidR="00AF35E3" w:rsidRPr="00367EB2">
        <w:rPr>
          <w:color w:val="000000"/>
          <w:lang w:val="fr-CH"/>
        </w:rPr>
        <w:t>UIT pour l</w:t>
      </w:r>
      <w:r w:rsidR="00AF35E3">
        <w:rPr>
          <w:color w:val="000000"/>
          <w:lang w:val="fr-CH"/>
        </w:rPr>
        <w:t>'</w:t>
      </w:r>
      <w:r w:rsidR="00AF35E3" w:rsidRPr="00367EB2">
        <w:rPr>
          <w:color w:val="000000"/>
          <w:lang w:val="fr-CH"/>
        </w:rPr>
        <w:t>Europe</w:t>
      </w:r>
      <w:r w:rsidR="00AF35E3" w:rsidRPr="00367EB2">
        <w:rPr>
          <w:lang w:val="fr-CH"/>
        </w:rPr>
        <w:t>,</w:t>
      </w:r>
      <w:r w:rsidR="00AF35E3" w:rsidRPr="00367EB2">
        <w:rPr>
          <w:rFonts w:asciiTheme="minorHAnsi" w:hAnsiTheme="minorHAnsi"/>
          <w:szCs w:val="24"/>
          <w:lang w:val="fr-CH"/>
        </w:rPr>
        <w:t xml:space="preserve"> </w:t>
      </w:r>
      <w:r w:rsidR="00AF35E3">
        <w:rPr>
          <w:rFonts w:asciiTheme="minorHAnsi" w:hAnsiTheme="minorHAnsi"/>
          <w:szCs w:val="24"/>
          <w:lang w:val="fr-CH"/>
        </w:rPr>
        <w:t>l'</w:t>
      </w:r>
      <w:r w:rsidR="00AF35E3" w:rsidRPr="00367EB2">
        <w:rPr>
          <w:rFonts w:asciiTheme="minorHAnsi" w:hAnsiTheme="minorHAnsi"/>
          <w:szCs w:val="24"/>
          <w:lang w:val="fr-CH"/>
        </w:rPr>
        <w:t>UIT a aidé</w:t>
      </w:r>
      <w:r w:rsidR="00AF35E3">
        <w:rPr>
          <w:rFonts w:asciiTheme="minorHAnsi" w:hAnsiTheme="minorHAnsi"/>
          <w:szCs w:val="24"/>
          <w:lang w:val="fr-CH"/>
        </w:rPr>
        <w:t xml:space="preserve"> la Géorgie </w:t>
      </w:r>
      <w:r>
        <w:rPr>
          <w:rFonts w:asciiTheme="minorHAnsi" w:hAnsiTheme="minorHAnsi"/>
          <w:szCs w:val="24"/>
          <w:lang w:val="fr-CH"/>
        </w:rPr>
        <w:t>à</w:t>
      </w:r>
      <w:r w:rsidR="00AF35E3" w:rsidRPr="00367EB2">
        <w:rPr>
          <w:rFonts w:asciiTheme="minorHAnsi" w:hAnsiTheme="minorHAnsi"/>
          <w:szCs w:val="24"/>
          <w:lang w:val="fr-CH"/>
        </w:rPr>
        <w:t xml:space="preserve"> élaborer sa stratégie nationale en matière de protection en ligne des enfants</w:t>
      </w:r>
      <w:r w:rsidR="00AF35E3">
        <w:rPr>
          <w:rFonts w:asciiTheme="minorHAnsi" w:hAnsiTheme="minorHAnsi"/>
          <w:szCs w:val="24"/>
          <w:lang w:val="fr-CH"/>
        </w:rPr>
        <w:t xml:space="preserve">. </w:t>
      </w:r>
      <w:r w:rsidR="00AF35E3" w:rsidRPr="00367EB2">
        <w:rPr>
          <w:rFonts w:asciiTheme="minorHAnsi" w:hAnsiTheme="minorHAnsi"/>
          <w:szCs w:val="24"/>
          <w:lang w:val="fr-CH"/>
        </w:rPr>
        <w:t>Il est prévu d</w:t>
      </w:r>
      <w:r w:rsidR="00AF35E3">
        <w:rPr>
          <w:rFonts w:asciiTheme="minorHAnsi" w:hAnsiTheme="minorHAnsi"/>
          <w:szCs w:val="24"/>
          <w:lang w:val="fr-CH"/>
        </w:rPr>
        <w:t>'</w:t>
      </w:r>
      <w:r w:rsidR="00AF35E3" w:rsidRPr="00367EB2">
        <w:rPr>
          <w:rFonts w:asciiTheme="minorHAnsi" w:hAnsiTheme="minorHAnsi"/>
          <w:szCs w:val="24"/>
          <w:lang w:val="fr-CH"/>
        </w:rPr>
        <w:t>organiser des activités analogues dans d</w:t>
      </w:r>
      <w:r w:rsidR="00AF35E3">
        <w:rPr>
          <w:rFonts w:asciiTheme="minorHAnsi" w:hAnsiTheme="minorHAnsi"/>
          <w:szCs w:val="24"/>
          <w:lang w:val="fr-CH"/>
        </w:rPr>
        <w:t>'</w:t>
      </w:r>
      <w:r w:rsidR="00AF35E3" w:rsidRPr="00367EB2">
        <w:rPr>
          <w:rFonts w:asciiTheme="minorHAnsi" w:hAnsiTheme="minorHAnsi"/>
          <w:szCs w:val="24"/>
          <w:lang w:val="fr-CH"/>
        </w:rPr>
        <w:t>autres pays</w:t>
      </w:r>
      <w:r w:rsidR="00AF35E3" w:rsidRPr="00367EB2">
        <w:rPr>
          <w:color w:val="000000"/>
          <w:lang w:val="fr-CH"/>
        </w:rPr>
        <w:t xml:space="preserve"> au cours de la période à venir</w:t>
      </w:r>
      <w:r w:rsidR="00AF35E3" w:rsidRPr="00367EB2">
        <w:rPr>
          <w:rFonts w:asciiTheme="minorHAnsi" w:hAnsiTheme="minorHAnsi"/>
          <w:szCs w:val="24"/>
          <w:lang w:val="fr-CH"/>
        </w:rPr>
        <w:t xml:space="preserve">. En outre, </w:t>
      </w:r>
      <w:r w:rsidR="00AF35E3" w:rsidRPr="00367EB2">
        <w:rPr>
          <w:lang w:val="fr-CH"/>
        </w:rPr>
        <w:t>l</w:t>
      </w:r>
      <w:r w:rsidR="00AF35E3">
        <w:rPr>
          <w:lang w:val="fr-CH"/>
        </w:rPr>
        <w:t>'</w:t>
      </w:r>
      <w:r w:rsidR="00AF35E3" w:rsidRPr="00367EB2">
        <w:rPr>
          <w:lang w:val="fr-CH"/>
        </w:rPr>
        <w:t>UIT</w:t>
      </w:r>
      <w:r w:rsidR="00AF35E3">
        <w:rPr>
          <w:lang w:val="fr-CH"/>
        </w:rPr>
        <w:t xml:space="preserve"> </w:t>
      </w:r>
      <w:r w:rsidR="00AF35E3" w:rsidRPr="00367EB2">
        <w:rPr>
          <w:lang w:val="fr-CH"/>
        </w:rPr>
        <w:t xml:space="preserve">a </w:t>
      </w:r>
      <w:proofErr w:type="spellStart"/>
      <w:r w:rsidR="00AF35E3" w:rsidRPr="00367EB2">
        <w:rPr>
          <w:lang w:val="fr-CH"/>
        </w:rPr>
        <w:t>coorganisé</w:t>
      </w:r>
      <w:proofErr w:type="spellEnd"/>
      <w:r w:rsidR="00AF35E3" w:rsidRPr="00367EB2">
        <w:rPr>
          <w:lang w:val="fr-CH"/>
        </w:rPr>
        <w:t xml:space="preserve"> une série de réunions destinées à renforcer les capacités humaines, notamment</w:t>
      </w:r>
      <w:r w:rsidR="00AF35E3">
        <w:rPr>
          <w:lang w:val="fr-CH"/>
        </w:rPr>
        <w:t xml:space="preserve"> </w:t>
      </w:r>
      <w:r w:rsidR="00AF35E3" w:rsidRPr="00367EB2">
        <w:rPr>
          <w:rFonts w:asciiTheme="minorHAnsi" w:hAnsiTheme="minorHAnsi"/>
          <w:szCs w:val="24"/>
          <w:lang w:val="fr-CH"/>
        </w:rPr>
        <w:t>la</w:t>
      </w:r>
      <w:r w:rsidR="00AF35E3">
        <w:rPr>
          <w:rFonts w:asciiTheme="minorHAnsi" w:hAnsiTheme="minorHAnsi"/>
          <w:szCs w:val="24"/>
          <w:lang w:val="fr-CH"/>
        </w:rPr>
        <w:t xml:space="preserve"> </w:t>
      </w:r>
      <w:hyperlink r:id="rId95" w:history="1">
        <w:r w:rsidR="00AF35E3" w:rsidRPr="00A54FC5">
          <w:rPr>
            <w:rStyle w:val="Hyperlink"/>
            <w:lang w:val="fr-CH"/>
          </w:rPr>
          <w:t xml:space="preserve">Manifestation nationale sur la protection en ligne des enfants, </w:t>
        </w:r>
        <w:r w:rsidR="00AF35E3" w:rsidRPr="00A54FC5">
          <w:rPr>
            <w:rStyle w:val="Hyperlink"/>
            <w:rFonts w:asciiTheme="minorHAnsi" w:hAnsiTheme="minorHAnsi"/>
            <w:szCs w:val="24"/>
            <w:lang w:val="fr-CH"/>
          </w:rPr>
          <w:t xml:space="preserve">la </w:t>
        </w:r>
        <w:r w:rsidR="00AF35E3" w:rsidRPr="00A54FC5">
          <w:rPr>
            <w:rStyle w:val="Hyperlink"/>
          </w:rPr>
          <w:t>Journée de sensibilisation à l'intention des enfants et des adolescents</w:t>
        </w:r>
      </w:hyperlink>
      <w:r w:rsidR="00AF35E3" w:rsidRPr="00367EB2">
        <w:rPr>
          <w:rFonts w:asciiTheme="minorHAnsi" w:hAnsiTheme="minorHAnsi"/>
          <w:szCs w:val="24"/>
          <w:lang w:val="fr-CH"/>
        </w:rPr>
        <w:t xml:space="preserve"> (</w:t>
      </w:r>
      <w:proofErr w:type="spellStart"/>
      <w:r w:rsidR="00AF35E3" w:rsidRPr="00367EB2">
        <w:rPr>
          <w:rFonts w:asciiTheme="minorHAnsi" w:hAnsiTheme="minorHAnsi"/>
          <w:szCs w:val="24"/>
          <w:lang w:val="fr-CH"/>
        </w:rPr>
        <w:t>Noto</w:t>
      </w:r>
      <w:proofErr w:type="spellEnd"/>
      <w:r w:rsidR="00AF35E3" w:rsidRPr="00367EB2">
        <w:rPr>
          <w:rFonts w:asciiTheme="minorHAnsi" w:hAnsiTheme="minorHAnsi"/>
          <w:szCs w:val="24"/>
          <w:lang w:val="fr-CH"/>
        </w:rPr>
        <w:t>,</w:t>
      </w:r>
      <w:r w:rsidR="0082281D">
        <w:rPr>
          <w:rFonts w:asciiTheme="minorHAnsi" w:hAnsiTheme="minorHAnsi"/>
          <w:szCs w:val="24"/>
          <w:lang w:val="fr-CH"/>
        </w:rPr>
        <w:t xml:space="preserve"> Italie</w:t>
      </w:r>
      <w:r>
        <w:rPr>
          <w:rFonts w:asciiTheme="minorHAnsi" w:hAnsiTheme="minorHAnsi"/>
          <w:szCs w:val="24"/>
          <w:lang w:val="fr-CH"/>
        </w:rPr>
        <w:t xml:space="preserve"> –</w:t>
      </w:r>
      <w:r w:rsidR="0082281D">
        <w:rPr>
          <w:rFonts w:asciiTheme="minorHAnsi" w:hAnsiTheme="minorHAnsi"/>
          <w:szCs w:val="24"/>
          <w:lang w:val="fr-CH"/>
        </w:rPr>
        <w:t xml:space="preserve"> mai 2019), </w:t>
      </w:r>
      <w:r w:rsidR="00AF35E3">
        <w:rPr>
          <w:rFonts w:asciiTheme="minorHAnsi" w:hAnsiTheme="minorHAnsi"/>
          <w:szCs w:val="24"/>
          <w:lang w:val="fr-CH"/>
        </w:rPr>
        <w:t xml:space="preserve">le </w:t>
      </w:r>
      <w:hyperlink r:id="rId96" w:history="1">
        <w:r w:rsidR="00AF35E3" w:rsidRPr="00A54FC5">
          <w:rPr>
            <w:rStyle w:val="Hyperlink"/>
          </w:rPr>
          <w:t>Forum sur les jeunes et le numérique</w:t>
        </w:r>
      </w:hyperlink>
      <w:r w:rsidR="00AF35E3" w:rsidRPr="00367EB2">
        <w:rPr>
          <w:rFonts w:asciiTheme="minorHAnsi" w:hAnsiTheme="minorHAnsi"/>
          <w:szCs w:val="24"/>
          <w:lang w:val="fr-CH"/>
        </w:rPr>
        <w:t xml:space="preserve"> (</w:t>
      </w:r>
      <w:r>
        <w:rPr>
          <w:rFonts w:asciiTheme="minorHAnsi" w:hAnsiTheme="minorHAnsi"/>
          <w:szCs w:val="24"/>
          <w:lang w:val="fr-CH"/>
        </w:rPr>
        <w:t>Varsovie, Pologne –</w:t>
      </w:r>
      <w:r w:rsidR="00AF35E3">
        <w:rPr>
          <w:rFonts w:asciiTheme="minorHAnsi" w:hAnsiTheme="minorHAnsi"/>
          <w:szCs w:val="24"/>
          <w:lang w:val="fr-CH"/>
        </w:rPr>
        <w:t xml:space="preserve"> mai 2018) , la </w:t>
      </w:r>
      <w:r w:rsidR="00AF35E3">
        <w:rPr>
          <w:color w:val="000000"/>
        </w:rPr>
        <w:t>Conférence internationale sur le thème "</w:t>
      </w:r>
      <w:hyperlink r:id="rId97" w:history="1">
        <w:r w:rsidR="00AF35E3" w:rsidRPr="00A54FC5">
          <w:rPr>
            <w:rStyle w:val="Hyperlink"/>
          </w:rPr>
          <w:t>Assurer la sécurité des enfants et des adolescents en ligne</w:t>
        </w:r>
      </w:hyperlink>
      <w:r w:rsidR="00AF35E3">
        <w:rPr>
          <w:rFonts w:asciiTheme="minorHAnsi" w:hAnsiTheme="minorHAnsi"/>
          <w:szCs w:val="24"/>
          <w:lang w:val="fr-CH"/>
        </w:rPr>
        <w:t xml:space="preserve"> </w:t>
      </w:r>
      <w:r w:rsidR="00AF35E3" w:rsidRPr="00367EB2">
        <w:rPr>
          <w:rFonts w:asciiTheme="minorHAnsi" w:hAnsiTheme="minorHAnsi"/>
          <w:szCs w:val="24"/>
          <w:lang w:val="fr-CH"/>
        </w:rPr>
        <w:t>" (</w:t>
      </w:r>
      <w:r>
        <w:rPr>
          <w:rFonts w:asciiTheme="minorHAnsi" w:hAnsiTheme="minorHAnsi"/>
          <w:szCs w:val="24"/>
          <w:lang w:val="fr-CH"/>
        </w:rPr>
        <w:t xml:space="preserve">Varsovie, Pologne – </w:t>
      </w:r>
      <w:r w:rsidR="00AF35E3">
        <w:rPr>
          <w:rFonts w:asciiTheme="minorHAnsi" w:hAnsiTheme="minorHAnsi"/>
          <w:szCs w:val="24"/>
          <w:lang w:val="fr-CH"/>
        </w:rPr>
        <w:t xml:space="preserve">septembre </w:t>
      </w:r>
      <w:r w:rsidR="00AF35E3" w:rsidRPr="00367EB2">
        <w:rPr>
          <w:rFonts w:asciiTheme="minorHAnsi" w:hAnsiTheme="minorHAnsi"/>
          <w:szCs w:val="24"/>
          <w:lang w:val="fr-CH"/>
        </w:rPr>
        <w:t>2018)</w:t>
      </w:r>
      <w:r w:rsidR="00AF35E3">
        <w:rPr>
          <w:rFonts w:asciiTheme="minorHAnsi" w:hAnsiTheme="minorHAnsi"/>
          <w:szCs w:val="24"/>
          <w:lang w:val="fr-CH"/>
        </w:rPr>
        <w:t xml:space="preserve"> et </w:t>
      </w:r>
      <w:r w:rsidR="00AF35E3">
        <w:rPr>
          <w:color w:val="000000"/>
        </w:rPr>
        <w:t xml:space="preserve">la </w:t>
      </w:r>
      <w:hyperlink r:id="rId98" w:history="1">
        <w:r w:rsidR="00AF35E3" w:rsidRPr="00A54FC5">
          <w:rPr>
            <w:rStyle w:val="Hyperlink"/>
          </w:rPr>
          <w:t xml:space="preserve">Journée </w:t>
        </w:r>
        <w:r w:rsidR="00AF35E3" w:rsidRPr="00A54FC5">
          <w:rPr>
            <w:rStyle w:val="Hyperlink"/>
            <w:rFonts w:asciiTheme="minorHAnsi" w:hAnsiTheme="minorHAnsi"/>
            <w:szCs w:val="24"/>
            <w:lang w:val="fr-CH"/>
          </w:rPr>
          <w:t xml:space="preserve">2019 </w:t>
        </w:r>
        <w:r w:rsidR="00AF35E3" w:rsidRPr="00A54FC5">
          <w:rPr>
            <w:rStyle w:val="Hyperlink"/>
          </w:rPr>
          <w:t>pour un Internet plus sûr</w:t>
        </w:r>
      </w:hyperlink>
      <w:r w:rsidR="00AF35E3">
        <w:rPr>
          <w:color w:val="000000"/>
        </w:rPr>
        <w:t xml:space="preserve"> </w:t>
      </w:r>
      <w:r w:rsidR="00AF35E3">
        <w:rPr>
          <w:rFonts w:asciiTheme="minorHAnsi" w:hAnsiTheme="minorHAnsi"/>
          <w:szCs w:val="24"/>
          <w:lang w:val="fr-CH"/>
        </w:rPr>
        <w:t>(Tirana, Albanie</w:t>
      </w:r>
      <w:r w:rsidR="00AF35E3" w:rsidRPr="00367EB2">
        <w:rPr>
          <w:rFonts w:asciiTheme="minorHAnsi" w:hAnsiTheme="minorHAnsi"/>
          <w:szCs w:val="24"/>
          <w:lang w:val="fr-CH"/>
        </w:rPr>
        <w:t xml:space="preserve"> –</w:t>
      </w:r>
      <w:r w:rsidR="0082281D">
        <w:rPr>
          <w:rFonts w:asciiTheme="minorHAnsi" w:hAnsiTheme="minorHAnsi"/>
          <w:szCs w:val="24"/>
          <w:lang w:val="fr-CH"/>
        </w:rPr>
        <w:t xml:space="preserve"> </w:t>
      </w:r>
      <w:r w:rsidR="00AF35E3">
        <w:rPr>
          <w:rFonts w:asciiTheme="minorHAnsi" w:hAnsiTheme="minorHAnsi"/>
          <w:szCs w:val="24"/>
          <w:lang w:val="fr-CH"/>
        </w:rPr>
        <w:t>février 2019</w:t>
      </w:r>
      <w:r w:rsidR="00AF35E3" w:rsidRPr="00367EB2">
        <w:rPr>
          <w:rFonts w:asciiTheme="minorHAnsi" w:hAnsiTheme="minorHAnsi"/>
          <w:szCs w:val="24"/>
          <w:lang w:val="fr-CH"/>
        </w:rPr>
        <w:t>).</w:t>
      </w:r>
    </w:p>
    <w:p w:rsidR="00AF35E3" w:rsidRPr="0040468E" w:rsidRDefault="0082281D" w:rsidP="0082281D">
      <w:pPr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7.3</w:t>
      </w:r>
      <w:r>
        <w:rPr>
          <w:rFonts w:asciiTheme="minorHAnsi" w:hAnsiTheme="minorHAnsi"/>
          <w:szCs w:val="24"/>
          <w:lang w:val="fr-CH"/>
        </w:rPr>
        <w:tab/>
        <w:t>E</w:t>
      </w:r>
      <w:r w:rsidR="00AF35E3" w:rsidRPr="0040468E">
        <w:rPr>
          <w:rFonts w:asciiTheme="minorHAnsi" w:hAnsiTheme="minorHAnsi"/>
          <w:szCs w:val="24"/>
          <w:lang w:val="fr-CH"/>
        </w:rPr>
        <w:t>n novembre</w:t>
      </w:r>
      <w:r w:rsidR="00AF35E3">
        <w:rPr>
          <w:rFonts w:asciiTheme="minorHAnsi" w:hAnsiTheme="minorHAnsi"/>
          <w:szCs w:val="24"/>
          <w:lang w:val="fr-CH"/>
        </w:rPr>
        <w:t xml:space="preserve"> </w:t>
      </w:r>
      <w:r w:rsidR="00AF35E3" w:rsidRPr="0040468E">
        <w:rPr>
          <w:rFonts w:asciiTheme="minorHAnsi" w:hAnsiTheme="minorHAnsi"/>
          <w:szCs w:val="24"/>
          <w:lang w:val="fr-CH"/>
        </w:rPr>
        <w:t>2018, l</w:t>
      </w:r>
      <w:r w:rsidR="00AF35E3">
        <w:rPr>
          <w:rFonts w:asciiTheme="minorHAnsi" w:hAnsiTheme="minorHAnsi"/>
          <w:szCs w:val="24"/>
          <w:lang w:val="fr-CH"/>
        </w:rPr>
        <w:t>'</w:t>
      </w:r>
      <w:r w:rsidR="00AF35E3" w:rsidRPr="0040468E">
        <w:rPr>
          <w:rFonts w:asciiTheme="minorHAnsi" w:hAnsiTheme="minorHAnsi"/>
          <w:szCs w:val="24"/>
          <w:lang w:val="fr-CH"/>
        </w:rPr>
        <w:t xml:space="preserve">UIT a aidé Kiribati et le Bhoutan </w:t>
      </w:r>
      <w:r>
        <w:rPr>
          <w:rFonts w:asciiTheme="minorHAnsi" w:hAnsiTheme="minorHAnsi"/>
          <w:szCs w:val="24"/>
          <w:lang w:val="fr-CH"/>
        </w:rPr>
        <w:t>à</w:t>
      </w:r>
      <w:r w:rsidR="00AF35E3" w:rsidRPr="0040468E">
        <w:rPr>
          <w:rFonts w:asciiTheme="minorHAnsi" w:hAnsiTheme="minorHAnsi"/>
          <w:szCs w:val="24"/>
          <w:lang w:val="fr-CH"/>
        </w:rPr>
        <w:t xml:space="preserve"> procéder à des évaluations de</w:t>
      </w:r>
      <w:r w:rsidR="00AF35E3">
        <w:rPr>
          <w:rFonts w:asciiTheme="minorHAnsi" w:hAnsiTheme="minorHAnsi"/>
          <w:szCs w:val="24"/>
          <w:lang w:val="fr-CH"/>
        </w:rPr>
        <w:t xml:space="preserve"> </w:t>
      </w:r>
      <w:r w:rsidR="00AF35E3" w:rsidRPr="0040468E">
        <w:rPr>
          <w:rFonts w:asciiTheme="minorHAnsi" w:hAnsiTheme="minorHAnsi"/>
          <w:szCs w:val="24"/>
          <w:lang w:val="fr-CH"/>
        </w:rPr>
        <w:t xml:space="preserve">la protection </w:t>
      </w:r>
      <w:r>
        <w:rPr>
          <w:rFonts w:asciiTheme="minorHAnsi" w:hAnsiTheme="minorHAnsi"/>
          <w:szCs w:val="24"/>
          <w:lang w:val="fr-CH"/>
        </w:rPr>
        <w:t xml:space="preserve">en </w:t>
      </w:r>
      <w:r w:rsidR="00AF35E3" w:rsidRPr="0040468E">
        <w:rPr>
          <w:rFonts w:asciiTheme="minorHAnsi" w:hAnsiTheme="minorHAnsi"/>
          <w:szCs w:val="24"/>
          <w:lang w:val="fr-CH"/>
        </w:rPr>
        <w:t>ligne des enfants. L</w:t>
      </w:r>
      <w:r w:rsidR="00AF35E3">
        <w:rPr>
          <w:rFonts w:asciiTheme="minorHAnsi" w:hAnsiTheme="minorHAnsi"/>
          <w:szCs w:val="24"/>
          <w:lang w:val="fr-CH"/>
        </w:rPr>
        <w:t>'</w:t>
      </w:r>
      <w:r w:rsidR="00AF35E3" w:rsidRPr="0040468E">
        <w:rPr>
          <w:rFonts w:asciiTheme="minorHAnsi" w:hAnsiTheme="minorHAnsi"/>
          <w:szCs w:val="24"/>
          <w:lang w:val="fr-CH"/>
        </w:rPr>
        <w:t>UIT a également</w:t>
      </w:r>
      <w:r>
        <w:rPr>
          <w:rFonts w:asciiTheme="minorHAnsi" w:hAnsiTheme="minorHAnsi"/>
          <w:szCs w:val="24"/>
          <w:lang w:val="fr-CH"/>
        </w:rPr>
        <w:t xml:space="preserve"> élaboré un document intitulé "</w:t>
      </w:r>
      <w:r w:rsidR="00AF35E3" w:rsidRPr="0040468E">
        <w:rPr>
          <w:rFonts w:asciiTheme="minorHAnsi" w:hAnsiTheme="minorHAnsi"/>
          <w:szCs w:val="24"/>
          <w:lang w:val="fr-CH"/>
        </w:rPr>
        <w:t>Améliorer les mesures de protection en ligne des enfants dans les pays</w:t>
      </w:r>
      <w:r w:rsidR="00AF35E3" w:rsidRPr="0040468E">
        <w:rPr>
          <w:color w:val="000000"/>
        </w:rPr>
        <w:t xml:space="preserve"> </w:t>
      </w:r>
      <w:r w:rsidR="00AF35E3">
        <w:rPr>
          <w:color w:val="000000"/>
        </w:rPr>
        <w:t>membres de l'ASEAN</w:t>
      </w:r>
      <w:r w:rsidR="00D067A8">
        <w:rPr>
          <w:rFonts w:asciiTheme="minorHAnsi" w:hAnsiTheme="minorHAnsi"/>
          <w:szCs w:val="24"/>
          <w:lang w:val="fr-CH"/>
        </w:rPr>
        <w:t>:</w:t>
      </w:r>
      <w:r w:rsidR="00AF35E3" w:rsidRPr="0040468E">
        <w:rPr>
          <w:rFonts w:asciiTheme="minorHAnsi" w:hAnsiTheme="minorHAnsi"/>
          <w:szCs w:val="24"/>
          <w:lang w:val="fr-CH"/>
        </w:rPr>
        <w:t xml:space="preserve"> </w:t>
      </w:r>
      <w:r w:rsidR="00AF35E3">
        <w:rPr>
          <w:color w:val="000000"/>
        </w:rPr>
        <w:t>Partenariats avec le secteur privé</w:t>
      </w:r>
      <w:r>
        <w:rPr>
          <w:rFonts w:asciiTheme="minorHAnsi" w:hAnsiTheme="minorHAnsi"/>
          <w:szCs w:val="24"/>
        </w:rPr>
        <w:t>"</w:t>
      </w:r>
      <w:r w:rsidR="00AF35E3" w:rsidRPr="0040468E">
        <w:rPr>
          <w:rFonts w:asciiTheme="minorHAnsi" w:hAnsiTheme="minorHAnsi"/>
          <w:szCs w:val="24"/>
          <w:lang w:val="fr-CH"/>
        </w:rPr>
        <w:t xml:space="preserve"> </w:t>
      </w:r>
      <w:r w:rsidR="00AF35E3">
        <w:rPr>
          <w:rFonts w:asciiTheme="minorHAnsi" w:hAnsiTheme="minorHAnsi"/>
          <w:szCs w:val="24"/>
          <w:lang w:val="fr-CH"/>
        </w:rPr>
        <w:t xml:space="preserve">et </w:t>
      </w:r>
      <w:r w:rsidR="00D44DDA">
        <w:rPr>
          <w:rFonts w:asciiTheme="minorHAnsi" w:hAnsiTheme="minorHAnsi"/>
          <w:szCs w:val="24"/>
          <w:lang w:val="fr-CH"/>
        </w:rPr>
        <w:t xml:space="preserve">conçu </w:t>
      </w:r>
      <w:hyperlink r:id="rId99" w:history="1">
        <w:r w:rsidR="00AF35E3" w:rsidRPr="00A00A99">
          <w:rPr>
            <w:rStyle w:val="Hyperlink"/>
            <w:rFonts w:asciiTheme="minorHAnsi" w:hAnsiTheme="minorHAnsi"/>
            <w:szCs w:val="24"/>
            <w:lang w:val="fr-CH"/>
          </w:rPr>
          <w:t xml:space="preserve">un </w:t>
        </w:r>
        <w:r w:rsidR="00AF35E3" w:rsidRPr="00A00A99">
          <w:rPr>
            <w:rStyle w:val="Hyperlink"/>
          </w:rPr>
          <w:t>environnement d'apprentissage virtuel</w:t>
        </w:r>
        <w:r w:rsidR="00AF35E3" w:rsidRPr="00A00A99">
          <w:rPr>
            <w:rStyle w:val="Hyperlink"/>
            <w:rFonts w:asciiTheme="minorHAnsi" w:hAnsiTheme="minorHAnsi"/>
            <w:szCs w:val="24"/>
            <w:lang w:val="fr-CH"/>
          </w:rPr>
          <w:t xml:space="preserve"> 3D </w:t>
        </w:r>
        <w:r w:rsidR="00AF35E3" w:rsidRPr="00A00A99">
          <w:rPr>
            <w:rStyle w:val="Hyperlink"/>
          </w:rPr>
          <w:t>multi-utilisateurs</w:t>
        </w:r>
      </w:hyperlink>
      <w:r w:rsidR="00AF35E3">
        <w:rPr>
          <w:color w:val="000000"/>
        </w:rPr>
        <w:t xml:space="preserve"> </w:t>
      </w:r>
      <w:r>
        <w:rPr>
          <w:color w:val="000000"/>
        </w:rPr>
        <w:t>pour sensibiliser</w:t>
      </w:r>
      <w:r w:rsidR="00AF35E3">
        <w:rPr>
          <w:color w:val="000000"/>
        </w:rPr>
        <w:t xml:space="preserve"> davantage l'opinion aux risques auxquels les enfants sont exposés sur l'Internet</w:t>
      </w:r>
      <w:r w:rsidR="00AF35E3" w:rsidRPr="0040468E">
        <w:rPr>
          <w:rFonts w:asciiTheme="minorHAnsi" w:hAnsiTheme="minorHAnsi"/>
          <w:szCs w:val="24"/>
          <w:lang w:val="fr-CH"/>
        </w:rPr>
        <w:t>.</w:t>
      </w:r>
    </w:p>
    <w:p w:rsidR="00520F36" w:rsidRDefault="00AF35E3" w:rsidP="0082281D">
      <w:pPr>
        <w:rPr>
          <w:color w:val="000000"/>
        </w:rPr>
      </w:pPr>
      <w:r w:rsidRPr="0040468E">
        <w:rPr>
          <w:rFonts w:asciiTheme="minorHAnsi" w:hAnsiTheme="minorHAnsi"/>
          <w:szCs w:val="24"/>
          <w:lang w:val="fr-CH"/>
        </w:rPr>
        <w:t>7.4</w:t>
      </w:r>
      <w:r w:rsidRPr="0040468E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L'</w:t>
      </w:r>
      <w:r w:rsidRPr="0040468E">
        <w:rPr>
          <w:rFonts w:asciiTheme="minorHAnsi" w:hAnsiTheme="minorHAnsi"/>
          <w:szCs w:val="24"/>
          <w:lang w:val="fr-CH"/>
        </w:rPr>
        <w:t>UIT a organisé diverses</w:t>
      </w:r>
      <w:r>
        <w:rPr>
          <w:rFonts w:asciiTheme="minorHAnsi" w:hAnsiTheme="minorHAnsi"/>
          <w:szCs w:val="24"/>
          <w:lang w:val="fr-CH"/>
        </w:rPr>
        <w:t xml:space="preserve"> </w:t>
      </w:r>
      <w:r w:rsidRPr="0040468E">
        <w:rPr>
          <w:rFonts w:asciiTheme="minorHAnsi" w:hAnsiTheme="minorHAnsi"/>
          <w:szCs w:val="24"/>
          <w:lang w:val="fr-CH"/>
        </w:rPr>
        <w:t>activités dans le cadre de</w:t>
      </w:r>
      <w:r>
        <w:rPr>
          <w:rFonts w:asciiTheme="minorHAnsi" w:hAnsiTheme="minorHAnsi"/>
          <w:szCs w:val="24"/>
          <w:lang w:val="fr-CH"/>
        </w:rPr>
        <w:t xml:space="preserve"> </w:t>
      </w:r>
      <w:r w:rsidRPr="0040468E">
        <w:rPr>
          <w:color w:val="000000"/>
          <w:lang w:val="fr-CH"/>
        </w:rPr>
        <w:t xml:space="preserve">la Journée </w:t>
      </w:r>
      <w:r w:rsidRPr="0040468E">
        <w:rPr>
          <w:rFonts w:asciiTheme="minorHAnsi" w:hAnsiTheme="minorHAnsi"/>
          <w:szCs w:val="24"/>
          <w:lang w:val="fr-CH"/>
        </w:rPr>
        <w:t xml:space="preserve">2019 </w:t>
      </w:r>
      <w:r w:rsidRPr="0040468E">
        <w:rPr>
          <w:color w:val="000000"/>
          <w:lang w:val="fr-CH"/>
        </w:rPr>
        <w:t>pour un Internet plus sûr</w:t>
      </w:r>
      <w:r>
        <w:rPr>
          <w:rFonts w:asciiTheme="minorHAnsi" w:hAnsiTheme="minorHAnsi"/>
          <w:szCs w:val="24"/>
          <w:lang w:val="fr-CH"/>
        </w:rPr>
        <w:t xml:space="preserve"> et s'est notamment employée à </w:t>
      </w:r>
      <w:r>
        <w:rPr>
          <w:color w:val="000000"/>
        </w:rPr>
        <w:t>promouvoir la protection en ligne des enfants.</w:t>
      </w:r>
    </w:p>
    <w:p w:rsidR="00AF35E3" w:rsidRPr="00CA08ED" w:rsidRDefault="00AF35E3" w:rsidP="00126A8E">
      <w:pPr>
        <w:spacing w:before="840"/>
        <w:jc w:val="center"/>
      </w:pPr>
      <w:r>
        <w:t>______________</w:t>
      </w:r>
    </w:p>
    <w:sectPr w:rsidR="00AF35E3" w:rsidRPr="00CA08ED" w:rsidSect="005C3890">
      <w:headerReference w:type="even" r:id="rId100"/>
      <w:headerReference w:type="default" r:id="rId101"/>
      <w:footerReference w:type="even" r:id="rId102"/>
      <w:footerReference w:type="default" r:id="rId103"/>
      <w:footerReference w:type="first" r:id="rId10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E3" w:rsidRDefault="00AF35E3">
      <w:r>
        <w:separator/>
      </w:r>
    </w:p>
  </w:endnote>
  <w:endnote w:type="continuationSeparator" w:id="0">
    <w:p w:rsidR="00AF35E3" w:rsidRDefault="00AF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E3" w:rsidRDefault="007C25BC">
    <w:pPr>
      <w:pStyle w:val="Footer"/>
    </w:pPr>
    <w:fldSimple w:instr=" FILENAME \p \* MERGEFORMAT ">
      <w:r>
        <w:t>P:\FRA\SG\CONSEIL\C19\000\018F.docx</w:t>
      </w:r>
    </w:fldSimple>
    <w:r w:rsidR="00AF35E3">
      <w:tab/>
    </w:r>
    <w:r w:rsidR="00AF35E3">
      <w:fldChar w:fldCharType="begin"/>
    </w:r>
    <w:r w:rsidR="00AF35E3">
      <w:instrText xml:space="preserve"> savedate \@ dd.MM.yy </w:instrText>
    </w:r>
    <w:r w:rsidR="00AF35E3">
      <w:fldChar w:fldCharType="separate"/>
    </w:r>
    <w:r w:rsidR="00126A8E">
      <w:t>02.05.19</w:t>
    </w:r>
    <w:r w:rsidR="00AF35E3">
      <w:fldChar w:fldCharType="end"/>
    </w:r>
    <w:r w:rsidR="00AF35E3">
      <w:tab/>
    </w:r>
    <w:r w:rsidR="00AF35E3">
      <w:fldChar w:fldCharType="begin"/>
    </w:r>
    <w:r w:rsidR="00AF35E3">
      <w:instrText xml:space="preserve"> printdate \@ dd.MM.yy </w:instrText>
    </w:r>
    <w:r w:rsidR="00AF35E3">
      <w:fldChar w:fldCharType="separate"/>
    </w:r>
    <w:r>
      <w:t>18.07.00</w:t>
    </w:r>
    <w:r w:rsidR="00AF35E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E3" w:rsidRPr="00126A8E" w:rsidRDefault="007C25BC">
    <w:pPr>
      <w:pStyle w:val="Footer"/>
      <w:rPr>
        <w:color w:val="D9D9D9" w:themeColor="background1" w:themeShade="D9"/>
      </w:rPr>
    </w:pPr>
    <w:r w:rsidRPr="00126A8E">
      <w:rPr>
        <w:color w:val="D9D9D9" w:themeColor="background1" w:themeShade="D9"/>
      </w:rPr>
      <w:fldChar w:fldCharType="begin"/>
    </w:r>
    <w:r w:rsidRPr="00126A8E">
      <w:rPr>
        <w:color w:val="D9D9D9" w:themeColor="background1" w:themeShade="D9"/>
      </w:rPr>
      <w:instrText xml:space="preserve"> FILENAME \p \* MERGEFORMAT </w:instrText>
    </w:r>
    <w:r w:rsidRPr="00126A8E">
      <w:rPr>
        <w:color w:val="D9D9D9" w:themeColor="background1" w:themeShade="D9"/>
      </w:rPr>
      <w:fldChar w:fldCharType="separate"/>
    </w:r>
    <w:r w:rsidRPr="00126A8E">
      <w:rPr>
        <w:color w:val="D9D9D9" w:themeColor="background1" w:themeShade="D9"/>
      </w:rPr>
      <w:t>P:\FRA\SG\CONSEIL\C19\000\018F.docx</w:t>
    </w:r>
    <w:r w:rsidRPr="00126A8E">
      <w:rPr>
        <w:color w:val="D9D9D9" w:themeColor="background1" w:themeShade="D9"/>
      </w:rPr>
      <w:fldChar w:fldCharType="end"/>
    </w:r>
    <w:r w:rsidR="00AF35E3" w:rsidRPr="00126A8E">
      <w:rPr>
        <w:color w:val="D9D9D9" w:themeColor="background1" w:themeShade="D9"/>
      </w:rPr>
      <w:t xml:space="preserve"> (450228)</w:t>
    </w:r>
    <w:r w:rsidR="00AF35E3" w:rsidRPr="00126A8E">
      <w:rPr>
        <w:color w:val="D9D9D9" w:themeColor="background1" w:themeShade="D9"/>
      </w:rPr>
      <w:tab/>
    </w:r>
    <w:r w:rsidR="00AF35E3" w:rsidRPr="00126A8E">
      <w:rPr>
        <w:color w:val="D9D9D9" w:themeColor="background1" w:themeShade="D9"/>
      </w:rPr>
      <w:fldChar w:fldCharType="begin"/>
    </w:r>
    <w:r w:rsidR="00AF35E3" w:rsidRPr="00126A8E">
      <w:rPr>
        <w:color w:val="D9D9D9" w:themeColor="background1" w:themeShade="D9"/>
      </w:rPr>
      <w:instrText xml:space="preserve"> savedate \@ dd.MM.yy </w:instrText>
    </w:r>
    <w:r w:rsidR="00AF35E3" w:rsidRPr="00126A8E">
      <w:rPr>
        <w:color w:val="D9D9D9" w:themeColor="background1" w:themeShade="D9"/>
      </w:rPr>
      <w:fldChar w:fldCharType="separate"/>
    </w:r>
    <w:r w:rsidR="00126A8E" w:rsidRPr="00126A8E">
      <w:rPr>
        <w:color w:val="D9D9D9" w:themeColor="background1" w:themeShade="D9"/>
      </w:rPr>
      <w:t>02.05.19</w:t>
    </w:r>
    <w:r w:rsidR="00AF35E3" w:rsidRPr="00126A8E">
      <w:rPr>
        <w:color w:val="D9D9D9" w:themeColor="background1" w:themeShade="D9"/>
      </w:rPr>
      <w:fldChar w:fldCharType="end"/>
    </w:r>
    <w:r w:rsidR="00AF35E3" w:rsidRPr="00126A8E">
      <w:rPr>
        <w:color w:val="D9D9D9" w:themeColor="background1" w:themeShade="D9"/>
      </w:rPr>
      <w:tab/>
    </w:r>
    <w:r w:rsidR="00AF35E3" w:rsidRPr="00126A8E">
      <w:rPr>
        <w:color w:val="D9D9D9" w:themeColor="background1" w:themeShade="D9"/>
      </w:rPr>
      <w:fldChar w:fldCharType="begin"/>
    </w:r>
    <w:r w:rsidR="00AF35E3" w:rsidRPr="00126A8E">
      <w:rPr>
        <w:color w:val="D9D9D9" w:themeColor="background1" w:themeShade="D9"/>
      </w:rPr>
      <w:instrText xml:space="preserve"> printdate \@ dd.MM.yy </w:instrText>
    </w:r>
    <w:r w:rsidR="00AF35E3" w:rsidRPr="00126A8E">
      <w:rPr>
        <w:color w:val="D9D9D9" w:themeColor="background1" w:themeShade="D9"/>
      </w:rPr>
      <w:fldChar w:fldCharType="separate"/>
    </w:r>
    <w:r w:rsidRPr="00126A8E">
      <w:rPr>
        <w:color w:val="D9D9D9" w:themeColor="background1" w:themeShade="D9"/>
      </w:rPr>
      <w:t>18.07.00</w:t>
    </w:r>
    <w:r w:rsidR="00AF35E3" w:rsidRPr="00126A8E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E3" w:rsidRDefault="00AF35E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E3" w:rsidRDefault="00AF35E3">
      <w:r>
        <w:t>____________________</w:t>
      </w:r>
    </w:p>
  </w:footnote>
  <w:footnote w:type="continuationSeparator" w:id="0">
    <w:p w:rsidR="00AF35E3" w:rsidRDefault="00AF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E3" w:rsidRDefault="00AF35E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AF35E3" w:rsidRDefault="00AF35E3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E3" w:rsidRDefault="00AF35E3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A0E60">
      <w:rPr>
        <w:noProof/>
      </w:rPr>
      <w:t>2</w:t>
    </w:r>
    <w:r>
      <w:rPr>
        <w:noProof/>
      </w:rPr>
      <w:fldChar w:fldCharType="end"/>
    </w:r>
  </w:p>
  <w:p w:rsidR="00AF35E3" w:rsidRDefault="00AF35E3" w:rsidP="00AF35E3">
    <w:pPr>
      <w:pStyle w:val="Header"/>
    </w:pPr>
    <w:r>
      <w:t>C19/18-F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561"/>
    <w:multiLevelType w:val="hybridMultilevel"/>
    <w:tmpl w:val="C8142D46"/>
    <w:lvl w:ilvl="0" w:tplc="328EE32C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B04C0448">
      <w:start w:val="1"/>
      <w:numFmt w:val="lowerLetter"/>
      <w:lvlText w:val="%2."/>
      <w:lvlJc w:val="left"/>
      <w:pPr>
        <w:ind w:left="2861" w:hanging="360"/>
      </w:pPr>
    </w:lvl>
    <w:lvl w:ilvl="2" w:tplc="89224D32" w:tentative="1">
      <w:start w:val="1"/>
      <w:numFmt w:val="lowerRoman"/>
      <w:lvlText w:val="%3."/>
      <w:lvlJc w:val="right"/>
      <w:pPr>
        <w:ind w:left="3581" w:hanging="180"/>
      </w:pPr>
    </w:lvl>
    <w:lvl w:ilvl="3" w:tplc="ECE4650A" w:tentative="1">
      <w:start w:val="1"/>
      <w:numFmt w:val="decimal"/>
      <w:lvlText w:val="%4."/>
      <w:lvlJc w:val="left"/>
      <w:pPr>
        <w:ind w:left="4301" w:hanging="360"/>
      </w:pPr>
    </w:lvl>
    <w:lvl w:ilvl="4" w:tplc="C576BC8E" w:tentative="1">
      <w:start w:val="1"/>
      <w:numFmt w:val="lowerLetter"/>
      <w:lvlText w:val="%5."/>
      <w:lvlJc w:val="left"/>
      <w:pPr>
        <w:ind w:left="5021" w:hanging="360"/>
      </w:pPr>
    </w:lvl>
    <w:lvl w:ilvl="5" w:tplc="097EA496" w:tentative="1">
      <w:start w:val="1"/>
      <w:numFmt w:val="lowerRoman"/>
      <w:lvlText w:val="%6."/>
      <w:lvlJc w:val="right"/>
      <w:pPr>
        <w:ind w:left="5741" w:hanging="180"/>
      </w:pPr>
    </w:lvl>
    <w:lvl w:ilvl="6" w:tplc="94D4FA54" w:tentative="1">
      <w:start w:val="1"/>
      <w:numFmt w:val="decimal"/>
      <w:lvlText w:val="%7."/>
      <w:lvlJc w:val="left"/>
      <w:pPr>
        <w:ind w:left="6461" w:hanging="360"/>
      </w:pPr>
    </w:lvl>
    <w:lvl w:ilvl="7" w:tplc="0308B2AC" w:tentative="1">
      <w:start w:val="1"/>
      <w:numFmt w:val="lowerLetter"/>
      <w:lvlText w:val="%8."/>
      <w:lvlJc w:val="left"/>
      <w:pPr>
        <w:ind w:left="7181" w:hanging="360"/>
      </w:pPr>
    </w:lvl>
    <w:lvl w:ilvl="8" w:tplc="F3BAAD0E" w:tentative="1">
      <w:start w:val="1"/>
      <w:numFmt w:val="lowerRoman"/>
      <w:lvlText w:val="%9."/>
      <w:lvlJc w:val="right"/>
      <w:pPr>
        <w:ind w:left="7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63"/>
    <w:rsid w:val="0004669D"/>
    <w:rsid w:val="000D0D0A"/>
    <w:rsid w:val="00103163"/>
    <w:rsid w:val="00106B19"/>
    <w:rsid w:val="00115D93"/>
    <w:rsid w:val="001247A8"/>
    <w:rsid w:val="00126A8E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3C5FFF"/>
    <w:rsid w:val="004038CB"/>
    <w:rsid w:val="0040478F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1746F"/>
    <w:rsid w:val="006235CA"/>
    <w:rsid w:val="00656F45"/>
    <w:rsid w:val="006643AB"/>
    <w:rsid w:val="007210CD"/>
    <w:rsid w:val="00732045"/>
    <w:rsid w:val="007369DB"/>
    <w:rsid w:val="00743304"/>
    <w:rsid w:val="007956C2"/>
    <w:rsid w:val="007A187E"/>
    <w:rsid w:val="007C25BC"/>
    <w:rsid w:val="007C72C2"/>
    <w:rsid w:val="007D4436"/>
    <w:rsid w:val="007F257A"/>
    <w:rsid w:val="007F3665"/>
    <w:rsid w:val="00800037"/>
    <w:rsid w:val="0082281D"/>
    <w:rsid w:val="00861D73"/>
    <w:rsid w:val="008A0E60"/>
    <w:rsid w:val="008A3E1B"/>
    <w:rsid w:val="008A4E87"/>
    <w:rsid w:val="008D76E6"/>
    <w:rsid w:val="0092392D"/>
    <w:rsid w:val="0093234A"/>
    <w:rsid w:val="009C307F"/>
    <w:rsid w:val="009D610E"/>
    <w:rsid w:val="00A00A99"/>
    <w:rsid w:val="00A2113E"/>
    <w:rsid w:val="00A23A51"/>
    <w:rsid w:val="00A24607"/>
    <w:rsid w:val="00A25CD3"/>
    <w:rsid w:val="00A54FC5"/>
    <w:rsid w:val="00A82767"/>
    <w:rsid w:val="00AA332F"/>
    <w:rsid w:val="00AA7BBB"/>
    <w:rsid w:val="00AB64A8"/>
    <w:rsid w:val="00AC0266"/>
    <w:rsid w:val="00AC3B63"/>
    <w:rsid w:val="00AD24EC"/>
    <w:rsid w:val="00AF35E3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00C3C"/>
    <w:rsid w:val="00D067A8"/>
    <w:rsid w:val="00D375CD"/>
    <w:rsid w:val="00D44DDA"/>
    <w:rsid w:val="00D553A2"/>
    <w:rsid w:val="00D774D3"/>
    <w:rsid w:val="00D812A9"/>
    <w:rsid w:val="00D904E8"/>
    <w:rsid w:val="00DA08C3"/>
    <w:rsid w:val="00DB5A3E"/>
    <w:rsid w:val="00DC22AA"/>
    <w:rsid w:val="00DF74DD"/>
    <w:rsid w:val="00E25AD0"/>
    <w:rsid w:val="00E83D37"/>
    <w:rsid w:val="00EB6350"/>
    <w:rsid w:val="00F12A59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AB9B298-A089-435C-AA4E-B1E70D45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WSIS">
    <w:name w:val="normal WSIS"/>
    <w:basedOn w:val="ListParagraph"/>
    <w:link w:val="normalWSISChar"/>
    <w:qFormat/>
    <w:rsid w:val="00AF35E3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AF35E3"/>
    <w:rPr>
      <w:rFonts w:ascii="Calibri" w:eastAsia="SimSun" w:hAnsi="Calibri" w:cs="Arial"/>
      <w:sz w:val="22"/>
      <w:szCs w:val="22"/>
    </w:rPr>
  </w:style>
  <w:style w:type="character" w:customStyle="1" w:styleId="enumlev1Char">
    <w:name w:val="enumlev1 Char"/>
    <w:basedOn w:val="DefaultParagraphFont"/>
    <w:link w:val="enumlev1"/>
    <w:rsid w:val="00AF35E3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F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05-CL-INF-0010/en" TargetMode="External"/><Relationship Id="rId21" Type="http://schemas.openxmlformats.org/officeDocument/2006/relationships/hyperlink" Target="https://www.itu.int/pub/T-RES-T.50-2016" TargetMode="External"/><Relationship Id="rId42" Type="http://schemas.openxmlformats.org/officeDocument/2006/relationships/hyperlink" Target="http://www.itu.int/ITU-T/studygroups/com17/" TargetMode="External"/><Relationship Id="rId47" Type="http://schemas.openxmlformats.org/officeDocument/2006/relationships/hyperlink" Target="https://www.itu.int/ITU-T/recommendations/rec.aspx?rec=13872&amp;lang=fr" TargetMode="External"/><Relationship Id="rId63" Type="http://schemas.openxmlformats.org/officeDocument/2006/relationships/hyperlink" Target="https://www.itu.int/ITU-T/recommendations/rec.aspx?id=13411&amp;lang=fr" TargetMode="External"/><Relationship Id="rId68" Type="http://schemas.openxmlformats.org/officeDocument/2006/relationships/hyperlink" Target="https://www.itu.int/en/ITU-T/Workshops-and-Seminars/20180319/Pages/default.aspx" TargetMode="External"/><Relationship Id="rId84" Type="http://schemas.openxmlformats.org/officeDocument/2006/relationships/hyperlink" Target="https://www.itu.int/en/ITU-D/Regional-Presence/AsiaPacific/Pages/Events/2018/CybersecurityASPCOE/cybersecurity.aspx" TargetMode="External"/><Relationship Id="rId89" Type="http://schemas.openxmlformats.org/officeDocument/2006/relationships/hyperlink" Target="https://www.itu.int/net4/wsis/forum/201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en/ITU-T/studygroups/2017-2020/17/Pages/Secure%20quantum%20communication.aspx" TargetMode="External"/><Relationship Id="rId92" Type="http://schemas.openxmlformats.org/officeDocument/2006/relationships/hyperlink" Target="https://www.itu.int/en/ITU-D/Regional-Presence/Europe/Pages/Events/2018/CERT-ROForum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5-CL-C-0109/en" TargetMode="External"/><Relationship Id="rId29" Type="http://schemas.openxmlformats.org/officeDocument/2006/relationships/hyperlink" Target="http://www.itu.int/md/S08-CL-C-0033/en" TargetMode="External"/><Relationship Id="rId11" Type="http://schemas.openxmlformats.org/officeDocument/2006/relationships/hyperlink" Target="https://www.itu.int/en/council/2019/Documents/basic-texts/RES-140-F.pdf" TargetMode="External"/><Relationship Id="rId24" Type="http://schemas.openxmlformats.org/officeDocument/2006/relationships/hyperlink" Target="https://www.itu.int/pub/T-RES-T.58-2016" TargetMode="External"/><Relationship Id="rId32" Type="http://schemas.openxmlformats.org/officeDocument/2006/relationships/hyperlink" Target="http://www.itu.int/md/S11-CL-C-0054/en" TargetMode="External"/><Relationship Id="rId37" Type="http://schemas.openxmlformats.org/officeDocument/2006/relationships/hyperlink" Target="https://www.itu.int/md/S16-CL-C-0018/en" TargetMode="External"/><Relationship Id="rId40" Type="http://schemas.openxmlformats.org/officeDocument/2006/relationships/hyperlink" Target="http://www.itu.int/en/action/cybersecurity/Pages/gca.aspx" TargetMode="External"/><Relationship Id="rId45" Type="http://schemas.openxmlformats.org/officeDocument/2006/relationships/hyperlink" Target="https://www.itu.int/ITU-T/recommendations/rec.aspx?rec=13603&amp;lang=fr" TargetMode="External"/><Relationship Id="rId53" Type="http://schemas.openxmlformats.org/officeDocument/2006/relationships/hyperlink" Target="https://www.itu.int/ITU-T/recommendations/rec.aspx?rec=13605&amp;lang=fr" TargetMode="External"/><Relationship Id="rId58" Type="http://schemas.openxmlformats.org/officeDocument/2006/relationships/hyperlink" Target="https://www.itu.int/ITU-T/recommendations/rec.aspx?rec=13607&amp;lang=fr" TargetMode="External"/><Relationship Id="rId66" Type="http://schemas.openxmlformats.org/officeDocument/2006/relationships/hyperlink" Target="https://www.itu.int/ITU-T/recommendations/rec.aspx?id=13869&amp;lang=fr" TargetMode="External"/><Relationship Id="rId74" Type="http://schemas.openxmlformats.org/officeDocument/2006/relationships/hyperlink" Target="https://www.itu.int/en/ITU-D/Cybersecurity/Pages/IvoryCoastcyberdrill2018.aspx" TargetMode="External"/><Relationship Id="rId79" Type="http://schemas.openxmlformats.org/officeDocument/2006/relationships/hyperlink" Target="https://www.itu.int/en/ITU-D/Regional-Presence/Europe/Pages/Events/2019/CyberDrill/ITU-Cyber-Drill-for-Europe-Region-.aspx" TargetMode="External"/><Relationship Id="rId87" Type="http://schemas.openxmlformats.org/officeDocument/2006/relationships/hyperlink" Target="http://www.itu.int/en/ITU-D/Cybersecurity/Pages/partnership.aspx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TU-T/recommendations/rec.aspx?id=13730&amp;lang=fr" TargetMode="External"/><Relationship Id="rId82" Type="http://schemas.openxmlformats.org/officeDocument/2006/relationships/hyperlink" Target="https://www.itu.int/net4/ITU-D/CDS/sg/rgqlist.asp?lg=2&amp;sp=2014&amp;rgq=D14-SG02-RGQ03.2&amp;stg=2" TargetMode="External"/><Relationship Id="rId90" Type="http://schemas.openxmlformats.org/officeDocument/2006/relationships/hyperlink" Target="https://www.itu.int/net4/ITU-D/CDS/GSR/2018/default.asp" TargetMode="External"/><Relationship Id="rId95" Type="http://schemas.openxmlformats.org/officeDocument/2006/relationships/hyperlink" Target="https://www.itu.int/en/ITU-D/Regional-Presence/Europe/Pages/Events/2018/NECOP/default.aspxhttps:/www.itu.int/en/ITU-D/Regional-Presence/Europe/Pages/Events/2018/NECOP/default.aspx" TargetMode="External"/><Relationship Id="rId19" Type="http://schemas.openxmlformats.org/officeDocument/2006/relationships/hyperlink" Target="https://www.itu.int/md/D14-WTDC17-C-0115/en" TargetMode="External"/><Relationship Id="rId14" Type="http://schemas.openxmlformats.org/officeDocument/2006/relationships/hyperlink" Target="https://www.itu.int/en/council/2019/Documents/basic-texts/RES-181-F.pdf" TargetMode="External"/><Relationship Id="rId22" Type="http://schemas.openxmlformats.org/officeDocument/2006/relationships/hyperlink" Target="https://www.itu.int/pub/T-RES-T.52-2016" TargetMode="External"/><Relationship Id="rId27" Type="http://schemas.openxmlformats.org/officeDocument/2006/relationships/hyperlink" Target="http://www.itu.int/md/S06-CL-C-0004/en" TargetMode="External"/><Relationship Id="rId30" Type="http://schemas.openxmlformats.org/officeDocument/2006/relationships/hyperlink" Target="http://www.itu.int/md/S09-CL-C-0050/en" TargetMode="External"/><Relationship Id="rId35" Type="http://schemas.openxmlformats.org/officeDocument/2006/relationships/hyperlink" Target="http://www.itu.int/md/S14-CL-C-0023/en" TargetMode="External"/><Relationship Id="rId43" Type="http://schemas.openxmlformats.org/officeDocument/2006/relationships/hyperlink" Target="https://www.itu.int/itu-t/workprog/wp_search.aspx?sg=17" TargetMode="External"/><Relationship Id="rId48" Type="http://schemas.openxmlformats.org/officeDocument/2006/relationships/hyperlink" Target="https://www.itu.int/ITU-T/recommendations/rec.aspx?rec=13725" TargetMode="External"/><Relationship Id="rId56" Type="http://schemas.openxmlformats.org/officeDocument/2006/relationships/hyperlink" Target="https://www.itu.int/ITU-T/recommendations/rec.aspx?rec=13728&amp;lang=fr" TargetMode="External"/><Relationship Id="rId64" Type="http://schemas.openxmlformats.org/officeDocument/2006/relationships/hyperlink" Target="https://www.itu.int/ITU-T/recommendations/rec.aspx?id=13593&amp;lang=fr" TargetMode="External"/><Relationship Id="rId69" Type="http://schemas.openxmlformats.org/officeDocument/2006/relationships/hyperlink" Target="https://www.itu.int/en/ITU-T/Workshops-and-Seminars/20180828/Pages/default.aspx" TargetMode="External"/><Relationship Id="rId77" Type="http://schemas.openxmlformats.org/officeDocument/2006/relationships/hyperlink" Target="https://www.itu.int/en/ITU-D/Regional-Presence/Europe/Pages/Events/2018/CYBDRILL/ITU-ALERT-Cyber-drill.aspx" TargetMode="External"/><Relationship Id="rId100" Type="http://schemas.openxmlformats.org/officeDocument/2006/relationships/header" Target="header1.xm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itu.int/ITU-T/recommendations/rec.aspx?rec=13404&amp;lang=fr" TargetMode="External"/><Relationship Id="rId72" Type="http://schemas.openxmlformats.org/officeDocument/2006/relationships/hyperlink" Target="http://www.itu.int/en/ITU-D/Cybersecurity/Pages/Organizational-Structures.aspx" TargetMode="External"/><Relationship Id="rId80" Type="http://schemas.openxmlformats.org/officeDocument/2006/relationships/hyperlink" Target="https://www.itu.int/dms_pub/itu-d/opb/str/D-STR-CYB_GUIDE.01-2018-PDF-E.pdf" TargetMode="External"/><Relationship Id="rId85" Type="http://schemas.openxmlformats.org/officeDocument/2006/relationships/hyperlink" Target="https://www.itu.int/en/ITU-D/Cybersecurity/Pages/global-cybersecurity-index.aspx" TargetMode="External"/><Relationship Id="rId93" Type="http://schemas.openxmlformats.org/officeDocument/2006/relationships/hyperlink" Target="https://www.itu.int/en/ITU-D/Regional-Presence/Europe/Pages/Events/2018/CYBCONGR/Second-Western-European-Cybersecurity-Public-Private-Dialogue-Platform.aspx" TargetMode="External"/><Relationship Id="rId98" Type="http://schemas.openxmlformats.org/officeDocument/2006/relationships/hyperlink" Target="https://www.itu.int/en/ITU-D/Regional-Presence/Europe/Pages/Events/2019/SID/Safer-Internet-Day-2019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council/2019/Documents/basic-texts/RES-174-F.pdf" TargetMode="External"/><Relationship Id="rId17" Type="http://schemas.openxmlformats.org/officeDocument/2006/relationships/hyperlink" Target="http://www.itu.int/en/ITU-D/Cybersecurity/Documents/45revDubai.pdf" TargetMode="External"/><Relationship Id="rId25" Type="http://schemas.openxmlformats.org/officeDocument/2006/relationships/hyperlink" Target="http://www.itu.int/md/S05-CL-C-0032/en" TargetMode="External"/><Relationship Id="rId33" Type="http://schemas.openxmlformats.org/officeDocument/2006/relationships/hyperlink" Target="http://www.itu.int/md/S12-CL-C-0029/en" TargetMode="External"/><Relationship Id="rId38" Type="http://schemas.openxmlformats.org/officeDocument/2006/relationships/hyperlink" Target="https://www.itu.int/md/S17-CL-C-0018/en" TargetMode="External"/><Relationship Id="rId46" Type="http://schemas.openxmlformats.org/officeDocument/2006/relationships/hyperlink" Target="https://www.itu.int/ITU-T/recommendations/rec.aspx?rec=13803&amp;lang=fr" TargetMode="External"/><Relationship Id="rId59" Type="http://schemas.openxmlformats.org/officeDocument/2006/relationships/hyperlink" Target="https://www.itu.int/ITU-T/recommendations/rec.aspx?rec=13729&amp;lang=fr" TargetMode="External"/><Relationship Id="rId67" Type="http://schemas.openxmlformats.org/officeDocument/2006/relationships/hyperlink" Target="https://www.itu.int/en/ITU-T/studygroups/2017-2020/17/sg17rgarb/Pages/default.aspx" TargetMode="External"/><Relationship Id="rId103" Type="http://schemas.openxmlformats.org/officeDocument/2006/relationships/footer" Target="footer2.xml"/><Relationship Id="rId20" Type="http://schemas.openxmlformats.org/officeDocument/2006/relationships/hyperlink" Target="http://www.itu.int/osg/csd/intgov/resoultions_2010/programme2.pdf" TargetMode="External"/><Relationship Id="rId41" Type="http://schemas.openxmlformats.org/officeDocument/2006/relationships/hyperlink" Target="http://www.itu.int/en/ITU-D/Cybersecurity/Pages/Legal-Measures.aspx" TargetMode="External"/><Relationship Id="rId54" Type="http://schemas.openxmlformats.org/officeDocument/2006/relationships/hyperlink" Target="https://www.itu.int/ITU-T/recommendations/rec.aspx?rec=13606&amp;lang=fr" TargetMode="External"/><Relationship Id="rId62" Type="http://schemas.openxmlformats.org/officeDocument/2006/relationships/hyperlink" Target="https://www.itu.int/ITU-T/recommendations/rec.aspx?id=13410&amp;lang=fr" TargetMode="External"/><Relationship Id="rId70" Type="http://schemas.openxmlformats.org/officeDocument/2006/relationships/hyperlink" Target="https://www.itu.int/en/ITU-T/Workshops-and-Seminars/20190121/Pages/committee.aspx" TargetMode="External"/><Relationship Id="rId75" Type="http://schemas.openxmlformats.org/officeDocument/2006/relationships/hyperlink" Target="https://www.itu.int/en/ITU-D/Regional-Presence/Americas/Pages/EVENTS/2018/20577.aspx" TargetMode="External"/><Relationship Id="rId83" Type="http://schemas.openxmlformats.org/officeDocument/2006/relationships/hyperlink" Target="https://www.itu.int/en/ITU-D/Regional-Presence/ArabStates/Pages/Events/2018/Cyber/Cyber.aspx" TargetMode="External"/><Relationship Id="rId88" Type="http://schemas.openxmlformats.org/officeDocument/2006/relationships/hyperlink" Target="https://www.itu.int/net4/wsis/forum/2018/" TargetMode="External"/><Relationship Id="rId91" Type="http://schemas.openxmlformats.org/officeDocument/2006/relationships/hyperlink" Target="https://www.itu.int/en/ITU-D/Regional-Presence/Europe/Pages/Events/2018/CYBR/Cyber-Security-in-Romania.aspx" TargetMode="External"/><Relationship Id="rId96" Type="http://schemas.openxmlformats.org/officeDocument/2006/relationships/hyperlink" Target="https://www.itu.int/en/ITU-D/Regional-Presence/Europe/Pages/Events/2018/DYF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pub/S-CONF-WCIT-2012/fr" TargetMode="External"/><Relationship Id="rId23" Type="http://schemas.openxmlformats.org/officeDocument/2006/relationships/hyperlink" Target="https://www.itu.int/pub/T-RES-T.75-2016" TargetMode="External"/><Relationship Id="rId28" Type="http://schemas.openxmlformats.org/officeDocument/2006/relationships/hyperlink" Target="http://www.itu.int/md/S07-CL-C-0021/en" TargetMode="External"/><Relationship Id="rId36" Type="http://schemas.openxmlformats.org/officeDocument/2006/relationships/hyperlink" Target="http://www.itu.int/md/S15-CL-C-0018/en" TargetMode="External"/><Relationship Id="rId49" Type="http://schemas.openxmlformats.org/officeDocument/2006/relationships/hyperlink" Target="https://www.itu.int/ITU-T/recommendations/rec.aspx?rec=13873&amp;lang=fr" TargetMode="External"/><Relationship Id="rId57" Type="http://schemas.openxmlformats.org/officeDocument/2006/relationships/hyperlink" Target="https://www.itu.int/ITU-T/recommendations/rec.aspx?rec=13405&amp;lang=fr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itu.int/en/council/2019/Documents/basic-texts/RES-130-F.pdf" TargetMode="External"/><Relationship Id="rId31" Type="http://schemas.openxmlformats.org/officeDocument/2006/relationships/hyperlink" Target="http://www.itu.int/md/S10-CL-C-0012/en" TargetMode="External"/><Relationship Id="rId44" Type="http://schemas.openxmlformats.org/officeDocument/2006/relationships/hyperlink" Target="https://www.itu.int/ITU-T/recommendations/rec.aspx?rec=12848&amp;lang=fr" TargetMode="External"/><Relationship Id="rId52" Type="http://schemas.openxmlformats.org/officeDocument/2006/relationships/hyperlink" Target="https://www.itu.int/ITU-T/recommendations/rec.aspx?rec=13849&amp;lang=fr" TargetMode="External"/><Relationship Id="rId60" Type="http://schemas.openxmlformats.org/officeDocument/2006/relationships/hyperlink" Target="https://www.itu.int/ITU-T/recommendations/rec.aspx?rec=13406&amp;lang=fr" TargetMode="External"/><Relationship Id="rId65" Type="http://schemas.openxmlformats.org/officeDocument/2006/relationships/hyperlink" Target="https://www.itu.int/ITU-T/recommendations/rec.aspx?id=13731&amp;lang=fr" TargetMode="External"/><Relationship Id="rId73" Type="http://schemas.openxmlformats.org/officeDocument/2006/relationships/hyperlink" Target="https://www.itu.int/en/ITU-D/Cybersecurity/Pages/cyberdrills.aspx" TargetMode="External"/><Relationship Id="rId78" Type="http://schemas.openxmlformats.org/officeDocument/2006/relationships/hyperlink" Target="https://www.itu.int/en/ITU-D/Regional-Presence/CIS/Pages/EVENTS/2018/09_Baku/09_Baku.aspx" TargetMode="External"/><Relationship Id="rId81" Type="http://schemas.openxmlformats.org/officeDocument/2006/relationships/hyperlink" Target="http://www.itu.int/en/ITU-D/Cybersecurity/Pages/Events.aspx" TargetMode="External"/><Relationship Id="rId86" Type="http://schemas.openxmlformats.org/officeDocument/2006/relationships/hyperlink" Target="https://www.itu.int/en/ITU-D/Regional-Presence/CIS/Pages/EVENTS/2018/04_Odessa/04_Odessa.aspx" TargetMode="External"/><Relationship Id="rId94" Type="http://schemas.openxmlformats.org/officeDocument/2006/relationships/hyperlink" Target="https://www.itu.int/en/ITU-D/Regional-Presence/Europe/Pages/cybervienna.aspx" TargetMode="External"/><Relationship Id="rId99" Type="http://schemas.openxmlformats.org/officeDocument/2006/relationships/hyperlink" Target="https://www.youtube.com/watch?v=SymYlZq5v1k&amp;feature=youtu.be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RES-071-F.pdf" TargetMode="External"/><Relationship Id="rId13" Type="http://schemas.openxmlformats.org/officeDocument/2006/relationships/hyperlink" Target="https://www.itu.int/en/council/2019/Documents/basic-texts/RES-179-F.pdf" TargetMode="External"/><Relationship Id="rId18" Type="http://schemas.openxmlformats.org/officeDocument/2006/relationships/hyperlink" Target="https://www.itu.int/md/D14-WTDC17-C-0115/en" TargetMode="External"/><Relationship Id="rId39" Type="http://schemas.openxmlformats.org/officeDocument/2006/relationships/hyperlink" Target="https://www.itu.int/md/S18-CL-C-0018/en" TargetMode="External"/><Relationship Id="rId34" Type="http://schemas.openxmlformats.org/officeDocument/2006/relationships/hyperlink" Target="http://www.itu.int/md/S13-CL-C-0023/en" TargetMode="External"/><Relationship Id="rId50" Type="http://schemas.openxmlformats.org/officeDocument/2006/relationships/hyperlink" Target="https://www.itu.int/ITU-T/recommendations/rec.aspx?rec=13726&amp;lang=fr" TargetMode="External"/><Relationship Id="rId55" Type="http://schemas.openxmlformats.org/officeDocument/2006/relationships/hyperlink" Target="https://www.itu.int/ITU-T/recommendations/rec.aspx?rec=13727&amp;lang=fr" TargetMode="External"/><Relationship Id="rId76" Type="http://schemas.openxmlformats.org/officeDocument/2006/relationships/hyperlink" Target="https://www.itu.int/en/ITU-D/Regional-Presence/ArabStates/Pages/Events/2018/Cyber/Cyber.aspx" TargetMode="External"/><Relationship Id="rId97" Type="http://schemas.openxmlformats.org/officeDocument/2006/relationships/hyperlink" Target="https://www.itu.int/en/ITU-D/Regional-Presence/Europe/Pages/Events/2018/COP/default.aspx" TargetMode="External"/><Relationship Id="rId10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9EF0-86E4-46BF-BBB9-FB38C38B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6</Pages>
  <Words>2811</Words>
  <Characters>23628</Characters>
  <Application>Microsoft Office Word</Application>
  <DocSecurity>4</DocSecurity>
  <Lines>196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26387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 de l'UIT relatives au renforcement du rôle de l'Union dans l'instauration de la confiance et de la sécurité dans l'utilisation des technologies de l'information et de la communication</dc:title>
  <dc:subject>Conseil 2019</dc:subject>
  <dc:creator>Brouard, Ricarda</dc:creator>
  <cp:keywords>C2019, C19</cp:keywords>
  <dc:description/>
  <cp:lastModifiedBy>Brouard, Ricarda</cp:lastModifiedBy>
  <cp:revision>2</cp:revision>
  <cp:lastPrinted>2000-07-18T08:55:00Z</cp:lastPrinted>
  <dcterms:created xsi:type="dcterms:W3CDTF">2019-05-03T09:20:00Z</dcterms:created>
  <dcterms:modified xsi:type="dcterms:W3CDTF">2019-05-03T09:20:00Z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