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3D19958C" w14:textId="77777777" w:rsidTr="00464B6C">
        <w:trPr>
          <w:cantSplit/>
        </w:trPr>
        <w:tc>
          <w:tcPr>
            <w:tcW w:w="6911" w:type="dxa"/>
          </w:tcPr>
          <w:p w14:paraId="603370C0" w14:textId="77777777" w:rsidR="002A2188" w:rsidRPr="00813E5E" w:rsidRDefault="002A2188" w:rsidP="00FA4575">
            <w:pPr>
              <w:spacing w:before="360" w:after="48" w:line="240" w:lineRule="atLeast"/>
              <w:rPr>
                <w:position w:val="6"/>
              </w:rPr>
            </w:pPr>
            <w:bookmarkStart w:id="0" w:name="dc06"/>
            <w:bookmarkEnd w:id="0"/>
            <w:r w:rsidRPr="00E85629">
              <w:rPr>
                <w:b/>
                <w:bCs/>
                <w:position w:val="6"/>
                <w:sz w:val="30"/>
                <w:szCs w:val="30"/>
                <w:lang w:val="fr-CH"/>
              </w:rPr>
              <w:t>Council 201</w:t>
            </w:r>
            <w:r w:rsidR="00FA4575">
              <w:rPr>
                <w:b/>
                <w:bCs/>
                <w:position w:val="6"/>
                <w:sz w:val="30"/>
                <w:szCs w:val="30"/>
                <w:lang w:val="fr-CH"/>
              </w:rPr>
              <w:t>9</w:t>
            </w:r>
            <w:r w:rsidRPr="00E85629">
              <w:rPr>
                <w:rFonts w:cs="Times"/>
                <w:b/>
                <w:position w:val="6"/>
                <w:sz w:val="26"/>
                <w:szCs w:val="26"/>
                <w:lang w:val="en-US"/>
              </w:rPr>
              <w:br/>
            </w:r>
            <w:r w:rsidRPr="00E85629">
              <w:rPr>
                <w:b/>
                <w:bCs/>
                <w:position w:val="6"/>
                <w:szCs w:val="24"/>
                <w:lang w:val="fr-CH"/>
              </w:rPr>
              <w:t xml:space="preserve">Geneva, </w:t>
            </w:r>
            <w:r w:rsidR="00FA4575">
              <w:rPr>
                <w:b/>
                <w:bCs/>
                <w:position w:val="6"/>
                <w:szCs w:val="24"/>
                <w:lang w:val="fr-CH"/>
              </w:rPr>
              <w:t xml:space="preserve">10-20 </w:t>
            </w:r>
            <w:proofErr w:type="spellStart"/>
            <w:r w:rsidR="00FA4575">
              <w:rPr>
                <w:b/>
                <w:bCs/>
                <w:position w:val="6"/>
                <w:szCs w:val="24"/>
                <w:lang w:val="fr-CH"/>
              </w:rPr>
              <w:t>June</w:t>
            </w:r>
            <w:proofErr w:type="spellEnd"/>
            <w:r w:rsidR="00FA4575">
              <w:rPr>
                <w:b/>
                <w:bCs/>
                <w:position w:val="6"/>
                <w:szCs w:val="24"/>
                <w:lang w:val="fr-CH"/>
              </w:rPr>
              <w:t xml:space="preserve"> 2019</w:t>
            </w:r>
          </w:p>
        </w:tc>
        <w:tc>
          <w:tcPr>
            <w:tcW w:w="3120" w:type="dxa"/>
          </w:tcPr>
          <w:p w14:paraId="30796B64" w14:textId="77777777"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eastAsia="zh-CN"/>
              </w:rPr>
              <w:drawing>
                <wp:inline distT="0" distB="0" distL="0" distR="0" wp14:anchorId="43188844" wp14:editId="1F30705F">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14:paraId="03DC27E0" w14:textId="77777777" w:rsidTr="00464B6C">
        <w:trPr>
          <w:cantSplit/>
        </w:trPr>
        <w:tc>
          <w:tcPr>
            <w:tcW w:w="6911" w:type="dxa"/>
            <w:tcBorders>
              <w:bottom w:val="single" w:sz="12" w:space="0" w:color="auto"/>
            </w:tcBorders>
          </w:tcPr>
          <w:p w14:paraId="198AFADF" w14:textId="77777777"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14:paraId="03C6FCC8" w14:textId="77777777" w:rsidR="002A2188" w:rsidRPr="00813E5E" w:rsidRDefault="002A2188" w:rsidP="00464B6C">
            <w:pPr>
              <w:spacing w:before="0" w:line="240" w:lineRule="atLeast"/>
              <w:rPr>
                <w:szCs w:val="24"/>
              </w:rPr>
            </w:pPr>
          </w:p>
        </w:tc>
      </w:tr>
      <w:tr w:rsidR="002A2188" w:rsidRPr="00813E5E" w14:paraId="05AAE845" w14:textId="77777777" w:rsidTr="00464B6C">
        <w:trPr>
          <w:cantSplit/>
        </w:trPr>
        <w:tc>
          <w:tcPr>
            <w:tcW w:w="6911" w:type="dxa"/>
            <w:tcBorders>
              <w:top w:val="single" w:sz="12" w:space="0" w:color="auto"/>
            </w:tcBorders>
          </w:tcPr>
          <w:p w14:paraId="2FF27E17" w14:textId="77777777"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14:paraId="04DBF74D" w14:textId="77777777" w:rsidR="002A2188" w:rsidRPr="00813E5E" w:rsidRDefault="002A2188" w:rsidP="00464B6C">
            <w:pPr>
              <w:spacing w:before="0" w:line="240" w:lineRule="atLeast"/>
              <w:rPr>
                <w:szCs w:val="24"/>
              </w:rPr>
            </w:pPr>
          </w:p>
        </w:tc>
      </w:tr>
      <w:tr w:rsidR="002A2188" w:rsidRPr="00813E5E" w14:paraId="6703420C" w14:textId="77777777" w:rsidTr="00464B6C">
        <w:trPr>
          <w:cantSplit/>
          <w:trHeight w:val="23"/>
        </w:trPr>
        <w:tc>
          <w:tcPr>
            <w:tcW w:w="6911" w:type="dxa"/>
            <w:vMerge w:val="restart"/>
          </w:tcPr>
          <w:p w14:paraId="089D4163" w14:textId="618843CE" w:rsidR="002A2188" w:rsidRPr="00E85629" w:rsidRDefault="00D04E39" w:rsidP="004C0BFF">
            <w:pPr>
              <w:tabs>
                <w:tab w:val="left" w:pos="851"/>
              </w:tabs>
              <w:spacing w:before="0" w:line="240" w:lineRule="atLeast"/>
              <w:rPr>
                <w:b/>
              </w:rPr>
            </w:pPr>
            <w:bookmarkStart w:id="2" w:name="dmeeting" w:colFirst="0" w:colLast="0"/>
            <w:bookmarkStart w:id="3" w:name="dnum" w:colFirst="1" w:colLast="1"/>
            <w:r>
              <w:rPr>
                <w:b/>
              </w:rPr>
              <w:t xml:space="preserve">Agenda item: PL </w:t>
            </w:r>
            <w:r w:rsidR="004C0BFF">
              <w:rPr>
                <w:b/>
              </w:rPr>
              <w:t>1.7</w:t>
            </w:r>
          </w:p>
        </w:tc>
        <w:tc>
          <w:tcPr>
            <w:tcW w:w="3120" w:type="dxa"/>
          </w:tcPr>
          <w:p w14:paraId="13E22DC9" w14:textId="227B89A2" w:rsidR="002A2188" w:rsidRPr="00E85629" w:rsidRDefault="002A2188" w:rsidP="004C0BFF">
            <w:pPr>
              <w:tabs>
                <w:tab w:val="left" w:pos="851"/>
              </w:tabs>
              <w:spacing w:before="0" w:line="240" w:lineRule="atLeast"/>
              <w:rPr>
                <w:b/>
              </w:rPr>
            </w:pPr>
            <w:r>
              <w:rPr>
                <w:b/>
              </w:rPr>
              <w:t>Document C1</w:t>
            </w:r>
            <w:r w:rsidR="00FA4575">
              <w:rPr>
                <w:b/>
              </w:rPr>
              <w:t>9</w:t>
            </w:r>
            <w:r>
              <w:rPr>
                <w:b/>
              </w:rPr>
              <w:t>/</w:t>
            </w:r>
            <w:r w:rsidR="004C0BFF">
              <w:rPr>
                <w:b/>
              </w:rPr>
              <w:t>26</w:t>
            </w:r>
            <w:r>
              <w:rPr>
                <w:b/>
              </w:rPr>
              <w:t>-E</w:t>
            </w:r>
          </w:p>
        </w:tc>
      </w:tr>
      <w:tr w:rsidR="002A2188" w:rsidRPr="00813E5E" w14:paraId="019F9A1F" w14:textId="77777777" w:rsidTr="00464B6C">
        <w:trPr>
          <w:cantSplit/>
          <w:trHeight w:val="23"/>
        </w:trPr>
        <w:tc>
          <w:tcPr>
            <w:tcW w:w="6911" w:type="dxa"/>
            <w:vMerge/>
          </w:tcPr>
          <w:p w14:paraId="0309B1E3" w14:textId="77777777"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14:paraId="25F9F7AE" w14:textId="3BB75FDF" w:rsidR="002A2188" w:rsidRPr="00E85629" w:rsidRDefault="008F3FB5" w:rsidP="00623AE3">
            <w:pPr>
              <w:tabs>
                <w:tab w:val="left" w:pos="993"/>
              </w:tabs>
              <w:spacing w:before="0"/>
              <w:rPr>
                <w:b/>
              </w:rPr>
            </w:pPr>
            <w:r>
              <w:rPr>
                <w:b/>
              </w:rPr>
              <w:t>6 May</w:t>
            </w:r>
            <w:r w:rsidR="002A2188">
              <w:rPr>
                <w:b/>
              </w:rPr>
              <w:t xml:space="preserve"> 201</w:t>
            </w:r>
            <w:r w:rsidR="00FA4575">
              <w:rPr>
                <w:b/>
              </w:rPr>
              <w:t>9</w:t>
            </w:r>
          </w:p>
        </w:tc>
      </w:tr>
      <w:tr w:rsidR="002A2188" w:rsidRPr="00813E5E" w14:paraId="114B6E0A" w14:textId="77777777" w:rsidTr="00464B6C">
        <w:trPr>
          <w:cantSplit/>
          <w:trHeight w:val="23"/>
        </w:trPr>
        <w:tc>
          <w:tcPr>
            <w:tcW w:w="6911" w:type="dxa"/>
            <w:vMerge/>
          </w:tcPr>
          <w:p w14:paraId="62E83B73"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023DA0B8" w14:textId="77777777" w:rsidR="002A2188" w:rsidRPr="00E85629" w:rsidRDefault="002A2188" w:rsidP="00464B6C">
            <w:pPr>
              <w:tabs>
                <w:tab w:val="left" w:pos="993"/>
              </w:tabs>
              <w:spacing w:before="0"/>
              <w:rPr>
                <w:b/>
              </w:rPr>
            </w:pPr>
            <w:r>
              <w:rPr>
                <w:b/>
              </w:rPr>
              <w:t>Original: English</w:t>
            </w:r>
          </w:p>
        </w:tc>
      </w:tr>
      <w:tr w:rsidR="002A2188" w:rsidRPr="00813E5E" w14:paraId="64151EFF" w14:textId="77777777" w:rsidTr="00464B6C">
        <w:trPr>
          <w:cantSplit/>
        </w:trPr>
        <w:tc>
          <w:tcPr>
            <w:tcW w:w="10031" w:type="dxa"/>
            <w:gridSpan w:val="2"/>
          </w:tcPr>
          <w:p w14:paraId="15C93C25" w14:textId="77777777" w:rsidR="002A2188" w:rsidRPr="00813E5E" w:rsidRDefault="00D04E39" w:rsidP="004C0BFF">
            <w:pPr>
              <w:pStyle w:val="Source"/>
              <w:framePr w:hSpace="0" w:wrap="auto" w:hAnchor="text" w:yAlign="inline"/>
            </w:pPr>
            <w:bookmarkStart w:id="6" w:name="dsource" w:colFirst="0" w:colLast="0"/>
            <w:bookmarkEnd w:id="5"/>
            <w:r w:rsidRPr="00D04E39">
              <w:t>Report by the Secretary-General</w:t>
            </w:r>
          </w:p>
        </w:tc>
      </w:tr>
      <w:tr w:rsidR="00E40727" w:rsidRPr="00813E5E" w14:paraId="21757916" w14:textId="77777777" w:rsidTr="00464B6C">
        <w:trPr>
          <w:cantSplit/>
        </w:trPr>
        <w:tc>
          <w:tcPr>
            <w:tcW w:w="10031" w:type="dxa"/>
            <w:gridSpan w:val="2"/>
          </w:tcPr>
          <w:p w14:paraId="19530863" w14:textId="37527660" w:rsidR="00E40727" w:rsidRPr="00F30165" w:rsidRDefault="00B75A85" w:rsidP="00281496">
            <w:pPr>
              <w:pStyle w:val="Title1"/>
              <w:framePr w:hSpace="0" w:wrap="auto" w:hAnchor="text" w:yAlign="inline"/>
            </w:pPr>
            <w:bookmarkStart w:id="7" w:name="dtitle1" w:colFirst="0" w:colLast="0"/>
            <w:bookmarkEnd w:id="6"/>
            <w:r>
              <w:rPr>
                <w:rFonts w:eastAsia="Arial Unicode MS"/>
              </w:rPr>
              <w:t>follow-up to Re</w:t>
            </w:r>
            <w:r w:rsidR="00281496">
              <w:rPr>
                <w:rFonts w:eastAsia="Arial Unicode MS"/>
              </w:rPr>
              <w:t>S</w:t>
            </w:r>
            <w:r>
              <w:rPr>
                <w:rFonts w:eastAsia="Arial Unicode MS"/>
              </w:rPr>
              <w:t xml:space="preserve">olution 146 (REV. DUBAI, 2018): periodic </w:t>
            </w:r>
            <w:r w:rsidR="00E40727">
              <w:rPr>
                <w:rFonts w:eastAsia="Arial Unicode MS"/>
              </w:rPr>
              <w:t>REVIEW</w:t>
            </w:r>
            <w:r>
              <w:rPr>
                <w:rFonts w:eastAsia="Arial Unicode MS"/>
              </w:rPr>
              <w:t xml:space="preserve"> and revision </w:t>
            </w:r>
            <w:r w:rsidR="00E40727">
              <w:rPr>
                <w:rFonts w:eastAsia="Arial Unicode MS"/>
              </w:rPr>
              <w:t xml:space="preserve">OF THE </w:t>
            </w:r>
            <w:r w:rsidR="00E40727" w:rsidRPr="00F30165">
              <w:rPr>
                <w:rFonts w:eastAsia="Arial Unicode MS"/>
              </w:rPr>
              <w:t>International Telecommunication Regulations</w:t>
            </w:r>
          </w:p>
        </w:tc>
      </w:tr>
      <w:bookmarkEnd w:id="7"/>
    </w:tbl>
    <w:p w14:paraId="32B30088"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27004958"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18283C72" w14:textId="77777777" w:rsidR="002A2188" w:rsidRPr="00813E5E" w:rsidRDefault="002A2188" w:rsidP="004C0BFF">
            <w:pPr>
              <w:pStyle w:val="Headingb"/>
              <w:snapToGrid w:val="0"/>
              <w:spacing w:before="120" w:after="120"/>
            </w:pPr>
            <w:r w:rsidRPr="00813E5E">
              <w:t>Summary</w:t>
            </w:r>
          </w:p>
          <w:p w14:paraId="5AA3AF7D" w14:textId="28A38653" w:rsidR="00E40727" w:rsidRPr="0026045A" w:rsidRDefault="00E40727" w:rsidP="00DD2619">
            <w:pPr>
              <w:snapToGrid w:val="0"/>
              <w:spacing w:after="120"/>
              <w:jc w:val="both"/>
              <w:rPr>
                <w:b/>
                <w:bCs/>
              </w:rPr>
            </w:pPr>
            <w:r>
              <w:rPr>
                <w:lang w:val="en-US"/>
              </w:rPr>
              <w:t>This document provides some background information on the status of the International</w:t>
            </w:r>
            <w:r>
              <w:rPr>
                <w:rFonts w:eastAsia="Arial Unicode MS" w:cstheme="minorHAnsi"/>
              </w:rPr>
              <w:t xml:space="preserve"> Telecommunicati</w:t>
            </w:r>
            <w:r w:rsidR="00CA2437">
              <w:rPr>
                <w:rFonts w:eastAsia="Arial Unicode MS" w:cstheme="minorHAnsi"/>
              </w:rPr>
              <w:t>on Regulations (R</w:t>
            </w:r>
            <w:r w:rsidR="00D15449">
              <w:rPr>
                <w:rFonts w:eastAsia="Arial Unicode MS" w:cstheme="minorHAnsi"/>
              </w:rPr>
              <w:t>ev. Dubai, 201</w:t>
            </w:r>
            <w:r w:rsidR="00DD2619">
              <w:rPr>
                <w:rFonts w:eastAsia="Arial Unicode MS" w:cstheme="minorHAnsi"/>
              </w:rPr>
              <w:t>2</w:t>
            </w:r>
            <w:bookmarkStart w:id="8" w:name="_GoBack"/>
            <w:bookmarkEnd w:id="8"/>
            <w:r>
              <w:rPr>
                <w:rFonts w:eastAsia="Arial Unicode MS" w:cstheme="minorHAnsi"/>
              </w:rPr>
              <w:t>) and highlights ins</w:t>
            </w:r>
            <w:r w:rsidR="00D15449">
              <w:rPr>
                <w:rFonts w:eastAsia="Arial Unicode MS" w:cstheme="minorHAnsi"/>
              </w:rPr>
              <w:t>tructions received from the 2018</w:t>
            </w:r>
            <w:r>
              <w:rPr>
                <w:rFonts w:eastAsia="Arial Unicode MS" w:cstheme="minorHAnsi"/>
              </w:rPr>
              <w:t xml:space="preserve"> plenipotentiary conference on the </w:t>
            </w:r>
            <w:r w:rsidRPr="00BE15FE">
              <w:t>Periodic review and revision of the ITRs</w:t>
            </w:r>
            <w:r>
              <w:t>.</w:t>
            </w:r>
          </w:p>
          <w:p w14:paraId="54903297" w14:textId="77777777" w:rsidR="002A2188" w:rsidRPr="00813E5E" w:rsidRDefault="002A2188" w:rsidP="006C2984">
            <w:pPr>
              <w:pStyle w:val="Headingb"/>
              <w:snapToGrid w:val="0"/>
              <w:spacing w:before="120" w:after="120"/>
              <w:jc w:val="both"/>
            </w:pPr>
            <w:r w:rsidRPr="00813E5E">
              <w:t>Action required</w:t>
            </w:r>
          </w:p>
          <w:p w14:paraId="3AF19F13" w14:textId="62AAF9D7" w:rsidR="00E40727" w:rsidRPr="00813E5E" w:rsidRDefault="00E40727" w:rsidP="006C2984">
            <w:pPr>
              <w:snapToGrid w:val="0"/>
              <w:spacing w:after="120"/>
              <w:jc w:val="both"/>
            </w:pPr>
            <w:r w:rsidRPr="00F17367">
              <w:t xml:space="preserve">The Council is invited to </w:t>
            </w:r>
            <w:r>
              <w:rPr>
                <w:b/>
                <w:bCs/>
              </w:rPr>
              <w:t>note</w:t>
            </w:r>
            <w:r w:rsidRPr="00F17367">
              <w:t xml:space="preserve"> the report.</w:t>
            </w:r>
            <w:r w:rsidR="00A604D1">
              <w:t xml:space="preserve"> The Council is also invited to </w:t>
            </w:r>
            <w:r w:rsidR="00552012">
              <w:rPr>
                <w:iCs/>
                <w:lang w:val="en-US"/>
              </w:rPr>
              <w:t xml:space="preserve">review and revise </w:t>
            </w:r>
            <w:r w:rsidR="008A4FC8">
              <w:rPr>
                <w:iCs/>
                <w:lang w:val="en-US"/>
              </w:rPr>
              <w:t xml:space="preserve">the </w:t>
            </w:r>
            <w:r w:rsidR="008A4FC8" w:rsidRPr="0026045A">
              <w:rPr>
                <w:iCs/>
                <w:lang w:val="en-US"/>
              </w:rPr>
              <w:t xml:space="preserve">terms of reference for </w:t>
            </w:r>
            <w:r w:rsidR="008A4FC8">
              <w:rPr>
                <w:iCs/>
                <w:lang w:val="en-US"/>
              </w:rPr>
              <w:t xml:space="preserve">an Expert Group on </w:t>
            </w:r>
            <w:r w:rsidR="008A4FC8" w:rsidRPr="00A728A8">
              <w:rPr>
                <w:lang w:val="en-US"/>
              </w:rPr>
              <w:t>the International Telecommunication Regulations (</w:t>
            </w:r>
            <w:r w:rsidR="008A4FC8" w:rsidRPr="00A728A8">
              <w:rPr>
                <w:rFonts w:asciiTheme="minorHAnsi" w:hAnsiTheme="minorHAnsi" w:cs="TimesNewRoman,Italic"/>
                <w:szCs w:val="24"/>
                <w:lang w:val="en-US" w:eastAsia="zh-CN"/>
              </w:rPr>
              <w:t>EG</w:t>
            </w:r>
            <w:r w:rsidR="008A4FC8" w:rsidRPr="00A728A8">
              <w:rPr>
                <w:rFonts w:asciiTheme="minorHAnsi" w:hAnsiTheme="minorHAnsi" w:cs="TimesNewRoman,Italic"/>
                <w:szCs w:val="24"/>
                <w:lang w:val="en-US" w:eastAsia="zh-CN"/>
              </w:rPr>
              <w:noBreakHyphen/>
              <w:t>ITR</w:t>
            </w:r>
            <w:r w:rsidR="006C2984">
              <w:rPr>
                <w:rFonts w:asciiTheme="minorHAnsi" w:hAnsiTheme="minorHAnsi" w:cs="TimesNewRoman,Italic"/>
                <w:szCs w:val="24"/>
                <w:lang w:val="en-US" w:eastAsia="zh-CN"/>
              </w:rPr>
              <w:t>s</w:t>
            </w:r>
            <w:r w:rsidR="00552012">
              <w:rPr>
                <w:lang w:val="en-US"/>
              </w:rPr>
              <w:t>)</w:t>
            </w:r>
            <w:r w:rsidR="00735838">
              <w:rPr>
                <w:lang w:val="en-US"/>
              </w:rPr>
              <w:t>.</w:t>
            </w:r>
          </w:p>
          <w:p w14:paraId="62707C09" w14:textId="77777777" w:rsidR="002A2188" w:rsidRPr="00813E5E" w:rsidRDefault="002A2188" w:rsidP="004C0BFF">
            <w:pPr>
              <w:pStyle w:val="Table"/>
              <w:keepNext w:val="0"/>
              <w:snapToGrid w:val="0"/>
              <w:spacing w:before="120"/>
              <w:rPr>
                <w:rFonts w:ascii="Calibri" w:hAnsi="Calibri"/>
                <w:caps w:val="0"/>
                <w:sz w:val="22"/>
              </w:rPr>
            </w:pPr>
            <w:r w:rsidRPr="00813E5E">
              <w:rPr>
                <w:rFonts w:ascii="Calibri" w:hAnsi="Calibri"/>
                <w:caps w:val="0"/>
                <w:sz w:val="22"/>
              </w:rPr>
              <w:t>____________</w:t>
            </w:r>
          </w:p>
          <w:p w14:paraId="105340D6" w14:textId="77777777" w:rsidR="002A2188" w:rsidRPr="00813E5E" w:rsidRDefault="002A2188" w:rsidP="004C0BFF">
            <w:pPr>
              <w:pStyle w:val="Headingb"/>
              <w:snapToGrid w:val="0"/>
              <w:spacing w:before="120" w:after="120"/>
            </w:pPr>
            <w:r w:rsidRPr="00813E5E">
              <w:t>References</w:t>
            </w:r>
          </w:p>
          <w:p w14:paraId="64EB03DE" w14:textId="424EF6E0" w:rsidR="002A2188" w:rsidRPr="00813E5E" w:rsidRDefault="00DD2619" w:rsidP="004C0BFF">
            <w:pPr>
              <w:snapToGrid w:val="0"/>
              <w:spacing w:after="120"/>
              <w:rPr>
                <w:i/>
                <w:iCs/>
              </w:rPr>
            </w:pPr>
            <w:hyperlink r:id="rId9" w:history="1">
              <w:r w:rsidR="00E40727" w:rsidRPr="001262F4">
                <w:rPr>
                  <w:rStyle w:val="Hyperlink"/>
                </w:rPr>
                <w:t>Res</w:t>
              </w:r>
              <w:r w:rsidR="00E40727">
                <w:rPr>
                  <w:rStyle w:val="Hyperlink"/>
                </w:rPr>
                <w:t>olution</w:t>
              </w:r>
              <w:r w:rsidR="00E40727" w:rsidRPr="001262F4">
                <w:rPr>
                  <w:rStyle w:val="Hyperlink"/>
                </w:rPr>
                <w:t xml:space="preserve"> 146 (Rev. </w:t>
              </w:r>
              <w:r w:rsidR="003D655A">
                <w:rPr>
                  <w:rStyle w:val="Hyperlink"/>
                </w:rPr>
                <w:t>Dubai, 2018</w:t>
              </w:r>
              <w:r w:rsidR="00E40727" w:rsidRPr="001262F4">
                <w:rPr>
                  <w:rStyle w:val="Hyperlink"/>
                </w:rPr>
                <w:t>)</w:t>
              </w:r>
            </w:hyperlink>
          </w:p>
        </w:tc>
      </w:tr>
    </w:tbl>
    <w:p w14:paraId="1CA2720C" w14:textId="77777777" w:rsidR="00E40727" w:rsidRPr="0026045A" w:rsidRDefault="00E40727" w:rsidP="004C0BFF">
      <w:pPr>
        <w:spacing w:before="480"/>
        <w:jc w:val="both"/>
        <w:rPr>
          <w:b/>
          <w:iCs/>
        </w:rPr>
      </w:pPr>
      <w:bookmarkStart w:id="9" w:name="dstart"/>
      <w:bookmarkStart w:id="10" w:name="dbreak"/>
      <w:bookmarkEnd w:id="9"/>
      <w:bookmarkEnd w:id="10"/>
      <w:r w:rsidRPr="0026045A">
        <w:rPr>
          <w:b/>
          <w:iCs/>
        </w:rPr>
        <w:t>Background information</w:t>
      </w:r>
    </w:p>
    <w:p w14:paraId="1EFDF4C7" w14:textId="77777777" w:rsidR="00E40727" w:rsidRDefault="00E40727" w:rsidP="006C2984">
      <w:pPr>
        <w:tabs>
          <w:tab w:val="clear" w:pos="567"/>
          <w:tab w:val="clear" w:pos="1134"/>
          <w:tab w:val="clear" w:pos="1701"/>
          <w:tab w:val="clear" w:pos="2268"/>
          <w:tab w:val="clear" w:pos="2835"/>
        </w:tabs>
        <w:snapToGrid w:val="0"/>
        <w:spacing w:after="120"/>
        <w:jc w:val="both"/>
      </w:pPr>
      <w:r w:rsidRPr="00E43E14">
        <w:rPr>
          <w:bCs/>
          <w:iCs/>
        </w:rPr>
        <w:t>1</w:t>
      </w:r>
      <w:r>
        <w:rPr>
          <w:b/>
          <w:iCs/>
        </w:rPr>
        <w:tab/>
      </w:r>
      <w:r>
        <w:rPr>
          <w:lang w:val="en-US"/>
        </w:rPr>
        <w:t xml:space="preserve">Further to </w:t>
      </w:r>
      <w:r>
        <w:rPr>
          <w:rFonts w:asciiTheme="minorHAnsi" w:hAnsiTheme="minorHAnsi" w:cstheme="minorHAnsi"/>
          <w:szCs w:val="24"/>
          <w:lang w:val="en-US"/>
        </w:rPr>
        <w:t xml:space="preserve">Resolution 171 (Guadalajara, 2010), and in accordance with Council Resolution 1335, </w:t>
      </w:r>
      <w:r>
        <w:t xml:space="preserve">the World Conference on International Telecommunications (WCIT-12) was held in Dubai from 3 to 14 December 2012. </w:t>
      </w:r>
    </w:p>
    <w:p w14:paraId="0FA43589" w14:textId="77777777" w:rsidR="00E40727" w:rsidRDefault="00E40727" w:rsidP="006C2984">
      <w:pPr>
        <w:tabs>
          <w:tab w:val="clear" w:pos="567"/>
          <w:tab w:val="clear" w:pos="1134"/>
          <w:tab w:val="clear" w:pos="1701"/>
          <w:tab w:val="clear" w:pos="2268"/>
          <w:tab w:val="clear" w:pos="2835"/>
        </w:tabs>
        <w:snapToGrid w:val="0"/>
        <w:spacing w:after="120"/>
        <w:jc w:val="both"/>
      </w:pPr>
      <w:r>
        <w:rPr>
          <w:rFonts w:eastAsia="Arial Unicode MS" w:cstheme="minorHAnsi"/>
        </w:rPr>
        <w:t>2</w:t>
      </w:r>
      <w:r>
        <w:rPr>
          <w:rFonts w:eastAsia="Arial Unicode MS" w:cstheme="minorHAnsi"/>
        </w:rPr>
        <w:tab/>
        <w:t>WCIT-12 revised the International Telecommunication Regulations (ITRs) in their entirety and also adopted five new resolutions</w:t>
      </w:r>
      <w:r>
        <w:t>.</w:t>
      </w:r>
    </w:p>
    <w:p w14:paraId="29A687F0" w14:textId="77777777" w:rsidR="00E40727" w:rsidRDefault="00E40727" w:rsidP="006C2984">
      <w:pPr>
        <w:tabs>
          <w:tab w:val="clear" w:pos="567"/>
          <w:tab w:val="clear" w:pos="1134"/>
          <w:tab w:val="clear" w:pos="1701"/>
          <w:tab w:val="clear" w:pos="2268"/>
          <w:tab w:val="clear" w:pos="2835"/>
        </w:tabs>
        <w:snapToGrid w:val="0"/>
        <w:spacing w:after="120"/>
        <w:jc w:val="both"/>
      </w:pPr>
      <w:r>
        <w:t>3</w:t>
      </w:r>
      <w:r>
        <w:tab/>
        <w:t xml:space="preserve">The revised ITRs entered into force on 1 January 2015 between Member States </w:t>
      </w:r>
      <w:r w:rsidRPr="001918BD">
        <w:t>having deposited before that date their instrument of ratification, acceptance or approval of, or accession to the</w:t>
      </w:r>
      <w:r>
        <w:t>se</w:t>
      </w:r>
      <w:r w:rsidRPr="001918BD">
        <w:t xml:space="preserve"> </w:t>
      </w:r>
      <w:r w:rsidRPr="002F7EA5">
        <w:rPr>
          <w:rFonts w:asciiTheme="minorHAnsi" w:eastAsia="Arial Unicode MS" w:hAnsiTheme="minorHAnsi" w:cstheme="minorHAnsi"/>
          <w:szCs w:val="24"/>
        </w:rPr>
        <w:t xml:space="preserve">revised </w:t>
      </w:r>
      <w:r>
        <w:rPr>
          <w:rFonts w:asciiTheme="minorHAnsi" w:eastAsia="Arial Unicode MS" w:hAnsiTheme="minorHAnsi" w:cstheme="minorHAnsi"/>
          <w:szCs w:val="24"/>
        </w:rPr>
        <w:t>Regulations</w:t>
      </w:r>
      <w:r>
        <w:t xml:space="preserve">. </w:t>
      </w:r>
    </w:p>
    <w:p w14:paraId="74B9BA61" w14:textId="77777777" w:rsidR="00E40727" w:rsidRDefault="00E40727" w:rsidP="006C2984">
      <w:pPr>
        <w:tabs>
          <w:tab w:val="clear" w:pos="567"/>
          <w:tab w:val="clear" w:pos="1134"/>
          <w:tab w:val="clear" w:pos="1701"/>
          <w:tab w:val="clear" w:pos="2268"/>
          <w:tab w:val="clear" w:pos="2835"/>
        </w:tabs>
        <w:snapToGrid w:val="0"/>
        <w:spacing w:after="120"/>
        <w:jc w:val="both"/>
      </w:pPr>
      <w:r>
        <w:lastRenderedPageBreak/>
        <w:t>4</w:t>
      </w:r>
      <w:r>
        <w:tab/>
        <w:t xml:space="preserve">The list of signatories of the Final Acts is available at </w:t>
      </w:r>
      <w:hyperlink r:id="rId10" w:history="1">
        <w:r w:rsidRPr="00BE79FA">
          <w:rPr>
            <w:rStyle w:val="Hyperlink"/>
          </w:rPr>
          <w:t>http://www.itu.int/osg/wcit-12/highlights/signatories.html</w:t>
        </w:r>
      </w:hyperlink>
      <w:r>
        <w:t>.</w:t>
      </w:r>
    </w:p>
    <w:p w14:paraId="14302449" w14:textId="77777777" w:rsidR="00E40727" w:rsidRDefault="00E40727" w:rsidP="006C2984">
      <w:pPr>
        <w:tabs>
          <w:tab w:val="clear" w:pos="567"/>
          <w:tab w:val="clear" w:pos="1134"/>
          <w:tab w:val="clear" w:pos="1701"/>
          <w:tab w:val="clear" w:pos="2268"/>
          <w:tab w:val="clear" w:pos="2835"/>
        </w:tabs>
        <w:snapToGrid w:val="0"/>
        <w:spacing w:after="120"/>
        <w:jc w:val="both"/>
      </w:pPr>
      <w:r>
        <w:t>5</w:t>
      </w:r>
      <w:r>
        <w:tab/>
        <w:t xml:space="preserve">The list of Member States having ratified, accepted, approved (or acceded to) the </w:t>
      </w:r>
      <w:r w:rsidRPr="002F7EA5">
        <w:rPr>
          <w:rFonts w:asciiTheme="minorHAnsi" w:eastAsia="Arial Unicode MS" w:hAnsiTheme="minorHAnsi" w:cstheme="minorHAnsi"/>
          <w:szCs w:val="24"/>
        </w:rPr>
        <w:t xml:space="preserve">revised </w:t>
      </w:r>
      <w:r>
        <w:rPr>
          <w:rFonts w:asciiTheme="minorHAnsi" w:eastAsia="Arial Unicode MS" w:hAnsiTheme="minorHAnsi" w:cstheme="minorHAnsi"/>
          <w:szCs w:val="24"/>
        </w:rPr>
        <w:t>ITRs</w:t>
      </w:r>
      <w:r>
        <w:t xml:space="preserve"> (Dubai, 2012) is available at </w:t>
      </w:r>
      <w:hyperlink r:id="rId11" w:history="1">
        <w:r w:rsidRPr="00BB1E9D">
          <w:rPr>
            <w:rStyle w:val="Hyperlink"/>
          </w:rPr>
          <w:t>https://www.itu.int/online/mm/scripts/mm.final-acts.list?_languageid=1&amp;_agrmts_type=WCIT-2012</w:t>
        </w:r>
      </w:hyperlink>
      <w:r>
        <w:t>.</w:t>
      </w:r>
    </w:p>
    <w:p w14:paraId="36A33491" w14:textId="77777777" w:rsidR="00E40727" w:rsidRPr="0026045A" w:rsidRDefault="00E40727" w:rsidP="006C2984">
      <w:pPr>
        <w:tabs>
          <w:tab w:val="clear" w:pos="567"/>
          <w:tab w:val="clear" w:pos="1134"/>
          <w:tab w:val="clear" w:pos="1701"/>
          <w:tab w:val="clear" w:pos="2268"/>
          <w:tab w:val="clear" w:pos="2835"/>
        </w:tabs>
        <w:snapToGrid w:val="0"/>
        <w:spacing w:before="360" w:after="120"/>
        <w:jc w:val="both"/>
        <w:rPr>
          <w:b/>
          <w:bCs/>
        </w:rPr>
      </w:pPr>
      <w:r w:rsidRPr="0026045A">
        <w:rPr>
          <w:b/>
          <w:bCs/>
        </w:rPr>
        <w:t>Periodic review and revision of the ITRs</w:t>
      </w:r>
    </w:p>
    <w:p w14:paraId="2E246EA0" w14:textId="77777777" w:rsidR="00E40727" w:rsidRDefault="00E40727" w:rsidP="006C2984">
      <w:pPr>
        <w:tabs>
          <w:tab w:val="clear" w:pos="567"/>
          <w:tab w:val="clear" w:pos="1134"/>
          <w:tab w:val="clear" w:pos="1701"/>
          <w:tab w:val="clear" w:pos="2268"/>
          <w:tab w:val="clear" w:pos="2835"/>
        </w:tabs>
        <w:snapToGrid w:val="0"/>
        <w:spacing w:after="120"/>
        <w:jc w:val="both"/>
        <w:rPr>
          <w:lang w:val="en-US"/>
        </w:rPr>
      </w:pPr>
      <w:r>
        <w:t>6</w:t>
      </w:r>
      <w:r>
        <w:tab/>
        <w:t xml:space="preserve">Resolution 146 (Rev. </w:t>
      </w:r>
      <w:r w:rsidR="00173A41">
        <w:t>Dubai, 2018</w:t>
      </w:r>
      <w:r>
        <w:t xml:space="preserve">) on </w:t>
      </w:r>
      <w:r w:rsidRPr="00111ECF">
        <w:rPr>
          <w:i/>
          <w:iCs/>
        </w:rPr>
        <w:t>Periodic review and revision of the ITRs</w:t>
      </w:r>
      <w:r>
        <w:t xml:space="preserve"> resolves </w:t>
      </w:r>
      <w:r w:rsidRPr="00A728A8">
        <w:rPr>
          <w:lang w:val="en-US"/>
        </w:rPr>
        <w:t xml:space="preserve">that </w:t>
      </w:r>
      <w:r w:rsidR="00D15449">
        <w:rPr>
          <w:lang w:val="en-US"/>
        </w:rPr>
        <w:t>the ITRs should normally be reviewed periodically</w:t>
      </w:r>
      <w:r>
        <w:rPr>
          <w:lang w:val="en-US"/>
        </w:rPr>
        <w:t>;</w:t>
      </w:r>
      <w:r w:rsidRPr="00A728A8">
        <w:rPr>
          <w:lang w:val="en-US"/>
        </w:rPr>
        <w:t xml:space="preserve"> </w:t>
      </w:r>
      <w:r>
        <w:rPr>
          <w:lang w:val="en-US"/>
        </w:rPr>
        <w:t xml:space="preserve">and </w:t>
      </w:r>
      <w:r w:rsidR="00E465F1">
        <w:rPr>
          <w:lang w:val="en-US"/>
        </w:rPr>
        <w:t xml:space="preserve">to conduct a </w:t>
      </w:r>
      <w:r w:rsidR="00173A41">
        <w:rPr>
          <w:lang w:val="en-US"/>
        </w:rPr>
        <w:t xml:space="preserve">comprehensive review </w:t>
      </w:r>
      <w:r w:rsidRPr="00A728A8">
        <w:rPr>
          <w:lang w:val="en-US"/>
        </w:rPr>
        <w:t xml:space="preserve">of the </w:t>
      </w:r>
      <w:r>
        <w:t>ITRs</w:t>
      </w:r>
      <w:r w:rsidRPr="00A728A8">
        <w:rPr>
          <w:lang w:val="en-US"/>
        </w:rPr>
        <w:t xml:space="preserve"> </w:t>
      </w:r>
      <w:r w:rsidR="00173A41">
        <w:rPr>
          <w:lang w:val="en-US"/>
        </w:rPr>
        <w:t>with a view to achieving consensus on the way forward in respect of the ITRs</w:t>
      </w:r>
      <w:r>
        <w:rPr>
          <w:lang w:val="en-US"/>
        </w:rPr>
        <w:t>.</w:t>
      </w:r>
    </w:p>
    <w:p w14:paraId="46B4C2B2" w14:textId="42B31418" w:rsidR="00E40727" w:rsidRPr="00A728A8" w:rsidRDefault="00E40727" w:rsidP="006C2984">
      <w:pPr>
        <w:tabs>
          <w:tab w:val="clear" w:pos="567"/>
          <w:tab w:val="clear" w:pos="1134"/>
          <w:tab w:val="clear" w:pos="1701"/>
          <w:tab w:val="clear" w:pos="2268"/>
          <w:tab w:val="clear" w:pos="2835"/>
        </w:tabs>
        <w:snapToGrid w:val="0"/>
        <w:spacing w:after="120"/>
        <w:jc w:val="both"/>
        <w:rPr>
          <w:lang w:val="en-US"/>
        </w:rPr>
      </w:pPr>
      <w:r>
        <w:rPr>
          <w:lang w:val="en-US"/>
        </w:rPr>
        <w:t>7</w:t>
      </w:r>
      <w:r>
        <w:rPr>
          <w:lang w:val="en-US"/>
        </w:rPr>
        <w:tab/>
      </w:r>
      <w:r>
        <w:t xml:space="preserve">Resolution 146 (Rev. </w:t>
      </w:r>
      <w:r w:rsidR="00B534B0">
        <w:t>Dubai, 2018</w:t>
      </w:r>
      <w:r>
        <w:t xml:space="preserve">) </w:t>
      </w:r>
      <w:r w:rsidRPr="00A728A8">
        <w:rPr>
          <w:lang w:val="en-US"/>
        </w:rPr>
        <w:t>instructs the Secretary-General</w:t>
      </w:r>
      <w:r>
        <w:rPr>
          <w:lang w:val="en-US"/>
        </w:rPr>
        <w:t xml:space="preserve"> </w:t>
      </w:r>
      <w:r w:rsidRPr="00A728A8">
        <w:rPr>
          <w:lang w:val="en-US"/>
        </w:rPr>
        <w:t xml:space="preserve">to </w:t>
      </w:r>
      <w:r w:rsidR="00B86A09">
        <w:rPr>
          <w:lang w:val="en-US"/>
        </w:rPr>
        <w:t>re</w:t>
      </w:r>
      <w:r w:rsidRPr="00A728A8">
        <w:rPr>
          <w:lang w:val="en-US"/>
        </w:rPr>
        <w:t>convene an Expert Group on the International Telecommunication Regulations (</w:t>
      </w:r>
      <w:r w:rsidRPr="00A728A8">
        <w:rPr>
          <w:rFonts w:asciiTheme="minorHAnsi" w:hAnsiTheme="minorHAnsi" w:cs="TimesNewRoman,Italic"/>
          <w:szCs w:val="24"/>
          <w:lang w:val="en-US" w:eastAsia="zh-CN"/>
        </w:rPr>
        <w:t>EG</w:t>
      </w:r>
      <w:r w:rsidRPr="00A728A8">
        <w:rPr>
          <w:rFonts w:asciiTheme="minorHAnsi" w:hAnsiTheme="minorHAnsi" w:cs="TimesNewRoman,Italic"/>
          <w:szCs w:val="24"/>
          <w:lang w:val="en-US" w:eastAsia="zh-CN"/>
        </w:rPr>
        <w:noBreakHyphen/>
        <w:t>ITR</w:t>
      </w:r>
      <w:r w:rsidR="006C2984">
        <w:rPr>
          <w:rFonts w:asciiTheme="minorHAnsi" w:hAnsiTheme="minorHAnsi" w:cs="TimesNewRoman,Italic"/>
          <w:szCs w:val="24"/>
          <w:lang w:val="en-US" w:eastAsia="zh-CN"/>
        </w:rPr>
        <w:t>s</w:t>
      </w:r>
      <w:r w:rsidRPr="00A728A8">
        <w:rPr>
          <w:lang w:val="en-US"/>
        </w:rPr>
        <w:t>), open to the ITU Member States and Sector Members, with terms of reference and working methods established by the ITU Council, to review those regulations</w:t>
      </w:r>
      <w:r>
        <w:rPr>
          <w:lang w:val="en-US"/>
        </w:rPr>
        <w:t xml:space="preserve">. It also instructs the </w:t>
      </w:r>
      <w:r w:rsidRPr="00A728A8">
        <w:rPr>
          <w:lang w:val="en-US"/>
        </w:rPr>
        <w:t xml:space="preserve">Secretary-General to submit the report of </w:t>
      </w:r>
      <w:r w:rsidRPr="00A728A8">
        <w:rPr>
          <w:rFonts w:asciiTheme="minorHAnsi" w:hAnsiTheme="minorHAnsi" w:cs="TimesNewRoman,Italic"/>
          <w:szCs w:val="24"/>
          <w:lang w:val="en-US" w:eastAsia="zh-CN"/>
        </w:rPr>
        <w:t>EG</w:t>
      </w:r>
      <w:r w:rsidRPr="00A728A8">
        <w:rPr>
          <w:rFonts w:asciiTheme="minorHAnsi" w:hAnsiTheme="minorHAnsi" w:cs="TimesNewRoman,Italic"/>
          <w:szCs w:val="24"/>
          <w:lang w:val="en-US" w:eastAsia="zh-CN"/>
        </w:rPr>
        <w:noBreakHyphen/>
        <w:t>ITR</w:t>
      </w:r>
      <w:r w:rsidR="006C2984">
        <w:rPr>
          <w:rFonts w:asciiTheme="minorHAnsi" w:hAnsiTheme="minorHAnsi" w:cs="TimesNewRoman,Italic"/>
          <w:szCs w:val="24"/>
          <w:lang w:val="en-US" w:eastAsia="zh-CN"/>
        </w:rPr>
        <w:t>s</w:t>
      </w:r>
      <w:r w:rsidRPr="00A728A8">
        <w:rPr>
          <w:lang w:val="en-US"/>
        </w:rPr>
        <w:t xml:space="preserve"> </w:t>
      </w:r>
      <w:r w:rsidR="00514897">
        <w:rPr>
          <w:lang w:val="en-US"/>
        </w:rPr>
        <w:t xml:space="preserve">on the outcome of the review </w:t>
      </w:r>
      <w:r w:rsidRPr="00A728A8">
        <w:rPr>
          <w:lang w:val="en-US"/>
        </w:rPr>
        <w:t>to the Council for consideration, publication and s</w:t>
      </w:r>
      <w:r w:rsidR="00B534B0">
        <w:rPr>
          <w:lang w:val="en-US"/>
        </w:rPr>
        <w:t>ubsequent submission to the 2022</w:t>
      </w:r>
      <w:r w:rsidRPr="00A728A8">
        <w:rPr>
          <w:lang w:val="en-US"/>
        </w:rPr>
        <w:t xml:space="preserve"> </w:t>
      </w:r>
      <w:r w:rsidR="00F53311">
        <w:rPr>
          <w:lang w:val="en-US"/>
        </w:rPr>
        <w:t>Plenipotentiary C</w:t>
      </w:r>
      <w:r w:rsidRPr="00A728A8">
        <w:rPr>
          <w:lang w:val="en-US"/>
        </w:rPr>
        <w:t>onference</w:t>
      </w:r>
      <w:r>
        <w:rPr>
          <w:lang w:val="en-US"/>
        </w:rPr>
        <w:t>.</w:t>
      </w:r>
    </w:p>
    <w:p w14:paraId="1F9E06F3" w14:textId="2A54FEC4" w:rsidR="00E40727" w:rsidRDefault="00E40727" w:rsidP="006C2984">
      <w:pPr>
        <w:pStyle w:val="Call"/>
        <w:tabs>
          <w:tab w:val="clear" w:pos="567"/>
        </w:tabs>
        <w:snapToGrid w:val="0"/>
        <w:spacing w:before="120" w:after="120"/>
        <w:ind w:left="0"/>
        <w:jc w:val="both"/>
        <w:rPr>
          <w:i w:val="0"/>
          <w:iCs/>
          <w:lang w:val="en-US"/>
        </w:rPr>
      </w:pPr>
      <w:r>
        <w:rPr>
          <w:i w:val="0"/>
          <w:iCs/>
          <w:lang w:val="en-US"/>
        </w:rPr>
        <w:lastRenderedPageBreak/>
        <w:t>8</w:t>
      </w:r>
      <w:r>
        <w:rPr>
          <w:i w:val="0"/>
          <w:iCs/>
          <w:lang w:val="en-US"/>
        </w:rPr>
        <w:tab/>
      </w:r>
      <w:r w:rsidRPr="0026045A">
        <w:rPr>
          <w:i w:val="0"/>
          <w:iCs/>
        </w:rPr>
        <w:t>Resolution 146 (</w:t>
      </w:r>
      <w:r>
        <w:rPr>
          <w:i w:val="0"/>
          <w:iCs/>
        </w:rPr>
        <w:t>R</w:t>
      </w:r>
      <w:r w:rsidRPr="0026045A">
        <w:rPr>
          <w:i w:val="0"/>
          <w:iCs/>
        </w:rPr>
        <w:t xml:space="preserve">ev. </w:t>
      </w:r>
      <w:r w:rsidR="00B534B0" w:rsidRPr="00B534B0">
        <w:rPr>
          <w:i w:val="0"/>
        </w:rPr>
        <w:t>Dubai, 2018</w:t>
      </w:r>
      <w:r w:rsidRPr="0026045A">
        <w:rPr>
          <w:i w:val="0"/>
          <w:iCs/>
        </w:rPr>
        <w:t>)</w:t>
      </w:r>
      <w:r>
        <w:rPr>
          <w:i w:val="0"/>
          <w:iCs/>
        </w:rPr>
        <w:t xml:space="preserve"> </w:t>
      </w:r>
      <w:r w:rsidRPr="0026045A">
        <w:rPr>
          <w:i w:val="0"/>
          <w:iCs/>
          <w:lang w:val="en-US"/>
        </w:rPr>
        <w:t>instructs the Council</w:t>
      </w:r>
      <w:r>
        <w:rPr>
          <w:i w:val="0"/>
          <w:iCs/>
          <w:lang w:val="en-US"/>
        </w:rPr>
        <w:t xml:space="preserve"> to </w:t>
      </w:r>
      <w:r w:rsidR="009E055F">
        <w:rPr>
          <w:i w:val="0"/>
          <w:iCs/>
          <w:lang w:val="en-US"/>
        </w:rPr>
        <w:t xml:space="preserve">review and revise, at its 2019 session, the </w:t>
      </w:r>
      <w:r w:rsidRPr="0026045A">
        <w:rPr>
          <w:i w:val="0"/>
          <w:iCs/>
          <w:lang w:val="en-US"/>
        </w:rPr>
        <w:t>terms of reference for EG</w:t>
      </w:r>
      <w:r w:rsidRPr="0026045A">
        <w:rPr>
          <w:i w:val="0"/>
          <w:iCs/>
          <w:lang w:val="en-US"/>
        </w:rPr>
        <w:noBreakHyphen/>
        <w:t>ITR</w:t>
      </w:r>
      <w:r w:rsidR="006C2984">
        <w:rPr>
          <w:i w:val="0"/>
          <w:iCs/>
          <w:lang w:val="en-US"/>
        </w:rPr>
        <w:t>s</w:t>
      </w:r>
      <w:r w:rsidR="00514897">
        <w:rPr>
          <w:i w:val="0"/>
          <w:iCs/>
          <w:lang w:val="en-US"/>
        </w:rPr>
        <w:t xml:space="preserve"> referred to above</w:t>
      </w:r>
      <w:r w:rsidRPr="0026045A">
        <w:rPr>
          <w:i w:val="0"/>
          <w:iCs/>
          <w:lang w:val="en-US"/>
        </w:rPr>
        <w:t>;</w:t>
      </w:r>
      <w:r>
        <w:rPr>
          <w:i w:val="0"/>
          <w:iCs/>
          <w:lang w:val="en-US"/>
        </w:rPr>
        <w:t xml:space="preserve"> and </w:t>
      </w:r>
      <w:r w:rsidRPr="0026045A">
        <w:rPr>
          <w:i w:val="0"/>
          <w:iCs/>
          <w:lang w:val="en-US"/>
        </w:rPr>
        <w:t>to examine the report</w:t>
      </w:r>
      <w:r w:rsidR="00514897">
        <w:rPr>
          <w:i w:val="0"/>
          <w:iCs/>
          <w:lang w:val="en-US"/>
        </w:rPr>
        <w:t>s</w:t>
      </w:r>
      <w:r w:rsidRPr="0026045A">
        <w:rPr>
          <w:i w:val="0"/>
          <w:iCs/>
          <w:lang w:val="en-US"/>
        </w:rPr>
        <w:t xml:space="preserve"> of </w:t>
      </w:r>
      <w:r w:rsidRPr="0026045A">
        <w:rPr>
          <w:rFonts w:asciiTheme="minorHAnsi" w:hAnsiTheme="minorHAnsi" w:cs="TimesNewRoman,Italic"/>
          <w:i w:val="0"/>
          <w:iCs/>
          <w:szCs w:val="24"/>
          <w:lang w:val="en-US" w:eastAsia="zh-CN"/>
        </w:rPr>
        <w:t>EG</w:t>
      </w:r>
      <w:r w:rsidRPr="0026045A">
        <w:rPr>
          <w:rFonts w:asciiTheme="minorHAnsi" w:hAnsiTheme="minorHAnsi" w:cs="TimesNewRoman,Italic"/>
          <w:i w:val="0"/>
          <w:iCs/>
          <w:szCs w:val="24"/>
          <w:lang w:val="en-US" w:eastAsia="zh-CN"/>
        </w:rPr>
        <w:noBreakHyphen/>
        <w:t>ITR</w:t>
      </w:r>
      <w:r w:rsidR="006C2984">
        <w:rPr>
          <w:rFonts w:asciiTheme="minorHAnsi" w:hAnsiTheme="minorHAnsi" w:cs="TimesNewRoman,Italic"/>
          <w:i w:val="0"/>
          <w:iCs/>
          <w:szCs w:val="24"/>
          <w:lang w:val="en-US" w:eastAsia="zh-CN"/>
        </w:rPr>
        <w:t>s</w:t>
      </w:r>
      <w:r w:rsidRPr="0026045A">
        <w:rPr>
          <w:i w:val="0"/>
          <w:iCs/>
          <w:lang w:val="en-US"/>
        </w:rPr>
        <w:t xml:space="preserve"> </w:t>
      </w:r>
      <w:r w:rsidR="00514897">
        <w:rPr>
          <w:i w:val="0"/>
          <w:iCs/>
          <w:lang w:val="en-US"/>
        </w:rPr>
        <w:t>at its annual sessions and submit the final report of the EG-ITR</w:t>
      </w:r>
      <w:r w:rsidR="006C2984">
        <w:rPr>
          <w:i w:val="0"/>
          <w:iCs/>
          <w:lang w:val="en-US"/>
        </w:rPr>
        <w:t>s</w:t>
      </w:r>
      <w:r w:rsidR="00514897">
        <w:rPr>
          <w:i w:val="0"/>
          <w:iCs/>
          <w:lang w:val="en-US"/>
        </w:rPr>
        <w:t xml:space="preserve"> </w:t>
      </w:r>
      <w:r w:rsidR="009E055F">
        <w:rPr>
          <w:i w:val="0"/>
          <w:iCs/>
          <w:lang w:val="en-US"/>
        </w:rPr>
        <w:t>to the 2022</w:t>
      </w:r>
      <w:r w:rsidR="006C2984">
        <w:rPr>
          <w:i w:val="0"/>
          <w:iCs/>
          <w:lang w:val="en-US"/>
        </w:rPr>
        <w:t xml:space="preserve"> Plenipotentiary C</w:t>
      </w:r>
      <w:r w:rsidRPr="0026045A">
        <w:rPr>
          <w:i w:val="0"/>
          <w:iCs/>
          <w:lang w:val="en-US"/>
        </w:rPr>
        <w:t>onference with the Council</w:t>
      </w:r>
      <w:r w:rsidR="00F53311">
        <w:rPr>
          <w:i w:val="0"/>
          <w:iCs/>
          <w:lang w:val="en-US"/>
        </w:rPr>
        <w:t>’</w:t>
      </w:r>
      <w:r w:rsidRPr="0026045A">
        <w:rPr>
          <w:i w:val="0"/>
          <w:iCs/>
          <w:lang w:val="en-US"/>
        </w:rPr>
        <w:t>s comments.</w:t>
      </w:r>
    </w:p>
    <w:p w14:paraId="0C7D5B6B" w14:textId="679E5451" w:rsidR="00E40727" w:rsidRPr="00BE15FE" w:rsidRDefault="00E40727" w:rsidP="006C2984">
      <w:pPr>
        <w:pStyle w:val="Call"/>
        <w:tabs>
          <w:tab w:val="clear" w:pos="567"/>
        </w:tabs>
        <w:snapToGrid w:val="0"/>
        <w:spacing w:before="120" w:after="120"/>
        <w:ind w:left="0"/>
        <w:jc w:val="both"/>
        <w:rPr>
          <w:i w:val="0"/>
          <w:iCs/>
          <w:lang w:val="en-US"/>
        </w:rPr>
      </w:pPr>
      <w:r>
        <w:rPr>
          <w:i w:val="0"/>
          <w:iCs/>
        </w:rPr>
        <w:t>9</w:t>
      </w:r>
      <w:r>
        <w:rPr>
          <w:i w:val="0"/>
          <w:iCs/>
        </w:rPr>
        <w:tab/>
      </w:r>
      <w:r w:rsidRPr="0026045A">
        <w:rPr>
          <w:i w:val="0"/>
          <w:iCs/>
        </w:rPr>
        <w:t>Resolution 146 (</w:t>
      </w:r>
      <w:r>
        <w:rPr>
          <w:i w:val="0"/>
          <w:iCs/>
        </w:rPr>
        <w:t>R</w:t>
      </w:r>
      <w:r w:rsidRPr="0026045A">
        <w:rPr>
          <w:i w:val="0"/>
          <w:iCs/>
        </w:rPr>
        <w:t xml:space="preserve">ev. </w:t>
      </w:r>
      <w:r w:rsidR="009E055F" w:rsidRPr="009E055F">
        <w:rPr>
          <w:i w:val="0"/>
          <w:iCs/>
        </w:rPr>
        <w:t>Dubai, 2018</w:t>
      </w:r>
      <w:r w:rsidRPr="0026045A">
        <w:rPr>
          <w:i w:val="0"/>
          <w:iCs/>
        </w:rPr>
        <w:t>)</w:t>
      </w:r>
      <w:r>
        <w:rPr>
          <w:i w:val="0"/>
          <w:iCs/>
        </w:rPr>
        <w:t xml:space="preserve"> </w:t>
      </w:r>
      <w:r w:rsidRPr="00BE15FE">
        <w:rPr>
          <w:i w:val="0"/>
          <w:iCs/>
          <w:lang w:val="en-US"/>
        </w:rPr>
        <w:t xml:space="preserve">instructs the Directors of the </w:t>
      </w:r>
      <w:proofErr w:type="spellStart"/>
      <w:r w:rsidRPr="00BE15FE">
        <w:rPr>
          <w:i w:val="0"/>
          <w:iCs/>
          <w:lang w:val="en-US"/>
        </w:rPr>
        <w:t>Bureaux</w:t>
      </w:r>
      <w:proofErr w:type="spellEnd"/>
      <w:r>
        <w:rPr>
          <w:i w:val="0"/>
          <w:iCs/>
          <w:lang w:val="en-US"/>
        </w:rPr>
        <w:t xml:space="preserve">, </w:t>
      </w:r>
      <w:r w:rsidRPr="00BE15FE">
        <w:rPr>
          <w:i w:val="0"/>
          <w:iCs/>
          <w:lang w:val="en-US"/>
        </w:rPr>
        <w:t xml:space="preserve">each within their field of competence, with advice from the relevant advisory group, to contribute to the </w:t>
      </w:r>
      <w:r w:rsidR="007B3D9C">
        <w:rPr>
          <w:i w:val="0"/>
          <w:iCs/>
          <w:lang w:val="en-US"/>
        </w:rPr>
        <w:t>activities of EG-ITR</w:t>
      </w:r>
      <w:r w:rsidR="006C2984">
        <w:rPr>
          <w:i w:val="0"/>
          <w:iCs/>
          <w:lang w:val="en-US"/>
        </w:rPr>
        <w:t>s</w:t>
      </w:r>
      <w:r w:rsidRPr="00BE15FE">
        <w:rPr>
          <w:i w:val="0"/>
          <w:iCs/>
          <w:lang w:val="en-US"/>
        </w:rPr>
        <w:t xml:space="preserve">, recognizing that the ITU Telecommunication Standardization Sector has most of the work relevant to the </w:t>
      </w:r>
      <w:r>
        <w:rPr>
          <w:i w:val="0"/>
          <w:iCs/>
          <w:lang w:val="en-US"/>
        </w:rPr>
        <w:t xml:space="preserve">ITRs. The Directors are instructed to </w:t>
      </w:r>
      <w:r w:rsidRPr="00BE15FE">
        <w:rPr>
          <w:i w:val="0"/>
          <w:iCs/>
          <w:lang w:val="en-US"/>
        </w:rPr>
        <w:t xml:space="preserve">submit the results of their work to </w:t>
      </w:r>
      <w:r w:rsidRPr="00BE15FE">
        <w:rPr>
          <w:rFonts w:asciiTheme="minorHAnsi" w:hAnsiTheme="minorHAnsi" w:cs="TimesNewRoman,Italic"/>
          <w:i w:val="0"/>
          <w:iCs/>
          <w:szCs w:val="24"/>
          <w:lang w:val="en-US" w:eastAsia="zh-CN"/>
        </w:rPr>
        <w:t>EG</w:t>
      </w:r>
      <w:r w:rsidRPr="00BE15FE">
        <w:rPr>
          <w:rFonts w:asciiTheme="minorHAnsi" w:hAnsiTheme="minorHAnsi" w:cs="TimesNewRoman,Italic"/>
          <w:i w:val="0"/>
          <w:iCs/>
          <w:szCs w:val="24"/>
          <w:lang w:val="en-US" w:eastAsia="zh-CN"/>
        </w:rPr>
        <w:noBreakHyphen/>
        <w:t>ITR</w:t>
      </w:r>
      <w:r w:rsidR="006C2984">
        <w:rPr>
          <w:rFonts w:asciiTheme="minorHAnsi" w:hAnsiTheme="minorHAnsi" w:cs="TimesNewRoman,Italic"/>
          <w:i w:val="0"/>
          <w:iCs/>
          <w:szCs w:val="24"/>
          <w:lang w:val="en-US" w:eastAsia="zh-CN"/>
        </w:rPr>
        <w:t>s</w:t>
      </w:r>
      <w:r>
        <w:rPr>
          <w:i w:val="0"/>
          <w:iCs/>
          <w:lang w:val="en-US"/>
        </w:rPr>
        <w:t>. The Directors are also instructed to</w:t>
      </w:r>
      <w:r w:rsidRPr="00BE15FE">
        <w:rPr>
          <w:i w:val="0"/>
          <w:iCs/>
          <w:lang w:val="en-US"/>
        </w:rPr>
        <w:t xml:space="preserve"> </w:t>
      </w:r>
      <w:r w:rsidR="007B3D9C">
        <w:rPr>
          <w:i w:val="0"/>
          <w:iCs/>
          <w:lang w:val="en-US"/>
        </w:rPr>
        <w:t xml:space="preserve">consider </w:t>
      </w:r>
      <w:r w:rsidRPr="00BE15FE">
        <w:rPr>
          <w:i w:val="0"/>
          <w:iCs/>
          <w:lang w:val="en-US"/>
        </w:rPr>
        <w:t>providing fellowships, where resources are available, for developing</w:t>
      </w:r>
      <w:r w:rsidR="00D24757" w:rsidRPr="00BE15FE">
        <w:rPr>
          <w:rStyle w:val="FootnoteReference"/>
          <w:i w:val="0"/>
          <w:iCs/>
          <w:lang w:val="en-US"/>
        </w:rPr>
        <w:footnoteReference w:customMarkFollows="1" w:id="1"/>
        <w:t>1</w:t>
      </w:r>
      <w:r w:rsidRPr="00BE15FE">
        <w:rPr>
          <w:i w:val="0"/>
          <w:iCs/>
          <w:lang w:val="en-US"/>
        </w:rPr>
        <w:t xml:space="preserve"> and least developed countries according to the list established by the United Nations</w:t>
      </w:r>
      <w:r w:rsidR="007B3D9C">
        <w:rPr>
          <w:i w:val="0"/>
          <w:iCs/>
          <w:lang w:val="en-US"/>
        </w:rPr>
        <w:t>,</w:t>
      </w:r>
      <w:r w:rsidRPr="00BE15FE">
        <w:rPr>
          <w:i w:val="0"/>
          <w:iCs/>
          <w:lang w:val="en-US"/>
        </w:rPr>
        <w:t xml:space="preserve"> in order to widen their participation in the expert group</w:t>
      </w:r>
      <w:r>
        <w:rPr>
          <w:i w:val="0"/>
          <w:iCs/>
          <w:lang w:val="en-US"/>
        </w:rPr>
        <w:t>.</w:t>
      </w:r>
    </w:p>
    <w:p w14:paraId="0AAA5200" w14:textId="0FE1818B" w:rsidR="00264425" w:rsidRPr="007B3D9C" w:rsidRDefault="004C0BFF" w:rsidP="004C0BFF">
      <w:pPr>
        <w:spacing w:before="840"/>
        <w:jc w:val="center"/>
      </w:pPr>
      <w:r>
        <w:rPr>
          <w:lang w:val="en-US"/>
        </w:rPr>
        <w:t>_______________________</w:t>
      </w:r>
    </w:p>
    <w:sectPr w:rsidR="00264425" w:rsidRPr="007B3D9C" w:rsidSect="004D1851">
      <w:head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5C0FA" w14:textId="77777777" w:rsidR="00E80700" w:rsidRDefault="00E80700">
      <w:r>
        <w:separator/>
      </w:r>
    </w:p>
  </w:endnote>
  <w:endnote w:type="continuationSeparator" w:id="0">
    <w:p w14:paraId="0B6771A8" w14:textId="77777777" w:rsidR="00E80700" w:rsidRDefault="00E80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D94D4" w14:textId="328ADFD0" w:rsidR="00322D0D" w:rsidRPr="00F53311" w:rsidRDefault="00322D0D" w:rsidP="00F53311">
    <w:pPr>
      <w:spacing w:after="120"/>
      <w:jc w:val="center"/>
      <w:rPr>
        <w:sz w:val="22"/>
        <w:szCs w:val="22"/>
      </w:rPr>
    </w:pPr>
    <w:r w:rsidRPr="004C0BFF">
      <w:rPr>
        <w:sz w:val="22"/>
        <w:szCs w:val="22"/>
      </w:rPr>
      <w:t xml:space="preserve">• </w:t>
    </w:r>
    <w:hyperlink r:id="rId1" w:history="1">
      <w:r w:rsidRPr="004C0BFF">
        <w:rPr>
          <w:rStyle w:val="Hyperlink"/>
          <w:sz w:val="22"/>
          <w:szCs w:val="22"/>
        </w:rPr>
        <w:t>http://www.itu.int/council</w:t>
      </w:r>
    </w:hyperlink>
    <w:r w:rsidRPr="004C0BFF">
      <w:rPr>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D5189" w14:textId="77777777" w:rsidR="00E80700" w:rsidRDefault="00E80700">
      <w:r>
        <w:t>____________________</w:t>
      </w:r>
    </w:p>
  </w:footnote>
  <w:footnote w:type="continuationSeparator" w:id="0">
    <w:p w14:paraId="39E534E4" w14:textId="77777777" w:rsidR="00E80700" w:rsidRDefault="00E80700">
      <w:r>
        <w:continuationSeparator/>
      </w:r>
    </w:p>
  </w:footnote>
  <w:footnote w:id="1">
    <w:p w14:paraId="43FCA9F3" w14:textId="77777777" w:rsidR="00D24757" w:rsidRPr="00010A10" w:rsidRDefault="00D24757" w:rsidP="00D24757">
      <w:pPr>
        <w:pStyle w:val="FootnoteText"/>
        <w:rPr>
          <w:lang w:val="en-US"/>
        </w:rPr>
      </w:pPr>
      <w:r>
        <w:rPr>
          <w:rStyle w:val="FootnoteReference"/>
        </w:rPr>
        <w:t>1</w:t>
      </w:r>
      <w:r>
        <w:t xml:space="preserve"> </w:t>
      </w:r>
      <w:r>
        <w:tab/>
      </w:r>
      <w:r w:rsidRPr="004C0BFF">
        <w:rPr>
          <w:sz w:val="20"/>
        </w:rPr>
        <w:t xml:space="preserve">These include the least developed countries, </w:t>
      </w:r>
      <w:proofErr w:type="gramStart"/>
      <w:r w:rsidRPr="004C0BFF">
        <w:rPr>
          <w:sz w:val="20"/>
        </w:rPr>
        <w:t>small island</w:t>
      </w:r>
      <w:proofErr w:type="gramEnd"/>
      <w:r w:rsidRPr="004C0BFF">
        <w:rPr>
          <w:sz w:val="20"/>
        </w:rPr>
        <w:t xml:space="preserve">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29DCA" w14:textId="6D7C0783" w:rsidR="00322D0D" w:rsidRDefault="006535F1" w:rsidP="00CE433C">
    <w:pPr>
      <w:pStyle w:val="Header"/>
    </w:pPr>
    <w:r>
      <w:fldChar w:fldCharType="begin"/>
    </w:r>
    <w:r>
      <w:instrText>PAGE</w:instrText>
    </w:r>
    <w:r>
      <w:fldChar w:fldCharType="separate"/>
    </w:r>
    <w:r w:rsidR="00DD2619">
      <w:rPr>
        <w:noProof/>
      </w:rPr>
      <w:t>2</w:t>
    </w:r>
    <w:r>
      <w:rPr>
        <w:noProof/>
      </w:rPr>
      <w:fldChar w:fldCharType="end"/>
    </w:r>
  </w:p>
  <w:p w14:paraId="132C20CF" w14:textId="1ACED312" w:rsidR="00322D0D" w:rsidRPr="00623AE3" w:rsidRDefault="00FA4575" w:rsidP="005243FF">
    <w:pPr>
      <w:pStyle w:val="Header"/>
      <w:rPr>
        <w:bCs/>
      </w:rPr>
    </w:pPr>
    <w:r>
      <w:rPr>
        <w:bCs/>
      </w:rPr>
      <w:t>C19</w:t>
    </w:r>
    <w:r w:rsidR="004C0BFF">
      <w:rPr>
        <w:bCs/>
      </w:rPr>
      <w:t>/26</w:t>
    </w:r>
    <w:r w:rsidR="00623AE3"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05C2A"/>
    <w:rsid w:val="000210D4"/>
    <w:rsid w:val="00063016"/>
    <w:rsid w:val="00066795"/>
    <w:rsid w:val="00076AF6"/>
    <w:rsid w:val="00085CF2"/>
    <w:rsid w:val="000B1705"/>
    <w:rsid w:val="000B7969"/>
    <w:rsid w:val="000D75B2"/>
    <w:rsid w:val="001121F5"/>
    <w:rsid w:val="001400DC"/>
    <w:rsid w:val="00140CE1"/>
    <w:rsid w:val="00173A41"/>
    <w:rsid w:val="0017539C"/>
    <w:rsid w:val="00175AC2"/>
    <w:rsid w:val="0017609F"/>
    <w:rsid w:val="001859E0"/>
    <w:rsid w:val="001C628E"/>
    <w:rsid w:val="001E0F7B"/>
    <w:rsid w:val="002119FD"/>
    <w:rsid w:val="002130E0"/>
    <w:rsid w:val="00264425"/>
    <w:rsid w:val="00265875"/>
    <w:rsid w:val="002701FE"/>
    <w:rsid w:val="0027303B"/>
    <w:rsid w:val="0028109B"/>
    <w:rsid w:val="00281496"/>
    <w:rsid w:val="002A2188"/>
    <w:rsid w:val="002B1F58"/>
    <w:rsid w:val="002C1C7A"/>
    <w:rsid w:val="0030160F"/>
    <w:rsid w:val="00322D0D"/>
    <w:rsid w:val="003942D4"/>
    <w:rsid w:val="003958A8"/>
    <w:rsid w:val="003C2533"/>
    <w:rsid w:val="003D655A"/>
    <w:rsid w:val="0040435A"/>
    <w:rsid w:val="00416A24"/>
    <w:rsid w:val="00431D9E"/>
    <w:rsid w:val="00433CE8"/>
    <w:rsid w:val="00434A5C"/>
    <w:rsid w:val="00452A4E"/>
    <w:rsid w:val="004544D9"/>
    <w:rsid w:val="00474A76"/>
    <w:rsid w:val="00490E72"/>
    <w:rsid w:val="00491157"/>
    <w:rsid w:val="004921C8"/>
    <w:rsid w:val="004C0BFF"/>
    <w:rsid w:val="004D1851"/>
    <w:rsid w:val="004D599D"/>
    <w:rsid w:val="004E2EA5"/>
    <w:rsid w:val="004E3AEB"/>
    <w:rsid w:val="0050223C"/>
    <w:rsid w:val="00514897"/>
    <w:rsid w:val="005243FF"/>
    <w:rsid w:val="00552012"/>
    <w:rsid w:val="00564FBC"/>
    <w:rsid w:val="00582442"/>
    <w:rsid w:val="005F3269"/>
    <w:rsid w:val="00623AE3"/>
    <w:rsid w:val="00627615"/>
    <w:rsid w:val="0064737F"/>
    <w:rsid w:val="006535F1"/>
    <w:rsid w:val="0065557D"/>
    <w:rsid w:val="00662984"/>
    <w:rsid w:val="006716BB"/>
    <w:rsid w:val="006B6680"/>
    <w:rsid w:val="006B6DCC"/>
    <w:rsid w:val="006C2984"/>
    <w:rsid w:val="006C7974"/>
    <w:rsid w:val="006F0F83"/>
    <w:rsid w:val="00702DEF"/>
    <w:rsid w:val="00706861"/>
    <w:rsid w:val="00735838"/>
    <w:rsid w:val="0075051B"/>
    <w:rsid w:val="00793188"/>
    <w:rsid w:val="00794D34"/>
    <w:rsid w:val="007B3D9C"/>
    <w:rsid w:val="007F7D33"/>
    <w:rsid w:val="00813E5E"/>
    <w:rsid w:val="0083581B"/>
    <w:rsid w:val="00864AFF"/>
    <w:rsid w:val="008A4FC8"/>
    <w:rsid w:val="008B4A6A"/>
    <w:rsid w:val="008C7E27"/>
    <w:rsid w:val="008F3FB5"/>
    <w:rsid w:val="009173EF"/>
    <w:rsid w:val="00932906"/>
    <w:rsid w:val="00933881"/>
    <w:rsid w:val="00961B0B"/>
    <w:rsid w:val="009B38C3"/>
    <w:rsid w:val="009E055F"/>
    <w:rsid w:val="009E17BD"/>
    <w:rsid w:val="009E485A"/>
    <w:rsid w:val="00A04CEC"/>
    <w:rsid w:val="00A27F92"/>
    <w:rsid w:val="00A32257"/>
    <w:rsid w:val="00A36D20"/>
    <w:rsid w:val="00A55622"/>
    <w:rsid w:val="00A604D1"/>
    <w:rsid w:val="00A83502"/>
    <w:rsid w:val="00AD15B3"/>
    <w:rsid w:val="00AF6E49"/>
    <w:rsid w:val="00B04A67"/>
    <w:rsid w:val="00B0583C"/>
    <w:rsid w:val="00B40A81"/>
    <w:rsid w:val="00B44910"/>
    <w:rsid w:val="00B534B0"/>
    <w:rsid w:val="00B72267"/>
    <w:rsid w:val="00B75A85"/>
    <w:rsid w:val="00B76EB6"/>
    <w:rsid w:val="00B7737B"/>
    <w:rsid w:val="00B824C8"/>
    <w:rsid w:val="00B86A09"/>
    <w:rsid w:val="00BC251A"/>
    <w:rsid w:val="00BD032B"/>
    <w:rsid w:val="00BE2640"/>
    <w:rsid w:val="00C01189"/>
    <w:rsid w:val="00C2145E"/>
    <w:rsid w:val="00C374DE"/>
    <w:rsid w:val="00C47AD4"/>
    <w:rsid w:val="00C52D81"/>
    <w:rsid w:val="00C55198"/>
    <w:rsid w:val="00CA2437"/>
    <w:rsid w:val="00CA6393"/>
    <w:rsid w:val="00CB18FF"/>
    <w:rsid w:val="00CD0C08"/>
    <w:rsid w:val="00CE03FB"/>
    <w:rsid w:val="00CE433C"/>
    <w:rsid w:val="00CF33F3"/>
    <w:rsid w:val="00D04E39"/>
    <w:rsid w:val="00D06183"/>
    <w:rsid w:val="00D15449"/>
    <w:rsid w:val="00D22C42"/>
    <w:rsid w:val="00D24757"/>
    <w:rsid w:val="00D65041"/>
    <w:rsid w:val="00DB384B"/>
    <w:rsid w:val="00DD2619"/>
    <w:rsid w:val="00E10E80"/>
    <w:rsid w:val="00E124F0"/>
    <w:rsid w:val="00E40727"/>
    <w:rsid w:val="00E41AA2"/>
    <w:rsid w:val="00E465F1"/>
    <w:rsid w:val="00E60F04"/>
    <w:rsid w:val="00E80700"/>
    <w:rsid w:val="00E854E4"/>
    <w:rsid w:val="00EB0D6F"/>
    <w:rsid w:val="00EB2232"/>
    <w:rsid w:val="00EC5337"/>
    <w:rsid w:val="00F2150A"/>
    <w:rsid w:val="00F231D8"/>
    <w:rsid w:val="00F46C5F"/>
    <w:rsid w:val="00F53311"/>
    <w:rsid w:val="00F94A63"/>
    <w:rsid w:val="00FA1C28"/>
    <w:rsid w:val="00FA4575"/>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25B4D17"/>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 + 11 pt,Italic,Appel note de bas de p,Footnote Reference/,Footnote symbol,Ref,de nota al pie"/>
    <w:basedOn w:val="DefaultParagraphFont"/>
    <w:rsid w:val="00813E5E"/>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4C0BFF"/>
    <w:pPr>
      <w:framePr w:hSpace="180" w:wrap="around" w:hAnchor="margin" w:y="-675"/>
      <w:spacing w:before="72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customStyle="1" w:styleId="Rec">
    <w:name w:val="Rec_#"/>
    <w:basedOn w:val="Normal"/>
    <w:next w:val="Rectitle"/>
    <w:rsid w:val="00E40727"/>
    <w:pPr>
      <w:keepNext/>
      <w:keepLines/>
      <w:tabs>
        <w:tab w:val="clear" w:pos="567"/>
        <w:tab w:val="clear" w:pos="1134"/>
        <w:tab w:val="clear" w:pos="1701"/>
        <w:tab w:val="clear" w:pos="2268"/>
        <w:tab w:val="clear" w:pos="2835"/>
      </w:tabs>
      <w:overflowPunct/>
      <w:autoSpaceDE/>
      <w:autoSpaceDN/>
      <w:adjustRightInd/>
      <w:spacing w:before="480" w:after="200" w:line="276" w:lineRule="auto"/>
      <w:ind w:left="714" w:hanging="357"/>
      <w:jc w:val="center"/>
      <w:textAlignment w:val="auto"/>
    </w:pPr>
    <w:rPr>
      <w:rFonts w:asciiTheme="minorHAnsi" w:eastAsiaTheme="minorEastAsia" w:hAnsiTheme="minorHAnsi" w:cstheme="minorBidi"/>
      <w:caps/>
      <w:sz w:val="28"/>
      <w:szCs w:val="22"/>
      <w:lang w:val="en-US" w:eastAsia="zh-CN"/>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E40727"/>
    <w:rPr>
      <w:rFonts w:ascii="Calibri" w:hAnsi="Calibri"/>
      <w:sz w:val="24"/>
      <w:lang w:val="en-GB" w:eastAsia="en-US"/>
    </w:rPr>
  </w:style>
  <w:style w:type="character" w:styleId="CommentReference">
    <w:name w:val="annotation reference"/>
    <w:basedOn w:val="DefaultParagraphFont"/>
    <w:semiHidden/>
    <w:unhideWhenUsed/>
    <w:rsid w:val="00E41AA2"/>
    <w:rPr>
      <w:sz w:val="16"/>
      <w:szCs w:val="16"/>
    </w:rPr>
  </w:style>
  <w:style w:type="paragraph" w:styleId="CommentText">
    <w:name w:val="annotation text"/>
    <w:basedOn w:val="Normal"/>
    <w:link w:val="CommentTextChar"/>
    <w:semiHidden/>
    <w:unhideWhenUsed/>
    <w:rsid w:val="00E41AA2"/>
    <w:rPr>
      <w:sz w:val="20"/>
    </w:rPr>
  </w:style>
  <w:style w:type="character" w:customStyle="1" w:styleId="CommentTextChar">
    <w:name w:val="Comment Text Char"/>
    <w:basedOn w:val="DefaultParagraphFont"/>
    <w:link w:val="CommentText"/>
    <w:semiHidden/>
    <w:rsid w:val="00E41AA2"/>
    <w:rPr>
      <w:rFonts w:ascii="Calibri" w:hAnsi="Calibri"/>
      <w:lang w:val="en-GB" w:eastAsia="en-US"/>
    </w:rPr>
  </w:style>
  <w:style w:type="paragraph" w:styleId="CommentSubject">
    <w:name w:val="annotation subject"/>
    <w:basedOn w:val="CommentText"/>
    <w:next w:val="CommentText"/>
    <w:link w:val="CommentSubjectChar"/>
    <w:semiHidden/>
    <w:unhideWhenUsed/>
    <w:rsid w:val="00E41AA2"/>
    <w:rPr>
      <w:b/>
      <w:bCs/>
    </w:rPr>
  </w:style>
  <w:style w:type="character" w:customStyle="1" w:styleId="CommentSubjectChar">
    <w:name w:val="Comment Subject Char"/>
    <w:basedOn w:val="CommentTextChar"/>
    <w:link w:val="CommentSubject"/>
    <w:semiHidden/>
    <w:rsid w:val="00E41AA2"/>
    <w:rPr>
      <w:rFonts w:ascii="Calibri" w:hAnsi="Calibri"/>
      <w:b/>
      <w:bCs/>
      <w:lang w:val="en-GB" w:eastAsia="en-US"/>
    </w:rPr>
  </w:style>
  <w:style w:type="paragraph" w:styleId="BalloonText">
    <w:name w:val="Balloon Text"/>
    <w:basedOn w:val="Normal"/>
    <w:link w:val="BalloonTextChar"/>
    <w:semiHidden/>
    <w:unhideWhenUsed/>
    <w:rsid w:val="00E41AA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41AA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online/mm/scripts/mm.final-acts.list?_languageid=1&amp;_agrmts_type=WCIT-201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osg/wcit-12/highlights/signatories.html" TargetMode="External"/><Relationship Id="rId4" Type="http://schemas.openxmlformats.org/officeDocument/2006/relationships/settings" Target="settings.xml"/><Relationship Id="rId9" Type="http://schemas.openxmlformats.org/officeDocument/2006/relationships/hyperlink" Target="https://www.itu.int/en/council/2019/Documents/basic-texts/RES-146-E.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D9F96-DA00-4C89-ADF0-DDA55E3CC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3349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Review process of the ITRs</vt:lpstr>
    </vt:vector>
  </TitlesOfParts>
  <Manager>General Secretariat - Pool</Manager>
  <Company>International Telecommunication Union (ITU)</Company>
  <LinksUpToDate>false</LinksUpToDate>
  <CharactersWithSpaces>3857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process of the ITRs</dc:title>
  <dc:subject>Council 2019</dc:subject>
  <dc:creator>Brouard, Ricarda</dc:creator>
  <cp:keywords>C2019, C19</cp:keywords>
  <dc:description/>
  <cp:lastModifiedBy>Janin, Patricia</cp:lastModifiedBy>
  <cp:revision>2</cp:revision>
  <cp:lastPrinted>2000-07-18T13:30:00Z</cp:lastPrinted>
  <dcterms:created xsi:type="dcterms:W3CDTF">2019-05-13T09:49:00Z</dcterms:created>
  <dcterms:modified xsi:type="dcterms:W3CDTF">2019-05-13T09:49:00Z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