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0" w:name="ditulogo"/>
            <w:bookmarkEnd w:id="0"/>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6935EB">
            <w:pPr>
              <w:spacing w:before="0" w:line="240" w:lineRule="atLeast"/>
              <w:rPr>
                <w:b/>
                <w:smallCaps/>
                <w:szCs w:val="24"/>
              </w:rPr>
            </w:pPr>
          </w:p>
        </w:tc>
        <w:tc>
          <w:tcPr>
            <w:tcW w:w="3120" w:type="dxa"/>
            <w:tcBorders>
              <w:top w:val="single" w:sz="12" w:space="0" w:color="auto"/>
            </w:tcBorders>
          </w:tcPr>
          <w:p w:rsidR="002A2188" w:rsidRPr="00813E5E" w:rsidRDefault="002A2188" w:rsidP="006935EB">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3180B" w:rsidP="00D04E39">
            <w:pPr>
              <w:tabs>
                <w:tab w:val="left" w:pos="851"/>
              </w:tabs>
              <w:spacing w:before="0" w:line="240" w:lineRule="atLeast"/>
              <w:rPr>
                <w:b/>
              </w:rPr>
            </w:pPr>
            <w:bookmarkStart w:id="1" w:name="dmeeting" w:colFirst="0" w:colLast="0"/>
            <w:bookmarkStart w:id="2" w:name="dnum" w:colFirst="1" w:colLast="1"/>
            <w:r>
              <w:rPr>
                <w:b/>
              </w:rPr>
              <w:t>Agenda item: PL 1.4</w:t>
            </w:r>
          </w:p>
        </w:tc>
        <w:tc>
          <w:tcPr>
            <w:tcW w:w="3120" w:type="dxa"/>
          </w:tcPr>
          <w:p w:rsidR="002A2188" w:rsidRPr="00E85629" w:rsidRDefault="002A2188" w:rsidP="000B4984">
            <w:pPr>
              <w:tabs>
                <w:tab w:val="left" w:pos="851"/>
              </w:tabs>
              <w:spacing w:before="0" w:line="240" w:lineRule="atLeast"/>
              <w:rPr>
                <w:b/>
              </w:rPr>
            </w:pPr>
            <w:r>
              <w:rPr>
                <w:b/>
              </w:rPr>
              <w:t>Document C1</w:t>
            </w:r>
            <w:r w:rsidR="00FA4575">
              <w:rPr>
                <w:b/>
              </w:rPr>
              <w:t>9</w:t>
            </w:r>
            <w:r w:rsidR="000B4984">
              <w:rPr>
                <w:b/>
              </w:rPr>
              <w:t>/33</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rsidR="002A2188" w:rsidRPr="00E85629" w:rsidRDefault="006935EB" w:rsidP="0098372A">
            <w:pPr>
              <w:tabs>
                <w:tab w:val="left" w:pos="993"/>
              </w:tabs>
              <w:spacing w:before="0"/>
              <w:rPr>
                <w:b/>
              </w:rPr>
            </w:pPr>
            <w:r>
              <w:rPr>
                <w:b/>
              </w:rPr>
              <w:t>1</w:t>
            </w:r>
            <w:r w:rsidR="0023180B">
              <w:rPr>
                <w:b/>
              </w:rPr>
              <w:t xml:space="preserve"> </w:t>
            </w:r>
            <w:r w:rsidR="0098372A">
              <w:rPr>
                <w:b/>
              </w:rPr>
              <w:t>April</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5" w:name="dsource" w:colFirst="0" w:colLast="0"/>
            <w:bookmarkEnd w:id="4"/>
            <w:r w:rsidRPr="00D04E39">
              <w:t>Report by the Secretary-General</w:t>
            </w:r>
          </w:p>
        </w:tc>
      </w:tr>
      <w:tr w:rsidR="002A2188" w:rsidRPr="00813E5E" w:rsidTr="00464B6C">
        <w:trPr>
          <w:cantSplit/>
        </w:trPr>
        <w:tc>
          <w:tcPr>
            <w:tcW w:w="10031" w:type="dxa"/>
            <w:gridSpan w:val="2"/>
          </w:tcPr>
          <w:p w:rsidR="002A2188" w:rsidRPr="00813E5E" w:rsidRDefault="000B4984" w:rsidP="005B5ED8">
            <w:pPr>
              <w:pStyle w:val="Title1"/>
            </w:pPr>
            <w:bookmarkStart w:id="6" w:name="dtitle1" w:colFirst="0" w:colLast="0"/>
            <w:bookmarkEnd w:id="5"/>
            <w:r w:rsidRPr="000B4984">
              <w:t>ITU INTERNET ACTIVITIES: RESOLUTIONS 101, 102, 133</w:t>
            </w:r>
            <w:r w:rsidR="005B5ED8">
              <w:t>,</w:t>
            </w:r>
            <w:r w:rsidRPr="000B4984">
              <w:t xml:space="preserve"> </w:t>
            </w:r>
            <w:r w:rsidR="005B5ED8">
              <w:t>AND</w:t>
            </w:r>
            <w:r w:rsidRPr="000B4984">
              <w:t xml:space="preserve"> 180</w:t>
            </w:r>
          </w:p>
        </w:tc>
      </w:tr>
      <w:bookmarkEnd w:id="6"/>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0B4984" w:rsidRPr="00B85941" w:rsidRDefault="000B4984" w:rsidP="000B4984">
            <w:pPr>
              <w:jc w:val="both"/>
              <w:rPr>
                <w:sz w:val="22"/>
                <w:szCs w:val="22"/>
              </w:rPr>
            </w:pPr>
            <w:r w:rsidRPr="00B85941">
              <w:rPr>
                <w:sz w:val="22"/>
                <w:szCs w:val="22"/>
              </w:rPr>
              <w:t>This report summarizes ITU’s activities related to Plenipotentiary Conference (PP) Resolution 101 (Rev.</w:t>
            </w:r>
            <w:r>
              <w:rPr>
                <w:sz w:val="22"/>
                <w:szCs w:val="22"/>
              </w:rPr>
              <w:t> </w:t>
            </w:r>
            <w:r w:rsidRPr="00B85941">
              <w:rPr>
                <w:sz w:val="22"/>
                <w:szCs w:val="22"/>
              </w:rPr>
              <w:t>Dubai, 2018), “Internet Protocol-based networks”; Resolution 102 (Rev.</w:t>
            </w:r>
            <w:r>
              <w:rPr>
                <w:sz w:val="22"/>
                <w:szCs w:val="22"/>
              </w:rPr>
              <w:t> </w:t>
            </w:r>
            <w:r w:rsidRPr="00B85941">
              <w:rPr>
                <w:sz w:val="22"/>
                <w:szCs w:val="22"/>
              </w:rPr>
              <w:t>Dubai, 2018), “ITU’s role with regard to international public policy issues pertaining to the Internet and the management of Internet resources, including domain names and addresses”; Resolution 133 (Rev.</w:t>
            </w:r>
            <w:r>
              <w:rPr>
                <w:sz w:val="22"/>
                <w:szCs w:val="22"/>
              </w:rPr>
              <w:t> </w:t>
            </w:r>
            <w:r w:rsidRPr="00B85941">
              <w:rPr>
                <w:sz w:val="22"/>
                <w:szCs w:val="22"/>
              </w:rPr>
              <w:t>Dubai, 2018), “Roles of administrations of Member States in the management of Internationalized (multilingual) domain names”; and Resolution 180 (Rev.</w:t>
            </w:r>
            <w:r>
              <w:rPr>
                <w:sz w:val="22"/>
                <w:szCs w:val="22"/>
              </w:rPr>
              <w:t> </w:t>
            </w:r>
            <w:r w:rsidRPr="00B85941">
              <w:rPr>
                <w:sz w:val="22"/>
                <w:szCs w:val="22"/>
              </w:rPr>
              <w:t>Dubai, 2018), “Facilitating the transition from IPv4 to IPv6”.</w:t>
            </w:r>
          </w:p>
          <w:p w:rsidR="002A2188" w:rsidRPr="00813E5E" w:rsidRDefault="002A2188" w:rsidP="00464B6C">
            <w:pPr>
              <w:pStyle w:val="Headingb"/>
            </w:pPr>
            <w:r w:rsidRPr="00813E5E">
              <w:t>Action required</w:t>
            </w:r>
          </w:p>
          <w:p w:rsidR="000B4984" w:rsidRPr="00B85941" w:rsidRDefault="000B4984" w:rsidP="000B4984">
            <w:pPr>
              <w:jc w:val="both"/>
              <w:rPr>
                <w:sz w:val="22"/>
                <w:szCs w:val="22"/>
              </w:rPr>
            </w:pPr>
            <w:r w:rsidRPr="00B85941">
              <w:rPr>
                <w:sz w:val="22"/>
                <w:szCs w:val="22"/>
              </w:rPr>
              <w:t xml:space="preserve">The Council is invited to </w:t>
            </w:r>
            <w:r w:rsidRPr="00B85941">
              <w:rPr>
                <w:b/>
                <w:bCs/>
                <w:sz w:val="22"/>
                <w:szCs w:val="22"/>
              </w:rPr>
              <w:t>note</w:t>
            </w:r>
            <w:r w:rsidRPr="00B85941">
              <w:rPr>
                <w:sz w:val="22"/>
                <w:szCs w:val="22"/>
              </w:rPr>
              <w:t xml:space="preserve"> the report. The Council is also invited to </w:t>
            </w:r>
            <w:r w:rsidRPr="00B85941">
              <w:rPr>
                <w:b/>
                <w:bCs/>
                <w:sz w:val="22"/>
                <w:szCs w:val="22"/>
              </w:rPr>
              <w:t>endorse</w:t>
            </w:r>
            <w:r w:rsidRPr="00B85941">
              <w:rPr>
                <w:sz w:val="22"/>
                <w:szCs w:val="22"/>
              </w:rPr>
              <w:t xml:space="preserve"> the transmission of the report, along with the compilation of views of Council Member States and the related summary records with a cover note, to the United Nations Secretary-General.</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0B4984" w:rsidP="00004B8F">
            <w:pPr>
              <w:spacing w:after="120"/>
              <w:jc w:val="both"/>
              <w:rPr>
                <w:i/>
                <w:iCs/>
              </w:rPr>
            </w:pPr>
            <w:r w:rsidRPr="00C36D9D">
              <w:rPr>
                <w:rFonts w:cstheme="minorHAnsi"/>
                <w:i/>
                <w:iCs/>
                <w:sz w:val="22"/>
                <w:szCs w:val="22"/>
                <w:lang w:val="en-US"/>
              </w:rPr>
              <w:t xml:space="preserve">Plenipotentiary Resolutions </w:t>
            </w:r>
            <w:hyperlink r:id="rId9" w:history="1">
              <w:r w:rsidRPr="00C36D9D">
                <w:rPr>
                  <w:rStyle w:val="Hyperlink"/>
                  <w:rFonts w:cstheme="minorHAnsi"/>
                  <w:i/>
                  <w:iCs/>
                  <w:sz w:val="22"/>
                  <w:szCs w:val="22"/>
                  <w:lang w:val="en-US"/>
                </w:rPr>
                <w:t>101</w:t>
              </w:r>
            </w:hyperlink>
            <w:r w:rsidRPr="00C36D9D">
              <w:rPr>
                <w:rFonts w:cstheme="minorHAnsi"/>
                <w:i/>
                <w:iCs/>
                <w:sz w:val="22"/>
                <w:szCs w:val="22"/>
                <w:lang w:val="en-US"/>
              </w:rPr>
              <w:t xml:space="preserve">, </w:t>
            </w:r>
            <w:hyperlink r:id="rId10" w:history="1">
              <w:r w:rsidRPr="00C36D9D">
                <w:rPr>
                  <w:rStyle w:val="Hyperlink"/>
                  <w:rFonts w:cstheme="minorHAnsi"/>
                  <w:i/>
                  <w:iCs/>
                  <w:sz w:val="22"/>
                  <w:szCs w:val="22"/>
                  <w:lang w:val="en-US"/>
                </w:rPr>
                <w:t>102</w:t>
              </w:r>
            </w:hyperlink>
            <w:r w:rsidRPr="00C36D9D">
              <w:rPr>
                <w:rFonts w:cstheme="minorHAnsi"/>
                <w:i/>
                <w:iCs/>
                <w:sz w:val="22"/>
                <w:szCs w:val="22"/>
                <w:lang w:val="en-US"/>
              </w:rPr>
              <w:t xml:space="preserve">, </w:t>
            </w:r>
            <w:hyperlink r:id="rId11" w:history="1">
              <w:r w:rsidRPr="00C36D9D">
                <w:rPr>
                  <w:rStyle w:val="Hyperlink"/>
                  <w:rFonts w:cstheme="minorHAnsi"/>
                  <w:i/>
                  <w:iCs/>
                  <w:sz w:val="22"/>
                  <w:szCs w:val="22"/>
                  <w:lang w:val="en-US"/>
                </w:rPr>
                <w:t>133</w:t>
              </w:r>
            </w:hyperlink>
            <w:r w:rsidRPr="00C36D9D">
              <w:rPr>
                <w:rFonts w:cstheme="minorHAnsi"/>
                <w:i/>
                <w:iCs/>
                <w:sz w:val="22"/>
                <w:szCs w:val="22"/>
                <w:lang w:val="en-US"/>
              </w:rPr>
              <w:t xml:space="preserve">, </w:t>
            </w:r>
            <w:hyperlink r:id="rId12" w:history="1">
              <w:r w:rsidRPr="00C36D9D">
                <w:rPr>
                  <w:rStyle w:val="Hyperlink"/>
                  <w:rFonts w:cstheme="minorHAnsi"/>
                  <w:i/>
                  <w:iCs/>
                  <w:sz w:val="22"/>
                  <w:szCs w:val="22"/>
                  <w:lang w:val="en-US"/>
                </w:rPr>
                <w:t>180</w:t>
              </w:r>
            </w:hyperlink>
            <w:bookmarkStart w:id="7" w:name="_GoBack"/>
            <w:bookmarkEnd w:id="7"/>
            <w:r w:rsidRPr="00C36D9D">
              <w:rPr>
                <w:rFonts w:cstheme="minorHAnsi"/>
                <w:i/>
                <w:iCs/>
                <w:sz w:val="22"/>
                <w:szCs w:val="22"/>
                <w:lang w:val="en-US"/>
              </w:rPr>
              <w:t xml:space="preserve"> (Rev. Dubai, </w:t>
            </w:r>
            <w:r w:rsidR="009414A5">
              <w:rPr>
                <w:rFonts w:cstheme="minorHAnsi"/>
                <w:i/>
                <w:iCs/>
                <w:sz w:val="22"/>
                <w:szCs w:val="22"/>
                <w:lang w:val="en-US"/>
              </w:rPr>
              <w:t>2018</w:t>
            </w:r>
            <w:r w:rsidRPr="00C36D9D">
              <w:rPr>
                <w:rFonts w:cstheme="minorHAnsi"/>
                <w:i/>
                <w:iCs/>
                <w:sz w:val="22"/>
                <w:szCs w:val="22"/>
                <w:lang w:val="en-US"/>
              </w:rPr>
              <w:t>)</w:t>
            </w:r>
            <w:r w:rsidR="009414A5">
              <w:rPr>
                <w:rFonts w:cstheme="minorHAnsi"/>
                <w:i/>
                <w:iCs/>
                <w:sz w:val="22"/>
                <w:szCs w:val="22"/>
                <w:lang w:val="en-US"/>
              </w:rPr>
              <w:t xml:space="preserve">, Resolution </w:t>
            </w:r>
            <w:hyperlink r:id="rId13" w:history="1">
              <w:r w:rsidR="009414A5" w:rsidRPr="00B14AD9">
                <w:rPr>
                  <w:rStyle w:val="Hyperlink"/>
                  <w:rFonts w:cstheme="minorHAnsi"/>
                  <w:i/>
                  <w:iCs/>
                  <w:sz w:val="22"/>
                  <w:szCs w:val="22"/>
                  <w:lang w:val="en-US"/>
                </w:rPr>
                <w:t>206</w:t>
              </w:r>
            </w:hyperlink>
            <w:r w:rsidR="009414A5">
              <w:rPr>
                <w:rFonts w:cstheme="minorHAnsi"/>
                <w:i/>
                <w:iCs/>
                <w:sz w:val="22"/>
                <w:szCs w:val="22"/>
                <w:lang w:val="en-US"/>
              </w:rPr>
              <w:t xml:space="preserve"> (Dubai, 2018)</w:t>
            </w:r>
            <w:r w:rsidRPr="00C36D9D">
              <w:rPr>
                <w:i/>
                <w:iCs/>
                <w:sz w:val="22"/>
                <w:szCs w:val="22"/>
                <w:lang w:val="en-US"/>
              </w:rPr>
              <w:t>;</w:t>
            </w:r>
            <w:r w:rsidRPr="00C36D9D">
              <w:rPr>
                <w:rFonts w:cstheme="minorHAnsi"/>
                <w:i/>
                <w:iCs/>
                <w:sz w:val="22"/>
                <w:szCs w:val="22"/>
                <w:lang w:val="en-US"/>
              </w:rPr>
              <w:t xml:space="preserve"> Council Resolutions </w:t>
            </w:r>
            <w:hyperlink r:id="rId14" w:history="1">
              <w:r w:rsidRPr="00C36D9D">
                <w:rPr>
                  <w:rStyle w:val="Hyperlink"/>
                  <w:rFonts w:cstheme="minorHAnsi"/>
                  <w:i/>
                  <w:iCs/>
                  <w:sz w:val="22"/>
                  <w:szCs w:val="22"/>
                  <w:lang w:val="en-US"/>
                </w:rPr>
                <w:t>1305</w:t>
              </w:r>
            </w:hyperlink>
            <w:r w:rsidRPr="00C36D9D">
              <w:rPr>
                <w:rFonts w:cstheme="minorHAnsi"/>
                <w:i/>
                <w:iCs/>
                <w:sz w:val="22"/>
                <w:szCs w:val="22"/>
                <w:lang w:val="en-US"/>
              </w:rPr>
              <w:t xml:space="preserve"> </w:t>
            </w:r>
            <w:r w:rsidRPr="00C36D9D">
              <w:rPr>
                <w:rFonts w:cstheme="minorHAnsi"/>
                <w:i/>
                <w:iCs/>
                <w:spacing w:val="2"/>
                <w:sz w:val="22"/>
                <w:szCs w:val="22"/>
                <w:lang w:val="en-US"/>
              </w:rPr>
              <w:t xml:space="preserve">(2009), </w:t>
            </w:r>
            <w:hyperlink r:id="rId15" w:history="1">
              <w:r w:rsidRPr="00C36D9D">
                <w:rPr>
                  <w:rStyle w:val="Hyperlink"/>
                  <w:rFonts w:cstheme="minorHAnsi"/>
                  <w:i/>
                  <w:iCs/>
                  <w:spacing w:val="2"/>
                  <w:sz w:val="22"/>
                  <w:szCs w:val="22"/>
                  <w:lang w:val="en-US"/>
                </w:rPr>
                <w:t>1336</w:t>
              </w:r>
            </w:hyperlink>
            <w:r w:rsidRPr="00C36D9D">
              <w:rPr>
                <w:rFonts w:cstheme="minorHAnsi"/>
                <w:i/>
                <w:iCs/>
                <w:spacing w:val="2"/>
                <w:sz w:val="22"/>
                <w:szCs w:val="22"/>
                <w:lang w:val="en-US"/>
              </w:rPr>
              <w:t xml:space="preserve"> (mod 2015), </w:t>
            </w:r>
            <w:hyperlink r:id="rId16" w:history="1">
              <w:r w:rsidRPr="00C36D9D">
                <w:rPr>
                  <w:rStyle w:val="Hyperlink"/>
                  <w:rFonts w:cstheme="minorHAnsi"/>
                  <w:i/>
                  <w:iCs/>
                  <w:spacing w:val="2"/>
                  <w:sz w:val="22"/>
                  <w:szCs w:val="22"/>
                  <w:lang w:val="en-US"/>
                </w:rPr>
                <w:t>1344</w:t>
              </w:r>
            </w:hyperlink>
            <w:r w:rsidRPr="00C36D9D">
              <w:rPr>
                <w:rFonts w:cstheme="minorHAnsi"/>
                <w:i/>
                <w:iCs/>
                <w:spacing w:val="2"/>
                <w:sz w:val="22"/>
                <w:szCs w:val="22"/>
                <w:lang w:val="en-US"/>
              </w:rPr>
              <w:t xml:space="preserve"> (mod 2015); WTSA Resolutions </w:t>
            </w:r>
            <w:hyperlink r:id="rId17" w:history="1">
              <w:r w:rsidRPr="00C36D9D">
                <w:rPr>
                  <w:rStyle w:val="Hyperlink"/>
                  <w:rFonts w:cstheme="minorHAnsi"/>
                  <w:i/>
                  <w:iCs/>
                  <w:spacing w:val="2"/>
                  <w:sz w:val="22"/>
                  <w:szCs w:val="22"/>
                  <w:lang w:val="en-US"/>
                </w:rPr>
                <w:t>47</w:t>
              </w:r>
            </w:hyperlink>
            <w:r w:rsidRPr="00C36D9D">
              <w:rPr>
                <w:rFonts w:cstheme="minorHAnsi"/>
                <w:i/>
                <w:iCs/>
                <w:spacing w:val="2"/>
                <w:sz w:val="22"/>
                <w:szCs w:val="22"/>
                <w:lang w:val="en-US"/>
              </w:rPr>
              <w:t xml:space="preserve">, </w:t>
            </w:r>
            <w:hyperlink r:id="rId18" w:history="1">
              <w:r w:rsidRPr="00C36D9D">
                <w:rPr>
                  <w:rStyle w:val="Hyperlink"/>
                  <w:rFonts w:cstheme="minorHAnsi"/>
                  <w:i/>
                  <w:iCs/>
                  <w:spacing w:val="2"/>
                  <w:sz w:val="22"/>
                  <w:szCs w:val="22"/>
                  <w:lang w:val="en-US"/>
                </w:rPr>
                <w:t>48</w:t>
              </w:r>
            </w:hyperlink>
            <w:r w:rsidRPr="00C36D9D">
              <w:rPr>
                <w:spacing w:val="2"/>
                <w:sz w:val="22"/>
                <w:szCs w:val="22"/>
                <w:lang w:val="en-US"/>
              </w:rPr>
              <w:t xml:space="preserve"> </w:t>
            </w:r>
            <w:r w:rsidRPr="00C36D9D">
              <w:rPr>
                <w:rFonts w:cstheme="minorHAnsi"/>
                <w:i/>
                <w:iCs/>
                <w:spacing w:val="2"/>
                <w:sz w:val="22"/>
                <w:szCs w:val="22"/>
                <w:lang w:val="en-US"/>
              </w:rPr>
              <w:t>(Rev. Dubai, 2012)</w:t>
            </w:r>
            <w:r w:rsidRPr="00C36D9D">
              <w:rPr>
                <w:rFonts w:cstheme="minorHAnsi"/>
                <w:i/>
                <w:iCs/>
                <w:sz w:val="22"/>
                <w:szCs w:val="22"/>
                <w:lang w:val="en-US"/>
              </w:rPr>
              <w:t xml:space="preserve"> </w:t>
            </w:r>
            <w:hyperlink r:id="rId19" w:history="1">
              <w:r w:rsidRPr="00C36D9D">
                <w:rPr>
                  <w:rStyle w:val="Hyperlink"/>
                  <w:rFonts w:cstheme="minorHAnsi"/>
                  <w:i/>
                  <w:iCs/>
                  <w:sz w:val="22"/>
                  <w:szCs w:val="22"/>
                  <w:lang w:val="en-US"/>
                </w:rPr>
                <w:t>49</w:t>
              </w:r>
            </w:hyperlink>
            <w:r w:rsidRPr="00C36D9D">
              <w:rPr>
                <w:rFonts w:cstheme="minorHAnsi"/>
                <w:i/>
                <w:iCs/>
                <w:sz w:val="22"/>
                <w:szCs w:val="22"/>
                <w:lang w:val="en-US"/>
              </w:rPr>
              <w:t xml:space="preserve">, </w:t>
            </w:r>
            <w:hyperlink r:id="rId20" w:history="1">
              <w:r w:rsidRPr="00C36D9D">
                <w:rPr>
                  <w:rStyle w:val="Hyperlink"/>
                  <w:rFonts w:cstheme="minorHAnsi"/>
                  <w:i/>
                  <w:iCs/>
                  <w:sz w:val="22"/>
                  <w:szCs w:val="22"/>
                  <w:lang w:val="en-US"/>
                </w:rPr>
                <w:t>50</w:t>
              </w:r>
            </w:hyperlink>
            <w:r w:rsidRPr="00C36D9D">
              <w:rPr>
                <w:rFonts w:cstheme="minorHAnsi"/>
                <w:i/>
                <w:iCs/>
                <w:sz w:val="22"/>
                <w:szCs w:val="22"/>
                <w:lang w:val="en-US"/>
              </w:rPr>
              <w:t xml:space="preserve">, </w:t>
            </w:r>
            <w:hyperlink r:id="rId21" w:history="1">
              <w:r w:rsidRPr="00C36D9D">
                <w:rPr>
                  <w:rStyle w:val="Hyperlink"/>
                  <w:rFonts w:cstheme="minorHAnsi"/>
                  <w:i/>
                  <w:iCs/>
                  <w:sz w:val="22"/>
                  <w:szCs w:val="22"/>
                  <w:lang w:val="en-US"/>
                </w:rPr>
                <w:t>52</w:t>
              </w:r>
            </w:hyperlink>
            <w:r w:rsidRPr="00C36D9D">
              <w:rPr>
                <w:rStyle w:val="Hyperlink"/>
                <w:rFonts w:cstheme="minorHAnsi"/>
                <w:i/>
                <w:iCs/>
                <w:sz w:val="22"/>
                <w:szCs w:val="22"/>
                <w:lang w:val="en-US"/>
              </w:rPr>
              <w:t xml:space="preserve"> </w:t>
            </w:r>
            <w:r w:rsidRPr="00C36D9D">
              <w:rPr>
                <w:rFonts w:cstheme="minorHAnsi"/>
                <w:i/>
                <w:iCs/>
                <w:sz w:val="22"/>
                <w:szCs w:val="22"/>
                <w:lang w:val="en-US"/>
              </w:rPr>
              <w:t>(Rev. </w:t>
            </w:r>
            <w:proofErr w:type="spellStart"/>
            <w:r w:rsidRPr="00C36D9D">
              <w:rPr>
                <w:rFonts w:cstheme="minorHAnsi"/>
                <w:i/>
                <w:iCs/>
                <w:sz w:val="22"/>
                <w:szCs w:val="22"/>
                <w:lang w:val="en-US"/>
              </w:rPr>
              <w:t>Hammamet</w:t>
            </w:r>
            <w:proofErr w:type="spellEnd"/>
            <w:r w:rsidRPr="00C36D9D">
              <w:rPr>
                <w:rFonts w:cstheme="minorHAnsi"/>
                <w:i/>
                <w:iCs/>
                <w:sz w:val="22"/>
                <w:szCs w:val="22"/>
                <w:lang w:val="en-US"/>
              </w:rPr>
              <w:t xml:space="preserve">, 2016), </w:t>
            </w:r>
            <w:hyperlink r:id="rId22" w:history="1">
              <w:r w:rsidRPr="00C36D9D">
                <w:rPr>
                  <w:rStyle w:val="Hyperlink"/>
                  <w:rFonts w:cstheme="minorHAnsi"/>
                  <w:i/>
                  <w:iCs/>
                  <w:sz w:val="22"/>
                  <w:szCs w:val="22"/>
                  <w:lang w:val="en-US"/>
                </w:rPr>
                <w:t>58</w:t>
              </w:r>
            </w:hyperlink>
            <w:r w:rsidRPr="00C36D9D">
              <w:rPr>
                <w:rStyle w:val="Hyperlink"/>
                <w:rFonts w:cstheme="minorHAnsi"/>
                <w:i/>
                <w:iCs/>
                <w:color w:val="auto"/>
                <w:sz w:val="22"/>
                <w:szCs w:val="22"/>
                <w:u w:val="none"/>
                <w:lang w:val="en-US"/>
              </w:rPr>
              <w:t xml:space="preserve">, </w:t>
            </w:r>
            <w:hyperlink r:id="rId23" w:history="1">
              <w:r w:rsidRPr="00C36D9D">
                <w:rPr>
                  <w:rStyle w:val="Hyperlink"/>
                  <w:rFonts w:cstheme="minorHAnsi"/>
                  <w:i/>
                  <w:iCs/>
                  <w:sz w:val="22"/>
                  <w:szCs w:val="22"/>
                  <w:lang w:val="en-US"/>
                </w:rPr>
                <w:t>60</w:t>
              </w:r>
            </w:hyperlink>
            <w:r w:rsidRPr="00C36D9D">
              <w:rPr>
                <w:rStyle w:val="Hyperlink"/>
                <w:rFonts w:cstheme="minorHAnsi"/>
                <w:i/>
                <w:iCs/>
                <w:sz w:val="22"/>
                <w:szCs w:val="22"/>
                <w:u w:val="none"/>
                <w:lang w:val="en-US"/>
              </w:rPr>
              <w:t xml:space="preserve"> </w:t>
            </w:r>
            <w:r w:rsidRPr="00C36D9D">
              <w:rPr>
                <w:rStyle w:val="Hyperlink"/>
                <w:rFonts w:cstheme="minorHAnsi"/>
                <w:i/>
                <w:iCs/>
                <w:color w:val="auto"/>
                <w:sz w:val="22"/>
                <w:szCs w:val="22"/>
                <w:u w:val="none"/>
                <w:lang w:val="en-US"/>
              </w:rPr>
              <w:t>(Rev. Dubai, 2012)</w:t>
            </w:r>
            <w:r w:rsidRPr="00C36D9D">
              <w:rPr>
                <w:rFonts w:cstheme="minorHAnsi"/>
                <w:i/>
                <w:iCs/>
                <w:sz w:val="22"/>
                <w:szCs w:val="22"/>
                <w:lang w:val="en-US"/>
              </w:rPr>
              <w:t xml:space="preserve">, </w:t>
            </w:r>
            <w:hyperlink r:id="rId24" w:history="1">
              <w:r w:rsidRPr="00C36D9D">
                <w:rPr>
                  <w:rStyle w:val="Hyperlink"/>
                  <w:rFonts w:cstheme="minorHAnsi"/>
                  <w:i/>
                  <w:iCs/>
                  <w:sz w:val="22"/>
                  <w:szCs w:val="22"/>
                  <w:lang w:val="en-US"/>
                </w:rPr>
                <w:t>64</w:t>
              </w:r>
            </w:hyperlink>
            <w:r w:rsidRPr="00C36D9D">
              <w:rPr>
                <w:rFonts w:cstheme="minorHAnsi"/>
                <w:i/>
                <w:iCs/>
                <w:sz w:val="22"/>
                <w:szCs w:val="22"/>
                <w:lang w:val="en-US"/>
              </w:rPr>
              <w:t xml:space="preserve">, </w:t>
            </w:r>
            <w:hyperlink r:id="rId25" w:history="1">
              <w:r w:rsidRPr="00C36D9D">
                <w:rPr>
                  <w:rStyle w:val="Hyperlink"/>
                  <w:rFonts w:cstheme="minorHAnsi"/>
                  <w:i/>
                  <w:iCs/>
                  <w:sz w:val="22"/>
                  <w:szCs w:val="22"/>
                  <w:lang w:val="en-US"/>
                </w:rPr>
                <w:t>69</w:t>
              </w:r>
            </w:hyperlink>
            <w:r w:rsidRPr="00C36D9D">
              <w:rPr>
                <w:rFonts w:cstheme="minorHAnsi"/>
                <w:i/>
                <w:iCs/>
                <w:sz w:val="22"/>
                <w:szCs w:val="22"/>
                <w:lang w:val="en-US"/>
              </w:rPr>
              <w:t xml:space="preserve">, </w:t>
            </w:r>
            <w:hyperlink r:id="rId26" w:history="1">
              <w:r w:rsidRPr="00C36D9D">
                <w:rPr>
                  <w:rStyle w:val="Hyperlink"/>
                  <w:rFonts w:cstheme="minorHAnsi"/>
                  <w:i/>
                  <w:iCs/>
                  <w:sz w:val="22"/>
                  <w:szCs w:val="22"/>
                  <w:lang w:val="en-US"/>
                </w:rPr>
                <w:t>75</w:t>
              </w:r>
            </w:hyperlink>
            <w:r w:rsidRPr="00C36D9D">
              <w:rPr>
                <w:rStyle w:val="Hyperlink"/>
                <w:rFonts w:cstheme="minorHAnsi"/>
                <w:i/>
                <w:iCs/>
                <w:sz w:val="22"/>
                <w:szCs w:val="22"/>
                <w:lang w:val="en-US"/>
              </w:rPr>
              <w:t xml:space="preserve"> </w:t>
            </w:r>
            <w:r w:rsidRPr="00C36D9D">
              <w:rPr>
                <w:rFonts w:cstheme="minorHAnsi"/>
                <w:i/>
                <w:iCs/>
                <w:sz w:val="22"/>
                <w:szCs w:val="22"/>
                <w:lang w:val="en-US"/>
              </w:rPr>
              <w:t>(Rev. </w:t>
            </w:r>
            <w:proofErr w:type="spellStart"/>
            <w:r w:rsidRPr="00C36D9D">
              <w:rPr>
                <w:rFonts w:cstheme="minorHAnsi"/>
                <w:i/>
                <w:iCs/>
                <w:sz w:val="22"/>
                <w:szCs w:val="22"/>
                <w:lang w:val="en-US"/>
              </w:rPr>
              <w:t>Hammamet</w:t>
            </w:r>
            <w:proofErr w:type="spellEnd"/>
            <w:r w:rsidRPr="00C36D9D">
              <w:rPr>
                <w:rFonts w:cstheme="minorHAnsi"/>
                <w:i/>
                <w:iCs/>
                <w:sz w:val="22"/>
                <w:szCs w:val="22"/>
                <w:lang w:val="en-US"/>
              </w:rPr>
              <w:t xml:space="preserve">, 2016), </w:t>
            </w:r>
            <w:hyperlink r:id="rId27" w:history="1">
              <w:r w:rsidRPr="00C36D9D">
                <w:rPr>
                  <w:rStyle w:val="Hyperlink"/>
                  <w:rFonts w:cstheme="minorHAnsi"/>
                  <w:i/>
                  <w:iCs/>
                  <w:sz w:val="22"/>
                  <w:szCs w:val="22"/>
                  <w:lang w:val="en-US"/>
                </w:rPr>
                <w:t>98</w:t>
              </w:r>
            </w:hyperlink>
            <w:r w:rsidRPr="00C36D9D">
              <w:rPr>
                <w:rFonts w:cstheme="minorHAnsi"/>
                <w:i/>
                <w:iCs/>
                <w:sz w:val="22"/>
                <w:szCs w:val="22"/>
                <w:lang w:val="en-US"/>
              </w:rPr>
              <w:t xml:space="preserve"> (</w:t>
            </w:r>
            <w:proofErr w:type="spellStart"/>
            <w:r w:rsidRPr="00C36D9D">
              <w:rPr>
                <w:rFonts w:cstheme="minorHAnsi"/>
                <w:i/>
                <w:iCs/>
                <w:sz w:val="22"/>
                <w:szCs w:val="22"/>
                <w:lang w:val="en-US"/>
              </w:rPr>
              <w:t>Hammamet</w:t>
            </w:r>
            <w:proofErr w:type="spellEnd"/>
            <w:r w:rsidRPr="00C36D9D">
              <w:rPr>
                <w:rFonts w:cstheme="minorHAnsi"/>
                <w:i/>
                <w:iCs/>
                <w:sz w:val="22"/>
                <w:szCs w:val="22"/>
                <w:lang w:val="en-US"/>
              </w:rPr>
              <w:t xml:space="preserve">, 2016); </w:t>
            </w:r>
            <w:hyperlink r:id="rId28" w:history="1">
              <w:r w:rsidRPr="00C36D9D">
                <w:rPr>
                  <w:rStyle w:val="Hyperlink"/>
                  <w:i/>
                  <w:iCs/>
                  <w:sz w:val="22"/>
                  <w:szCs w:val="22"/>
                  <w:lang w:val="en-US"/>
                </w:rPr>
                <w:t xml:space="preserve">WTDC-17/Buenos </w:t>
              </w:r>
              <w:proofErr w:type="spellStart"/>
              <w:r w:rsidRPr="00C36D9D">
                <w:rPr>
                  <w:rStyle w:val="Hyperlink"/>
                  <w:i/>
                  <w:iCs/>
                  <w:sz w:val="22"/>
                  <w:szCs w:val="22"/>
                  <w:lang w:val="en-US"/>
                </w:rPr>
                <w:t>Aire</w:t>
              </w:r>
              <w:proofErr w:type="spellEnd"/>
              <w:r w:rsidRPr="00C36D9D">
                <w:rPr>
                  <w:rStyle w:val="Hyperlink"/>
                  <w:i/>
                  <w:iCs/>
                  <w:sz w:val="22"/>
                  <w:szCs w:val="22"/>
                </w:rPr>
                <w:t>s Action Plan Objective 3/Output 3.3</w:t>
              </w:r>
            </w:hyperlink>
            <w:r w:rsidRPr="00C36D9D">
              <w:rPr>
                <w:sz w:val="22"/>
                <w:szCs w:val="22"/>
                <w:lang w:val="en-US"/>
              </w:rPr>
              <w:t xml:space="preserve"> </w:t>
            </w:r>
            <w:r w:rsidRPr="00C36D9D">
              <w:rPr>
                <w:rStyle w:val="apple-style-span"/>
                <w:rFonts w:eastAsiaTheme="majorEastAsia" w:cstheme="minorHAnsi"/>
                <w:i/>
                <w:iCs/>
                <w:color w:val="000000"/>
                <w:sz w:val="22"/>
                <w:szCs w:val="22"/>
                <w:lang w:val="en-US"/>
              </w:rPr>
              <w:t xml:space="preserve">, WTDC </w:t>
            </w:r>
            <w:r w:rsidRPr="00C36D9D">
              <w:rPr>
                <w:rFonts w:eastAsiaTheme="majorEastAsia" w:cstheme="minorHAnsi"/>
                <w:i/>
                <w:iCs/>
                <w:sz w:val="22"/>
                <w:szCs w:val="22"/>
                <w:lang w:val="en-US"/>
              </w:rPr>
              <w:t xml:space="preserve">Resolutions </w:t>
            </w:r>
            <w:hyperlink r:id="rId29" w:history="1">
              <w:r w:rsidRPr="00C36D9D">
                <w:rPr>
                  <w:rStyle w:val="Hyperlink"/>
                  <w:rFonts w:cstheme="minorHAnsi"/>
                  <w:i/>
                  <w:iCs/>
                  <w:sz w:val="22"/>
                  <w:szCs w:val="22"/>
                  <w:lang w:val="en-US"/>
                </w:rPr>
                <w:t>20, 30 , 63</w:t>
              </w:r>
            </w:hyperlink>
            <w:r w:rsidRPr="00C36D9D">
              <w:rPr>
                <w:rStyle w:val="Hyperlink"/>
                <w:rFonts w:cstheme="minorHAnsi"/>
                <w:i/>
                <w:iCs/>
                <w:color w:val="auto"/>
                <w:sz w:val="22"/>
                <w:szCs w:val="22"/>
                <w:u w:val="none"/>
                <w:lang w:val="en-US"/>
              </w:rPr>
              <w:t xml:space="preserve"> (Rev.</w:t>
            </w:r>
            <w:r>
              <w:rPr>
                <w:rStyle w:val="Hyperlink"/>
                <w:rFonts w:cstheme="minorHAnsi"/>
                <w:i/>
                <w:iCs/>
                <w:color w:val="auto"/>
                <w:sz w:val="22"/>
                <w:szCs w:val="22"/>
                <w:u w:val="none"/>
                <w:lang w:val="en-US"/>
              </w:rPr>
              <w:t> </w:t>
            </w:r>
            <w:r w:rsidRPr="00C36D9D">
              <w:rPr>
                <w:rStyle w:val="Hyperlink"/>
                <w:rFonts w:cstheme="minorHAnsi"/>
                <w:i/>
                <w:iCs/>
                <w:color w:val="auto"/>
                <w:sz w:val="22"/>
                <w:szCs w:val="22"/>
                <w:u w:val="none"/>
                <w:lang w:val="en-US"/>
              </w:rPr>
              <w:t>Buenos Aires, 2017)</w:t>
            </w:r>
            <w:r w:rsidRPr="00C36D9D">
              <w:rPr>
                <w:rFonts w:cstheme="minorHAnsi"/>
                <w:i/>
                <w:iCs/>
                <w:sz w:val="22"/>
                <w:szCs w:val="22"/>
                <w:lang w:val="en-US"/>
              </w:rPr>
              <w:t xml:space="preserve">, and </w:t>
            </w:r>
            <w:hyperlink r:id="rId30" w:history="1">
              <w:r w:rsidRPr="00C36D9D">
                <w:rPr>
                  <w:rStyle w:val="Hyperlink"/>
                  <w:rFonts w:cstheme="minorHAnsi"/>
                  <w:i/>
                  <w:iCs/>
                  <w:sz w:val="22"/>
                  <w:szCs w:val="22"/>
                  <w:lang w:val="en-US"/>
                </w:rPr>
                <w:t>45</w:t>
              </w:r>
            </w:hyperlink>
            <w:r w:rsidRPr="00C36D9D">
              <w:rPr>
                <w:rStyle w:val="Hyperlink"/>
                <w:rFonts w:cstheme="minorHAnsi"/>
                <w:color w:val="auto"/>
                <w:sz w:val="22"/>
                <w:szCs w:val="22"/>
                <w:u w:val="none"/>
                <w:lang w:val="en-US"/>
              </w:rPr>
              <w:t> </w:t>
            </w:r>
            <w:r w:rsidRPr="00C36D9D">
              <w:rPr>
                <w:rStyle w:val="apple-style-span"/>
                <w:rFonts w:eastAsiaTheme="majorEastAsia" w:cstheme="minorHAnsi"/>
                <w:i/>
                <w:iCs/>
                <w:color w:val="000000"/>
                <w:sz w:val="22"/>
                <w:szCs w:val="22"/>
                <w:lang w:val="en-US"/>
              </w:rPr>
              <w:t xml:space="preserve"> (Rev. Dubai, 2014); </w:t>
            </w:r>
            <w:r w:rsidRPr="00C36D9D">
              <w:rPr>
                <w:rFonts w:cstheme="minorHAnsi"/>
                <w:i/>
                <w:iCs/>
                <w:sz w:val="22"/>
                <w:szCs w:val="22"/>
                <w:lang w:val="en-US"/>
              </w:rPr>
              <w:t xml:space="preserve">Council Documents </w:t>
            </w:r>
            <w:hyperlink r:id="rId31" w:history="1">
              <w:r w:rsidRPr="00C36D9D">
                <w:rPr>
                  <w:rStyle w:val="Hyperlink"/>
                  <w:rFonts w:cstheme="minorHAnsi"/>
                  <w:i/>
                  <w:iCs/>
                  <w:sz w:val="22"/>
                  <w:szCs w:val="22"/>
                  <w:lang w:val="en-US"/>
                </w:rPr>
                <w:t>C16/33</w:t>
              </w:r>
            </w:hyperlink>
            <w:r w:rsidRPr="00C36D9D">
              <w:rPr>
                <w:rStyle w:val="Hyperlink"/>
                <w:rFonts w:cstheme="minorHAnsi"/>
                <w:i/>
                <w:iCs/>
                <w:sz w:val="22"/>
                <w:szCs w:val="22"/>
                <w:u w:val="none"/>
                <w:lang w:val="en-US"/>
              </w:rPr>
              <w:t xml:space="preserve">, </w:t>
            </w:r>
            <w:hyperlink r:id="rId32" w:history="1">
              <w:r w:rsidRPr="00C36D9D">
                <w:rPr>
                  <w:rStyle w:val="Hyperlink"/>
                  <w:rFonts w:cstheme="minorHAnsi"/>
                  <w:i/>
                  <w:iCs/>
                  <w:sz w:val="22"/>
                  <w:szCs w:val="22"/>
                  <w:lang w:val="en-US"/>
                </w:rPr>
                <w:t>C17/33</w:t>
              </w:r>
            </w:hyperlink>
            <w:r w:rsidRPr="00C36D9D">
              <w:rPr>
                <w:rStyle w:val="Hyperlink"/>
                <w:rFonts w:cstheme="minorHAnsi"/>
                <w:i/>
                <w:iCs/>
                <w:sz w:val="22"/>
                <w:szCs w:val="22"/>
                <w:lang w:val="en-US"/>
              </w:rPr>
              <w:t>,</w:t>
            </w:r>
            <w:hyperlink r:id="rId33" w:history="1">
              <w:r w:rsidRPr="00C36D9D">
                <w:rPr>
                  <w:rStyle w:val="Hyperlink"/>
                  <w:rFonts w:cstheme="minorHAnsi"/>
                  <w:i/>
                  <w:iCs/>
                  <w:sz w:val="22"/>
                  <w:szCs w:val="22"/>
                  <w:lang w:val="en-US"/>
                </w:rPr>
                <w:t xml:space="preserve"> C18/33</w:t>
              </w:r>
            </w:hyperlink>
            <w:r w:rsidRPr="00C36D9D">
              <w:rPr>
                <w:rStyle w:val="Hyperlink"/>
                <w:rFonts w:cstheme="minorHAnsi"/>
                <w:i/>
                <w:iCs/>
                <w:color w:val="auto"/>
                <w:sz w:val="22"/>
                <w:szCs w:val="22"/>
                <w:u w:val="none"/>
                <w:lang w:val="en-US"/>
              </w:rPr>
              <w:t>.</w:t>
            </w:r>
          </w:p>
        </w:tc>
      </w:tr>
    </w:tbl>
    <w:p w:rsidR="000B4984" w:rsidRPr="00CC6D28" w:rsidRDefault="000B4984" w:rsidP="000B4984">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 w:val="22"/>
          <w:szCs w:val="22"/>
          <w:lang w:val="en-US"/>
        </w:rPr>
      </w:pPr>
      <w:bookmarkStart w:id="8" w:name="dstart"/>
      <w:bookmarkStart w:id="9" w:name="dbreak"/>
      <w:bookmarkEnd w:id="8"/>
      <w:bookmarkEnd w:id="9"/>
      <w:r w:rsidRPr="00CC6D28">
        <w:rPr>
          <w:rFonts w:asciiTheme="minorHAnsi" w:hAnsiTheme="minorHAnsi" w:cstheme="minorHAnsi"/>
          <w:sz w:val="22"/>
          <w:szCs w:val="22"/>
          <w:lang w:val="en-US"/>
        </w:rPr>
        <w:t>1.</w:t>
      </w:r>
      <w:r w:rsidRPr="00CC6D28">
        <w:rPr>
          <w:rFonts w:asciiTheme="minorHAnsi" w:hAnsiTheme="minorHAnsi" w:cstheme="minorHAnsi"/>
          <w:sz w:val="22"/>
          <w:szCs w:val="22"/>
          <w:lang w:val="en-US"/>
        </w:rPr>
        <w:tab/>
        <w:t>Introduction</w:t>
      </w:r>
    </w:p>
    <w:p w:rsidR="000B4984" w:rsidRPr="00CC6D28" w:rsidRDefault="000B4984" w:rsidP="00E20C78">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CC6D28">
        <w:rPr>
          <w:rFonts w:asciiTheme="minorHAnsi" w:hAnsiTheme="minorHAnsi" w:cstheme="minorHAnsi"/>
          <w:sz w:val="22"/>
          <w:szCs w:val="22"/>
          <w:lang w:val="en-US"/>
        </w:rPr>
        <w:t xml:space="preserve">This report describes ITU’s </w:t>
      </w:r>
      <w:bookmarkStart w:id="10" w:name="_Hlt239152104"/>
      <w:bookmarkStart w:id="11" w:name="_Hlt239152105"/>
      <w:r w:rsidRPr="00CC6D28">
        <w:rPr>
          <w:rFonts w:asciiTheme="minorHAnsi" w:hAnsiTheme="minorHAnsi" w:cstheme="minorHAnsi"/>
          <w:sz w:val="22"/>
          <w:szCs w:val="22"/>
          <w:lang w:val="en-US"/>
        </w:rPr>
        <w:t>a</w:t>
      </w:r>
      <w:bookmarkStart w:id="12" w:name="_Hlt239151886"/>
      <w:bookmarkStart w:id="13" w:name="_Hlt239151887"/>
      <w:bookmarkStart w:id="14" w:name="_Hlt239152106"/>
      <w:bookmarkStart w:id="15" w:name="_Hlt239152114"/>
      <w:bookmarkEnd w:id="10"/>
      <w:bookmarkEnd w:id="11"/>
      <w:r w:rsidRPr="00CC6D28">
        <w:rPr>
          <w:rFonts w:asciiTheme="minorHAnsi" w:hAnsiTheme="minorHAnsi" w:cstheme="minorHAnsi"/>
          <w:sz w:val="22"/>
          <w:szCs w:val="22"/>
          <w:lang w:val="en-US"/>
        </w:rPr>
        <w:t>c</w:t>
      </w:r>
      <w:bookmarkEnd w:id="12"/>
      <w:bookmarkEnd w:id="13"/>
      <w:bookmarkEnd w:id="14"/>
      <w:bookmarkEnd w:id="15"/>
      <w:r w:rsidRPr="00CC6D28">
        <w:rPr>
          <w:rFonts w:asciiTheme="minorHAnsi" w:hAnsiTheme="minorHAnsi" w:cstheme="minorHAnsi"/>
          <w:sz w:val="22"/>
          <w:szCs w:val="22"/>
          <w:lang w:val="en-US"/>
        </w:rPr>
        <w:t>tiv</w:t>
      </w:r>
      <w:bookmarkStart w:id="16" w:name="_Hlt239153440"/>
      <w:bookmarkStart w:id="17" w:name="_Hlt239153441"/>
      <w:r w:rsidRPr="00CC6D28">
        <w:rPr>
          <w:rFonts w:asciiTheme="minorHAnsi" w:hAnsiTheme="minorHAnsi" w:cstheme="minorHAnsi"/>
          <w:sz w:val="22"/>
          <w:szCs w:val="22"/>
          <w:lang w:val="en-US"/>
        </w:rPr>
        <w:t>i</w:t>
      </w:r>
      <w:bookmarkEnd w:id="16"/>
      <w:bookmarkEnd w:id="17"/>
      <w:r w:rsidRPr="00CC6D28">
        <w:rPr>
          <w:rFonts w:asciiTheme="minorHAnsi" w:hAnsiTheme="minorHAnsi" w:cstheme="minorHAnsi"/>
          <w:sz w:val="22"/>
          <w:szCs w:val="22"/>
          <w:lang w:val="en-US"/>
        </w:rPr>
        <w:t>ties related to the Plenipotentiary Conference Resolutions 101, 102, 133, and 180 for the reporting period from Council 2018 till date.</w:t>
      </w:r>
      <w:r w:rsidR="009414A5" w:rsidRPr="009414A5">
        <w:t xml:space="preserve"> </w:t>
      </w:r>
      <w:r w:rsidR="009414A5" w:rsidRPr="009414A5">
        <w:rPr>
          <w:rFonts w:asciiTheme="minorHAnsi" w:hAnsiTheme="minorHAnsi" w:cstheme="minorHAnsi"/>
          <w:sz w:val="22"/>
          <w:szCs w:val="22"/>
          <w:lang w:val="en-US"/>
        </w:rPr>
        <w:t>It also inc</w:t>
      </w:r>
      <w:r w:rsidR="009414A5">
        <w:rPr>
          <w:rFonts w:asciiTheme="minorHAnsi" w:hAnsiTheme="minorHAnsi" w:cstheme="minorHAnsi"/>
          <w:sz w:val="22"/>
          <w:szCs w:val="22"/>
          <w:lang w:val="en-US"/>
        </w:rPr>
        <w:t>ludes activities related to Resolution</w:t>
      </w:r>
      <w:r w:rsidR="009414A5" w:rsidRPr="009414A5">
        <w:rPr>
          <w:rFonts w:asciiTheme="minorHAnsi" w:hAnsiTheme="minorHAnsi" w:cstheme="minorHAnsi"/>
          <w:sz w:val="22"/>
          <w:szCs w:val="22"/>
          <w:lang w:val="en-US"/>
        </w:rPr>
        <w:t xml:space="preserve"> 206 (Dubai</w:t>
      </w:r>
      <w:r w:rsidR="009414A5">
        <w:rPr>
          <w:rFonts w:asciiTheme="minorHAnsi" w:hAnsiTheme="minorHAnsi" w:cstheme="minorHAnsi"/>
          <w:sz w:val="22"/>
          <w:szCs w:val="22"/>
          <w:lang w:val="en-US"/>
        </w:rPr>
        <w:t>,</w:t>
      </w:r>
      <w:r w:rsidR="009414A5" w:rsidRPr="009414A5">
        <w:rPr>
          <w:rFonts w:asciiTheme="minorHAnsi" w:hAnsiTheme="minorHAnsi" w:cstheme="minorHAnsi"/>
          <w:sz w:val="22"/>
          <w:szCs w:val="22"/>
          <w:lang w:val="en-US"/>
        </w:rPr>
        <w:t xml:space="preserve"> 2018).</w:t>
      </w:r>
    </w:p>
    <w:p w:rsidR="000B4984" w:rsidRPr="00CC6D28"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CC6D28">
        <w:rPr>
          <w:rFonts w:asciiTheme="minorHAnsi" w:hAnsiTheme="minorHAnsi" w:cstheme="minorHAnsi"/>
          <w:sz w:val="22"/>
          <w:szCs w:val="22"/>
          <w:lang w:val="en-US"/>
        </w:rPr>
        <w:t>1.1</w:t>
      </w:r>
      <w:r w:rsidRPr="00CC6D28">
        <w:rPr>
          <w:rFonts w:asciiTheme="minorHAnsi" w:hAnsiTheme="minorHAnsi" w:cstheme="minorHAnsi"/>
          <w:sz w:val="22"/>
          <w:szCs w:val="22"/>
          <w:lang w:val="en-US"/>
        </w:rPr>
        <w:tab/>
        <w:t>The 2018 ITU Plenipotentiary Con</w:t>
      </w:r>
      <w:r w:rsidR="005B5ED8">
        <w:rPr>
          <w:rFonts w:asciiTheme="minorHAnsi" w:hAnsiTheme="minorHAnsi" w:cstheme="minorHAnsi"/>
          <w:sz w:val="22"/>
          <w:szCs w:val="22"/>
          <w:lang w:val="en-US"/>
        </w:rPr>
        <w:t xml:space="preserve">ference, held from 29 October to </w:t>
      </w:r>
      <w:r w:rsidRPr="00CC6D28">
        <w:rPr>
          <w:rFonts w:asciiTheme="minorHAnsi" w:hAnsiTheme="minorHAnsi" w:cstheme="minorHAnsi"/>
          <w:sz w:val="22"/>
          <w:szCs w:val="22"/>
          <w:lang w:val="en-US"/>
        </w:rPr>
        <w:t>16 November 2018 in Dubai, UAE, revised its Resolutions 101, 102, 133 and 180</w:t>
      </w:r>
      <w:r w:rsidR="009414A5">
        <w:rPr>
          <w:rFonts w:asciiTheme="minorHAnsi" w:hAnsiTheme="minorHAnsi" w:cstheme="minorHAnsi"/>
          <w:sz w:val="22"/>
          <w:szCs w:val="22"/>
          <w:lang w:val="en-US"/>
        </w:rPr>
        <w:t>, and agreed on a new Resolution 206 on “OTTs”</w:t>
      </w:r>
      <w:r w:rsidRPr="00CC6D28">
        <w:rPr>
          <w:rFonts w:asciiTheme="minorHAnsi" w:hAnsiTheme="minorHAnsi" w:cstheme="minorHAnsi"/>
          <w:sz w:val="22"/>
          <w:szCs w:val="22"/>
          <w:lang w:val="en-US"/>
        </w:rPr>
        <w:t xml:space="preserve">. </w:t>
      </w:r>
    </w:p>
    <w:p w:rsidR="000B4984" w:rsidRPr="00CC6D28" w:rsidRDefault="000B4984" w:rsidP="00A23BB6">
      <w:pPr>
        <w:pStyle w:val="Heading1"/>
        <w:tabs>
          <w:tab w:val="clear" w:pos="567"/>
          <w:tab w:val="clear" w:pos="1134"/>
          <w:tab w:val="clear" w:pos="1701"/>
          <w:tab w:val="clear" w:pos="2268"/>
          <w:tab w:val="clear" w:pos="2835"/>
        </w:tabs>
        <w:snapToGrid w:val="0"/>
        <w:spacing w:before="120" w:after="120"/>
        <w:ind w:left="709" w:hanging="709"/>
        <w:jc w:val="both"/>
        <w:rPr>
          <w:rFonts w:asciiTheme="minorHAnsi" w:hAnsiTheme="minorHAnsi" w:cstheme="minorHAnsi"/>
          <w:sz w:val="22"/>
          <w:szCs w:val="22"/>
          <w:lang w:val="en-US"/>
        </w:rPr>
      </w:pPr>
      <w:r w:rsidRPr="00CC6D28">
        <w:rPr>
          <w:rFonts w:asciiTheme="minorHAnsi" w:hAnsiTheme="minorHAnsi" w:cstheme="minorHAnsi"/>
          <w:sz w:val="22"/>
          <w:szCs w:val="22"/>
          <w:lang w:val="en-US"/>
        </w:rPr>
        <w:lastRenderedPageBreak/>
        <w:t>2.</w:t>
      </w:r>
      <w:r w:rsidRPr="00CC6D28">
        <w:rPr>
          <w:rFonts w:asciiTheme="minorHAnsi" w:hAnsiTheme="minorHAnsi" w:cstheme="minorHAnsi"/>
          <w:sz w:val="22"/>
          <w:szCs w:val="22"/>
          <w:lang w:val="en-US"/>
        </w:rPr>
        <w:tab/>
        <w:t>Activities related to Internet Protocol (IP) networks, the development of next-generation networks (NGN) and future Internet, including policy and regulatory challenges</w:t>
      </w:r>
    </w:p>
    <w:p w:rsidR="000B4984" w:rsidRPr="00CC6D28" w:rsidRDefault="005B5ED8" w:rsidP="000B4984">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Pr>
          <w:rFonts w:asciiTheme="minorHAnsi" w:hAnsiTheme="minorHAnsi" w:cstheme="minorHAnsi"/>
          <w:bCs/>
          <w:sz w:val="22"/>
          <w:szCs w:val="22"/>
        </w:rPr>
        <w:t>2.1</w:t>
      </w:r>
      <w:r>
        <w:rPr>
          <w:rFonts w:asciiTheme="minorHAnsi" w:hAnsiTheme="minorHAnsi" w:cstheme="minorHAnsi"/>
          <w:bCs/>
          <w:sz w:val="22"/>
          <w:szCs w:val="22"/>
        </w:rPr>
        <w:tab/>
        <w:t>All ITU-T S</w:t>
      </w:r>
      <w:r w:rsidR="000B4984" w:rsidRPr="00CC6D28">
        <w:rPr>
          <w:rFonts w:asciiTheme="minorHAnsi" w:hAnsiTheme="minorHAnsi" w:cstheme="minorHAnsi"/>
          <w:bCs/>
          <w:sz w:val="22"/>
          <w:szCs w:val="22"/>
        </w:rPr>
        <w:t xml:space="preserve">tudy </w:t>
      </w:r>
      <w:r>
        <w:rPr>
          <w:rFonts w:asciiTheme="minorHAnsi" w:hAnsiTheme="minorHAnsi" w:cstheme="minorHAnsi"/>
          <w:bCs/>
          <w:sz w:val="22"/>
          <w:szCs w:val="22"/>
        </w:rPr>
        <w:t>G</w:t>
      </w:r>
      <w:r w:rsidR="000B4984" w:rsidRPr="00CC6D28">
        <w:rPr>
          <w:rFonts w:asciiTheme="minorHAnsi" w:hAnsiTheme="minorHAnsi" w:cstheme="minorHAnsi"/>
          <w:bCs/>
          <w:sz w:val="22"/>
          <w:szCs w:val="22"/>
        </w:rPr>
        <w:t>roups continue their work in different areas of</w:t>
      </w:r>
      <w:r w:rsidR="000B4984" w:rsidRPr="00CC6D28">
        <w:rPr>
          <w:rFonts w:asciiTheme="minorHAnsi" w:hAnsiTheme="minorHAnsi" w:cstheme="minorHAnsi"/>
          <w:bCs/>
          <w:iCs/>
          <w:sz w:val="22"/>
          <w:szCs w:val="22"/>
        </w:rPr>
        <w:t xml:space="preserve"> Internet, IPv4/IPv6-based</w:t>
      </w:r>
      <w:r w:rsidR="000B4984" w:rsidRPr="00CC6D28">
        <w:rPr>
          <w:rFonts w:asciiTheme="minorHAnsi" w:hAnsiTheme="minorHAnsi" w:cstheme="minorHAnsi"/>
          <w:iCs/>
          <w:sz w:val="22"/>
          <w:szCs w:val="22"/>
        </w:rPr>
        <w:t xml:space="preserve"> networks, Internet-of-things, Internet naming and addressing, </w:t>
      </w:r>
      <w:r w:rsidR="000B4984" w:rsidRPr="00CC6D28">
        <w:rPr>
          <w:rFonts w:asciiTheme="minorHAnsi" w:hAnsiTheme="minorHAnsi" w:cstheme="minorHAnsi"/>
          <w:sz w:val="22"/>
          <w:szCs w:val="22"/>
        </w:rPr>
        <w:t xml:space="preserve">NGNs and their evolution, future network (FN), cloud computing, </w:t>
      </w:r>
      <w:proofErr w:type="spellStart"/>
      <w:r w:rsidR="000B4984" w:rsidRPr="00CC6D28">
        <w:rPr>
          <w:rFonts w:asciiTheme="minorHAnsi" w:hAnsiTheme="minorHAnsi" w:cstheme="minorHAnsi"/>
          <w:sz w:val="22"/>
          <w:szCs w:val="22"/>
        </w:rPr>
        <w:t>QoS</w:t>
      </w:r>
      <w:proofErr w:type="spellEnd"/>
      <w:r w:rsidR="000B4984" w:rsidRPr="00CC6D28">
        <w:rPr>
          <w:rFonts w:asciiTheme="minorHAnsi" w:hAnsiTheme="minorHAnsi" w:cstheme="minorHAnsi"/>
          <w:sz w:val="22"/>
          <w:szCs w:val="22"/>
        </w:rPr>
        <w:t>, IPTV, and IP-based applications, uncertainty of origin, and international connectivity.</w:t>
      </w:r>
      <w:r w:rsidR="000B4984">
        <w:rPr>
          <w:rFonts w:asciiTheme="minorHAnsi" w:hAnsiTheme="minorHAnsi" w:cstheme="minorHAnsi"/>
          <w:sz w:val="22"/>
          <w:szCs w:val="22"/>
        </w:rPr>
        <w:t xml:space="preserve"> </w:t>
      </w:r>
      <w:r w:rsidR="000B4984" w:rsidRPr="00CC6D28">
        <w:rPr>
          <w:rFonts w:asciiTheme="minorHAnsi" w:hAnsiTheme="minorHAnsi" w:cstheme="minorHAnsi"/>
          <w:sz w:val="22"/>
          <w:szCs w:val="22"/>
        </w:rPr>
        <w:t xml:space="preserve">Till date, more than </w:t>
      </w:r>
      <w:r w:rsidR="000B4984" w:rsidRPr="00146108">
        <w:rPr>
          <w:rFonts w:asciiTheme="minorHAnsi" w:hAnsiTheme="minorHAnsi" w:cstheme="minorHAnsi"/>
          <w:sz w:val="22"/>
          <w:szCs w:val="22"/>
        </w:rPr>
        <w:t>360 new/revised ITU-T Recommendations and</w:t>
      </w:r>
      <w:r w:rsidR="000B4984" w:rsidRPr="00CC6D28">
        <w:rPr>
          <w:rFonts w:asciiTheme="minorHAnsi" w:hAnsiTheme="minorHAnsi" w:cstheme="minorHAnsi"/>
          <w:sz w:val="22"/>
          <w:szCs w:val="22"/>
        </w:rPr>
        <w:t xml:space="preserve"> other texts have been approved since the last reporting period. </w:t>
      </w:r>
      <w:hyperlink r:id="rId34" w:history="1">
        <w:r w:rsidR="000B4984" w:rsidRPr="003C20F6">
          <w:rPr>
            <w:rStyle w:val="Hyperlink"/>
            <w:rFonts w:asciiTheme="minorHAnsi" w:hAnsiTheme="minorHAnsi" w:cstheme="minorHAnsi"/>
            <w:sz w:val="22"/>
            <w:szCs w:val="22"/>
          </w:rPr>
          <w:t>Relevant recommendations</w:t>
        </w:r>
      </w:hyperlink>
      <w:r w:rsidR="000B4984" w:rsidRPr="00CC6D28">
        <w:rPr>
          <w:rFonts w:asciiTheme="minorHAnsi" w:hAnsiTheme="minorHAnsi" w:cstheme="minorHAnsi"/>
          <w:sz w:val="22"/>
          <w:szCs w:val="22"/>
        </w:rPr>
        <w:t xml:space="preserve"> can be found under the different ITU-T Study Groups.</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2.2</w:t>
      </w:r>
      <w:r w:rsidRPr="00CC6D28">
        <w:rPr>
          <w:rFonts w:asciiTheme="minorHAnsi" w:hAnsiTheme="minorHAnsi" w:cstheme="minorHAnsi"/>
          <w:bCs/>
          <w:sz w:val="22"/>
          <w:szCs w:val="22"/>
        </w:rPr>
        <w:tab/>
        <w:t xml:space="preserve">An estimated 95 per cent of international traffic runs over optical transport networks built in conformance with ITU standards. </w:t>
      </w:r>
      <w:hyperlink r:id="rId35" w:history="1">
        <w:r w:rsidRPr="00CC6D28">
          <w:rPr>
            <w:rStyle w:val="Hyperlink"/>
            <w:rFonts w:asciiTheme="minorHAnsi" w:hAnsiTheme="minorHAnsi" w:cstheme="minorHAnsi"/>
            <w:bCs/>
            <w:sz w:val="22"/>
            <w:szCs w:val="22"/>
          </w:rPr>
          <w:t>New ITU standards were approved for transport, access and home</w:t>
        </w:r>
      </w:hyperlink>
      <w:r w:rsidRPr="00CC6D28">
        <w:rPr>
          <w:rFonts w:asciiTheme="minorHAnsi" w:hAnsiTheme="minorHAnsi" w:cstheme="minorHAnsi"/>
          <w:bCs/>
          <w:sz w:val="22"/>
          <w:szCs w:val="22"/>
        </w:rPr>
        <w:t xml:space="preserve"> address radio over fibre, multi-vendor interoperable 100G coherent DWDM (dense wavelength division multiplexing) line interfaces, fibre-optic cable installation in remote areas, software-defined networking, visible light communications, and sy</w:t>
      </w:r>
      <w:r w:rsidR="0023180B">
        <w:rPr>
          <w:rFonts w:asciiTheme="minorHAnsi" w:hAnsiTheme="minorHAnsi" w:cstheme="minorHAnsi"/>
          <w:bCs/>
          <w:sz w:val="22"/>
          <w:szCs w:val="22"/>
        </w:rPr>
        <w:t>nchronization for IMT-2020/5G.</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2.3</w:t>
      </w:r>
      <w:r w:rsidRPr="00CC6D28">
        <w:rPr>
          <w:rFonts w:asciiTheme="minorHAnsi" w:hAnsiTheme="minorHAnsi" w:cstheme="minorHAnsi"/>
          <w:bCs/>
          <w:sz w:val="22"/>
          <w:szCs w:val="22"/>
        </w:rPr>
        <w:tab/>
        <w:t>Video will account for over 80 per cent of all Internet traffic by 2020. The collaborative video work of IEC, ISO</w:t>
      </w:r>
      <w:r w:rsidR="00905F45">
        <w:rPr>
          <w:rFonts w:asciiTheme="minorHAnsi" w:hAnsiTheme="minorHAnsi" w:cstheme="minorHAnsi"/>
          <w:bCs/>
          <w:sz w:val="22"/>
          <w:szCs w:val="22"/>
        </w:rPr>
        <w:t>,</w:t>
      </w:r>
      <w:r w:rsidRPr="00CC6D28">
        <w:rPr>
          <w:rFonts w:asciiTheme="minorHAnsi" w:hAnsiTheme="minorHAnsi" w:cstheme="minorHAnsi"/>
          <w:bCs/>
          <w:sz w:val="22"/>
          <w:szCs w:val="22"/>
        </w:rPr>
        <w:t xml:space="preserve"> and ITU has been honoured with two Primetime </w:t>
      </w:r>
      <w:proofErr w:type="spellStart"/>
      <w:r w:rsidRPr="00CC6D28">
        <w:rPr>
          <w:rFonts w:asciiTheme="minorHAnsi" w:hAnsiTheme="minorHAnsi" w:cstheme="minorHAnsi"/>
          <w:bCs/>
          <w:sz w:val="22"/>
          <w:szCs w:val="22"/>
        </w:rPr>
        <w:t>Emmy</w:t>
      </w:r>
      <w:proofErr w:type="spellEnd"/>
      <w:r w:rsidRPr="00CC6D28">
        <w:rPr>
          <w:rFonts w:asciiTheme="minorHAnsi" w:hAnsiTheme="minorHAnsi" w:cstheme="minorHAnsi"/>
          <w:bCs/>
          <w:sz w:val="22"/>
          <w:szCs w:val="22"/>
        </w:rPr>
        <w:t xml:space="preserve"> Awards. The new </w:t>
      </w:r>
      <w:hyperlink r:id="rId36" w:history="1">
        <w:r w:rsidRPr="00CC6D28">
          <w:rPr>
            <w:rStyle w:val="Hyperlink"/>
            <w:rFonts w:asciiTheme="minorHAnsi" w:hAnsiTheme="minorHAnsi" w:cstheme="minorHAnsi"/>
            <w:bCs/>
            <w:sz w:val="22"/>
            <w:szCs w:val="22"/>
          </w:rPr>
          <w:t>Versatile Video Coding projects</w:t>
        </w:r>
      </w:hyperlink>
      <w:r w:rsidRPr="00CC6D28">
        <w:rPr>
          <w:rFonts w:asciiTheme="minorHAnsi" w:hAnsiTheme="minorHAnsi" w:cstheme="minorHAnsi"/>
          <w:bCs/>
          <w:sz w:val="22"/>
          <w:szCs w:val="22"/>
        </w:rPr>
        <w:t xml:space="preserve"> are reporting strong progress. </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2.4</w:t>
      </w:r>
      <w:r w:rsidRPr="00CC6D28">
        <w:rPr>
          <w:rFonts w:asciiTheme="minorHAnsi" w:hAnsiTheme="minorHAnsi" w:cstheme="minorHAnsi"/>
          <w:bCs/>
          <w:sz w:val="22"/>
          <w:szCs w:val="22"/>
        </w:rPr>
        <w:tab/>
        <w:t xml:space="preserve">Software-driven network management and orchestration continues to transform telecom operations. ITU-T’s </w:t>
      </w:r>
      <w:hyperlink r:id="rId37" w:history="1">
        <w:r w:rsidRPr="00CC6D28">
          <w:rPr>
            <w:rStyle w:val="Hyperlink"/>
            <w:rFonts w:asciiTheme="minorHAnsi" w:hAnsiTheme="minorHAnsi" w:cstheme="minorHAnsi"/>
            <w:bCs/>
            <w:sz w:val="22"/>
            <w:szCs w:val="22"/>
          </w:rPr>
          <w:t>5G work</w:t>
        </w:r>
      </w:hyperlink>
      <w:r w:rsidRPr="00CC6D28">
        <w:rPr>
          <w:rFonts w:asciiTheme="minorHAnsi" w:hAnsiTheme="minorHAnsi" w:cstheme="minorHAnsi"/>
          <w:bCs/>
          <w:sz w:val="22"/>
          <w:szCs w:val="22"/>
        </w:rPr>
        <w:t xml:space="preserve"> is supporting this transformation with the development of new standards for networking innovation, the evolution of the transport network, and environmental sustainability.</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2.5</w:t>
      </w:r>
      <w:r w:rsidRPr="00CC6D28">
        <w:rPr>
          <w:rFonts w:asciiTheme="minorHAnsi" w:hAnsiTheme="minorHAnsi" w:cstheme="minorHAnsi"/>
          <w:bCs/>
          <w:sz w:val="22"/>
          <w:szCs w:val="22"/>
        </w:rPr>
        <w:tab/>
        <w:t>The standardization of Internet of Things (</w:t>
      </w:r>
      <w:proofErr w:type="spellStart"/>
      <w:r w:rsidRPr="00CC6D28">
        <w:rPr>
          <w:rFonts w:asciiTheme="minorHAnsi" w:hAnsiTheme="minorHAnsi" w:cstheme="minorHAnsi"/>
          <w:bCs/>
          <w:sz w:val="22"/>
          <w:szCs w:val="22"/>
        </w:rPr>
        <w:t>IoT</w:t>
      </w:r>
      <w:proofErr w:type="spellEnd"/>
      <w:r w:rsidRPr="00CC6D28">
        <w:rPr>
          <w:rFonts w:asciiTheme="minorHAnsi" w:hAnsiTheme="minorHAnsi" w:cstheme="minorHAnsi"/>
          <w:bCs/>
          <w:sz w:val="22"/>
          <w:szCs w:val="22"/>
        </w:rPr>
        <w:t xml:space="preserve">) test specifications is accelerating, supported by the increasing collaboration of ITU-T and oneM2M. More than </w:t>
      </w:r>
      <w:hyperlink r:id="rId38" w:history="1">
        <w:r w:rsidRPr="00CC6D28">
          <w:rPr>
            <w:rStyle w:val="Hyperlink"/>
            <w:rFonts w:asciiTheme="minorHAnsi" w:hAnsiTheme="minorHAnsi" w:cstheme="minorHAnsi"/>
            <w:bCs/>
            <w:sz w:val="22"/>
            <w:szCs w:val="22"/>
          </w:rPr>
          <w:t>50 cities worldwide</w:t>
        </w:r>
      </w:hyperlink>
      <w:r w:rsidRPr="00CC6D28">
        <w:rPr>
          <w:rFonts w:asciiTheme="minorHAnsi" w:hAnsiTheme="minorHAnsi" w:cstheme="minorHAnsi"/>
          <w:bCs/>
          <w:sz w:val="22"/>
          <w:szCs w:val="22"/>
        </w:rPr>
        <w:t xml:space="preserve"> are measuring their progress using ‘Key Performance Indicators for Smart Sustainable Cities’ based on ITU standards, indicators promoted by the ‘United for Smart Sustainable Cities (U4SSC) initiative’. </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2.6</w:t>
      </w:r>
      <w:r w:rsidRPr="00CC6D28">
        <w:rPr>
          <w:rFonts w:asciiTheme="minorHAnsi" w:hAnsiTheme="minorHAnsi" w:cstheme="minorHAnsi"/>
          <w:bCs/>
          <w:sz w:val="22"/>
          <w:szCs w:val="22"/>
        </w:rPr>
        <w:tab/>
        <w:t xml:space="preserve">The ITU-T Focus Group on Artificial Intelligence for Health (FG AI4H), a close collaboration by ITU and the World Health Organization (WHO), is working towards the establishment of a framework and associated process for the performance benchmarking of ‘AI for Health’ algorithms. Iterative </w:t>
      </w:r>
      <w:hyperlink r:id="rId39" w:history="1">
        <w:r w:rsidRPr="00CC6D28">
          <w:rPr>
            <w:rStyle w:val="Hyperlink"/>
            <w:rFonts w:asciiTheme="minorHAnsi" w:hAnsiTheme="minorHAnsi" w:cstheme="minorHAnsi"/>
            <w:bCs/>
            <w:i/>
            <w:iCs/>
            <w:sz w:val="22"/>
            <w:szCs w:val="22"/>
          </w:rPr>
          <w:t>Calls for Proposals</w:t>
        </w:r>
      </w:hyperlink>
      <w:r w:rsidRPr="00CC6D28">
        <w:rPr>
          <w:rFonts w:asciiTheme="minorHAnsi" w:hAnsiTheme="minorHAnsi" w:cstheme="minorHAnsi"/>
          <w:bCs/>
          <w:sz w:val="22"/>
          <w:szCs w:val="22"/>
        </w:rPr>
        <w:t xml:space="preserve"> guides the Focus Group’s development of evaluation methods to assess the degree to which ‘AI for Health’ use cases have achieved Proof of Concept.</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2.7</w:t>
      </w:r>
      <w:r w:rsidRPr="00CC6D28">
        <w:rPr>
          <w:rFonts w:asciiTheme="minorHAnsi" w:hAnsiTheme="minorHAnsi" w:cstheme="minorHAnsi"/>
          <w:bCs/>
          <w:sz w:val="22"/>
          <w:szCs w:val="22"/>
        </w:rPr>
        <w:tab/>
        <w:t>A new ITU</w:t>
      </w:r>
      <w:r>
        <w:rPr>
          <w:rFonts w:asciiTheme="minorHAnsi" w:hAnsiTheme="minorHAnsi" w:cstheme="minorHAnsi"/>
          <w:bCs/>
          <w:sz w:val="22"/>
          <w:szCs w:val="22"/>
        </w:rPr>
        <w:t>-T</w:t>
      </w:r>
      <w:r w:rsidRPr="00CC6D28">
        <w:rPr>
          <w:rFonts w:asciiTheme="minorHAnsi" w:hAnsiTheme="minorHAnsi" w:cstheme="minorHAnsi"/>
          <w:bCs/>
          <w:sz w:val="22"/>
          <w:szCs w:val="22"/>
        </w:rPr>
        <w:t xml:space="preserve"> standard offers </w:t>
      </w:r>
      <w:hyperlink r:id="rId40" w:history="1">
        <w:r w:rsidRPr="00CC6D28">
          <w:rPr>
            <w:rStyle w:val="Hyperlink"/>
            <w:rFonts w:asciiTheme="minorHAnsi" w:hAnsiTheme="minorHAnsi" w:cstheme="minorHAnsi"/>
            <w:bCs/>
            <w:sz w:val="22"/>
            <w:szCs w:val="22"/>
          </w:rPr>
          <w:t>guidelines for the safe listening of music players</w:t>
        </w:r>
      </w:hyperlink>
      <w:r w:rsidRPr="00CC6D28">
        <w:rPr>
          <w:rFonts w:asciiTheme="minorHAnsi" w:hAnsiTheme="minorHAnsi" w:cstheme="minorHAnsi"/>
          <w:bCs/>
          <w:sz w:val="22"/>
          <w:szCs w:val="22"/>
        </w:rPr>
        <w:t xml:space="preserve"> in support of the WHO ‘Make Listening Safe’ initiative. </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2.8</w:t>
      </w:r>
      <w:r w:rsidRPr="00CC6D28">
        <w:rPr>
          <w:rFonts w:asciiTheme="minorHAnsi" w:hAnsiTheme="minorHAnsi" w:cstheme="minorHAnsi"/>
          <w:bCs/>
          <w:sz w:val="22"/>
          <w:szCs w:val="22"/>
        </w:rPr>
        <w:tab/>
      </w:r>
      <w:hyperlink r:id="rId41" w:history="1">
        <w:r w:rsidRPr="00CC6D28">
          <w:rPr>
            <w:rStyle w:val="Hyperlink"/>
            <w:rFonts w:asciiTheme="minorHAnsi" w:hAnsiTheme="minorHAnsi" w:cstheme="minorHAnsi"/>
            <w:bCs/>
            <w:sz w:val="22"/>
            <w:szCs w:val="22"/>
          </w:rPr>
          <w:t>New and updated e-health conformance testing specifications</w:t>
        </w:r>
      </w:hyperlink>
      <w:r w:rsidR="0023180B">
        <w:rPr>
          <w:rFonts w:asciiTheme="minorHAnsi" w:hAnsiTheme="minorHAnsi" w:cstheme="minorHAnsi"/>
          <w:bCs/>
          <w:sz w:val="22"/>
          <w:szCs w:val="22"/>
        </w:rPr>
        <w:t xml:space="preserve"> for ITU-T H.810 </w:t>
      </w:r>
      <w:r w:rsidRPr="00CC6D28">
        <w:rPr>
          <w:rFonts w:asciiTheme="minorHAnsi" w:hAnsiTheme="minorHAnsi" w:cstheme="minorHAnsi"/>
          <w:bCs/>
          <w:sz w:val="22"/>
          <w:szCs w:val="22"/>
        </w:rPr>
        <w:t>cover testing for new device specializations for power status monitoring and updated glucose monitors, and updates the PCD-1 observation upload capability. ITU-T H.820 contains an overall conformity assessment test plan for testing conformance for H.810 systems.</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2.9</w:t>
      </w:r>
      <w:r w:rsidRPr="00CC6D28">
        <w:rPr>
          <w:rFonts w:asciiTheme="minorHAnsi" w:hAnsiTheme="minorHAnsi" w:cstheme="minorHAnsi"/>
          <w:bCs/>
          <w:sz w:val="22"/>
          <w:szCs w:val="22"/>
        </w:rPr>
        <w:tab/>
        <w:t>ITU-T work on performance, quality of service (</w:t>
      </w:r>
      <w:proofErr w:type="spellStart"/>
      <w:r w:rsidRPr="00CC6D28">
        <w:rPr>
          <w:rFonts w:asciiTheme="minorHAnsi" w:hAnsiTheme="minorHAnsi" w:cstheme="minorHAnsi"/>
          <w:bCs/>
          <w:sz w:val="22"/>
          <w:szCs w:val="22"/>
        </w:rPr>
        <w:t>QoS</w:t>
      </w:r>
      <w:proofErr w:type="spellEnd"/>
      <w:r w:rsidRPr="00CC6D28">
        <w:rPr>
          <w:rFonts w:asciiTheme="minorHAnsi" w:hAnsiTheme="minorHAnsi" w:cstheme="minorHAnsi"/>
          <w:bCs/>
          <w:sz w:val="22"/>
          <w:szCs w:val="22"/>
        </w:rPr>
        <w:t>) and quality of experience (</w:t>
      </w:r>
      <w:proofErr w:type="spellStart"/>
      <w:r w:rsidRPr="00CC6D28">
        <w:rPr>
          <w:rFonts w:asciiTheme="minorHAnsi" w:hAnsiTheme="minorHAnsi" w:cstheme="minorHAnsi"/>
          <w:bCs/>
          <w:sz w:val="22"/>
          <w:szCs w:val="22"/>
        </w:rPr>
        <w:t>QoE</w:t>
      </w:r>
      <w:proofErr w:type="spellEnd"/>
      <w:r w:rsidRPr="00CC6D28">
        <w:rPr>
          <w:rFonts w:asciiTheme="minorHAnsi" w:hAnsiTheme="minorHAnsi" w:cstheme="minorHAnsi"/>
          <w:bCs/>
          <w:sz w:val="22"/>
          <w:szCs w:val="22"/>
        </w:rPr>
        <w:t xml:space="preserve">) continues to evolve rapidly, in tune with the advances of the ICT industry. </w:t>
      </w:r>
      <w:hyperlink r:id="rId42" w:history="1">
        <w:r w:rsidRPr="00CC6D28">
          <w:rPr>
            <w:rStyle w:val="Hyperlink"/>
            <w:rFonts w:asciiTheme="minorHAnsi" w:hAnsiTheme="minorHAnsi" w:cstheme="minorHAnsi"/>
            <w:bCs/>
            <w:sz w:val="22"/>
            <w:szCs w:val="22"/>
          </w:rPr>
          <w:t>New ITU standards</w:t>
        </w:r>
      </w:hyperlink>
      <w:r w:rsidRPr="00CC6D28">
        <w:rPr>
          <w:rFonts w:asciiTheme="minorHAnsi" w:hAnsiTheme="minorHAnsi" w:cstheme="minorHAnsi"/>
          <w:bCs/>
          <w:sz w:val="22"/>
          <w:szCs w:val="22"/>
        </w:rPr>
        <w:t xml:space="preserve">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CC6D28">
        <w:rPr>
          <w:rFonts w:asciiTheme="minorHAnsi" w:hAnsiTheme="minorHAnsi" w:cstheme="minorHAnsi"/>
          <w:bCs/>
          <w:sz w:val="22"/>
          <w:szCs w:val="22"/>
        </w:rPr>
        <w:t>QoS</w:t>
      </w:r>
      <w:proofErr w:type="spellEnd"/>
      <w:r w:rsidRPr="00CC6D28">
        <w:rPr>
          <w:rFonts w:asciiTheme="minorHAnsi" w:hAnsiTheme="minorHAnsi" w:cstheme="minorHAnsi"/>
          <w:bCs/>
          <w:sz w:val="22"/>
          <w:szCs w:val="22"/>
        </w:rPr>
        <w:t xml:space="preserve"> is gaining a progressively larger share of the ITU standardization work programme.</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2.10</w:t>
      </w:r>
      <w:r w:rsidRPr="00CC6D28">
        <w:rPr>
          <w:rFonts w:asciiTheme="minorHAnsi" w:hAnsiTheme="minorHAnsi" w:cstheme="minorHAnsi"/>
          <w:bCs/>
          <w:sz w:val="22"/>
          <w:szCs w:val="22"/>
        </w:rPr>
        <w:tab/>
        <w:t xml:space="preserve">ITU-T offers a neutral platform for the international community to strengthen the ties between technical innovation, business needs and economic and policy requirements. </w:t>
      </w:r>
      <w:hyperlink r:id="rId43" w:history="1">
        <w:r w:rsidRPr="00CC6D28">
          <w:rPr>
            <w:rStyle w:val="Hyperlink"/>
            <w:rFonts w:asciiTheme="minorHAnsi" w:hAnsiTheme="minorHAnsi" w:cstheme="minorHAnsi"/>
            <w:bCs/>
            <w:sz w:val="22"/>
            <w:szCs w:val="22"/>
          </w:rPr>
          <w:t>New ITU standards under approval</w:t>
        </w:r>
      </w:hyperlink>
      <w:r w:rsidRPr="00CC6D28">
        <w:rPr>
          <w:rFonts w:asciiTheme="minorHAnsi" w:hAnsiTheme="minorHAnsi" w:cstheme="minorHAnsi"/>
          <w:bCs/>
          <w:sz w:val="22"/>
          <w:szCs w:val="22"/>
        </w:rPr>
        <w:t xml:space="preserve"> address the relationship between network operators and providers of over-the-top (OTT) (ITU-T D.262), services competition in mobile financial services (ITU-T D.263), and principles for a unified format of price/tariffs/rates-lists used for exchanging telephone traffic (ITU-T D.198). </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t>2.11</w:t>
      </w:r>
      <w:r w:rsidRPr="00CC6D28">
        <w:rPr>
          <w:rFonts w:asciiTheme="minorHAnsi" w:hAnsiTheme="minorHAnsi" w:cstheme="minorHAnsi"/>
          <w:bCs/>
          <w:sz w:val="22"/>
          <w:szCs w:val="22"/>
        </w:rPr>
        <w:tab/>
        <w:t xml:space="preserve">A new ITU standard under approval provides a framework for solution to combat counterfeit ICT devices. This </w:t>
      </w:r>
      <w:hyperlink r:id="rId44" w:history="1">
        <w:r w:rsidRPr="00CC6D28">
          <w:rPr>
            <w:rStyle w:val="Hyperlink"/>
            <w:rFonts w:asciiTheme="minorHAnsi" w:hAnsiTheme="minorHAnsi" w:cstheme="minorHAnsi"/>
            <w:bCs/>
            <w:sz w:val="22"/>
            <w:szCs w:val="22"/>
          </w:rPr>
          <w:t>area of work</w:t>
        </w:r>
      </w:hyperlink>
      <w:r w:rsidRPr="00CC6D28">
        <w:rPr>
          <w:rFonts w:asciiTheme="minorHAnsi" w:hAnsiTheme="minorHAnsi" w:cstheme="minorHAnsi"/>
          <w:bCs/>
          <w:sz w:val="22"/>
          <w:szCs w:val="22"/>
        </w:rPr>
        <w:t xml:space="preserve"> continues to accelerate and has expanded to combat counterfeiting as well as the theft of mobile devices. Renewed emphasis has been placed on the need to concerns surrounding the tampering with or cloning of ICT device identifiers.</w:t>
      </w:r>
    </w:p>
    <w:p w:rsidR="000B4984" w:rsidRPr="00D16FCF"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C6D28">
        <w:rPr>
          <w:rFonts w:asciiTheme="minorHAnsi" w:hAnsiTheme="minorHAnsi" w:cstheme="minorHAnsi"/>
          <w:bCs/>
          <w:sz w:val="22"/>
          <w:szCs w:val="22"/>
        </w:rPr>
        <w:lastRenderedPageBreak/>
        <w:t>2.12</w:t>
      </w:r>
      <w:r w:rsidRPr="00CC6D28">
        <w:rPr>
          <w:rFonts w:asciiTheme="minorHAnsi" w:hAnsiTheme="minorHAnsi" w:cstheme="minorHAnsi"/>
          <w:bCs/>
          <w:sz w:val="22"/>
          <w:szCs w:val="22"/>
        </w:rPr>
        <w:tab/>
        <w:t xml:space="preserve">The </w:t>
      </w:r>
      <w:hyperlink r:id="rId45" w:history="1">
        <w:r w:rsidRPr="00CC6D28">
          <w:rPr>
            <w:rStyle w:val="Hyperlink"/>
            <w:rFonts w:asciiTheme="minorHAnsi" w:hAnsiTheme="minorHAnsi" w:cstheme="minorHAnsi"/>
            <w:bCs/>
            <w:sz w:val="22"/>
            <w:szCs w:val="22"/>
          </w:rPr>
          <w:t xml:space="preserve">span of ITU-T work on </w:t>
        </w:r>
        <w:proofErr w:type="spellStart"/>
        <w:r w:rsidRPr="00CC6D28">
          <w:rPr>
            <w:rStyle w:val="Hyperlink"/>
            <w:rFonts w:asciiTheme="minorHAnsi" w:hAnsiTheme="minorHAnsi" w:cstheme="minorHAnsi"/>
            <w:bCs/>
            <w:sz w:val="22"/>
            <w:szCs w:val="22"/>
          </w:rPr>
          <w:t>VoLTE</w:t>
        </w:r>
        <w:proofErr w:type="spellEnd"/>
        <w:r w:rsidRPr="00CC6D28">
          <w:rPr>
            <w:rStyle w:val="Hyperlink"/>
            <w:rFonts w:asciiTheme="minorHAnsi" w:hAnsiTheme="minorHAnsi" w:cstheme="minorHAnsi"/>
            <w:bCs/>
            <w:sz w:val="22"/>
            <w:szCs w:val="22"/>
          </w:rPr>
          <w:t>/</w:t>
        </w:r>
        <w:proofErr w:type="spellStart"/>
        <w:r w:rsidRPr="00CC6D28">
          <w:rPr>
            <w:rStyle w:val="Hyperlink"/>
            <w:rFonts w:asciiTheme="minorHAnsi" w:hAnsiTheme="minorHAnsi" w:cstheme="minorHAnsi"/>
            <w:bCs/>
            <w:sz w:val="22"/>
            <w:szCs w:val="22"/>
          </w:rPr>
          <w:t>ViLTE</w:t>
        </w:r>
        <w:proofErr w:type="spellEnd"/>
      </w:hyperlink>
      <w:r w:rsidRPr="00CC6D28">
        <w:rPr>
          <w:rFonts w:asciiTheme="minorHAnsi" w:hAnsiTheme="minorHAnsi" w:cstheme="minorHAnsi"/>
          <w:bCs/>
          <w:sz w:val="22"/>
          <w:szCs w:val="22"/>
        </w:rPr>
        <w:t xml:space="preserve"> includes the deployment of signalling protocols for </w:t>
      </w:r>
      <w:proofErr w:type="spellStart"/>
      <w:r w:rsidRPr="00CC6D28">
        <w:rPr>
          <w:rFonts w:asciiTheme="minorHAnsi" w:hAnsiTheme="minorHAnsi" w:cstheme="minorHAnsi"/>
          <w:bCs/>
          <w:sz w:val="22"/>
          <w:szCs w:val="22"/>
        </w:rPr>
        <w:t>VoLTE</w:t>
      </w:r>
      <w:proofErr w:type="spellEnd"/>
      <w:r w:rsidRPr="00CC6D28">
        <w:rPr>
          <w:rFonts w:asciiTheme="minorHAnsi" w:hAnsiTheme="minorHAnsi" w:cstheme="minorHAnsi"/>
          <w:bCs/>
          <w:sz w:val="22"/>
          <w:szCs w:val="22"/>
        </w:rPr>
        <w:t xml:space="preserve"> interconnection, relevant numbering issues, </w:t>
      </w:r>
      <w:proofErr w:type="spellStart"/>
      <w:r w:rsidRPr="00CC6D28">
        <w:rPr>
          <w:rFonts w:asciiTheme="minorHAnsi" w:hAnsiTheme="minorHAnsi" w:cstheme="minorHAnsi"/>
          <w:bCs/>
          <w:sz w:val="22"/>
          <w:szCs w:val="22"/>
        </w:rPr>
        <w:t>QoS</w:t>
      </w:r>
      <w:proofErr w:type="spellEnd"/>
      <w:r w:rsidRPr="00CC6D28">
        <w:rPr>
          <w:rFonts w:asciiTheme="minorHAnsi" w:hAnsiTheme="minorHAnsi" w:cstheme="minorHAnsi"/>
          <w:bCs/>
          <w:sz w:val="22"/>
          <w:szCs w:val="22"/>
        </w:rPr>
        <w:t xml:space="preserve"> considerations, and emergency calls on </w:t>
      </w:r>
      <w:proofErr w:type="spellStart"/>
      <w:r w:rsidRPr="00CC6D28">
        <w:rPr>
          <w:rFonts w:asciiTheme="minorHAnsi" w:hAnsiTheme="minorHAnsi" w:cstheme="minorHAnsi"/>
          <w:bCs/>
          <w:sz w:val="22"/>
          <w:szCs w:val="22"/>
        </w:rPr>
        <w:t>VoLTE</w:t>
      </w:r>
      <w:proofErr w:type="spellEnd"/>
      <w:r w:rsidRPr="00CC6D28">
        <w:rPr>
          <w:rFonts w:asciiTheme="minorHAnsi" w:hAnsiTheme="minorHAnsi" w:cstheme="minorHAnsi"/>
          <w:bCs/>
          <w:sz w:val="22"/>
          <w:szCs w:val="22"/>
        </w:rPr>
        <w:t xml:space="preserve">-based networks. New ITU standards address the interconnection of </w:t>
      </w:r>
      <w:proofErr w:type="spellStart"/>
      <w:r w:rsidRPr="00CC6D28">
        <w:rPr>
          <w:rFonts w:asciiTheme="minorHAnsi" w:hAnsiTheme="minorHAnsi" w:cstheme="minorHAnsi"/>
          <w:bCs/>
          <w:sz w:val="22"/>
          <w:szCs w:val="22"/>
        </w:rPr>
        <w:t>VoLTE</w:t>
      </w:r>
      <w:proofErr w:type="spellEnd"/>
      <w:r w:rsidRPr="00CC6D28">
        <w:rPr>
          <w:rFonts w:asciiTheme="minorHAnsi" w:hAnsiTheme="minorHAnsi" w:cstheme="minorHAnsi"/>
          <w:bCs/>
          <w:sz w:val="22"/>
          <w:szCs w:val="22"/>
        </w:rPr>
        <w:t>/</w:t>
      </w:r>
      <w:proofErr w:type="spellStart"/>
      <w:r w:rsidRPr="00CC6D28">
        <w:rPr>
          <w:rFonts w:asciiTheme="minorHAnsi" w:hAnsiTheme="minorHAnsi" w:cstheme="minorHAnsi"/>
          <w:bCs/>
          <w:sz w:val="22"/>
          <w:szCs w:val="22"/>
        </w:rPr>
        <w:t>ViLTE</w:t>
      </w:r>
      <w:proofErr w:type="spellEnd"/>
      <w:r w:rsidRPr="00CC6D28">
        <w:rPr>
          <w:rFonts w:asciiTheme="minorHAnsi" w:hAnsiTheme="minorHAnsi" w:cstheme="minorHAnsi"/>
          <w:bCs/>
          <w:sz w:val="22"/>
          <w:szCs w:val="22"/>
        </w:rPr>
        <w:t xml:space="preserve">-based networks and </w:t>
      </w:r>
      <w:proofErr w:type="spellStart"/>
      <w:r w:rsidRPr="00CC6D28">
        <w:rPr>
          <w:rFonts w:asciiTheme="minorHAnsi" w:hAnsiTheme="minorHAnsi" w:cstheme="minorHAnsi"/>
          <w:bCs/>
          <w:sz w:val="22"/>
          <w:szCs w:val="22"/>
        </w:rPr>
        <w:t>VoLTE</w:t>
      </w:r>
      <w:proofErr w:type="spellEnd"/>
      <w:r w:rsidRPr="00CC6D28">
        <w:rPr>
          <w:rFonts w:asciiTheme="minorHAnsi" w:hAnsiTheme="minorHAnsi" w:cstheme="minorHAnsi"/>
          <w:bCs/>
          <w:sz w:val="22"/>
          <w:szCs w:val="22"/>
        </w:rPr>
        <w:t>/</w:t>
      </w:r>
      <w:proofErr w:type="spellStart"/>
      <w:r w:rsidRPr="00CC6D28">
        <w:rPr>
          <w:rFonts w:asciiTheme="minorHAnsi" w:hAnsiTheme="minorHAnsi" w:cstheme="minorHAnsi"/>
          <w:bCs/>
          <w:sz w:val="22"/>
          <w:szCs w:val="22"/>
        </w:rPr>
        <w:t>ViLTE</w:t>
      </w:r>
      <w:proofErr w:type="spellEnd"/>
      <w:r w:rsidRPr="00CC6D28">
        <w:rPr>
          <w:rFonts w:asciiTheme="minorHAnsi" w:hAnsiTheme="minorHAnsi" w:cstheme="minorHAnsi"/>
          <w:bCs/>
          <w:sz w:val="22"/>
          <w:szCs w:val="22"/>
        </w:rPr>
        <w:t xml:space="preserve"> interconnection testing for interworking and roaming scenarios.</w:t>
      </w:r>
      <w:r w:rsidRPr="00D16FCF">
        <w:rPr>
          <w:rFonts w:asciiTheme="minorHAnsi" w:hAnsiTheme="minorHAnsi" w:cstheme="minorHAnsi"/>
          <w:bCs/>
          <w:sz w:val="22"/>
          <w:szCs w:val="22"/>
        </w:rPr>
        <w:t xml:space="preserve"> New ITU-T standards were published providing IMS references to Release 11, on signalling requirements automatic management of IP address pools by SDN, on virtual data </w:t>
      </w:r>
      <w:proofErr w:type="spellStart"/>
      <w:r w:rsidRPr="00D16FCF">
        <w:rPr>
          <w:rFonts w:asciiTheme="minorHAnsi" w:hAnsiTheme="minorHAnsi" w:cstheme="minorHAnsi"/>
          <w:bCs/>
          <w:sz w:val="22"/>
          <w:szCs w:val="22"/>
        </w:rPr>
        <w:t>centers</w:t>
      </w:r>
      <w:proofErr w:type="spellEnd"/>
      <w:r w:rsidRPr="00D16FCF">
        <w:rPr>
          <w:rFonts w:asciiTheme="minorHAnsi" w:hAnsiTheme="minorHAnsi" w:cstheme="minorHAnsi"/>
          <w:bCs/>
          <w:sz w:val="22"/>
          <w:szCs w:val="22"/>
        </w:rPr>
        <w:t>, on cloud computing interop-</w:t>
      </w:r>
      <w:r w:rsidRPr="003E3FDD">
        <w:rPr>
          <w:rFonts w:asciiTheme="minorHAnsi" w:hAnsiTheme="minorHAnsi" w:cstheme="minorHAnsi"/>
          <w:bCs/>
          <w:sz w:val="22"/>
          <w:szCs w:val="22"/>
        </w:rPr>
        <w:t xml:space="preserve">testing, on testing </w:t>
      </w:r>
      <w:proofErr w:type="spellStart"/>
      <w:r w:rsidRPr="003E3FDD">
        <w:rPr>
          <w:rFonts w:asciiTheme="minorHAnsi" w:hAnsiTheme="minorHAnsi" w:cstheme="minorHAnsi"/>
          <w:bCs/>
          <w:sz w:val="22"/>
          <w:szCs w:val="22"/>
        </w:rPr>
        <w:t>IoT</w:t>
      </w:r>
      <w:proofErr w:type="spellEnd"/>
      <w:r w:rsidRPr="003E3FDD">
        <w:rPr>
          <w:rFonts w:asciiTheme="minorHAnsi" w:hAnsiTheme="minorHAnsi" w:cstheme="minorHAnsi"/>
          <w:bCs/>
          <w:sz w:val="22"/>
          <w:szCs w:val="22"/>
        </w:rPr>
        <w:t xml:space="preserve"> gateways, on radio over IP transmission, on deep-packet inspection, on IMT-2020, on cloud computing, and on inter-cloud trust management, on Big data as a service and on data provenance, on next generation content delivery networks, on </w:t>
      </w:r>
      <w:proofErr w:type="spellStart"/>
      <w:r w:rsidRPr="003E3FDD">
        <w:rPr>
          <w:rFonts w:asciiTheme="minorHAnsi" w:hAnsiTheme="minorHAnsi" w:cstheme="minorHAnsi"/>
          <w:bCs/>
          <w:sz w:val="22"/>
          <w:szCs w:val="22"/>
        </w:rPr>
        <w:t>Lua</w:t>
      </w:r>
      <w:proofErr w:type="spellEnd"/>
      <w:r w:rsidRPr="003E3FDD">
        <w:rPr>
          <w:rFonts w:asciiTheme="minorHAnsi" w:hAnsiTheme="minorHAnsi" w:cstheme="minorHAnsi"/>
          <w:bCs/>
          <w:sz w:val="22"/>
          <w:szCs w:val="22"/>
        </w:rPr>
        <w:t xml:space="preserve"> for IPTV services, on Internet of things, and drafts under approval on signalling requirements for edge computing, and on a framework for combating counterfeit devices.</w:t>
      </w:r>
    </w:p>
    <w:p w:rsidR="000B4984" w:rsidRDefault="00A23BB6" w:rsidP="006935E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Cs/>
          <w:sz w:val="22"/>
          <w:szCs w:val="22"/>
        </w:rPr>
        <w:t>2.13</w:t>
      </w:r>
      <w:r>
        <w:rPr>
          <w:rFonts w:asciiTheme="minorHAnsi" w:hAnsiTheme="minorHAnsi" w:cstheme="minorHAnsi"/>
          <w:bCs/>
          <w:sz w:val="22"/>
          <w:szCs w:val="22"/>
        </w:rPr>
        <w:tab/>
      </w:r>
      <w:r w:rsidR="000B4984">
        <w:rPr>
          <w:rFonts w:asciiTheme="minorHAnsi" w:hAnsiTheme="minorHAnsi" w:cstheme="minorHAnsi"/>
          <w:bCs/>
          <w:sz w:val="22"/>
          <w:szCs w:val="22"/>
        </w:rPr>
        <w:t xml:space="preserve">The work on Security standards is highlighted in </w:t>
      </w:r>
      <w:hyperlink r:id="rId46" w:history="1">
        <w:r w:rsidR="000B4984" w:rsidRPr="006935EB">
          <w:rPr>
            <w:rStyle w:val="Hyperlink"/>
            <w:rFonts w:asciiTheme="minorHAnsi" w:hAnsiTheme="minorHAnsi" w:cstheme="minorHAnsi"/>
            <w:bCs/>
            <w:sz w:val="22"/>
            <w:szCs w:val="22"/>
          </w:rPr>
          <w:t>C19/</w:t>
        </w:r>
        <w:r w:rsidR="006935EB" w:rsidRPr="006935EB">
          <w:rPr>
            <w:rStyle w:val="Hyperlink"/>
            <w:rFonts w:asciiTheme="minorHAnsi" w:hAnsiTheme="minorHAnsi" w:cstheme="minorHAnsi"/>
            <w:bCs/>
            <w:sz w:val="22"/>
            <w:szCs w:val="22"/>
          </w:rPr>
          <w:t>18</w:t>
        </w:r>
      </w:hyperlink>
      <w:r w:rsidR="000B4984">
        <w:rPr>
          <w:rFonts w:asciiTheme="minorHAnsi" w:hAnsiTheme="minorHAnsi" w:cstheme="minorHAnsi"/>
          <w:bCs/>
          <w:sz w:val="22"/>
          <w:szCs w:val="22"/>
        </w:rPr>
        <w:t>.</w:t>
      </w:r>
    </w:p>
    <w:p w:rsidR="000B4984" w:rsidRPr="00CC6D28"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lang w:val="en-US"/>
        </w:rPr>
      </w:pPr>
      <w:r w:rsidRPr="00CC6D28">
        <w:rPr>
          <w:rFonts w:asciiTheme="minorHAnsi" w:hAnsiTheme="minorHAnsi" w:cstheme="minorHAnsi"/>
          <w:bCs/>
          <w:sz w:val="22"/>
          <w:szCs w:val="22"/>
        </w:rPr>
        <w:t>2.1</w:t>
      </w:r>
      <w:r>
        <w:rPr>
          <w:rFonts w:asciiTheme="minorHAnsi" w:hAnsiTheme="minorHAnsi" w:cstheme="minorHAnsi"/>
          <w:bCs/>
          <w:sz w:val="22"/>
          <w:szCs w:val="22"/>
        </w:rPr>
        <w:t>4</w:t>
      </w:r>
      <w:r w:rsidR="00A23BB6">
        <w:rPr>
          <w:rFonts w:asciiTheme="minorHAnsi" w:hAnsiTheme="minorHAnsi" w:cstheme="minorHAnsi"/>
          <w:bCs/>
          <w:sz w:val="22"/>
          <w:szCs w:val="22"/>
        </w:rPr>
        <w:tab/>
      </w:r>
      <w:r w:rsidRPr="00CC6D28">
        <w:rPr>
          <w:rFonts w:asciiTheme="minorHAnsi" w:hAnsiTheme="minorHAnsi" w:cstheme="minorHAnsi"/>
          <w:sz w:val="22"/>
          <w:szCs w:val="22"/>
          <w:lang w:val="en-US"/>
        </w:rPr>
        <w:t xml:space="preserve">TSB has not received feedback concerning any reported incidents with regard to </w:t>
      </w:r>
      <w:hyperlink r:id="rId47" w:history="1">
        <w:r w:rsidRPr="00CC6D28">
          <w:rPr>
            <w:rStyle w:val="Hyperlink"/>
            <w:rFonts w:asciiTheme="minorHAnsi" w:hAnsiTheme="minorHAnsi" w:cstheme="minorHAnsi"/>
            <w:sz w:val="22"/>
            <w:szCs w:val="22"/>
            <w:lang w:val="en-US"/>
          </w:rPr>
          <w:t>WTSA Resolution 69</w:t>
        </w:r>
      </w:hyperlink>
      <w:r w:rsidRPr="00CC6D28">
        <w:rPr>
          <w:rFonts w:asciiTheme="minorHAnsi" w:hAnsiTheme="minorHAnsi" w:cstheme="minorHAnsi"/>
          <w:sz w:val="22"/>
          <w:szCs w:val="22"/>
          <w:lang w:val="en-US"/>
        </w:rPr>
        <w:t xml:space="preserve"> on “Non</w:t>
      </w:r>
      <w:r w:rsidR="00905F45">
        <w:rPr>
          <w:rFonts w:asciiTheme="minorHAnsi" w:hAnsiTheme="minorHAnsi" w:cstheme="minorHAnsi"/>
          <w:sz w:val="22"/>
          <w:szCs w:val="22"/>
          <w:lang w:val="en-US"/>
        </w:rPr>
        <w:t>-</w:t>
      </w:r>
      <w:r w:rsidRPr="00CC6D28">
        <w:rPr>
          <w:rFonts w:asciiTheme="minorHAnsi" w:hAnsiTheme="minorHAnsi" w:cstheme="minorHAnsi"/>
          <w:sz w:val="22"/>
          <w:szCs w:val="22"/>
          <w:lang w:val="en-US"/>
        </w:rPr>
        <w:t xml:space="preserve">discriminatory access and use of Internet resources” (so far there have been 37 incidents since 2009, see all related </w:t>
      </w:r>
      <w:hyperlink r:id="rId48" w:history="1">
        <w:r w:rsidRPr="00CC6D28">
          <w:rPr>
            <w:rStyle w:val="Hyperlink"/>
            <w:rFonts w:asciiTheme="minorHAnsi" w:hAnsiTheme="minorHAnsi" w:cstheme="minorHAnsi"/>
            <w:sz w:val="22"/>
            <w:szCs w:val="22"/>
            <w:lang w:val="en-US"/>
          </w:rPr>
          <w:t>reports</w:t>
        </w:r>
      </w:hyperlink>
      <w:r w:rsidRPr="00CC6D28">
        <w:rPr>
          <w:rStyle w:val="Hyperlink"/>
          <w:rFonts w:asciiTheme="minorHAnsi" w:hAnsiTheme="minorHAnsi" w:cstheme="minorHAnsi"/>
          <w:sz w:val="22"/>
          <w:szCs w:val="22"/>
          <w:lang w:val="en-US"/>
        </w:rPr>
        <w:t>)</w:t>
      </w:r>
      <w:r w:rsidRPr="00CC6D28">
        <w:rPr>
          <w:rFonts w:asciiTheme="minorHAnsi" w:hAnsiTheme="minorHAnsi" w:cstheme="minorHAnsi"/>
          <w:sz w:val="22"/>
          <w:szCs w:val="22"/>
          <w:lang w:val="en-US"/>
        </w:rPr>
        <w:t>.</w:t>
      </w:r>
    </w:p>
    <w:p w:rsidR="000B4984" w:rsidRPr="00CC6D28"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bookmarkStart w:id="18" w:name="a353677d2-7347-4cd3-8301-15d8ee365aeb"/>
      <w:bookmarkStart w:id="19" w:name="_Hlk500492095"/>
      <w:bookmarkEnd w:id="18"/>
      <w:r w:rsidRPr="00CC6D28">
        <w:rPr>
          <w:rFonts w:asciiTheme="minorHAnsi" w:hAnsiTheme="minorHAnsi" w:cstheme="minorHAnsi"/>
          <w:bCs/>
          <w:sz w:val="22"/>
          <w:szCs w:val="22"/>
          <w:lang w:val="en-US"/>
        </w:rPr>
        <w:t>2.1</w:t>
      </w:r>
      <w:r>
        <w:rPr>
          <w:rFonts w:asciiTheme="minorHAnsi" w:hAnsiTheme="minorHAnsi" w:cstheme="minorHAnsi"/>
          <w:bCs/>
          <w:sz w:val="22"/>
          <w:szCs w:val="22"/>
          <w:lang w:val="en-US"/>
        </w:rPr>
        <w:t>5</w:t>
      </w:r>
      <w:r w:rsidRPr="00CC6D28">
        <w:rPr>
          <w:rFonts w:asciiTheme="minorHAnsi" w:hAnsiTheme="minorHAnsi" w:cstheme="minorHAnsi"/>
          <w:sz w:val="22"/>
          <w:szCs w:val="22"/>
          <w:lang w:val="en-US"/>
        </w:rPr>
        <w:tab/>
        <w:t xml:space="preserve">ITU-D SG 1 and SG 2 concluded their </w:t>
      </w:r>
      <w:hyperlink r:id="rId49" w:history="1">
        <w:r w:rsidRPr="00CC6D28">
          <w:rPr>
            <w:rStyle w:val="Hyperlink"/>
            <w:rFonts w:asciiTheme="minorHAnsi" w:hAnsiTheme="minorHAnsi" w:cstheme="minorHAnsi"/>
            <w:sz w:val="22"/>
            <w:szCs w:val="22"/>
            <w:lang w:val="en-US"/>
          </w:rPr>
          <w:t>2014-2017 study period</w:t>
        </w:r>
      </w:hyperlink>
      <w:r w:rsidRPr="00CC6D28">
        <w:rPr>
          <w:rFonts w:asciiTheme="minorHAnsi" w:hAnsiTheme="minorHAnsi" w:cstheme="minorHAnsi"/>
          <w:sz w:val="22"/>
          <w:szCs w:val="22"/>
          <w:lang w:val="en-US"/>
        </w:rPr>
        <w:t xml:space="preserve"> and released a number of Internet-related reports and guidelines (See </w:t>
      </w:r>
      <w:hyperlink r:id="rId50" w:history="1">
        <w:r w:rsidRPr="00CC6D28">
          <w:rPr>
            <w:rStyle w:val="Hyperlink"/>
            <w:rFonts w:asciiTheme="minorHAnsi" w:hAnsiTheme="minorHAnsi" w:cstheme="minorHAnsi"/>
            <w:sz w:val="22"/>
            <w:szCs w:val="22"/>
          </w:rPr>
          <w:t>ITU-D SG1</w:t>
        </w:r>
      </w:hyperlink>
      <w:r w:rsidRPr="00CC6D28">
        <w:rPr>
          <w:rFonts w:asciiTheme="minorHAnsi" w:hAnsiTheme="minorHAnsi" w:cstheme="minorHAnsi"/>
          <w:sz w:val="22"/>
          <w:szCs w:val="22"/>
          <w:lang w:val="en-US"/>
        </w:rPr>
        <w:t xml:space="preserve"> and </w:t>
      </w:r>
      <w:hyperlink r:id="rId51" w:history="1">
        <w:r w:rsidRPr="00CC6D28">
          <w:rPr>
            <w:rStyle w:val="Hyperlink"/>
            <w:rFonts w:asciiTheme="minorHAnsi" w:hAnsiTheme="minorHAnsi" w:cstheme="minorHAnsi"/>
            <w:sz w:val="22"/>
            <w:szCs w:val="22"/>
          </w:rPr>
          <w:t>ITU-D SG2</w:t>
        </w:r>
      </w:hyperlink>
      <w:r w:rsidRPr="00CC6D28">
        <w:rPr>
          <w:rFonts w:asciiTheme="minorHAnsi" w:hAnsiTheme="minorHAnsi" w:cstheme="minorHAnsi"/>
          <w:sz w:val="22"/>
          <w:szCs w:val="22"/>
        </w:rPr>
        <w:t xml:space="preserve"> reports). </w:t>
      </w:r>
      <w:r w:rsidRPr="00CC6D28">
        <w:rPr>
          <w:rFonts w:asciiTheme="minorHAnsi" w:hAnsiTheme="minorHAnsi" w:cstheme="minorHAnsi"/>
          <w:sz w:val="22"/>
          <w:szCs w:val="22"/>
          <w:lang w:val="en-US"/>
        </w:rPr>
        <w:t xml:space="preserve">Following WTDC-17, work will continue on IP-related issues such as NGN interconnection, VoIP, cloud services, and strategies, policies, and technologies for the deployment of broadband. The groups will explore the </w:t>
      </w:r>
      <w:r w:rsidRPr="00CC6D28">
        <w:rPr>
          <w:rFonts w:asciiTheme="minorHAnsi" w:hAnsiTheme="minorHAnsi" w:cstheme="minorHAnsi"/>
          <w:sz w:val="22"/>
          <w:szCs w:val="22"/>
        </w:rPr>
        <w:t>transition from narrowband to high-speed, high-quality broadband networks (including transition to IMT-2020 networks), taking into account interconnection and interoperability features. New Q1/1 will work on “Strategies and policies for the deployment of broadband in developing countries” (merging former Q1/1 and Q2/1). Questions 4/1, 5/1</w:t>
      </w:r>
      <w:r w:rsidR="00905F45">
        <w:rPr>
          <w:rFonts w:asciiTheme="minorHAnsi" w:hAnsiTheme="minorHAnsi" w:cstheme="minorHAnsi"/>
          <w:sz w:val="22"/>
          <w:szCs w:val="22"/>
        </w:rPr>
        <w:t>,</w:t>
      </w:r>
      <w:r w:rsidRPr="00CC6D28">
        <w:rPr>
          <w:rFonts w:asciiTheme="minorHAnsi" w:hAnsiTheme="minorHAnsi" w:cstheme="minorHAnsi"/>
          <w:sz w:val="22"/>
          <w:szCs w:val="22"/>
        </w:rPr>
        <w:t xml:space="preserve"> and 1/2 will continue their work from the previous study period with emphasis on the need to employ ICTs for sustainable social and economic development.</w:t>
      </w:r>
    </w:p>
    <w:bookmarkEnd w:id="19"/>
    <w:p w:rsidR="000B4984" w:rsidRPr="00CC6D28"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2.1</w:t>
      </w:r>
      <w:r>
        <w:rPr>
          <w:rFonts w:asciiTheme="minorHAnsi" w:hAnsiTheme="minorHAnsi" w:cstheme="minorHAnsi"/>
          <w:bCs/>
          <w:sz w:val="22"/>
          <w:szCs w:val="22"/>
          <w:lang w:val="en-US"/>
        </w:rPr>
        <w:t>6</w:t>
      </w:r>
      <w:r w:rsidRPr="00CC6D28">
        <w:rPr>
          <w:rFonts w:asciiTheme="minorHAnsi" w:hAnsiTheme="minorHAnsi" w:cstheme="minorHAnsi"/>
          <w:sz w:val="22"/>
          <w:szCs w:val="22"/>
          <w:lang w:val="en-US"/>
        </w:rPr>
        <w:tab/>
        <w:t xml:space="preserve">ITU-D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Rwanda, Eswatini, Antigua </w:t>
      </w:r>
      <w:r w:rsidR="00905F45">
        <w:rPr>
          <w:rFonts w:asciiTheme="minorHAnsi" w:hAnsiTheme="minorHAnsi" w:cstheme="minorHAnsi"/>
          <w:sz w:val="22"/>
          <w:szCs w:val="22"/>
          <w:lang w:val="en-US"/>
        </w:rPr>
        <w:t>and</w:t>
      </w:r>
      <w:r w:rsidRPr="00CC6D28">
        <w:rPr>
          <w:rFonts w:asciiTheme="minorHAnsi" w:hAnsiTheme="minorHAnsi" w:cstheme="minorHAnsi"/>
          <w:sz w:val="22"/>
          <w:szCs w:val="22"/>
          <w:lang w:val="en-US"/>
        </w:rPr>
        <w:t xml:space="preserve"> Barbuda</w:t>
      </w:r>
      <w:r w:rsidR="00905F45">
        <w:rPr>
          <w:rFonts w:asciiTheme="minorHAnsi" w:hAnsiTheme="minorHAnsi" w:cstheme="minorHAnsi"/>
          <w:sz w:val="22"/>
          <w:szCs w:val="22"/>
          <w:lang w:val="en-US"/>
        </w:rPr>
        <w:t>,</w:t>
      </w:r>
      <w:r w:rsidRPr="00CC6D28">
        <w:rPr>
          <w:rFonts w:asciiTheme="minorHAnsi" w:hAnsiTheme="minorHAnsi" w:cstheme="minorHAnsi"/>
          <w:sz w:val="22"/>
          <w:szCs w:val="22"/>
          <w:lang w:val="en-US"/>
        </w:rPr>
        <w:t xml:space="preserve"> and St. Kitts </w:t>
      </w:r>
      <w:r w:rsidR="00905F45">
        <w:rPr>
          <w:rFonts w:asciiTheme="minorHAnsi" w:hAnsiTheme="minorHAnsi" w:cstheme="minorHAnsi"/>
          <w:sz w:val="22"/>
          <w:szCs w:val="22"/>
          <w:lang w:val="en-US"/>
        </w:rPr>
        <w:t>and</w:t>
      </w:r>
      <w:r w:rsidRPr="00CC6D28">
        <w:rPr>
          <w:rFonts w:asciiTheme="minorHAnsi" w:hAnsiTheme="minorHAnsi" w:cstheme="minorHAnsi"/>
          <w:sz w:val="22"/>
          <w:szCs w:val="22"/>
          <w:lang w:val="en-US"/>
        </w:rPr>
        <w:t xml:space="preserve"> Nevis</w:t>
      </w:r>
      <w:r w:rsidR="00905F45">
        <w:rPr>
          <w:rFonts w:asciiTheme="minorHAnsi" w:hAnsiTheme="minorHAnsi" w:cstheme="minorHAnsi"/>
          <w:sz w:val="22"/>
          <w:szCs w:val="22"/>
          <w:lang w:val="en-US"/>
        </w:rPr>
        <w:t>,</w:t>
      </w:r>
      <w:r w:rsidRPr="00CC6D28">
        <w:rPr>
          <w:rFonts w:asciiTheme="minorHAnsi" w:hAnsiTheme="minorHAnsi" w:cstheme="minorHAnsi"/>
          <w:sz w:val="22"/>
          <w:szCs w:val="22"/>
          <w:lang w:val="en-US"/>
        </w:rPr>
        <w:t xml:space="preserve"> etc.).</w:t>
      </w:r>
      <w:r>
        <w:rPr>
          <w:rFonts w:asciiTheme="minorHAnsi" w:hAnsiTheme="minorHAnsi" w:cstheme="minorHAnsi"/>
          <w:sz w:val="22"/>
          <w:szCs w:val="22"/>
          <w:lang w:val="en-US"/>
        </w:rPr>
        <w:t xml:space="preserve"> </w:t>
      </w:r>
      <w:r w:rsidR="00905F45">
        <w:rPr>
          <w:rFonts w:asciiTheme="minorHAnsi" w:hAnsiTheme="minorHAnsi" w:cstheme="minorHAnsi"/>
          <w:sz w:val="22"/>
          <w:szCs w:val="22"/>
          <w:lang w:val="en-US"/>
        </w:rPr>
        <w:t>The p</w:t>
      </w:r>
      <w:r w:rsidRPr="00CC6D28">
        <w:rPr>
          <w:rFonts w:asciiTheme="minorHAnsi" w:hAnsiTheme="minorHAnsi" w:cstheme="minorHAnsi"/>
          <w:sz w:val="22"/>
          <w:szCs w:val="22"/>
          <w:lang w:val="en-US"/>
        </w:rPr>
        <w:t>ublication on “Setting the scene for 5G: Opportunities &amp; Challenges” was published to assist developing countries with Broadband tools for their plans an</w:t>
      </w:r>
      <w:r w:rsidR="0023180B">
        <w:rPr>
          <w:rFonts w:asciiTheme="minorHAnsi" w:hAnsiTheme="minorHAnsi" w:cstheme="minorHAnsi"/>
          <w:sz w:val="22"/>
          <w:szCs w:val="22"/>
          <w:lang w:val="en-US"/>
        </w:rPr>
        <w:t>d Infrastructure developments.</w:t>
      </w:r>
    </w:p>
    <w:p w:rsidR="000B4984" w:rsidRPr="00CC6D28"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2.1</w:t>
      </w:r>
      <w:r>
        <w:rPr>
          <w:rFonts w:asciiTheme="minorHAnsi" w:hAnsiTheme="minorHAnsi" w:cstheme="minorHAnsi"/>
          <w:bCs/>
          <w:sz w:val="22"/>
          <w:szCs w:val="22"/>
          <w:lang w:val="en-US"/>
        </w:rPr>
        <w:t>7</w:t>
      </w:r>
      <w:r w:rsidRPr="00CC6D28">
        <w:rPr>
          <w:rFonts w:asciiTheme="minorHAnsi" w:hAnsiTheme="minorHAnsi" w:cstheme="minorHAnsi"/>
          <w:sz w:val="22"/>
          <w:szCs w:val="22"/>
          <w:lang w:val="en-US"/>
        </w:rPr>
        <w:tab/>
        <w:t>ITU-R approved Recommendation ITU-R M.2083-0 “IMT Vision – Framework and overall objectives of the future development of IMT for 2020 and beyond”, Resolutions ITU-R 65 “Principles for the process of future development of IMT for 2020 and beyond” and ITU-R 66 “Studies related to wireless systems and applications for the development of the Internet of Things”, and Report ITU-R M.2440-0 “The use of the terrestrial component of International Mobile Telecommunications for narrowband and broadband machine-type communications”.</w:t>
      </w:r>
    </w:p>
    <w:p w:rsidR="000B4984" w:rsidRPr="00CC6D28"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2.1</w:t>
      </w:r>
      <w:r>
        <w:rPr>
          <w:rFonts w:asciiTheme="minorHAnsi" w:hAnsiTheme="minorHAnsi" w:cstheme="minorHAnsi"/>
          <w:bCs/>
          <w:sz w:val="22"/>
          <w:szCs w:val="22"/>
          <w:lang w:val="en-US"/>
        </w:rPr>
        <w:t>8</w:t>
      </w:r>
      <w:r w:rsidRPr="00CC6D28">
        <w:rPr>
          <w:rFonts w:asciiTheme="minorHAnsi" w:hAnsiTheme="minorHAnsi" w:cstheme="minorHAnsi"/>
          <w:sz w:val="22"/>
          <w:szCs w:val="22"/>
          <w:lang w:val="en-US"/>
        </w:rPr>
        <w:tab/>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rsidR="000B4984" w:rsidRPr="00CC6D28"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CC6D28">
        <w:rPr>
          <w:rFonts w:asciiTheme="minorHAnsi" w:hAnsiTheme="minorHAnsi" w:cstheme="minorHAnsi"/>
          <w:sz w:val="22"/>
          <w:szCs w:val="22"/>
          <w:lang w:val="en-US"/>
        </w:rPr>
        <w:t>2.1</w:t>
      </w:r>
      <w:r>
        <w:rPr>
          <w:rFonts w:asciiTheme="minorHAnsi" w:hAnsiTheme="minorHAnsi" w:cstheme="minorHAnsi"/>
          <w:sz w:val="22"/>
          <w:szCs w:val="22"/>
          <w:lang w:val="en-US"/>
        </w:rPr>
        <w:t>9</w:t>
      </w:r>
      <w:r w:rsidRPr="00CC6D28">
        <w:rPr>
          <w:rFonts w:asciiTheme="minorHAnsi" w:hAnsiTheme="minorHAnsi" w:cstheme="minorHAnsi"/>
          <w:sz w:val="22"/>
          <w:szCs w:val="22"/>
          <w:lang w:val="en-US"/>
        </w:rPr>
        <w:tab/>
        <w:t xml:space="preserve">Several trainings were provided through </w:t>
      </w:r>
      <w:hyperlink r:id="rId52" w:history="1">
        <w:r w:rsidRPr="00CC6D28">
          <w:rPr>
            <w:rStyle w:val="Hyperlink"/>
            <w:rFonts w:asciiTheme="minorHAnsi" w:hAnsiTheme="minorHAnsi" w:cstheme="minorHAnsi"/>
            <w:sz w:val="22"/>
            <w:szCs w:val="22"/>
            <w:lang w:val="en-US"/>
          </w:rPr>
          <w:t>ITU Academy</w:t>
        </w:r>
      </w:hyperlink>
      <w:r w:rsidRPr="00CC6D28">
        <w:rPr>
          <w:rFonts w:asciiTheme="minorHAnsi" w:hAnsiTheme="minorHAnsi" w:cstheme="minorHAnsi"/>
          <w:sz w:val="22"/>
          <w:szCs w:val="22"/>
          <w:lang w:val="en-US"/>
        </w:rPr>
        <w:t xml:space="preserve"> and the </w:t>
      </w:r>
      <w:hyperlink r:id="rId53" w:history="1">
        <w:r w:rsidRPr="00CC6D28">
          <w:rPr>
            <w:rStyle w:val="Hyperlink"/>
            <w:rFonts w:asciiTheme="minorHAnsi" w:hAnsiTheme="minorHAnsi" w:cstheme="minorHAnsi"/>
            <w:sz w:val="22"/>
            <w:szCs w:val="22"/>
            <w:lang w:val="en-US"/>
          </w:rPr>
          <w:t>ITU Centers of Excellence</w:t>
        </w:r>
      </w:hyperlink>
      <w:r w:rsidRPr="00CC6D28">
        <w:rPr>
          <w:rFonts w:asciiTheme="minorHAnsi" w:hAnsiTheme="minorHAnsi" w:cstheme="minorHAnsi"/>
          <w:sz w:val="22"/>
          <w:szCs w:val="22"/>
          <w:lang w:val="en-US"/>
        </w:rPr>
        <w:t xml:space="preserve"> network, covering topics such as “Training on IPv6 deployment”, “Strategic Aspects for Internet Governance and Innovations”, “ICT Infrastructure and </w:t>
      </w:r>
      <w:proofErr w:type="spellStart"/>
      <w:r w:rsidRPr="00CC6D28">
        <w:rPr>
          <w:rFonts w:asciiTheme="minorHAnsi" w:hAnsiTheme="minorHAnsi" w:cstheme="minorHAnsi"/>
          <w:sz w:val="22"/>
          <w:szCs w:val="22"/>
          <w:lang w:val="en-US"/>
        </w:rPr>
        <w:t>IoT</w:t>
      </w:r>
      <w:proofErr w:type="spellEnd"/>
      <w:r w:rsidRPr="00CC6D28">
        <w:rPr>
          <w:rFonts w:asciiTheme="minorHAnsi" w:hAnsiTheme="minorHAnsi" w:cstheme="minorHAnsi"/>
          <w:sz w:val="22"/>
          <w:szCs w:val="22"/>
          <w:lang w:val="en-US"/>
        </w:rPr>
        <w:t>”, “Technologies of Fiber Optics accesses and Next Generation Networks”, “Technologies of fourth Generation: LTE and LTE Advanced”, “The future of Interface towards 5G”, “The role of ICTs on Smart Sustainable Cities”, etc.</w:t>
      </w:r>
    </w:p>
    <w:p w:rsidR="000B4984" w:rsidRPr="00CC6D28"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2.</w:t>
      </w:r>
      <w:r>
        <w:rPr>
          <w:rFonts w:asciiTheme="minorHAnsi" w:hAnsiTheme="minorHAnsi" w:cstheme="minorHAnsi"/>
          <w:bCs/>
          <w:sz w:val="22"/>
          <w:szCs w:val="22"/>
          <w:lang w:val="en-US"/>
        </w:rPr>
        <w:t>20</w:t>
      </w:r>
      <w:r w:rsidRPr="00CC6D28">
        <w:rPr>
          <w:rFonts w:asciiTheme="minorHAnsi" w:hAnsiTheme="minorHAnsi" w:cstheme="minorHAnsi"/>
          <w:sz w:val="22"/>
          <w:szCs w:val="22"/>
          <w:lang w:val="en-US"/>
        </w:rPr>
        <w:tab/>
        <w:t>ITU is also supporting the Costa Rican Institute of Electricity (ICE) strengthen its capacity building, including on NGN Networks, through a project called “</w:t>
      </w:r>
      <w:proofErr w:type="spellStart"/>
      <w:r w:rsidRPr="00CC6D28">
        <w:rPr>
          <w:rFonts w:asciiTheme="minorHAnsi" w:hAnsiTheme="minorHAnsi" w:cstheme="minorHAnsi"/>
          <w:sz w:val="22"/>
          <w:szCs w:val="22"/>
          <w:lang w:val="en-US"/>
        </w:rPr>
        <w:t>Desarrollo</w:t>
      </w:r>
      <w:proofErr w:type="spellEnd"/>
      <w:r w:rsidRPr="00CC6D28">
        <w:rPr>
          <w:rFonts w:asciiTheme="minorHAnsi" w:hAnsiTheme="minorHAnsi" w:cstheme="minorHAnsi"/>
          <w:sz w:val="22"/>
          <w:szCs w:val="22"/>
          <w:lang w:val="en-US"/>
        </w:rPr>
        <w:t xml:space="preserve"> del </w:t>
      </w:r>
      <w:proofErr w:type="spellStart"/>
      <w:r w:rsidRPr="00CC6D28">
        <w:rPr>
          <w:rFonts w:asciiTheme="minorHAnsi" w:hAnsiTheme="minorHAnsi" w:cstheme="minorHAnsi"/>
          <w:sz w:val="22"/>
          <w:szCs w:val="22"/>
          <w:lang w:val="en-US"/>
        </w:rPr>
        <w:t>conocimiento</w:t>
      </w:r>
      <w:proofErr w:type="spellEnd"/>
      <w:r w:rsidRPr="00CC6D28">
        <w:rPr>
          <w:rFonts w:asciiTheme="minorHAnsi" w:hAnsiTheme="minorHAnsi" w:cstheme="minorHAnsi"/>
          <w:sz w:val="22"/>
          <w:szCs w:val="22"/>
          <w:lang w:val="en-US"/>
        </w:rPr>
        <w:t xml:space="preserve"> en </w:t>
      </w:r>
      <w:proofErr w:type="spellStart"/>
      <w:r w:rsidRPr="00CC6D28">
        <w:rPr>
          <w:rFonts w:asciiTheme="minorHAnsi" w:hAnsiTheme="minorHAnsi" w:cstheme="minorHAnsi"/>
          <w:sz w:val="22"/>
          <w:szCs w:val="22"/>
          <w:lang w:val="en-US"/>
        </w:rPr>
        <w:t>tecnologías</w:t>
      </w:r>
      <w:proofErr w:type="spellEnd"/>
      <w:r w:rsidRPr="00CC6D28">
        <w:rPr>
          <w:rFonts w:asciiTheme="minorHAnsi" w:hAnsiTheme="minorHAnsi" w:cstheme="minorHAnsi"/>
          <w:sz w:val="22"/>
          <w:szCs w:val="22"/>
          <w:lang w:val="en-US"/>
        </w:rPr>
        <w:t xml:space="preserve">, para </w:t>
      </w:r>
      <w:proofErr w:type="spellStart"/>
      <w:r w:rsidRPr="00CC6D28">
        <w:rPr>
          <w:rFonts w:asciiTheme="minorHAnsi" w:hAnsiTheme="minorHAnsi" w:cstheme="minorHAnsi"/>
          <w:sz w:val="22"/>
          <w:szCs w:val="22"/>
          <w:lang w:val="en-US"/>
        </w:rPr>
        <w:t>especialistas</w:t>
      </w:r>
      <w:proofErr w:type="spellEnd"/>
      <w:r w:rsidRPr="00CC6D28">
        <w:rPr>
          <w:rFonts w:asciiTheme="minorHAnsi" w:hAnsiTheme="minorHAnsi" w:cstheme="minorHAnsi"/>
          <w:sz w:val="22"/>
          <w:szCs w:val="22"/>
          <w:lang w:val="en-US"/>
        </w:rPr>
        <w:t xml:space="preserve"> del ICE”.</w:t>
      </w:r>
    </w:p>
    <w:p w:rsidR="000B4984" w:rsidRPr="00CC6D28" w:rsidRDefault="000B4984" w:rsidP="000B4984">
      <w:pPr>
        <w:tabs>
          <w:tab w:val="clear" w:pos="567"/>
          <w:tab w:val="clear" w:pos="1134"/>
          <w:tab w:val="clear" w:pos="1701"/>
          <w:tab w:val="clear" w:pos="2268"/>
          <w:tab w:val="clear" w:pos="2835"/>
        </w:tabs>
        <w:snapToGrid w:val="0"/>
        <w:spacing w:before="360" w:after="120"/>
        <w:jc w:val="both"/>
        <w:rPr>
          <w:rFonts w:asciiTheme="minorHAnsi" w:hAnsiTheme="minorHAnsi" w:cstheme="minorHAnsi"/>
          <w:sz w:val="22"/>
          <w:szCs w:val="22"/>
          <w:lang w:val="en-US"/>
        </w:rPr>
      </w:pPr>
      <w:r w:rsidRPr="00CC6D28">
        <w:rPr>
          <w:rFonts w:asciiTheme="minorHAnsi" w:hAnsiTheme="minorHAnsi" w:cstheme="minorHAnsi"/>
          <w:b/>
          <w:sz w:val="22"/>
          <w:szCs w:val="22"/>
          <w:lang w:val="en-US"/>
        </w:rPr>
        <w:lastRenderedPageBreak/>
        <w:t>3.</w:t>
      </w:r>
      <w:r w:rsidRPr="00CC6D28">
        <w:rPr>
          <w:rFonts w:asciiTheme="minorHAnsi" w:hAnsiTheme="minorHAnsi" w:cstheme="minorHAnsi"/>
          <w:b/>
          <w:sz w:val="22"/>
          <w:szCs w:val="22"/>
          <w:lang w:val="en-US"/>
        </w:rPr>
        <w:tab/>
        <w:t>IPv6</w:t>
      </w:r>
    </w:p>
    <w:p w:rsidR="000B4984" w:rsidRPr="00CC6D28" w:rsidRDefault="000B4984" w:rsidP="006E2592">
      <w:pPr>
        <w:tabs>
          <w:tab w:val="clear" w:pos="567"/>
          <w:tab w:val="clear" w:pos="1134"/>
          <w:tab w:val="clear" w:pos="1701"/>
          <w:tab w:val="clear" w:pos="2268"/>
          <w:tab w:val="clear" w:pos="2835"/>
        </w:tabs>
        <w:snapToGrid w:val="0"/>
        <w:spacing w:before="80" w:after="80"/>
        <w:jc w:val="both"/>
        <w:rPr>
          <w:rFonts w:asciiTheme="minorHAnsi" w:hAnsiTheme="minorHAnsi" w:cstheme="minorHAnsi"/>
          <w:sz w:val="22"/>
          <w:szCs w:val="22"/>
        </w:rPr>
      </w:pPr>
      <w:r w:rsidRPr="00CC6D28">
        <w:rPr>
          <w:rFonts w:asciiTheme="minorHAnsi" w:hAnsiTheme="minorHAnsi" w:cstheme="minorHAnsi"/>
          <w:bCs/>
          <w:sz w:val="22"/>
          <w:szCs w:val="22"/>
        </w:rPr>
        <w:t>3.1</w:t>
      </w:r>
      <w:r w:rsidRPr="00CC6D28">
        <w:rPr>
          <w:rFonts w:asciiTheme="minorHAnsi" w:hAnsiTheme="minorHAnsi" w:cstheme="minorHAnsi"/>
          <w:sz w:val="22"/>
          <w:szCs w:val="22"/>
        </w:rPr>
        <w:tab/>
      </w:r>
      <w:r w:rsidRPr="0023180B">
        <w:rPr>
          <w:rFonts w:asciiTheme="minorHAnsi" w:hAnsiTheme="minorHAnsi" w:cstheme="minorHAnsi"/>
          <w:spacing w:val="-2"/>
          <w:sz w:val="22"/>
          <w:szCs w:val="22"/>
        </w:rPr>
        <w:t>ITU-T SG3 continues to study the methodology and work items needed for the implementation of the relevant parts of WTSA Res. 64. ITU-T SG11 and SG20 are also working on draft ITU-T Recommendations on IPv6. ITU-T SG11 approved new ITU-T standard Q.3405 on IPv6 protocol procedures for broadband services.</w:t>
      </w:r>
    </w:p>
    <w:p w:rsidR="000B4984" w:rsidRDefault="000B4984" w:rsidP="006E2592">
      <w:pPr>
        <w:pStyle w:val="Header"/>
        <w:snapToGrid w:val="0"/>
        <w:spacing w:before="80" w:after="8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3.2</w:t>
      </w:r>
      <w:r w:rsidRPr="00CC6D28">
        <w:rPr>
          <w:rFonts w:asciiTheme="minorHAnsi" w:hAnsiTheme="minorHAnsi" w:cstheme="minorHAnsi"/>
          <w:sz w:val="22"/>
          <w:szCs w:val="22"/>
          <w:lang w:val="en-US"/>
        </w:rPr>
        <w:tab/>
        <w:t>BDT and MUST (Malaysia University of Science and Technology) continue working towards the establishment of an ITU IPV6/</w:t>
      </w:r>
      <w:proofErr w:type="spellStart"/>
      <w:r w:rsidRPr="00CC6D28">
        <w:rPr>
          <w:rFonts w:asciiTheme="minorHAnsi" w:hAnsiTheme="minorHAnsi" w:cstheme="minorHAnsi"/>
          <w:sz w:val="22"/>
          <w:szCs w:val="22"/>
          <w:lang w:val="en-US"/>
        </w:rPr>
        <w:t>IoT</w:t>
      </w:r>
      <w:proofErr w:type="spellEnd"/>
      <w:r w:rsidRPr="00CC6D28">
        <w:rPr>
          <w:rFonts w:asciiTheme="minorHAnsi" w:hAnsiTheme="minorHAnsi" w:cstheme="minorHAnsi"/>
          <w:sz w:val="22"/>
          <w:szCs w:val="22"/>
          <w:lang w:val="en-US"/>
        </w:rPr>
        <w:t xml:space="preserve"> Expertise Centre for supporting Member States in their transition from IPv4 to IPv6 for </w:t>
      </w:r>
      <w:proofErr w:type="spellStart"/>
      <w:r w:rsidRPr="00CC6D28">
        <w:rPr>
          <w:rFonts w:asciiTheme="minorHAnsi" w:hAnsiTheme="minorHAnsi" w:cstheme="minorHAnsi"/>
          <w:sz w:val="22"/>
          <w:szCs w:val="22"/>
          <w:lang w:val="en-US"/>
        </w:rPr>
        <w:t>IoTs</w:t>
      </w:r>
      <w:proofErr w:type="spellEnd"/>
      <w:r w:rsidRPr="00CC6D28">
        <w:rPr>
          <w:rFonts w:asciiTheme="minorHAnsi" w:hAnsiTheme="minorHAnsi" w:cstheme="minorHAnsi"/>
          <w:sz w:val="22"/>
          <w:szCs w:val="22"/>
          <w:lang w:val="en-US"/>
        </w:rPr>
        <w:t xml:space="preserve"> and Industry 4.0</w:t>
      </w:r>
      <w:r>
        <w:rPr>
          <w:rFonts w:asciiTheme="minorHAnsi" w:hAnsiTheme="minorHAnsi" w:cstheme="minorHAnsi"/>
          <w:sz w:val="22"/>
          <w:szCs w:val="22"/>
          <w:lang w:val="en-US"/>
        </w:rPr>
        <w:t>.</w:t>
      </w:r>
    </w:p>
    <w:p w:rsidR="000B4984" w:rsidRPr="00CC6D28" w:rsidRDefault="000B4984" w:rsidP="006E2592">
      <w:pPr>
        <w:pStyle w:val="Header"/>
        <w:snapToGrid w:val="0"/>
        <w:spacing w:before="80" w:after="80"/>
        <w:jc w:val="both"/>
        <w:rPr>
          <w:rFonts w:asciiTheme="minorHAnsi" w:hAnsiTheme="minorHAnsi" w:cstheme="minorHAnsi"/>
          <w:sz w:val="22"/>
          <w:szCs w:val="22"/>
          <w:lang w:val="en-US"/>
        </w:rPr>
      </w:pPr>
      <w:r w:rsidRPr="00CC6D28">
        <w:rPr>
          <w:rFonts w:asciiTheme="minorHAnsi" w:hAnsiTheme="minorHAnsi" w:cstheme="minorHAnsi"/>
          <w:bCs/>
          <w:sz w:val="22"/>
          <w:szCs w:val="22"/>
        </w:rPr>
        <w:t>3.3</w:t>
      </w:r>
      <w:r w:rsidRPr="00CC6D28">
        <w:rPr>
          <w:rFonts w:asciiTheme="minorHAnsi" w:hAnsiTheme="minorHAnsi" w:cstheme="minorHAnsi"/>
          <w:sz w:val="22"/>
          <w:szCs w:val="22"/>
        </w:rPr>
        <w:tab/>
        <w:t>Work continues on the ITU IPTV IPv6 Global Testbed (</w:t>
      </w:r>
      <w:hyperlink r:id="rId54" w:history="1">
        <w:r w:rsidRPr="00CC6D28">
          <w:rPr>
            <w:rStyle w:val="Hyperlink"/>
            <w:rFonts w:asciiTheme="minorHAnsi" w:hAnsiTheme="minorHAnsi" w:cstheme="minorHAnsi"/>
            <w:sz w:val="22"/>
            <w:szCs w:val="22"/>
          </w:rPr>
          <w:t>I3GT</w:t>
        </w:r>
      </w:hyperlink>
      <w:r w:rsidRPr="00CC6D28">
        <w:rPr>
          <w:rFonts w:asciiTheme="minorHAnsi" w:hAnsiTheme="minorHAnsi" w:cstheme="minorHAnsi"/>
          <w:sz w:val="22"/>
          <w:szCs w:val="22"/>
        </w:rPr>
        <w:t xml:space="preserve">) project among ITU members with the support of the ITU secretariat to test various aspects of ITU-T’s IPTV standards, train academia on up-to-date IPTV technologies, showcase standardized IPTV to stakeholders, and also to promote IPv6 capability deployment in developing countries. ITU-T SG16 </w:t>
      </w:r>
      <w:r w:rsidRPr="00CC6D28">
        <w:rPr>
          <w:rFonts w:asciiTheme="minorHAnsi" w:hAnsiTheme="minorHAnsi" w:cstheme="minorHAnsi"/>
          <w:sz w:val="22"/>
          <w:szCs w:val="22"/>
          <w:lang w:val="en-US"/>
        </w:rPr>
        <w:t xml:space="preserve">is working on the draft ITU-T Technical Paper </w:t>
      </w:r>
      <w:hyperlink r:id="rId55" w:history="1">
        <w:r w:rsidRPr="00CC6D28">
          <w:rPr>
            <w:rStyle w:val="Hyperlink"/>
            <w:rFonts w:asciiTheme="minorHAnsi" w:hAnsiTheme="minorHAnsi" w:cstheme="minorHAnsi"/>
            <w:sz w:val="22"/>
            <w:szCs w:val="22"/>
            <w:lang w:val="en-US"/>
          </w:rPr>
          <w:t>HSTP.IPTV-Guide.2</w:t>
        </w:r>
      </w:hyperlink>
      <w:r w:rsidRPr="00CC6D28">
        <w:rPr>
          <w:rFonts w:asciiTheme="minorHAnsi" w:hAnsiTheme="minorHAnsi" w:cstheme="minorHAnsi"/>
          <w:sz w:val="22"/>
          <w:szCs w:val="22"/>
          <w:lang w:val="en-US"/>
        </w:rPr>
        <w:t xml:space="preserve"> on </w:t>
      </w:r>
      <w:r w:rsidRPr="00CC6D28">
        <w:rPr>
          <w:rFonts w:asciiTheme="minorHAnsi" w:hAnsiTheme="minorHAnsi" w:cstheme="minorHAnsi"/>
          <w:color w:val="44546A"/>
          <w:sz w:val="22"/>
          <w:szCs w:val="22"/>
          <w:lang w:val="en-US"/>
        </w:rPr>
        <w:t>“</w:t>
      </w:r>
      <w:r w:rsidRPr="00CC6D28">
        <w:rPr>
          <w:rFonts w:asciiTheme="minorHAnsi" w:hAnsiTheme="minorHAnsi" w:cstheme="minorHAnsi"/>
          <w:sz w:val="22"/>
          <w:szCs w:val="22"/>
          <w:lang w:val="en-US"/>
        </w:rPr>
        <w:t>IPTV service parameters for new IPTV service providers”.</w:t>
      </w:r>
    </w:p>
    <w:p w:rsidR="000B4984" w:rsidRPr="00CC6D28" w:rsidRDefault="000B4984" w:rsidP="006E2592">
      <w:pPr>
        <w:pStyle w:val="NormalWeb"/>
        <w:adjustRightInd w:val="0"/>
        <w:snapToGrid w:val="0"/>
        <w:spacing w:before="80" w:after="80" w:line="240" w:lineRule="auto"/>
        <w:jc w:val="both"/>
        <w:rPr>
          <w:rFonts w:asciiTheme="minorHAnsi" w:hAnsiTheme="minorHAnsi" w:cstheme="minorHAnsi"/>
          <w:szCs w:val="22"/>
          <w:lang w:val="en-US"/>
        </w:rPr>
      </w:pPr>
      <w:r w:rsidRPr="00CC6D28">
        <w:rPr>
          <w:rFonts w:asciiTheme="minorHAnsi" w:hAnsiTheme="minorHAnsi" w:cstheme="minorHAnsi"/>
          <w:szCs w:val="22"/>
          <w:lang w:val="en-US"/>
        </w:rPr>
        <w:t>3.4</w:t>
      </w:r>
      <w:r w:rsidRPr="00CC6D28">
        <w:rPr>
          <w:rFonts w:asciiTheme="minorHAnsi" w:hAnsiTheme="minorHAnsi" w:cstheme="minorHAnsi"/>
          <w:szCs w:val="22"/>
          <w:lang w:val="en-US"/>
        </w:rPr>
        <w:tab/>
        <w:t xml:space="preserve">BDT continues to provide assistance to countries on the implementation of IPv6 policies and IPv6 test bed as requested by Member States, e.g.: In the Africa region, assistance was provided in setting up of an Internet protocol version 6 (IPv6) testbed in Côte d’Ivoire and Uganda, to be used as </w:t>
      </w:r>
      <w:proofErr w:type="spellStart"/>
      <w:r w:rsidRPr="00CC6D28">
        <w:rPr>
          <w:rFonts w:asciiTheme="minorHAnsi" w:hAnsiTheme="minorHAnsi" w:cstheme="minorHAnsi"/>
          <w:szCs w:val="22"/>
          <w:lang w:val="en-US"/>
        </w:rPr>
        <w:t>subregional</w:t>
      </w:r>
      <w:proofErr w:type="spellEnd"/>
      <w:r w:rsidRPr="00CC6D28">
        <w:rPr>
          <w:rFonts w:asciiTheme="minorHAnsi" w:hAnsiTheme="minorHAnsi" w:cstheme="minorHAnsi"/>
          <w:szCs w:val="22"/>
          <w:lang w:val="en-US"/>
        </w:rPr>
        <w:t xml:space="preserve"> test beds for IPv4 to IPv6 migration in Western and Eastern Africa, respectively; in Zimbabwe to be used as a </w:t>
      </w:r>
      <w:proofErr w:type="spellStart"/>
      <w:r w:rsidRPr="00CC6D28">
        <w:rPr>
          <w:rFonts w:asciiTheme="minorHAnsi" w:hAnsiTheme="minorHAnsi" w:cstheme="minorHAnsi"/>
          <w:szCs w:val="22"/>
          <w:lang w:val="en-US"/>
        </w:rPr>
        <w:t>subregional</w:t>
      </w:r>
      <w:proofErr w:type="spellEnd"/>
      <w:r w:rsidRPr="00CC6D28">
        <w:rPr>
          <w:rFonts w:asciiTheme="minorHAnsi" w:hAnsiTheme="minorHAnsi" w:cstheme="minorHAnsi"/>
          <w:szCs w:val="22"/>
          <w:lang w:val="en-US"/>
        </w:rPr>
        <w:t xml:space="preserve"> testbed for IPv4 to IPv6 migration in Southern Africa; and in Cameroon, to be used as a </w:t>
      </w:r>
      <w:proofErr w:type="spellStart"/>
      <w:r w:rsidRPr="00CC6D28">
        <w:rPr>
          <w:rFonts w:asciiTheme="minorHAnsi" w:hAnsiTheme="minorHAnsi" w:cstheme="minorHAnsi"/>
          <w:szCs w:val="22"/>
          <w:lang w:val="en-US"/>
        </w:rPr>
        <w:t>subregional</w:t>
      </w:r>
      <w:proofErr w:type="spellEnd"/>
      <w:r w:rsidRPr="00CC6D28">
        <w:rPr>
          <w:rFonts w:asciiTheme="minorHAnsi" w:hAnsiTheme="minorHAnsi" w:cstheme="minorHAnsi"/>
          <w:szCs w:val="22"/>
          <w:lang w:val="en-US"/>
        </w:rPr>
        <w:t xml:space="preserve"> testbed for IPv4 to IPv6 migration in Central Africa. An IPv6 test bed installation is planned for the </w:t>
      </w:r>
      <w:r w:rsidRPr="00A23BB6">
        <w:rPr>
          <w:rFonts w:asciiTheme="minorHAnsi" w:hAnsiTheme="minorHAnsi" w:cstheme="minorHAnsi"/>
          <w:szCs w:val="22"/>
          <w:lang w:val="en-US"/>
        </w:rPr>
        <w:t>1st</w:t>
      </w:r>
      <w:r w:rsidRPr="00CC6D28">
        <w:rPr>
          <w:rFonts w:asciiTheme="minorHAnsi" w:hAnsiTheme="minorHAnsi" w:cstheme="minorHAnsi"/>
          <w:szCs w:val="22"/>
          <w:lang w:val="en-US"/>
        </w:rPr>
        <w:t xml:space="preserve"> quarter of 2019 in Sierra Leone. A Feasibility study has been conducted on IPv6 test beds improvement and a master plan is under development to facilitate African countries to adopt IPv6.</w:t>
      </w:r>
    </w:p>
    <w:p w:rsidR="000B4984" w:rsidRPr="00CC6D28" w:rsidRDefault="000B4984" w:rsidP="006E2592">
      <w:pPr>
        <w:tabs>
          <w:tab w:val="clear" w:pos="567"/>
          <w:tab w:val="clear" w:pos="1134"/>
          <w:tab w:val="clear" w:pos="1701"/>
          <w:tab w:val="clear" w:pos="2268"/>
          <w:tab w:val="clear" w:pos="2835"/>
        </w:tabs>
        <w:snapToGrid w:val="0"/>
        <w:spacing w:before="80" w:after="80"/>
        <w:jc w:val="both"/>
        <w:rPr>
          <w:rFonts w:asciiTheme="minorHAnsi" w:hAnsiTheme="minorHAnsi" w:cstheme="minorHAnsi"/>
          <w:sz w:val="22"/>
          <w:szCs w:val="22"/>
        </w:rPr>
      </w:pPr>
      <w:r w:rsidRPr="00CC6D28">
        <w:rPr>
          <w:rFonts w:asciiTheme="minorHAnsi" w:hAnsiTheme="minorHAnsi" w:cstheme="minorHAnsi"/>
          <w:bCs/>
          <w:color w:val="000000"/>
          <w:sz w:val="22"/>
          <w:szCs w:val="22"/>
        </w:rPr>
        <w:t>3.5</w:t>
      </w:r>
      <w:r w:rsidRPr="00CC6D28">
        <w:rPr>
          <w:rFonts w:asciiTheme="minorHAnsi" w:hAnsiTheme="minorHAnsi" w:cstheme="minorHAnsi"/>
          <w:color w:val="000000"/>
          <w:sz w:val="22"/>
          <w:szCs w:val="22"/>
        </w:rPr>
        <w:tab/>
        <w:t xml:space="preserve">In partnership with APNIC </w:t>
      </w:r>
      <w:r w:rsidRPr="00CC6D28">
        <w:rPr>
          <w:rFonts w:asciiTheme="minorHAnsi" w:hAnsiTheme="minorHAnsi" w:cstheme="minorHAnsi"/>
          <w:sz w:val="22"/>
          <w:szCs w:val="22"/>
        </w:rPr>
        <w:t>and Australia</w:t>
      </w:r>
      <w:r w:rsidRPr="00CC6D28">
        <w:rPr>
          <w:rFonts w:asciiTheme="minorHAnsi" w:hAnsiTheme="minorHAnsi" w:cstheme="minorHAnsi"/>
          <w:color w:val="000000"/>
          <w:sz w:val="22"/>
          <w:szCs w:val="22"/>
        </w:rPr>
        <w:t xml:space="preserve">, on 4-8 December 2017 a training on “Internet and IPv6 Infrastructure Security Program” was held in Tonga for the Pacific region and in 2018 IPv6 Roadmap was developed for </w:t>
      </w:r>
      <w:r w:rsidRPr="00CC6D28">
        <w:rPr>
          <w:rFonts w:asciiTheme="minorHAnsi" w:hAnsiTheme="minorHAnsi" w:cstheme="minorHAnsi"/>
          <w:sz w:val="22"/>
          <w:szCs w:val="22"/>
        </w:rPr>
        <w:t xml:space="preserve">Mongolia and Brunei. </w:t>
      </w:r>
    </w:p>
    <w:p w:rsidR="000B4984" w:rsidRPr="00CC6D28" w:rsidRDefault="000B4984" w:rsidP="006E2592">
      <w:pPr>
        <w:pStyle w:val="Header"/>
        <w:snapToGrid w:val="0"/>
        <w:spacing w:before="80" w:after="8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3.6</w:t>
      </w:r>
      <w:r w:rsidRPr="00CC6D28">
        <w:rPr>
          <w:rFonts w:asciiTheme="minorHAnsi" w:hAnsiTheme="minorHAnsi" w:cstheme="minorHAnsi"/>
          <w:sz w:val="22"/>
          <w:szCs w:val="22"/>
          <w:lang w:val="en-US"/>
        </w:rPr>
        <w:tab/>
        <w:t>Through the ITU Academy, a training course on Internet and IPv6 Infrastructure Security in the Asia-Pacific region was delivered from 1-5 May 2018 by the Centre of Excellence ALTTC, in Ghaziabad, India in partnership with MDES (Thailand)</w:t>
      </w:r>
      <w:r w:rsidRPr="00CC6D28">
        <w:rPr>
          <w:rFonts w:asciiTheme="minorHAnsi" w:hAnsiTheme="minorHAnsi" w:cstheme="minorHAnsi"/>
          <w:sz w:val="22"/>
          <w:szCs w:val="22"/>
          <w:rtl/>
          <w:lang w:val="en-US"/>
        </w:rPr>
        <w:t xml:space="preserve"> </w:t>
      </w:r>
      <w:r w:rsidRPr="00CC6D28">
        <w:rPr>
          <w:rFonts w:asciiTheme="minorHAnsi" w:hAnsiTheme="minorHAnsi" w:cstheme="minorHAnsi"/>
          <w:sz w:val="22"/>
          <w:szCs w:val="22"/>
          <w:lang w:val="en-US"/>
        </w:rPr>
        <w:t xml:space="preserve">and APNIC. </w:t>
      </w:r>
    </w:p>
    <w:p w:rsidR="000B4984" w:rsidRPr="00CC6D28" w:rsidRDefault="0023180B" w:rsidP="006E2592">
      <w:pPr>
        <w:pStyle w:val="Header"/>
        <w:snapToGrid w:val="0"/>
        <w:spacing w:before="80" w:after="80"/>
        <w:jc w:val="both"/>
        <w:rPr>
          <w:rFonts w:asciiTheme="minorHAnsi" w:hAnsiTheme="minorHAnsi" w:cstheme="minorHAnsi"/>
          <w:sz w:val="22"/>
          <w:szCs w:val="22"/>
          <w:lang w:val="en-US"/>
        </w:rPr>
      </w:pPr>
      <w:r>
        <w:rPr>
          <w:rFonts w:asciiTheme="minorHAnsi" w:hAnsiTheme="minorHAnsi" w:cstheme="minorHAnsi"/>
          <w:sz w:val="22"/>
          <w:szCs w:val="22"/>
          <w:lang w:val="en-US"/>
        </w:rPr>
        <w:t>3.7</w:t>
      </w:r>
      <w:r>
        <w:rPr>
          <w:rFonts w:asciiTheme="minorHAnsi" w:hAnsiTheme="minorHAnsi" w:cstheme="minorHAnsi"/>
          <w:sz w:val="22"/>
          <w:szCs w:val="22"/>
          <w:lang w:val="en-US"/>
        </w:rPr>
        <w:tab/>
      </w:r>
      <w:r w:rsidR="000B4984" w:rsidRPr="00CC6D28">
        <w:rPr>
          <w:rFonts w:asciiTheme="minorHAnsi" w:hAnsiTheme="minorHAnsi" w:cstheme="minorHAnsi"/>
          <w:sz w:val="22"/>
          <w:szCs w:val="22"/>
          <w:lang w:val="en-US"/>
        </w:rPr>
        <w:t xml:space="preserve">In the Arab region, a project on human capacity building in relation to IPv6 was implemented under the framework cooperation agreement signed between the </w:t>
      </w:r>
      <w:r w:rsidR="000B4984">
        <w:rPr>
          <w:rFonts w:asciiTheme="minorHAnsi" w:hAnsiTheme="minorHAnsi" w:cstheme="minorHAnsi"/>
          <w:sz w:val="22"/>
          <w:szCs w:val="22"/>
          <w:lang w:val="en-US"/>
        </w:rPr>
        <w:t>UAE</w:t>
      </w:r>
      <w:r w:rsidR="000B4984" w:rsidRPr="00CC6D28">
        <w:rPr>
          <w:rFonts w:asciiTheme="minorHAnsi" w:hAnsiTheme="minorHAnsi" w:cstheme="minorHAnsi"/>
          <w:sz w:val="22"/>
          <w:szCs w:val="22"/>
          <w:lang w:val="en-US"/>
        </w:rPr>
        <w:t>’</w:t>
      </w:r>
      <w:r w:rsidR="000B4984">
        <w:rPr>
          <w:rFonts w:asciiTheme="minorHAnsi" w:hAnsiTheme="minorHAnsi" w:cstheme="minorHAnsi"/>
          <w:sz w:val="22"/>
          <w:szCs w:val="22"/>
          <w:lang w:val="en-US"/>
        </w:rPr>
        <w:t>s</w:t>
      </w:r>
      <w:r w:rsidR="000B4984" w:rsidRPr="00CC6D28">
        <w:rPr>
          <w:rFonts w:asciiTheme="minorHAnsi" w:hAnsiTheme="minorHAnsi" w:cstheme="minorHAnsi"/>
          <w:sz w:val="22"/>
          <w:szCs w:val="22"/>
          <w:lang w:val="en-US"/>
        </w:rPr>
        <w:t xml:space="preserve"> Telecommunications Regulatory Authority (TRA) and ITU.</w:t>
      </w:r>
      <w:r w:rsidR="000B4984" w:rsidRPr="00CC6D28" w:rsidDel="00E55059">
        <w:rPr>
          <w:rFonts w:asciiTheme="minorHAnsi" w:hAnsiTheme="minorHAnsi" w:cstheme="minorHAnsi"/>
          <w:sz w:val="22"/>
          <w:szCs w:val="22"/>
          <w:lang w:val="en-US"/>
        </w:rPr>
        <w:t xml:space="preserve"> </w:t>
      </w:r>
    </w:p>
    <w:p w:rsidR="000B4984" w:rsidRDefault="000B4984" w:rsidP="006E2592">
      <w:pPr>
        <w:tabs>
          <w:tab w:val="clear" w:pos="567"/>
          <w:tab w:val="clear" w:pos="1134"/>
          <w:tab w:val="clear" w:pos="1701"/>
          <w:tab w:val="clear" w:pos="2268"/>
          <w:tab w:val="clear" w:pos="2835"/>
        </w:tabs>
        <w:snapToGrid w:val="0"/>
        <w:spacing w:before="80" w:after="8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3.</w:t>
      </w:r>
      <w:r w:rsidR="0023180B">
        <w:rPr>
          <w:rFonts w:asciiTheme="minorHAnsi" w:hAnsiTheme="minorHAnsi" w:cstheme="minorHAnsi"/>
          <w:bCs/>
          <w:sz w:val="22"/>
          <w:szCs w:val="22"/>
          <w:lang w:val="en-US"/>
        </w:rPr>
        <w:t>8</w:t>
      </w:r>
      <w:r w:rsidRPr="00CC6D28">
        <w:rPr>
          <w:rFonts w:asciiTheme="minorHAnsi" w:hAnsiTheme="minorHAnsi" w:cstheme="minorHAnsi"/>
          <w:sz w:val="22"/>
          <w:szCs w:val="22"/>
          <w:lang w:val="en-US"/>
        </w:rPr>
        <w:tab/>
        <w:t xml:space="preserve">The </w:t>
      </w:r>
      <w:hyperlink r:id="rId56" w:history="1">
        <w:r w:rsidRPr="00CC6D28">
          <w:rPr>
            <w:rStyle w:val="Hyperlink"/>
            <w:rFonts w:asciiTheme="minorHAnsi" w:hAnsiTheme="minorHAnsi" w:cstheme="minorHAnsi"/>
            <w:sz w:val="22"/>
            <w:szCs w:val="22"/>
            <w:lang w:val="en-US"/>
          </w:rPr>
          <w:t>final report</w:t>
        </w:r>
      </w:hyperlink>
      <w:r w:rsidRPr="00CC6D28">
        <w:rPr>
          <w:rFonts w:asciiTheme="minorHAnsi" w:hAnsiTheme="minorHAnsi" w:cstheme="minorHAnsi"/>
          <w:sz w:val="22"/>
          <w:szCs w:val="22"/>
          <w:lang w:val="en-US"/>
        </w:rPr>
        <w:t xml:space="preserve"> in response to ITU-D SG1 </w:t>
      </w:r>
      <w:hyperlink r:id="rId57" w:history="1">
        <w:r w:rsidRPr="00CC6D28">
          <w:rPr>
            <w:rStyle w:val="Hyperlink"/>
            <w:rFonts w:asciiTheme="minorHAnsi" w:hAnsiTheme="minorHAnsi" w:cstheme="minorHAnsi"/>
            <w:sz w:val="22"/>
            <w:szCs w:val="22"/>
            <w:lang w:val="en-US"/>
          </w:rPr>
          <w:t>Question 1/1</w:t>
        </w:r>
      </w:hyperlink>
      <w:r w:rsidRPr="00CC6D28">
        <w:rPr>
          <w:rFonts w:asciiTheme="minorHAnsi" w:hAnsiTheme="minorHAnsi" w:cstheme="minorHAnsi"/>
          <w:sz w:val="22"/>
          <w:szCs w:val="22"/>
          <w:lang w:val="en-US"/>
        </w:rPr>
        <w:t xml:space="preserve"> explored through case studies the experiences of countries in transitioning from IPv4 to IPv6 to enable </w:t>
      </w:r>
      <w:proofErr w:type="spellStart"/>
      <w:r w:rsidRPr="00CC6D28">
        <w:rPr>
          <w:rFonts w:asciiTheme="minorHAnsi" w:hAnsiTheme="minorHAnsi" w:cstheme="minorHAnsi"/>
          <w:sz w:val="22"/>
          <w:szCs w:val="22"/>
          <w:lang w:val="en-US"/>
        </w:rPr>
        <w:t>IoT</w:t>
      </w:r>
      <w:proofErr w:type="spellEnd"/>
      <w:r w:rsidRPr="00CC6D28">
        <w:rPr>
          <w:rFonts w:asciiTheme="minorHAnsi" w:hAnsiTheme="minorHAnsi" w:cstheme="minorHAnsi"/>
          <w:sz w:val="22"/>
          <w:szCs w:val="22"/>
          <w:lang w:val="en-US"/>
        </w:rPr>
        <w:t>, M2M, Internet of Everything (IoE), and other future technologies.</w:t>
      </w:r>
    </w:p>
    <w:p w:rsidR="000B4984" w:rsidRPr="00CC6D28" w:rsidRDefault="000B4984" w:rsidP="000B4984">
      <w:pPr>
        <w:pStyle w:val="Heading1"/>
        <w:keepNext w:val="0"/>
        <w:keepLines w:val="0"/>
        <w:tabs>
          <w:tab w:val="clear" w:pos="567"/>
          <w:tab w:val="clear" w:pos="1134"/>
          <w:tab w:val="clear" w:pos="1701"/>
          <w:tab w:val="clear" w:pos="2268"/>
          <w:tab w:val="clear" w:pos="2835"/>
        </w:tabs>
        <w:snapToGrid w:val="0"/>
        <w:spacing w:before="100" w:beforeAutospacing="1" w:after="120"/>
        <w:ind w:left="709" w:hanging="709"/>
        <w:jc w:val="both"/>
        <w:rPr>
          <w:rFonts w:asciiTheme="minorHAnsi" w:hAnsiTheme="minorHAnsi" w:cstheme="minorHAnsi"/>
          <w:sz w:val="22"/>
          <w:szCs w:val="22"/>
          <w:lang w:val="en-US"/>
        </w:rPr>
      </w:pPr>
      <w:r w:rsidRPr="00CC6D28">
        <w:rPr>
          <w:rFonts w:asciiTheme="minorHAnsi" w:hAnsiTheme="minorHAnsi" w:cstheme="minorHAnsi"/>
          <w:sz w:val="22"/>
          <w:szCs w:val="22"/>
          <w:lang w:val="en-US"/>
        </w:rPr>
        <w:t>4.</w:t>
      </w:r>
      <w:r w:rsidRPr="00CC6D28">
        <w:rPr>
          <w:rFonts w:asciiTheme="minorHAnsi" w:hAnsiTheme="minorHAnsi" w:cstheme="minorHAnsi"/>
          <w:sz w:val="22"/>
          <w:szCs w:val="22"/>
          <w:lang w:val="en-US"/>
        </w:rPr>
        <w:tab/>
        <w:t>Internet-related public policy issues including the management of domain names and addresses</w:t>
      </w:r>
    </w:p>
    <w:p w:rsidR="000B4984" w:rsidRPr="00CC6D28" w:rsidRDefault="000B4984" w:rsidP="006E2592">
      <w:pPr>
        <w:pStyle w:val="Style2"/>
        <w:widowControl/>
        <w:adjustRightInd w:val="0"/>
        <w:snapToGrid w:val="0"/>
        <w:spacing w:before="80" w:after="80" w:line="240" w:lineRule="auto"/>
        <w:ind w:firstLine="0"/>
        <w:rPr>
          <w:rFonts w:cstheme="minorHAnsi"/>
          <w:szCs w:val="22"/>
          <w:lang w:val="en-US"/>
        </w:rPr>
      </w:pPr>
      <w:r w:rsidRPr="00CC6D28">
        <w:rPr>
          <w:rFonts w:cstheme="minorHAnsi"/>
          <w:bCs/>
          <w:szCs w:val="22"/>
          <w:lang w:val="en-US"/>
        </w:rPr>
        <w:t>4.1</w:t>
      </w:r>
      <w:r w:rsidRPr="00CC6D28">
        <w:rPr>
          <w:rFonts w:cstheme="minorHAnsi"/>
          <w:szCs w:val="22"/>
          <w:lang w:val="en-US"/>
        </w:rPr>
        <w:tab/>
        <w:t xml:space="preserve">The </w:t>
      </w:r>
      <w:hyperlink r:id="rId58" w:history="1">
        <w:r w:rsidRPr="00CC6D28">
          <w:rPr>
            <w:rStyle w:val="Hyperlink"/>
            <w:rFonts w:cstheme="minorHAnsi"/>
            <w:szCs w:val="22"/>
            <w:lang w:val="en-US"/>
          </w:rPr>
          <w:t>Council Working Group on international Internet-related public policy issues (CWG-Internet)</w:t>
        </w:r>
      </w:hyperlink>
      <w:r w:rsidRPr="00CC6D28">
        <w:rPr>
          <w:rFonts w:cstheme="minorHAnsi"/>
          <w:szCs w:val="22"/>
          <w:lang w:val="en-US"/>
        </w:rPr>
        <w:t xml:space="preserve"> held its twelfth meeting on 1 February 2018. A separate report is presented in </w:t>
      </w:r>
      <w:r w:rsidRPr="0023180B">
        <w:rPr>
          <w:rFonts w:cstheme="minorHAnsi"/>
          <w:szCs w:val="22"/>
          <w:lang w:val="en-US"/>
        </w:rPr>
        <w:t xml:space="preserve">Document </w:t>
      </w:r>
      <w:hyperlink r:id="rId59" w:history="1">
        <w:r w:rsidR="0023180B" w:rsidRPr="0023180B">
          <w:rPr>
            <w:rStyle w:val="Hyperlink"/>
            <w:rFonts w:cstheme="minorHAnsi"/>
            <w:szCs w:val="22"/>
            <w:lang w:val="en-US"/>
          </w:rPr>
          <w:t>C18/51</w:t>
        </w:r>
      </w:hyperlink>
      <w:r w:rsidRPr="0023180B">
        <w:rPr>
          <w:rFonts w:cstheme="minorHAnsi"/>
          <w:szCs w:val="22"/>
          <w:lang w:val="en-US"/>
        </w:rPr>
        <w:t>.</w:t>
      </w:r>
      <w:r w:rsidRPr="00CC6D28">
        <w:rPr>
          <w:rFonts w:cstheme="minorHAnsi"/>
          <w:szCs w:val="22"/>
          <w:lang w:val="en-US"/>
        </w:rPr>
        <w:t xml:space="preserve"> </w:t>
      </w:r>
    </w:p>
    <w:p w:rsidR="000B4984" w:rsidRPr="00CC6D28" w:rsidRDefault="000B4984" w:rsidP="006E2592">
      <w:pPr>
        <w:pStyle w:val="normalWSIS"/>
        <w:numPr>
          <w:ilvl w:val="0"/>
          <w:numId w:val="0"/>
        </w:numPr>
        <w:tabs>
          <w:tab w:val="clear" w:pos="426"/>
        </w:tabs>
        <w:adjustRightInd w:val="0"/>
        <w:snapToGrid w:val="0"/>
        <w:spacing w:before="80" w:after="80" w:line="240" w:lineRule="auto"/>
        <w:rPr>
          <w:rFonts w:cstheme="minorHAnsi"/>
          <w:b/>
          <w:lang w:val="en-US" w:eastAsia="de-CH"/>
        </w:rPr>
      </w:pPr>
      <w:r w:rsidRPr="00CC6D28">
        <w:rPr>
          <w:rFonts w:cstheme="minorHAnsi"/>
          <w:bCs/>
          <w:lang w:val="en-US"/>
        </w:rPr>
        <w:t>4.2</w:t>
      </w:r>
      <w:r w:rsidRPr="00CC6D28">
        <w:rPr>
          <w:rFonts w:cstheme="minorHAnsi"/>
          <w:b/>
          <w:lang w:val="en-US"/>
        </w:rPr>
        <w:tab/>
      </w:r>
      <w:r w:rsidRPr="00CC6D28">
        <w:rPr>
          <w:rFonts w:cstheme="minorHAnsi"/>
          <w:lang w:val="en-US"/>
        </w:rPr>
        <w:t xml:space="preserve">ITU participated in the </w:t>
      </w:r>
      <w:r w:rsidRPr="0023180B">
        <w:rPr>
          <w:rFonts w:cstheme="minorHAnsi"/>
          <w:lang w:val="en-US"/>
        </w:rPr>
        <w:t>13th</w:t>
      </w:r>
      <w:r w:rsidRPr="00CC6D28">
        <w:rPr>
          <w:rFonts w:cstheme="minorHAnsi"/>
          <w:lang w:val="en-US"/>
        </w:rPr>
        <w:t xml:space="preserve"> IGF meeting, held from 12 to 14 November 2018 in Paris, France. Due to an overlap with the ITU Plenipotentiary </w:t>
      </w:r>
      <w:r w:rsidR="00905F45">
        <w:rPr>
          <w:rFonts w:cstheme="minorHAnsi"/>
          <w:lang w:val="en-US"/>
        </w:rPr>
        <w:t>C</w:t>
      </w:r>
      <w:r w:rsidRPr="00CC6D28">
        <w:rPr>
          <w:rFonts w:cstheme="minorHAnsi"/>
          <w:lang w:val="en-US"/>
        </w:rPr>
        <w:t>onference, ITU participation at the IGF was not at the same level as previous years. ITU co-organized an Open Forum on Implementation of WSIS Action Lines for SDGs and WSIS Forum 2019 (co-organized by the WSIS Action Line Facilitators), and co-organized a workshop on capacity building in Internet governance</w:t>
      </w:r>
      <w:r>
        <w:rPr>
          <w:rFonts w:cstheme="minorHAnsi"/>
          <w:lang w:val="en-US"/>
        </w:rPr>
        <w:t>.</w:t>
      </w:r>
    </w:p>
    <w:p w:rsidR="000B4984" w:rsidRPr="00CC6D28" w:rsidRDefault="000B4984" w:rsidP="006E2592">
      <w:pPr>
        <w:pStyle w:val="Style2"/>
        <w:widowControl/>
        <w:adjustRightInd w:val="0"/>
        <w:snapToGrid w:val="0"/>
        <w:spacing w:before="80" w:after="80" w:line="240" w:lineRule="auto"/>
        <w:ind w:firstLine="0"/>
        <w:rPr>
          <w:rFonts w:eastAsiaTheme="minorEastAsia" w:cstheme="minorHAnsi"/>
          <w:szCs w:val="22"/>
          <w:lang w:val="en-US"/>
        </w:rPr>
      </w:pPr>
      <w:r w:rsidRPr="00CC6D28">
        <w:rPr>
          <w:rFonts w:eastAsiaTheme="minorEastAsia" w:cstheme="minorHAnsi"/>
          <w:bCs/>
          <w:szCs w:val="22"/>
          <w:lang w:val="en-US"/>
        </w:rPr>
        <w:t>4.3</w:t>
      </w:r>
      <w:r w:rsidRPr="00CC6D28">
        <w:rPr>
          <w:rFonts w:eastAsiaTheme="minorEastAsia" w:cstheme="minorHAnsi"/>
          <w:szCs w:val="22"/>
          <w:lang w:val="en-US"/>
        </w:rPr>
        <w:tab/>
        <w:t xml:space="preserve">ITU continues to follow the issue of protecting intergovernmental organization (IGO) names and acronyms in any new </w:t>
      </w:r>
      <w:proofErr w:type="spellStart"/>
      <w:r w:rsidRPr="00CC6D28">
        <w:rPr>
          <w:rFonts w:eastAsiaTheme="minorEastAsia" w:cstheme="minorHAnsi"/>
          <w:szCs w:val="22"/>
          <w:lang w:val="en-US"/>
        </w:rPr>
        <w:t>gTLDs</w:t>
      </w:r>
      <w:proofErr w:type="spellEnd"/>
      <w:r w:rsidRPr="00CC6D28">
        <w:rPr>
          <w:rFonts w:eastAsiaTheme="minorEastAsia" w:cstheme="minorHAnsi"/>
          <w:szCs w:val="22"/>
          <w:lang w:val="en-US"/>
        </w:rPr>
        <w:t>, as part of the IGO coalition composed of approximately 35 IGOs including OECD, UN, UPU, WHO, WIPO, and the World Bank.</w:t>
      </w:r>
    </w:p>
    <w:p w:rsidR="000B4984" w:rsidRPr="00CC6D28" w:rsidRDefault="000B4984" w:rsidP="006E2592">
      <w:pPr>
        <w:pStyle w:val="Style2"/>
        <w:widowControl/>
        <w:adjustRightInd w:val="0"/>
        <w:snapToGrid w:val="0"/>
        <w:spacing w:before="80" w:after="80" w:line="240" w:lineRule="auto"/>
        <w:ind w:firstLine="0"/>
        <w:rPr>
          <w:rFonts w:eastAsiaTheme="minorEastAsia" w:cstheme="minorHAnsi"/>
          <w:szCs w:val="22"/>
          <w:lang w:val="en-US"/>
        </w:rPr>
      </w:pPr>
      <w:r w:rsidRPr="00CC6D28">
        <w:rPr>
          <w:rFonts w:eastAsiaTheme="minorEastAsia" w:cstheme="minorHAnsi"/>
          <w:bCs/>
          <w:szCs w:val="22"/>
          <w:lang w:val="en-US"/>
        </w:rPr>
        <w:t>4.4</w:t>
      </w:r>
      <w:r w:rsidRPr="00CC6D28">
        <w:rPr>
          <w:rFonts w:eastAsiaTheme="minorEastAsia" w:cstheme="minorHAnsi"/>
          <w:szCs w:val="22"/>
          <w:lang w:val="en-US"/>
        </w:rPr>
        <w:tab/>
        <w:t>ITU-T SG2 continues to follow the issue of possible perceived mapping of the ITU-T E.164 numbering plan into the DNS, with regard to the provision of all-numeric domain names by TELNIC, the domain name registry operator for .</w:t>
      </w:r>
      <w:proofErr w:type="spellStart"/>
      <w:r w:rsidRPr="00CC6D28">
        <w:rPr>
          <w:rFonts w:eastAsiaTheme="minorEastAsia" w:cstheme="minorHAnsi"/>
          <w:szCs w:val="22"/>
          <w:lang w:val="en-US"/>
        </w:rPr>
        <w:t>tel</w:t>
      </w:r>
      <w:proofErr w:type="spellEnd"/>
      <w:r w:rsidRPr="00CC6D28">
        <w:rPr>
          <w:rFonts w:eastAsiaTheme="minorEastAsia" w:cstheme="minorHAnsi"/>
          <w:szCs w:val="22"/>
          <w:lang w:val="en-US"/>
        </w:rPr>
        <w:t xml:space="preserve"> </w:t>
      </w:r>
      <w:proofErr w:type="spellStart"/>
      <w:r w:rsidRPr="00CC6D28">
        <w:rPr>
          <w:rFonts w:eastAsiaTheme="minorEastAsia" w:cstheme="minorHAnsi"/>
          <w:szCs w:val="22"/>
          <w:lang w:val="en-US"/>
        </w:rPr>
        <w:t>gTLD</w:t>
      </w:r>
      <w:proofErr w:type="spellEnd"/>
      <w:r w:rsidRPr="00CC6D28">
        <w:rPr>
          <w:rFonts w:eastAsiaTheme="minorEastAsia" w:cstheme="minorHAnsi"/>
          <w:szCs w:val="22"/>
          <w:lang w:val="en-US"/>
        </w:rPr>
        <w:t>. ITU-T SG2 is awaiting contributions from ITU-T membership after a call for contributions was made on this topic in its January 2016 meeting.</w:t>
      </w:r>
    </w:p>
    <w:p w:rsidR="000B4984" w:rsidRPr="00CC6D28" w:rsidRDefault="000B4984" w:rsidP="000B4984">
      <w:pPr>
        <w:pStyle w:val="Style2"/>
        <w:widowControl/>
        <w:adjustRightInd w:val="0"/>
        <w:snapToGrid w:val="0"/>
        <w:spacing w:before="120" w:after="120" w:line="240" w:lineRule="auto"/>
        <w:ind w:firstLine="0"/>
        <w:rPr>
          <w:rFonts w:cstheme="minorHAnsi"/>
          <w:b/>
          <w:szCs w:val="22"/>
          <w:lang w:val="en-US"/>
        </w:rPr>
      </w:pPr>
      <w:r w:rsidRPr="00CC6D28">
        <w:rPr>
          <w:rFonts w:eastAsiaTheme="minorEastAsia" w:cstheme="minorHAnsi"/>
          <w:bCs/>
          <w:szCs w:val="22"/>
          <w:lang w:val="en-US"/>
        </w:rPr>
        <w:lastRenderedPageBreak/>
        <w:t>4.5</w:t>
      </w:r>
      <w:r w:rsidRPr="00CC6D28">
        <w:rPr>
          <w:rFonts w:eastAsiaTheme="minorEastAsia" w:cstheme="minorHAnsi"/>
          <w:szCs w:val="22"/>
          <w:lang w:val="en-US"/>
        </w:rPr>
        <w:t xml:space="preserve"> </w:t>
      </w:r>
      <w:r w:rsidRPr="00CC6D28">
        <w:rPr>
          <w:rFonts w:eastAsiaTheme="minorEastAsia" w:cstheme="minorHAnsi"/>
          <w:szCs w:val="22"/>
          <w:lang w:val="en-US"/>
        </w:rPr>
        <w:tab/>
      </w:r>
      <w:r w:rsidRPr="00CC6D28">
        <w:rPr>
          <w:rFonts w:cstheme="minorHAnsi"/>
          <w:szCs w:val="22"/>
          <w:lang w:val="en-US"/>
        </w:rPr>
        <w:t>BDT continues to develop capacities in the field of Internet governance for the ITU membership. Several training and capacity building activities were implemented in 2018. Through the ITU Centre of Excellence network and the ITU Academy, several training courses were delivered in the field of Internet governance. A regional workshop on Internet governance was organized for the Africa region in Abuja, Nigeria, on 27-28 August 2018, in partnership with Diplo Foundation. The workshop attracted more than 100 participants. ITU also contributed to capacity building events during the WSIS Forum 2018 and the IGF 2018, in partnership w</w:t>
      </w:r>
      <w:r w:rsidR="0023180B">
        <w:rPr>
          <w:rFonts w:cstheme="minorHAnsi"/>
          <w:szCs w:val="22"/>
          <w:lang w:val="en-US"/>
        </w:rPr>
        <w:t>ith ICANN and Diplo Foundation.</w:t>
      </w:r>
    </w:p>
    <w:p w:rsidR="000B4984" w:rsidRPr="00CC6D28" w:rsidRDefault="000B4984" w:rsidP="000B4984">
      <w:pPr>
        <w:pStyle w:val="Style2"/>
        <w:widowControl/>
        <w:adjustRightInd w:val="0"/>
        <w:snapToGrid w:val="0"/>
        <w:spacing w:before="360" w:after="120" w:line="240" w:lineRule="auto"/>
        <w:ind w:firstLine="0"/>
        <w:rPr>
          <w:rFonts w:cstheme="minorHAnsi"/>
          <w:szCs w:val="22"/>
          <w:lang w:val="en-US"/>
        </w:rPr>
      </w:pPr>
      <w:r w:rsidRPr="00CC6D28">
        <w:rPr>
          <w:rFonts w:cstheme="minorHAnsi"/>
          <w:b/>
          <w:szCs w:val="22"/>
          <w:lang w:val="en-US"/>
        </w:rPr>
        <w:t>5.</w:t>
      </w:r>
      <w:r w:rsidRPr="00CC6D28">
        <w:rPr>
          <w:rFonts w:cstheme="minorHAnsi"/>
          <w:b/>
          <w:szCs w:val="22"/>
          <w:lang w:val="en-US"/>
        </w:rPr>
        <w:tab/>
        <w:t>ENUM</w:t>
      </w:r>
    </w:p>
    <w:p w:rsidR="000B4984" w:rsidRPr="00CC6D28" w:rsidRDefault="001D77EA"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hyperlink r:id="rId60" w:history="1">
        <w:r w:rsidR="000B4984" w:rsidRPr="00CC6D28">
          <w:rPr>
            <w:rStyle w:val="Hyperlink"/>
            <w:rFonts w:asciiTheme="minorHAnsi" w:hAnsiTheme="minorHAnsi" w:cstheme="minorHAnsi"/>
            <w:sz w:val="22"/>
            <w:szCs w:val="22"/>
          </w:rPr>
          <w:t>Updated Information on ENUM</w:t>
        </w:r>
      </w:hyperlink>
      <w:r w:rsidR="000B4984" w:rsidRPr="00CC6D28">
        <w:rPr>
          <w:rFonts w:asciiTheme="minorHAnsi" w:hAnsiTheme="minorHAnsi" w:cstheme="minorHAnsi"/>
          <w:sz w:val="22"/>
          <w:szCs w:val="22"/>
        </w:rPr>
        <w:t xml:space="preserve"> is being maintained by ITU-T. This includes information on approved ENUM Delegations and on ENUM trials.</w:t>
      </w:r>
    </w:p>
    <w:p w:rsidR="000B4984" w:rsidRPr="00CC6D28" w:rsidRDefault="000B4984" w:rsidP="000B498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2"/>
          <w:szCs w:val="22"/>
          <w:lang w:val="en-US"/>
        </w:rPr>
      </w:pPr>
      <w:r w:rsidRPr="00CC6D28">
        <w:rPr>
          <w:rFonts w:asciiTheme="minorHAnsi" w:hAnsiTheme="minorHAnsi" w:cstheme="minorHAnsi"/>
          <w:sz w:val="22"/>
          <w:szCs w:val="22"/>
          <w:lang w:val="en-US"/>
        </w:rPr>
        <w:t>6.</w:t>
      </w:r>
      <w:r w:rsidRPr="00CC6D28">
        <w:rPr>
          <w:rFonts w:asciiTheme="minorHAnsi" w:hAnsiTheme="minorHAnsi" w:cstheme="minorHAnsi"/>
          <w:sz w:val="22"/>
          <w:szCs w:val="22"/>
          <w:lang w:val="en-US"/>
        </w:rPr>
        <w:tab/>
        <w:t>International Internet Connectivity (IIC)/Internet Exchange Points (IXPs)</w:t>
      </w:r>
    </w:p>
    <w:p w:rsidR="000B4984" w:rsidRPr="00CC6D28" w:rsidRDefault="000B4984" w:rsidP="006E2592">
      <w:pPr>
        <w:tabs>
          <w:tab w:val="clear" w:pos="567"/>
          <w:tab w:val="clear" w:pos="1134"/>
          <w:tab w:val="clear" w:pos="1701"/>
          <w:tab w:val="clear" w:pos="2268"/>
          <w:tab w:val="clear" w:pos="2835"/>
        </w:tabs>
        <w:snapToGrid w:val="0"/>
        <w:spacing w:before="80" w:after="8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6.1</w:t>
      </w:r>
      <w:r w:rsidRPr="00CC6D28">
        <w:rPr>
          <w:rFonts w:asciiTheme="minorHAnsi" w:hAnsiTheme="minorHAnsi" w:cstheme="minorHAnsi"/>
          <w:sz w:val="22"/>
          <w:szCs w:val="22"/>
          <w:lang w:val="en-US"/>
        </w:rPr>
        <w:tab/>
      </w:r>
      <w:bookmarkStart w:id="20" w:name="_Hlk500485334"/>
      <w:r w:rsidRPr="00CC6D28">
        <w:rPr>
          <w:rFonts w:asciiTheme="minorHAnsi" w:hAnsiTheme="minorHAnsi" w:cstheme="minorHAnsi"/>
          <w:sz w:val="22"/>
          <w:szCs w:val="22"/>
          <w:lang w:val="en-US"/>
        </w:rPr>
        <w:t>BDT continues to provide assistance to countries in the creation of national IXPs, and on achieving efficient and cost-effective regional Internet connectivity by, e.g.</w:t>
      </w:r>
      <w:r w:rsidR="00905F45">
        <w:rPr>
          <w:rFonts w:asciiTheme="minorHAnsi" w:hAnsiTheme="minorHAnsi" w:cstheme="minorHAnsi"/>
          <w:sz w:val="22"/>
          <w:szCs w:val="22"/>
          <w:lang w:val="en-US"/>
        </w:rPr>
        <w:t>:</w:t>
      </w:r>
      <w:r w:rsidRPr="00CC6D28">
        <w:rPr>
          <w:rFonts w:asciiTheme="minorHAnsi" w:hAnsiTheme="minorHAnsi" w:cstheme="minorHAnsi"/>
          <w:sz w:val="22"/>
          <w:szCs w:val="22"/>
          <w:lang w:val="en-US"/>
        </w:rPr>
        <w:t xml:space="preserve"> developing model interconnection as a basis for formulating National and Regional IXPs, as in the case of Guatemala; supporting strengthening capabilities of the national IXPs (Montenegro) and the National Internet Exchange in Timor </w:t>
      </w:r>
      <w:proofErr w:type="spellStart"/>
      <w:r w:rsidRPr="00CC6D28">
        <w:rPr>
          <w:rFonts w:asciiTheme="minorHAnsi" w:hAnsiTheme="minorHAnsi" w:cstheme="minorHAnsi"/>
          <w:sz w:val="22"/>
          <w:szCs w:val="22"/>
          <w:lang w:val="en-US"/>
        </w:rPr>
        <w:t>Leste</w:t>
      </w:r>
      <w:proofErr w:type="spellEnd"/>
      <w:r w:rsidRPr="00CC6D28">
        <w:rPr>
          <w:rFonts w:asciiTheme="minorHAnsi" w:hAnsiTheme="minorHAnsi" w:cstheme="minorHAnsi"/>
          <w:sz w:val="22"/>
          <w:szCs w:val="22"/>
          <w:lang w:val="en-US"/>
        </w:rPr>
        <w:t>; developing a new publication on “Internet Exchanges” including Renewable Energies for Rural Communications</w:t>
      </w:r>
      <w:r w:rsidR="00905F45">
        <w:rPr>
          <w:rFonts w:asciiTheme="minorHAnsi" w:hAnsiTheme="minorHAnsi" w:cstheme="minorHAnsi"/>
          <w:sz w:val="22"/>
          <w:szCs w:val="22"/>
          <w:lang w:val="en-US"/>
        </w:rPr>
        <w:t>,</w:t>
      </w:r>
      <w:r w:rsidRPr="00CC6D28">
        <w:rPr>
          <w:rFonts w:asciiTheme="minorHAnsi" w:hAnsiTheme="minorHAnsi" w:cstheme="minorHAnsi"/>
          <w:sz w:val="22"/>
          <w:szCs w:val="22"/>
          <w:lang w:val="en-US"/>
        </w:rPr>
        <w:t xml:space="preserve"> etc. Another sub-regional IXP is under consideration with Djibouti Telecom using their New Data Center and optical cables.</w:t>
      </w:r>
    </w:p>
    <w:p w:rsidR="000B4984" w:rsidRPr="00CC6D28" w:rsidRDefault="000B4984" w:rsidP="006E2592">
      <w:pPr>
        <w:tabs>
          <w:tab w:val="clear" w:pos="567"/>
          <w:tab w:val="clear" w:pos="1134"/>
          <w:tab w:val="clear" w:pos="1701"/>
          <w:tab w:val="clear" w:pos="2268"/>
          <w:tab w:val="clear" w:pos="2835"/>
        </w:tabs>
        <w:snapToGrid w:val="0"/>
        <w:spacing w:before="80" w:after="80"/>
        <w:jc w:val="both"/>
        <w:rPr>
          <w:rFonts w:asciiTheme="minorHAnsi" w:hAnsiTheme="minorHAnsi" w:cstheme="minorHAnsi"/>
          <w:sz w:val="22"/>
          <w:szCs w:val="22"/>
          <w:lang w:val="en-US"/>
        </w:rPr>
      </w:pPr>
      <w:r w:rsidRPr="00CC6D28">
        <w:rPr>
          <w:rFonts w:asciiTheme="minorHAnsi" w:hAnsiTheme="minorHAnsi" w:cstheme="minorHAnsi"/>
          <w:sz w:val="22"/>
          <w:szCs w:val="22"/>
          <w:lang w:val="en-US"/>
        </w:rPr>
        <w:t xml:space="preserve">BDT has also developed an </w:t>
      </w:r>
      <w:hyperlink r:id="rId61" w:history="1">
        <w:r w:rsidRPr="00CC6D28">
          <w:rPr>
            <w:rStyle w:val="Hyperlink"/>
            <w:rFonts w:asciiTheme="minorHAnsi" w:hAnsiTheme="minorHAnsi" w:cstheme="minorHAnsi"/>
            <w:sz w:val="22"/>
            <w:szCs w:val="22"/>
            <w:lang w:val="en-US"/>
          </w:rPr>
          <w:t>ICT-data mapping platform</w:t>
        </w:r>
      </w:hyperlink>
      <w:r w:rsidRPr="00CC6D28">
        <w:rPr>
          <w:rFonts w:asciiTheme="minorHAnsi" w:hAnsiTheme="minorHAnsi" w:cstheme="minorHAnsi"/>
          <w:sz w:val="22"/>
          <w:szCs w:val="22"/>
          <w:lang w:val="en-US"/>
        </w:rPr>
        <w:t xml:space="preserve"> to take stock of IXPs locations, national backbone connectivity (optical </w:t>
      </w:r>
      <w:proofErr w:type="spellStart"/>
      <w:r w:rsidRPr="00CC6D28">
        <w:rPr>
          <w:rFonts w:asciiTheme="minorHAnsi" w:hAnsiTheme="minorHAnsi" w:cstheme="minorHAnsi"/>
          <w:sz w:val="22"/>
          <w:szCs w:val="22"/>
          <w:lang w:val="en-US"/>
        </w:rPr>
        <w:t>fibres</w:t>
      </w:r>
      <w:proofErr w:type="spellEnd"/>
      <w:r w:rsidRPr="00CC6D28">
        <w:rPr>
          <w:rFonts w:asciiTheme="minorHAnsi" w:hAnsiTheme="minorHAnsi" w:cstheme="minorHAnsi"/>
          <w:sz w:val="22"/>
          <w:szCs w:val="22"/>
          <w:lang w:val="en-US"/>
        </w:rPr>
        <w:t xml:space="preserve">, microwave links and satellite earth stations) as well as of other key metrics of the ICT sector. </w:t>
      </w:r>
      <w:bookmarkEnd w:id="20"/>
    </w:p>
    <w:p w:rsidR="000B4984" w:rsidRPr="00CC6D28" w:rsidRDefault="000B4984" w:rsidP="006E2592">
      <w:pPr>
        <w:tabs>
          <w:tab w:val="clear" w:pos="567"/>
          <w:tab w:val="clear" w:pos="1134"/>
          <w:tab w:val="clear" w:pos="1701"/>
          <w:tab w:val="clear" w:pos="2268"/>
          <w:tab w:val="clear" w:pos="2835"/>
        </w:tabs>
        <w:snapToGrid w:val="0"/>
        <w:spacing w:before="80" w:after="80"/>
        <w:jc w:val="both"/>
        <w:rPr>
          <w:rFonts w:asciiTheme="minorHAnsi" w:hAnsiTheme="minorHAnsi" w:cstheme="minorHAnsi"/>
          <w:sz w:val="22"/>
          <w:szCs w:val="22"/>
          <w:lang w:val="en-US"/>
        </w:rPr>
      </w:pPr>
      <w:r w:rsidRPr="00CC6D28">
        <w:rPr>
          <w:rFonts w:asciiTheme="minorHAnsi" w:hAnsiTheme="minorHAnsi" w:cstheme="minorHAnsi"/>
          <w:bCs/>
          <w:sz w:val="22"/>
          <w:szCs w:val="22"/>
          <w:lang w:val="en-US"/>
        </w:rPr>
        <w:t>6.2</w:t>
      </w:r>
      <w:r w:rsidRPr="00CC6D28">
        <w:rPr>
          <w:rFonts w:asciiTheme="minorHAnsi" w:hAnsiTheme="minorHAnsi" w:cstheme="minorHAnsi"/>
          <w:sz w:val="22"/>
          <w:szCs w:val="22"/>
          <w:lang w:val="en-US"/>
        </w:rPr>
        <w:tab/>
        <w:t xml:space="preserve">ITU-T SG3 continues to work on IIC, including framework for competitive IIC provision, IP peering, regional traffic exchange points, cost models, and cost of provision of services. The </w:t>
      </w:r>
      <w:r>
        <w:rPr>
          <w:rFonts w:asciiTheme="minorHAnsi" w:hAnsiTheme="minorHAnsi" w:cstheme="minorHAnsi"/>
          <w:sz w:val="22"/>
          <w:szCs w:val="22"/>
          <w:lang w:val="en-US"/>
        </w:rPr>
        <w:t>G</w:t>
      </w:r>
      <w:r w:rsidRPr="00CC6D28">
        <w:rPr>
          <w:rFonts w:asciiTheme="minorHAnsi" w:hAnsiTheme="minorHAnsi" w:cstheme="minorHAnsi"/>
          <w:sz w:val="22"/>
          <w:szCs w:val="22"/>
          <w:lang w:val="en-US"/>
        </w:rPr>
        <w:t>roup, under the new Question 13/3, is also developing a new Standard on optimizing terrestrial cable utilization across multiple countries to boost regional and international connectivity.</w:t>
      </w:r>
    </w:p>
    <w:p w:rsidR="000B4984" w:rsidRPr="00CC6D28" w:rsidRDefault="000B4984" w:rsidP="000B4984">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lang w:val="en-US"/>
        </w:rPr>
      </w:pPr>
      <w:r w:rsidRPr="00CC6D28">
        <w:rPr>
          <w:rFonts w:asciiTheme="minorHAnsi" w:hAnsiTheme="minorHAnsi" w:cstheme="minorHAnsi"/>
          <w:b/>
          <w:bCs/>
          <w:sz w:val="22"/>
          <w:szCs w:val="22"/>
          <w:lang w:val="en-US"/>
        </w:rPr>
        <w:t>7.</w:t>
      </w:r>
      <w:r w:rsidRPr="00CC6D28">
        <w:rPr>
          <w:rFonts w:asciiTheme="minorHAnsi" w:hAnsiTheme="minorHAnsi" w:cstheme="minorHAnsi"/>
          <w:b/>
          <w:bCs/>
          <w:sz w:val="22"/>
          <w:szCs w:val="22"/>
          <w:lang w:val="en-US"/>
        </w:rPr>
        <w:tab/>
        <w:t>OTT</w:t>
      </w:r>
    </w:p>
    <w:p w:rsidR="000B4984" w:rsidRPr="00CC6D28" w:rsidRDefault="000B4984" w:rsidP="006E2592">
      <w:pPr>
        <w:tabs>
          <w:tab w:val="clear" w:pos="567"/>
          <w:tab w:val="clear" w:pos="1134"/>
          <w:tab w:val="clear" w:pos="1701"/>
          <w:tab w:val="clear" w:pos="2268"/>
          <w:tab w:val="clear" w:pos="2835"/>
        </w:tabs>
        <w:snapToGrid w:val="0"/>
        <w:spacing w:before="80" w:after="80"/>
        <w:jc w:val="both"/>
        <w:rPr>
          <w:rFonts w:asciiTheme="minorHAnsi" w:hAnsiTheme="minorHAnsi" w:cstheme="minorHAnsi"/>
          <w:sz w:val="22"/>
          <w:szCs w:val="22"/>
          <w:lang w:val="en-US"/>
        </w:rPr>
      </w:pPr>
      <w:r>
        <w:rPr>
          <w:rFonts w:asciiTheme="minorHAnsi" w:hAnsiTheme="minorHAnsi" w:cstheme="minorHAnsi"/>
          <w:sz w:val="22"/>
          <w:szCs w:val="22"/>
          <w:lang w:val="en-US"/>
        </w:rPr>
        <w:t>7</w:t>
      </w:r>
      <w:r w:rsidRPr="00CC6D28">
        <w:rPr>
          <w:rFonts w:asciiTheme="minorHAnsi" w:hAnsiTheme="minorHAnsi" w:cstheme="minorHAnsi"/>
          <w:sz w:val="22"/>
          <w:szCs w:val="22"/>
          <w:lang w:val="en-US"/>
        </w:rPr>
        <w:t>.1</w:t>
      </w:r>
      <w:r w:rsidRPr="00CC6D28">
        <w:rPr>
          <w:rFonts w:asciiTheme="minorHAnsi" w:hAnsiTheme="minorHAnsi" w:cstheme="minorHAnsi"/>
          <w:sz w:val="22"/>
          <w:szCs w:val="22"/>
          <w:lang w:val="en-US"/>
        </w:rPr>
        <w:tab/>
        <w:t>ITU-T SG3 has achieved in its last meeting a first-stage approval (‘determination’) of a new ITU standard addressing the relationship between network operators and providers of OTT services. The draft new standard ITU-T D.262 (D.OTT) on Collaborative Framework for OTTs provides parameters for analysis of the new financial dynamics of the ICT ecosystem, and how policy and regulatory frameworks could support competition, consumer protection, consumer benefits, dynamic innovation, sustainable investment and infrastructure development, accessibility</w:t>
      </w:r>
      <w:r w:rsidR="00905F45">
        <w:rPr>
          <w:rFonts w:asciiTheme="minorHAnsi" w:hAnsiTheme="minorHAnsi" w:cstheme="minorHAnsi"/>
          <w:sz w:val="22"/>
          <w:szCs w:val="22"/>
          <w:lang w:val="en-US"/>
        </w:rPr>
        <w:t>,</w:t>
      </w:r>
      <w:r w:rsidRPr="00CC6D28">
        <w:rPr>
          <w:rFonts w:asciiTheme="minorHAnsi" w:hAnsiTheme="minorHAnsi" w:cstheme="minorHAnsi"/>
          <w:sz w:val="22"/>
          <w:szCs w:val="22"/>
          <w:lang w:val="en-US"/>
        </w:rPr>
        <w:t xml:space="preserve"> and affordability in relation to the global growth of OTTs.</w:t>
      </w:r>
    </w:p>
    <w:p w:rsidR="0023180B" w:rsidRDefault="000B4984" w:rsidP="006E2592">
      <w:pPr>
        <w:tabs>
          <w:tab w:val="clear" w:pos="567"/>
          <w:tab w:val="clear" w:pos="1134"/>
          <w:tab w:val="clear" w:pos="1701"/>
          <w:tab w:val="clear" w:pos="2268"/>
          <w:tab w:val="clear" w:pos="2835"/>
        </w:tabs>
        <w:spacing w:before="80" w:after="80"/>
        <w:jc w:val="both"/>
        <w:rPr>
          <w:rFonts w:asciiTheme="minorHAnsi" w:hAnsiTheme="minorHAnsi" w:cstheme="minorHAnsi"/>
          <w:sz w:val="22"/>
          <w:szCs w:val="22"/>
          <w:lang w:val="en-US"/>
        </w:rPr>
      </w:pPr>
      <w:r>
        <w:rPr>
          <w:rFonts w:asciiTheme="minorHAnsi" w:hAnsiTheme="minorHAnsi" w:cstheme="minorHAnsi"/>
          <w:sz w:val="22"/>
          <w:szCs w:val="22"/>
          <w:lang w:val="en-US"/>
        </w:rPr>
        <w:t>7</w:t>
      </w:r>
      <w:r w:rsidRPr="00CC6D28">
        <w:rPr>
          <w:rFonts w:asciiTheme="minorHAnsi" w:hAnsiTheme="minorHAnsi" w:cstheme="minorHAnsi"/>
          <w:sz w:val="22"/>
          <w:szCs w:val="22"/>
          <w:lang w:val="en-US"/>
        </w:rPr>
        <w:t>.2</w:t>
      </w:r>
      <w:r w:rsidRPr="00CC6D28">
        <w:rPr>
          <w:rFonts w:asciiTheme="minorHAnsi" w:hAnsiTheme="minorHAnsi" w:cstheme="minorHAnsi"/>
          <w:sz w:val="22"/>
          <w:szCs w:val="22"/>
          <w:lang w:val="en-US"/>
        </w:rPr>
        <w:tab/>
        <w:t>Prior to this, ITU-T SG3 researched the topic and issued a Technical Report on the Economic Impact of OTTs containing several country cases.  The Group is also advancing work on topics including: Impact of OTT bypass, and Partnerships between OTT players and mobile network operators.</w:t>
      </w:r>
    </w:p>
    <w:p w:rsidR="000B4984" w:rsidRDefault="000B4984" w:rsidP="006E2592">
      <w:pPr>
        <w:tabs>
          <w:tab w:val="clear" w:pos="567"/>
          <w:tab w:val="clear" w:pos="1134"/>
          <w:tab w:val="clear" w:pos="1701"/>
          <w:tab w:val="clear" w:pos="2268"/>
          <w:tab w:val="clear" w:pos="2835"/>
        </w:tabs>
        <w:spacing w:before="80" w:after="80"/>
        <w:jc w:val="both"/>
        <w:rPr>
          <w:rFonts w:asciiTheme="minorHAnsi" w:hAnsiTheme="minorHAnsi" w:cstheme="minorHAnsi"/>
          <w:sz w:val="22"/>
          <w:szCs w:val="22"/>
          <w:lang w:val="en-US"/>
        </w:rPr>
      </w:pPr>
      <w:r>
        <w:rPr>
          <w:rFonts w:asciiTheme="minorHAnsi" w:hAnsiTheme="minorHAnsi" w:cstheme="minorHAnsi"/>
          <w:sz w:val="22"/>
          <w:szCs w:val="22"/>
          <w:lang w:val="en-US"/>
        </w:rPr>
        <w:t>7</w:t>
      </w:r>
      <w:r w:rsidRPr="00CC6D28">
        <w:rPr>
          <w:rFonts w:asciiTheme="minorHAnsi" w:hAnsiTheme="minorHAnsi" w:cstheme="minorHAnsi"/>
          <w:sz w:val="22"/>
          <w:szCs w:val="22"/>
          <w:lang w:val="en-US"/>
        </w:rPr>
        <w:t>.3</w:t>
      </w:r>
      <w:r w:rsidRPr="00CC6D28">
        <w:rPr>
          <w:rFonts w:asciiTheme="minorHAnsi" w:hAnsiTheme="minorHAnsi" w:cstheme="minorHAnsi"/>
          <w:sz w:val="22"/>
          <w:szCs w:val="22"/>
          <w:lang w:val="en-US"/>
        </w:rPr>
        <w:tab/>
        <w:t>ITU-T SG17 identified OTTs as one of the new actors in the ecosystem that impacts Security as part of its transformation of security studies. Several recommendations and current work items had and are already taking into account the changes, and SG17 has listed Cloud (covering OTTs) as a new potential Question in its long term prototypes (currently it concerns Q7/17 and Q8/17).</w:t>
      </w:r>
    </w:p>
    <w:p w:rsidR="00264425" w:rsidRDefault="0023180B" w:rsidP="006E2592">
      <w:pPr>
        <w:tabs>
          <w:tab w:val="clear" w:pos="567"/>
          <w:tab w:val="clear" w:pos="1134"/>
          <w:tab w:val="clear" w:pos="1701"/>
          <w:tab w:val="clear" w:pos="2268"/>
          <w:tab w:val="clear" w:pos="2835"/>
        </w:tabs>
        <w:spacing w:before="80" w:after="80"/>
        <w:jc w:val="both"/>
        <w:rPr>
          <w:rFonts w:asciiTheme="minorHAnsi" w:hAnsiTheme="minorHAnsi" w:cstheme="minorHAnsi"/>
          <w:sz w:val="22"/>
          <w:szCs w:val="22"/>
          <w:lang w:val="en-US"/>
        </w:rPr>
      </w:pPr>
      <w:r>
        <w:rPr>
          <w:rFonts w:asciiTheme="minorHAnsi" w:hAnsiTheme="minorHAnsi" w:cstheme="minorHAnsi"/>
          <w:sz w:val="22"/>
          <w:szCs w:val="22"/>
          <w:lang w:val="en-US"/>
        </w:rPr>
        <w:t>7.4</w:t>
      </w:r>
      <w:r>
        <w:rPr>
          <w:rFonts w:asciiTheme="minorHAnsi" w:hAnsiTheme="minorHAnsi" w:cstheme="minorHAnsi"/>
          <w:sz w:val="22"/>
          <w:szCs w:val="22"/>
          <w:lang w:val="en-US"/>
        </w:rPr>
        <w:tab/>
      </w:r>
      <w:r w:rsidR="000B4984">
        <w:rPr>
          <w:rFonts w:asciiTheme="minorHAnsi" w:hAnsiTheme="minorHAnsi" w:cstheme="minorHAnsi"/>
          <w:sz w:val="22"/>
          <w:szCs w:val="22"/>
          <w:lang w:val="en-US"/>
        </w:rPr>
        <w:t>Under ITU-D SG1, n</w:t>
      </w:r>
      <w:r w:rsidR="000B4984" w:rsidRPr="002F7F82">
        <w:rPr>
          <w:rFonts w:asciiTheme="minorHAnsi" w:hAnsiTheme="minorHAnsi" w:cstheme="minorHAnsi"/>
          <w:sz w:val="22"/>
          <w:szCs w:val="22"/>
          <w:lang w:val="en-US"/>
        </w:rPr>
        <w:t>ew Q3/1 will work on “Emerging technologies, including cloud computing, m-services and OTTs: Challenges and opportunities, economic and policy impact for developing countries” (merging former Q1/1 and Q3/1).</w:t>
      </w:r>
    </w:p>
    <w:p w:rsidR="006E2592" w:rsidRPr="006E2592" w:rsidRDefault="009E6CC1" w:rsidP="009E6CC1">
      <w:pPr>
        <w:tabs>
          <w:tab w:val="clear" w:pos="567"/>
          <w:tab w:val="clear" w:pos="1134"/>
          <w:tab w:val="clear" w:pos="1701"/>
          <w:tab w:val="clear" w:pos="2268"/>
          <w:tab w:val="clear" w:pos="2835"/>
        </w:tabs>
        <w:spacing w:before="360"/>
        <w:jc w:val="center"/>
        <w:rPr>
          <w:sz w:val="20"/>
          <w:szCs w:val="16"/>
          <w:u w:val="single"/>
        </w:rPr>
      </w:pPr>
      <w:r>
        <w:rPr>
          <w:rFonts w:asciiTheme="minorHAnsi" w:hAnsiTheme="minorHAnsi" w:cstheme="minorHAnsi"/>
          <w:sz w:val="18"/>
          <w:szCs w:val="18"/>
          <w:u w:val="single"/>
          <w:lang w:val="en-US"/>
        </w:rPr>
        <w:t>_____________________</w:t>
      </w:r>
    </w:p>
    <w:sectPr w:rsidR="006E2592" w:rsidRPr="006E2592" w:rsidSect="004D1851">
      <w:head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BB9" w:rsidRDefault="00A61BB9">
      <w:r>
        <w:separator/>
      </w:r>
    </w:p>
  </w:endnote>
  <w:endnote w:type="continuationSeparator" w:id="0">
    <w:p w:rsidR="00A61BB9" w:rsidRDefault="00A6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BB9" w:rsidRDefault="00A61BB9">
      <w:r>
        <w:t>____________________</w:t>
      </w:r>
    </w:p>
  </w:footnote>
  <w:footnote w:type="continuationSeparator" w:id="0">
    <w:p w:rsidR="00A61BB9" w:rsidRDefault="00A61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D77EA">
      <w:rPr>
        <w:noProof/>
      </w:rPr>
      <w:t>2</w:t>
    </w:r>
    <w:r>
      <w:rPr>
        <w:noProof/>
      </w:rPr>
      <w:fldChar w:fldCharType="end"/>
    </w:r>
  </w:p>
  <w:p w:rsidR="00322D0D" w:rsidRPr="00623AE3" w:rsidRDefault="00FA4575" w:rsidP="005243FF">
    <w:pPr>
      <w:pStyle w:val="Header"/>
      <w:rPr>
        <w:bCs/>
      </w:rPr>
    </w:pPr>
    <w:r>
      <w:rPr>
        <w:bCs/>
      </w:rPr>
      <w:t>C19</w:t>
    </w:r>
    <w:r w:rsidR="000B4984">
      <w:rPr>
        <w:bCs/>
      </w:rPr>
      <w:t>/33</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4B8F"/>
    <w:rsid w:val="000210D4"/>
    <w:rsid w:val="00063016"/>
    <w:rsid w:val="00066795"/>
    <w:rsid w:val="00076AF6"/>
    <w:rsid w:val="00085CF2"/>
    <w:rsid w:val="000B1705"/>
    <w:rsid w:val="000B4984"/>
    <w:rsid w:val="000D75B2"/>
    <w:rsid w:val="001121F5"/>
    <w:rsid w:val="001400DC"/>
    <w:rsid w:val="00140CE1"/>
    <w:rsid w:val="0017539C"/>
    <w:rsid w:val="00175AC2"/>
    <w:rsid w:val="0017609F"/>
    <w:rsid w:val="001859E0"/>
    <w:rsid w:val="001C628E"/>
    <w:rsid w:val="001D77EA"/>
    <w:rsid w:val="001E0F7B"/>
    <w:rsid w:val="002119FD"/>
    <w:rsid w:val="002130E0"/>
    <w:rsid w:val="0023180B"/>
    <w:rsid w:val="00264425"/>
    <w:rsid w:val="00265875"/>
    <w:rsid w:val="0027303B"/>
    <w:rsid w:val="0028109B"/>
    <w:rsid w:val="002A2188"/>
    <w:rsid w:val="002B1F58"/>
    <w:rsid w:val="002C1C7A"/>
    <w:rsid w:val="0030160F"/>
    <w:rsid w:val="00322D0D"/>
    <w:rsid w:val="003942D4"/>
    <w:rsid w:val="003958A8"/>
    <w:rsid w:val="00397176"/>
    <w:rsid w:val="003C20F6"/>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B5ED8"/>
    <w:rsid w:val="005E4F44"/>
    <w:rsid w:val="005F3269"/>
    <w:rsid w:val="00623AE3"/>
    <w:rsid w:val="00636B71"/>
    <w:rsid w:val="0064737F"/>
    <w:rsid w:val="006535F1"/>
    <w:rsid w:val="0065557D"/>
    <w:rsid w:val="00662984"/>
    <w:rsid w:val="006716BB"/>
    <w:rsid w:val="00684FC7"/>
    <w:rsid w:val="006935EB"/>
    <w:rsid w:val="006B6680"/>
    <w:rsid w:val="006B6DCC"/>
    <w:rsid w:val="006E2592"/>
    <w:rsid w:val="00702DEF"/>
    <w:rsid w:val="00706861"/>
    <w:rsid w:val="0075051B"/>
    <w:rsid w:val="00780697"/>
    <w:rsid w:val="00793188"/>
    <w:rsid w:val="00794D34"/>
    <w:rsid w:val="00813E5E"/>
    <w:rsid w:val="0083581B"/>
    <w:rsid w:val="00857DE5"/>
    <w:rsid w:val="00864AFF"/>
    <w:rsid w:val="008B4A6A"/>
    <w:rsid w:val="008C7E27"/>
    <w:rsid w:val="00905F45"/>
    <w:rsid w:val="009173EF"/>
    <w:rsid w:val="00932906"/>
    <w:rsid w:val="009414A5"/>
    <w:rsid w:val="00961B0B"/>
    <w:rsid w:val="0098372A"/>
    <w:rsid w:val="009B38C3"/>
    <w:rsid w:val="009D029B"/>
    <w:rsid w:val="009E17BD"/>
    <w:rsid w:val="009E485A"/>
    <w:rsid w:val="009E6CC1"/>
    <w:rsid w:val="00A04CEC"/>
    <w:rsid w:val="00A23BB6"/>
    <w:rsid w:val="00A27F92"/>
    <w:rsid w:val="00A32257"/>
    <w:rsid w:val="00A36D20"/>
    <w:rsid w:val="00A55622"/>
    <w:rsid w:val="00A61BB9"/>
    <w:rsid w:val="00A83502"/>
    <w:rsid w:val="00AD15B3"/>
    <w:rsid w:val="00AF6E49"/>
    <w:rsid w:val="00B04A67"/>
    <w:rsid w:val="00B0583C"/>
    <w:rsid w:val="00B14AD9"/>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DC43F8"/>
    <w:rsid w:val="00E10E80"/>
    <w:rsid w:val="00E124F0"/>
    <w:rsid w:val="00E20C78"/>
    <w:rsid w:val="00E60F04"/>
    <w:rsid w:val="00E854E4"/>
    <w:rsid w:val="00EB0D6F"/>
    <w:rsid w:val="00EB2232"/>
    <w:rsid w:val="00EC5337"/>
    <w:rsid w:val="00EF0591"/>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0B4984"/>
  </w:style>
  <w:style w:type="paragraph" w:styleId="NormalWeb">
    <w:name w:val="Normal (Web)"/>
    <w:basedOn w:val="Normal"/>
    <w:uiPriority w:val="99"/>
    <w:rsid w:val="000B498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0B498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0B4984"/>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0B4984"/>
    <w:rPr>
      <w:rFonts w:asciiTheme="minorHAnsi" w:eastAsia="SimSun" w:hAnsiTheme="minorHAnsi" w:cs="Arial"/>
      <w:sz w:val="22"/>
      <w:szCs w:val="22"/>
      <w:lang w:val="fr-CH"/>
    </w:rPr>
  </w:style>
  <w:style w:type="paragraph" w:styleId="ListParagraph">
    <w:name w:val="List Paragraph"/>
    <w:basedOn w:val="Normal"/>
    <w:uiPriority w:val="34"/>
    <w:qFormat/>
    <w:rsid w:val="000B4984"/>
    <w:pPr>
      <w:ind w:left="720"/>
      <w:contextualSpacing/>
    </w:pPr>
  </w:style>
  <w:style w:type="paragraph" w:styleId="BalloonText">
    <w:name w:val="Balloon Text"/>
    <w:basedOn w:val="Normal"/>
    <w:link w:val="BalloonTextChar"/>
    <w:semiHidden/>
    <w:unhideWhenUsed/>
    <w:rsid w:val="009414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4A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06-E.pdf" TargetMode="External"/><Relationship Id="rId18" Type="http://schemas.openxmlformats.org/officeDocument/2006/relationships/hyperlink" Target="https://www.itu.int/pub/T-RES-T.48-2016" TargetMode="External"/><Relationship Id="rId26" Type="http://schemas.openxmlformats.org/officeDocument/2006/relationships/hyperlink" Target="https://www.itu.int/pub/T-RES-T.75-2016" TargetMode="External"/><Relationship Id="rId39" Type="http://schemas.openxmlformats.org/officeDocument/2006/relationships/hyperlink" Target="https://news.itu.int/artificial-intelligence-health-call-proposals/" TargetMode="External"/><Relationship Id="rId21" Type="http://schemas.openxmlformats.org/officeDocument/2006/relationships/hyperlink" Target="https://www.itu.int/pub/T-RES-T.52-2016" TargetMode="External"/><Relationship Id="rId34" Type="http://schemas.openxmlformats.org/officeDocument/2006/relationships/hyperlink" Target="https://www.itu.int/ITU-T/workprog/wp_search.aspx?isn_sp=3925&amp;isn_status=-1,2&amp;adf=2018-02-01&amp;adt=2019-03-31&amp;pg_size=100&amp;details=0&amp;field=acdefghijo" TargetMode="External"/><Relationship Id="rId42" Type="http://schemas.openxmlformats.org/officeDocument/2006/relationships/hyperlink" Target="https://news.itu.int/workshop-on-quality-of-service-regulation/" TargetMode="External"/><Relationship Id="rId47" Type="http://schemas.openxmlformats.org/officeDocument/2006/relationships/hyperlink" Target="https://www.itu.int/net/ITU-T/res69/Default.aspx" TargetMode="External"/><Relationship Id="rId50" Type="http://schemas.openxmlformats.org/officeDocument/2006/relationships/hyperlink" Target="https://www.itu.int/pub/D-STG-SG01" TargetMode="External"/><Relationship Id="rId55" Type="http://schemas.openxmlformats.org/officeDocument/2006/relationships/hyperlink" Target="http://www.itu.int/itu-t/workprog/wp_item.aspx?isn=1442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5-CL-C-0112/en" TargetMode="External"/><Relationship Id="rId20" Type="http://schemas.openxmlformats.org/officeDocument/2006/relationships/hyperlink" Target="https://www.itu.int/pub/T-RES-T.50-2016" TargetMode="External"/><Relationship Id="rId29" Type="http://schemas.openxmlformats.org/officeDocument/2006/relationships/hyperlink" Target="https://www.itu.int/md/D14-WTDC17-C-0115/en" TargetMode="External"/><Relationship Id="rId41" Type="http://schemas.openxmlformats.org/officeDocument/2006/relationships/hyperlink" Target="https://www.itu.int/en/ITU-T/studygroups/2017-2020/16/Pages/results-1807.aspx" TargetMode="External"/><Relationship Id="rId54" Type="http://schemas.openxmlformats.org/officeDocument/2006/relationships/hyperlink" Target="http://www.itu.int/en/ITU-T/C-I/interop/I3GT/Pages/default.asp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33-E.pdf" TargetMode="External"/><Relationship Id="rId24" Type="http://schemas.openxmlformats.org/officeDocument/2006/relationships/hyperlink" Target="https://www.itu.int/pub/T-RES-T.64-2016" TargetMode="External"/><Relationship Id="rId32" Type="http://schemas.openxmlformats.org/officeDocument/2006/relationships/hyperlink" Target="https://www.itu.int/md/S17-CL-C-0033/en" TargetMode="External"/><Relationship Id="rId37" Type="http://schemas.openxmlformats.org/officeDocument/2006/relationships/hyperlink" Target="https://www.itu.int/en/mediacentre/Pages/2018-CM05.aspx" TargetMode="External"/><Relationship Id="rId40" Type="http://schemas.openxmlformats.org/officeDocument/2006/relationships/hyperlink" Target="https://news.itu.int/safe-listening-standard/" TargetMode="External"/><Relationship Id="rId45" Type="http://schemas.openxmlformats.org/officeDocument/2006/relationships/hyperlink" Target="https://www.itu.int/en/ITU-T/studygroups/2017-2020/11/Pages/exec-sum-201807.aspx" TargetMode="External"/><Relationship Id="rId53" Type="http://schemas.openxmlformats.org/officeDocument/2006/relationships/hyperlink" Target="https://academy.itu.int/index.php?option=com_content&amp;view=article&amp;id=154&amp;Itemid=588&amp;lang=en" TargetMode="External"/><Relationship Id="rId58" Type="http://schemas.openxmlformats.org/officeDocument/2006/relationships/hyperlink" Target="https://www.itu.int/en/council/cwg-internet/Pages/default.aspx" TargetMode="External"/><Relationship Id="rId5" Type="http://schemas.openxmlformats.org/officeDocument/2006/relationships/webSettings" Target="webSettings.xml"/><Relationship Id="rId15" Type="http://schemas.openxmlformats.org/officeDocument/2006/relationships/hyperlink" Target="http://www.itu.int/md/S15-CL-C-0113/en" TargetMode="External"/><Relationship Id="rId23" Type="http://schemas.openxmlformats.org/officeDocument/2006/relationships/hyperlink" Target="https://www.itu.int/pub/T-RES-T.60-2016" TargetMode="External"/><Relationship Id="rId28" Type="http://schemas.openxmlformats.org/officeDocument/2006/relationships/hyperlink" Target="https://www.itu.int/md/D14-WTDC17-C-0115/en" TargetMode="External"/><Relationship Id="rId36" Type="http://schemas.openxmlformats.org/officeDocument/2006/relationships/hyperlink" Target="https://news.itu.int/versatile-video-coding-project-starts-strongly/" TargetMode="External"/><Relationship Id="rId49" Type="http://schemas.openxmlformats.org/officeDocument/2006/relationships/hyperlink" Target="http://www.itu.int/itu-d/study-groups" TargetMode="External"/><Relationship Id="rId57" Type="http://schemas.openxmlformats.org/officeDocument/2006/relationships/hyperlink" Target="https://www.itu.int/net4/ITU-D/CDS/sg/rgqlist.asp?lg=1&amp;sp=2014&amp;rgq=D14-SG01-RGQ01.1&amp;stg=1" TargetMode="External"/><Relationship Id="rId61" Type="http://schemas.openxmlformats.org/officeDocument/2006/relationships/hyperlink" Target="https://www.itu.int/itu-d/tnd-map-public/" TargetMode="External"/><Relationship Id="rId10" Type="http://schemas.openxmlformats.org/officeDocument/2006/relationships/hyperlink" Target="https://www.itu.int/en/council/Documents/basic-texts/RES-102-E.pdf" TargetMode="External"/><Relationship Id="rId19" Type="http://schemas.openxmlformats.org/officeDocument/2006/relationships/hyperlink" Target="https://www.itu.int/pub/publications.aspx?lang=en&amp;parent=T-RES-T.49-2016" TargetMode="External"/><Relationship Id="rId31" Type="http://schemas.openxmlformats.org/officeDocument/2006/relationships/hyperlink" Target="http://www.itu.int/md/S16-CL-C-0033/en" TargetMode="External"/><Relationship Id="rId44" Type="http://schemas.openxmlformats.org/officeDocument/2006/relationships/hyperlink" Target="https://news.itu.int/renewed-international-commitment-to-combat-counterfeiting/" TargetMode="External"/><Relationship Id="rId52" Type="http://schemas.openxmlformats.org/officeDocument/2006/relationships/hyperlink" Target="https://academy.itu.int/" TargetMode="External"/><Relationship Id="rId60" Type="http://schemas.openxmlformats.org/officeDocument/2006/relationships/hyperlink" Target="http://www.itu.int/ITU-T/inr/enu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01-E.pdf" TargetMode="External"/><Relationship Id="rId14" Type="http://schemas.openxmlformats.org/officeDocument/2006/relationships/hyperlink" Target="http://www.itu.int/md/S09-CL-C-0105" TargetMode="External"/><Relationship Id="rId22" Type="http://schemas.openxmlformats.org/officeDocument/2006/relationships/hyperlink" Target="https://www.itu.int/pub/T-RES-T.58-2016" TargetMode="External"/><Relationship Id="rId27" Type="http://schemas.openxmlformats.org/officeDocument/2006/relationships/hyperlink" Target="https://www.itu.int/pub/T-RES-T.98-2016" TargetMode="External"/><Relationship Id="rId30" Type="http://schemas.openxmlformats.org/officeDocument/2006/relationships/hyperlink" Target="http://www.itu.int/en/action/internet/Documents/Resolution_45_wtdc14.pdf" TargetMode="External"/><Relationship Id="rId35" Type="http://schemas.openxmlformats.org/officeDocument/2006/relationships/hyperlink" Target="https://www.itu.int/en/ITU-T/studygroups/2017-2020/15/Pages/exec-sum-201810.aspx" TargetMode="External"/><Relationship Id="rId43" Type="http://schemas.openxmlformats.org/officeDocument/2006/relationships/hyperlink" Target="https://www.itu.int/en/ITU-T/studygroups/2017-2020/03/Documents/Executive%20Summary%20of%20ITU-T%20Study%20Group%203%20Meeting%20(Geneva,%209%E2%80%9318%20April%202018).pdf" TargetMode="External"/><Relationship Id="rId48" Type="http://schemas.openxmlformats.org/officeDocument/2006/relationships/hyperlink" Target="https://www.itu.int/net/ITU-T/res69/secured/notifications.aspx" TargetMode="External"/><Relationship Id="rId56" Type="http://schemas.openxmlformats.org/officeDocument/2006/relationships/hyperlink" Target="https://www.itu.int/pub/D-STG-SG01.01.1-2017"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pub/D-STG-SG02" TargetMode="External"/><Relationship Id="rId3" Type="http://schemas.openxmlformats.org/officeDocument/2006/relationships/styles" Target="styles.xml"/><Relationship Id="rId12" Type="http://schemas.openxmlformats.org/officeDocument/2006/relationships/hyperlink" Target="https://www.itu.int/en/council/Documents/basic-texts/RES-180-E.pdf" TargetMode="External"/><Relationship Id="rId17" Type="http://schemas.openxmlformats.org/officeDocument/2006/relationships/hyperlink" Target="https://www.itu.int/pub/T-RES-T.47-2016" TargetMode="External"/><Relationship Id="rId25" Type="http://schemas.openxmlformats.org/officeDocument/2006/relationships/hyperlink" Target="https://www.itu.int/pub/T-RES-T.69-2016" TargetMode="External"/><Relationship Id="rId33" Type="http://schemas.openxmlformats.org/officeDocument/2006/relationships/hyperlink" Target="https://www.itu.int/md/S18-CL-C-0033/en" TargetMode="External"/><Relationship Id="rId38" Type="http://schemas.openxmlformats.org/officeDocument/2006/relationships/hyperlink" Target="https://www.itu.int/en/mediacentre/Pages/2018-PR34.aspx" TargetMode="External"/><Relationship Id="rId46" Type="http://schemas.openxmlformats.org/officeDocument/2006/relationships/hyperlink" Target="https://www.itu.int/md/S19-CL-C-0018/en" TargetMode="External"/><Relationship Id="rId59" Type="http://schemas.openxmlformats.org/officeDocument/2006/relationships/hyperlink" Target="https://www.itu.int/md/S18-CL-C-005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4875-6E59-47A4-B888-DE67E4A7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2757</Words>
  <Characters>19773</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ITU Internet activities: Resolutions 101, 102, 133 &amp; 180</vt:lpstr>
    </vt:vector>
  </TitlesOfParts>
  <Manager>General Secretariat - Pool</Manager>
  <Company>International Telecommunication Union (ITU)</Company>
  <LinksUpToDate>false</LinksUpToDate>
  <CharactersWithSpaces>22486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&amp; 180</dc:title>
  <dc:subject>Council 2019</dc:subject>
  <dc:creator>Brouard, Ricarda</dc:creator>
  <cp:keywords>C2019, C19</cp:keywords>
  <dc:description/>
  <cp:lastModifiedBy>Brouard, Ricarda</cp:lastModifiedBy>
  <cp:revision>3</cp:revision>
  <cp:lastPrinted>2000-07-18T13:30:00Z</cp:lastPrinted>
  <dcterms:created xsi:type="dcterms:W3CDTF">2019-05-13T08:03:00Z</dcterms:created>
  <dcterms:modified xsi:type="dcterms:W3CDTF">2019-05-20T13:24:00Z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