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6E5F74">
        <w:trPr>
          <w:cantSplit/>
        </w:trPr>
        <w:tc>
          <w:tcPr>
            <w:tcW w:w="6912" w:type="dxa"/>
          </w:tcPr>
          <w:p w:rsidR="00093EEB" w:rsidRPr="006E5F74" w:rsidRDefault="00093EEB" w:rsidP="00C2727F">
            <w:pPr>
              <w:spacing w:before="360"/>
              <w:rPr>
                <w:szCs w:val="24"/>
                <w:lang w:val="es-ES"/>
              </w:rPr>
            </w:pPr>
            <w:bookmarkStart w:id="0" w:name="dc06"/>
            <w:bookmarkStart w:id="1" w:name="dbluepink" w:colFirst="0" w:colLast="0"/>
            <w:bookmarkEnd w:id="0"/>
            <w:r w:rsidRPr="006E5F74">
              <w:rPr>
                <w:b/>
                <w:bCs/>
                <w:sz w:val="30"/>
                <w:szCs w:val="30"/>
                <w:lang w:val="es-ES"/>
              </w:rPr>
              <w:t>Consejo 201</w:t>
            </w:r>
            <w:r w:rsidR="00C2727F" w:rsidRPr="006E5F74">
              <w:rPr>
                <w:b/>
                <w:bCs/>
                <w:sz w:val="30"/>
                <w:szCs w:val="30"/>
                <w:lang w:val="es-ES"/>
              </w:rPr>
              <w:t>9</w:t>
            </w:r>
            <w:r w:rsidRPr="006E5F74">
              <w:rPr>
                <w:b/>
                <w:bCs/>
                <w:sz w:val="26"/>
                <w:szCs w:val="26"/>
                <w:lang w:val="es-ES"/>
              </w:rPr>
              <w:br/>
            </w:r>
            <w:r w:rsidRPr="006E5F74">
              <w:rPr>
                <w:b/>
                <w:bCs/>
                <w:szCs w:val="24"/>
                <w:lang w:val="es-ES"/>
              </w:rPr>
              <w:t>Ginebra, 1</w:t>
            </w:r>
            <w:r w:rsidR="00C2727F" w:rsidRPr="006E5F74">
              <w:rPr>
                <w:b/>
                <w:bCs/>
                <w:szCs w:val="24"/>
                <w:lang w:val="es-ES"/>
              </w:rPr>
              <w:t>0</w:t>
            </w:r>
            <w:r w:rsidRPr="006E5F74">
              <w:rPr>
                <w:b/>
                <w:bCs/>
                <w:szCs w:val="24"/>
                <w:lang w:val="es-ES"/>
              </w:rPr>
              <w:t>-2</w:t>
            </w:r>
            <w:r w:rsidR="00C2727F" w:rsidRPr="006E5F74">
              <w:rPr>
                <w:b/>
                <w:bCs/>
                <w:szCs w:val="24"/>
                <w:lang w:val="es-ES"/>
              </w:rPr>
              <w:t>0</w:t>
            </w:r>
            <w:r w:rsidRPr="006E5F74">
              <w:rPr>
                <w:b/>
                <w:bCs/>
                <w:szCs w:val="24"/>
                <w:lang w:val="es-ES"/>
              </w:rPr>
              <w:t xml:space="preserve"> de </w:t>
            </w:r>
            <w:r w:rsidR="00C2727F" w:rsidRPr="006E5F74">
              <w:rPr>
                <w:b/>
                <w:bCs/>
                <w:szCs w:val="24"/>
                <w:lang w:val="es-ES"/>
              </w:rPr>
              <w:t>junio</w:t>
            </w:r>
            <w:r w:rsidRPr="006E5F74">
              <w:rPr>
                <w:b/>
                <w:bCs/>
                <w:szCs w:val="24"/>
                <w:lang w:val="es-ES"/>
              </w:rPr>
              <w:t xml:space="preserve"> de 201</w:t>
            </w:r>
            <w:r w:rsidR="00C2727F" w:rsidRPr="006E5F74">
              <w:rPr>
                <w:b/>
                <w:bCs/>
                <w:szCs w:val="24"/>
                <w:lang w:val="es-ES"/>
              </w:rPr>
              <w:t>9</w:t>
            </w:r>
          </w:p>
        </w:tc>
        <w:tc>
          <w:tcPr>
            <w:tcW w:w="3261" w:type="dxa"/>
          </w:tcPr>
          <w:p w:rsidR="00093EEB" w:rsidRPr="006E5F74" w:rsidRDefault="00093EEB" w:rsidP="00093EEB">
            <w:pPr>
              <w:spacing w:before="0"/>
              <w:jc w:val="right"/>
              <w:rPr>
                <w:szCs w:val="24"/>
                <w:lang w:val="es-ES"/>
              </w:rPr>
            </w:pPr>
            <w:bookmarkStart w:id="2" w:name="ditulogo"/>
            <w:bookmarkEnd w:id="2"/>
            <w:r w:rsidRPr="006E5F74">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6E5F74">
        <w:trPr>
          <w:cantSplit/>
          <w:trHeight w:val="20"/>
        </w:trPr>
        <w:tc>
          <w:tcPr>
            <w:tcW w:w="10173" w:type="dxa"/>
            <w:gridSpan w:val="2"/>
            <w:tcBorders>
              <w:bottom w:val="single" w:sz="12" w:space="0" w:color="auto"/>
            </w:tcBorders>
          </w:tcPr>
          <w:p w:rsidR="00093EEB" w:rsidRPr="006E5F74" w:rsidRDefault="00093EEB">
            <w:pPr>
              <w:spacing w:before="0"/>
              <w:rPr>
                <w:b/>
                <w:bCs/>
                <w:szCs w:val="24"/>
                <w:lang w:val="es-ES"/>
              </w:rPr>
            </w:pPr>
          </w:p>
        </w:tc>
      </w:tr>
      <w:tr w:rsidR="00093EEB" w:rsidRPr="006E5F74">
        <w:trPr>
          <w:cantSplit/>
          <w:trHeight w:val="20"/>
        </w:trPr>
        <w:tc>
          <w:tcPr>
            <w:tcW w:w="6912" w:type="dxa"/>
            <w:tcBorders>
              <w:top w:val="single" w:sz="12" w:space="0" w:color="auto"/>
            </w:tcBorders>
          </w:tcPr>
          <w:p w:rsidR="00093EEB" w:rsidRPr="006E5F74"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rsidR="00093EEB" w:rsidRPr="006E5F74" w:rsidRDefault="00093EEB">
            <w:pPr>
              <w:spacing w:before="0"/>
              <w:rPr>
                <w:b/>
                <w:bCs/>
                <w:szCs w:val="24"/>
                <w:lang w:val="es-ES"/>
              </w:rPr>
            </w:pPr>
          </w:p>
        </w:tc>
      </w:tr>
      <w:tr w:rsidR="00093EEB" w:rsidRPr="006E5F74">
        <w:trPr>
          <w:cantSplit/>
          <w:trHeight w:val="20"/>
        </w:trPr>
        <w:tc>
          <w:tcPr>
            <w:tcW w:w="6912" w:type="dxa"/>
            <w:shd w:val="clear" w:color="auto" w:fill="auto"/>
          </w:tcPr>
          <w:p w:rsidR="00093EEB" w:rsidRPr="006E5F74" w:rsidRDefault="004436D9">
            <w:pPr>
              <w:tabs>
                <w:tab w:val="clear" w:pos="2268"/>
                <w:tab w:val="left" w:pos="1560"/>
                <w:tab w:val="left" w:pos="2269"/>
                <w:tab w:val="left" w:pos="3544"/>
                <w:tab w:val="left" w:pos="3969"/>
              </w:tabs>
              <w:spacing w:before="0" w:line="240" w:lineRule="atLeast"/>
              <w:rPr>
                <w:rFonts w:cs="Times"/>
                <w:b/>
                <w:szCs w:val="24"/>
                <w:lang w:val="es-ES"/>
              </w:rPr>
            </w:pPr>
            <w:bookmarkStart w:id="3" w:name="dnum" w:colFirst="1" w:colLast="1"/>
            <w:bookmarkStart w:id="4" w:name="dmeeting" w:colFirst="0" w:colLast="0"/>
            <w:r w:rsidRPr="006E5F74">
              <w:rPr>
                <w:b/>
                <w:lang w:val="es-ES"/>
              </w:rPr>
              <w:t>Punto del orden del día: PL 1.4</w:t>
            </w:r>
          </w:p>
        </w:tc>
        <w:tc>
          <w:tcPr>
            <w:tcW w:w="3261" w:type="dxa"/>
          </w:tcPr>
          <w:p w:rsidR="00093EEB" w:rsidRPr="006E5F74" w:rsidRDefault="00093EEB" w:rsidP="00585996">
            <w:pPr>
              <w:spacing w:before="0"/>
              <w:rPr>
                <w:b/>
                <w:bCs/>
                <w:szCs w:val="24"/>
                <w:lang w:val="es-ES"/>
              </w:rPr>
            </w:pPr>
            <w:r w:rsidRPr="006E5F74">
              <w:rPr>
                <w:b/>
                <w:bCs/>
                <w:szCs w:val="24"/>
                <w:lang w:val="es-ES"/>
              </w:rPr>
              <w:t>Documento C1</w:t>
            </w:r>
            <w:r w:rsidR="00C2727F" w:rsidRPr="006E5F74">
              <w:rPr>
                <w:b/>
                <w:bCs/>
                <w:szCs w:val="24"/>
                <w:lang w:val="es-ES"/>
              </w:rPr>
              <w:t>9</w:t>
            </w:r>
            <w:r w:rsidRPr="006E5F74">
              <w:rPr>
                <w:b/>
                <w:bCs/>
                <w:szCs w:val="24"/>
                <w:lang w:val="es-ES"/>
              </w:rPr>
              <w:t>/</w:t>
            </w:r>
            <w:r w:rsidR="00585996" w:rsidRPr="006E5F74">
              <w:rPr>
                <w:b/>
                <w:bCs/>
                <w:szCs w:val="24"/>
                <w:lang w:val="es-ES"/>
              </w:rPr>
              <w:t>33</w:t>
            </w:r>
            <w:r w:rsidRPr="006E5F74">
              <w:rPr>
                <w:b/>
                <w:bCs/>
                <w:szCs w:val="24"/>
                <w:lang w:val="es-ES"/>
              </w:rPr>
              <w:t>-S</w:t>
            </w:r>
          </w:p>
        </w:tc>
      </w:tr>
      <w:tr w:rsidR="00093EEB" w:rsidRPr="006E5F74">
        <w:trPr>
          <w:cantSplit/>
          <w:trHeight w:val="20"/>
        </w:trPr>
        <w:tc>
          <w:tcPr>
            <w:tcW w:w="6912" w:type="dxa"/>
            <w:shd w:val="clear" w:color="auto" w:fill="auto"/>
          </w:tcPr>
          <w:p w:rsidR="00093EEB" w:rsidRPr="006E5F74" w:rsidRDefault="00093EEB">
            <w:pPr>
              <w:shd w:val="solid" w:color="FFFFFF" w:fill="FFFFFF"/>
              <w:spacing w:before="0"/>
              <w:rPr>
                <w:smallCaps/>
                <w:szCs w:val="24"/>
                <w:lang w:val="es-ES"/>
              </w:rPr>
            </w:pPr>
            <w:bookmarkStart w:id="5" w:name="ddate" w:colFirst="1" w:colLast="1"/>
            <w:bookmarkEnd w:id="3"/>
            <w:bookmarkEnd w:id="4"/>
          </w:p>
        </w:tc>
        <w:tc>
          <w:tcPr>
            <w:tcW w:w="3261" w:type="dxa"/>
          </w:tcPr>
          <w:p w:rsidR="00093EEB" w:rsidRPr="006E5F74" w:rsidRDefault="00585996" w:rsidP="00585996">
            <w:pPr>
              <w:spacing w:before="0"/>
              <w:rPr>
                <w:b/>
                <w:bCs/>
                <w:szCs w:val="24"/>
                <w:lang w:val="es-ES"/>
              </w:rPr>
            </w:pPr>
            <w:r w:rsidRPr="006E5F74">
              <w:rPr>
                <w:b/>
                <w:bCs/>
                <w:szCs w:val="24"/>
                <w:lang w:val="es-ES"/>
              </w:rPr>
              <w:t>1 de abril</w:t>
            </w:r>
            <w:r w:rsidR="00093EEB" w:rsidRPr="006E5F74">
              <w:rPr>
                <w:b/>
                <w:bCs/>
                <w:szCs w:val="24"/>
                <w:lang w:val="es-ES"/>
              </w:rPr>
              <w:t xml:space="preserve"> de 201</w:t>
            </w:r>
            <w:r w:rsidR="00C2727F" w:rsidRPr="006E5F74">
              <w:rPr>
                <w:b/>
                <w:bCs/>
                <w:szCs w:val="24"/>
                <w:lang w:val="es-ES"/>
              </w:rPr>
              <w:t>9</w:t>
            </w:r>
          </w:p>
        </w:tc>
      </w:tr>
      <w:tr w:rsidR="00093EEB" w:rsidRPr="006E5F74">
        <w:trPr>
          <w:cantSplit/>
          <w:trHeight w:val="20"/>
        </w:trPr>
        <w:tc>
          <w:tcPr>
            <w:tcW w:w="6912" w:type="dxa"/>
            <w:shd w:val="clear" w:color="auto" w:fill="auto"/>
          </w:tcPr>
          <w:p w:rsidR="00093EEB" w:rsidRPr="006E5F74" w:rsidRDefault="00093EEB">
            <w:pPr>
              <w:shd w:val="solid" w:color="FFFFFF" w:fill="FFFFFF"/>
              <w:spacing w:before="0"/>
              <w:rPr>
                <w:smallCaps/>
                <w:szCs w:val="24"/>
                <w:lang w:val="es-ES"/>
              </w:rPr>
            </w:pPr>
            <w:bookmarkStart w:id="6" w:name="dorlang" w:colFirst="1" w:colLast="1"/>
            <w:bookmarkEnd w:id="5"/>
          </w:p>
        </w:tc>
        <w:tc>
          <w:tcPr>
            <w:tcW w:w="3261" w:type="dxa"/>
          </w:tcPr>
          <w:p w:rsidR="00093EEB" w:rsidRPr="006E5F74" w:rsidRDefault="00093EEB" w:rsidP="00093EEB">
            <w:pPr>
              <w:spacing w:before="0"/>
              <w:rPr>
                <w:b/>
                <w:bCs/>
                <w:szCs w:val="24"/>
                <w:lang w:val="es-ES"/>
              </w:rPr>
            </w:pPr>
            <w:r w:rsidRPr="006E5F74">
              <w:rPr>
                <w:b/>
                <w:bCs/>
                <w:szCs w:val="24"/>
                <w:lang w:val="es-ES"/>
              </w:rPr>
              <w:t>Original: inglés</w:t>
            </w:r>
          </w:p>
        </w:tc>
      </w:tr>
      <w:tr w:rsidR="00585996" w:rsidRPr="006E5F74" w:rsidTr="00F93144">
        <w:trPr>
          <w:cantSplit/>
        </w:trPr>
        <w:tc>
          <w:tcPr>
            <w:tcW w:w="10173" w:type="dxa"/>
            <w:gridSpan w:val="2"/>
          </w:tcPr>
          <w:p w:rsidR="00585996" w:rsidRPr="006E5F74" w:rsidRDefault="00585996" w:rsidP="00585996">
            <w:pPr>
              <w:pStyle w:val="Source"/>
              <w:rPr>
                <w:lang w:val="es-ES"/>
              </w:rPr>
            </w:pPr>
            <w:bookmarkStart w:id="7" w:name="dsource" w:colFirst="0" w:colLast="0"/>
            <w:bookmarkEnd w:id="1"/>
            <w:bookmarkEnd w:id="6"/>
            <w:r w:rsidRPr="006E5F74">
              <w:rPr>
                <w:lang w:val="es-ES"/>
              </w:rPr>
              <w:t>Informe del Secretario General</w:t>
            </w:r>
          </w:p>
        </w:tc>
      </w:tr>
      <w:tr w:rsidR="00585996" w:rsidRPr="006E5F74" w:rsidTr="00F93144">
        <w:trPr>
          <w:cantSplit/>
        </w:trPr>
        <w:tc>
          <w:tcPr>
            <w:tcW w:w="10173" w:type="dxa"/>
            <w:gridSpan w:val="2"/>
          </w:tcPr>
          <w:p w:rsidR="00585996" w:rsidRPr="006E5F74" w:rsidRDefault="00585996" w:rsidP="00585996">
            <w:pPr>
              <w:pStyle w:val="Title1"/>
              <w:rPr>
                <w:lang w:val="es-ES"/>
              </w:rPr>
            </w:pPr>
            <w:bookmarkStart w:id="8" w:name="dtitle1" w:colFirst="0" w:colLast="0"/>
            <w:bookmarkEnd w:id="7"/>
            <w:r w:rsidRPr="006E5F74">
              <w:rPr>
                <w:lang w:val="es-ES"/>
              </w:rPr>
              <w:t>ACTIVIDADES DE LA UIT EN EL ÁMBITO DE INTERNET:</w:t>
            </w:r>
            <w:r w:rsidRPr="006E5F74">
              <w:rPr>
                <w:lang w:val="es-ES"/>
              </w:rPr>
              <w:br/>
              <w:t>REsOLUCIONES 101, 102, 133 Y 180</w:t>
            </w:r>
          </w:p>
        </w:tc>
      </w:tr>
      <w:bookmarkEnd w:id="8"/>
    </w:tbl>
    <w:p w:rsidR="00585996" w:rsidRPr="006E5F74" w:rsidRDefault="00585996" w:rsidP="00585996">
      <w:pPr>
        <w:rPr>
          <w:lang w:val="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85996" w:rsidRPr="006E5F74" w:rsidTr="00F93144">
        <w:trPr>
          <w:trHeight w:val="3372"/>
        </w:trPr>
        <w:tc>
          <w:tcPr>
            <w:tcW w:w="8080" w:type="dxa"/>
            <w:tcBorders>
              <w:top w:val="single" w:sz="12" w:space="0" w:color="auto"/>
              <w:left w:val="single" w:sz="12" w:space="0" w:color="auto"/>
              <w:bottom w:val="single" w:sz="12" w:space="0" w:color="auto"/>
              <w:right w:val="single" w:sz="12" w:space="0" w:color="auto"/>
            </w:tcBorders>
          </w:tcPr>
          <w:p w:rsidR="00585996" w:rsidRPr="006E5F74" w:rsidRDefault="00585996" w:rsidP="004436D9">
            <w:pPr>
              <w:pStyle w:val="Headingb"/>
              <w:rPr>
                <w:lang w:val="es-ES"/>
              </w:rPr>
            </w:pPr>
            <w:r w:rsidRPr="006E5F74">
              <w:rPr>
                <w:lang w:val="es-ES"/>
              </w:rPr>
              <w:t>Resumen</w:t>
            </w:r>
          </w:p>
          <w:p w:rsidR="00585996" w:rsidRPr="006E5F74" w:rsidRDefault="00585996" w:rsidP="0063747F">
            <w:pPr>
              <w:rPr>
                <w:lang w:val="es-ES"/>
              </w:rPr>
            </w:pPr>
            <w:r w:rsidRPr="006E5F74">
              <w:rPr>
                <w:lang w:val="es-ES"/>
              </w:rPr>
              <w:t xml:space="preserve">En el presente Informe se resumen las actividades realizadas por la UIT respecto de la Resolución 101 (Rev. </w:t>
            </w:r>
            <w:r w:rsidR="008474B8" w:rsidRPr="006E5F74">
              <w:rPr>
                <w:lang w:val="es-ES"/>
              </w:rPr>
              <w:t>Dubái, 2018</w:t>
            </w:r>
            <w:r w:rsidRPr="006E5F74">
              <w:rPr>
                <w:lang w:val="es-ES"/>
              </w:rPr>
              <w:t xml:space="preserve">): "Redes basadas en el protocolo Internet", la Resolución 102 (Rev. </w:t>
            </w:r>
            <w:r w:rsidR="008474B8" w:rsidRPr="006E5F74">
              <w:rPr>
                <w:lang w:val="es-ES"/>
              </w:rPr>
              <w:t>Dubái, 2018</w:t>
            </w:r>
            <w:r w:rsidRPr="006E5F74">
              <w:rPr>
                <w:lang w:val="es-ES"/>
              </w:rPr>
              <w:t xml:space="preserve">): "Función de la UIT con respecto a las cuestiones de política pública internacional relacionadas con Internet y la gestión de los recursos de Internet, incluidos los nombres de dominio y las direcciones", la Resolución 133 (Rev. </w:t>
            </w:r>
            <w:r w:rsidR="008474B8" w:rsidRPr="006E5F74">
              <w:rPr>
                <w:lang w:val="es-ES"/>
              </w:rPr>
              <w:t>Dubái, 2018</w:t>
            </w:r>
            <w:r w:rsidRPr="006E5F74">
              <w:rPr>
                <w:lang w:val="es-ES"/>
              </w:rPr>
              <w:t>): "Función de las Administraciones de los Estados Miembros en la gestión de los nombres de dominio internacionalizados (plurilingües)" y la Resolución 180 (Rev. </w:t>
            </w:r>
            <w:r w:rsidR="008474B8" w:rsidRPr="006E5F74">
              <w:rPr>
                <w:lang w:val="es-ES"/>
              </w:rPr>
              <w:t>Dubái,</w:t>
            </w:r>
            <w:r w:rsidR="0063747F">
              <w:rPr>
                <w:lang w:val="es-ES"/>
              </w:rPr>
              <w:t> </w:t>
            </w:r>
            <w:r w:rsidR="008474B8" w:rsidRPr="006E5F74">
              <w:rPr>
                <w:lang w:val="es-ES"/>
              </w:rPr>
              <w:t>2018</w:t>
            </w:r>
            <w:r w:rsidRPr="006E5F74">
              <w:rPr>
                <w:lang w:val="es-ES"/>
              </w:rPr>
              <w:t>): "Facilitar la transición de IPv4 a IPv6" de la Conferencia de Plenipotenciarios (PP).</w:t>
            </w:r>
          </w:p>
          <w:p w:rsidR="00585996" w:rsidRPr="006E5F74" w:rsidRDefault="00585996" w:rsidP="00585996">
            <w:pPr>
              <w:pStyle w:val="Headingb"/>
              <w:rPr>
                <w:lang w:val="es-ES"/>
              </w:rPr>
            </w:pPr>
            <w:r w:rsidRPr="006E5F74">
              <w:rPr>
                <w:lang w:val="es-ES"/>
              </w:rPr>
              <w:t>Acción solicitada</w:t>
            </w:r>
          </w:p>
          <w:p w:rsidR="00585996" w:rsidRPr="006E5F74" w:rsidRDefault="00585996" w:rsidP="00585996">
            <w:pPr>
              <w:rPr>
                <w:lang w:val="es-ES"/>
              </w:rPr>
            </w:pPr>
            <w:r w:rsidRPr="006E5F74">
              <w:rPr>
                <w:lang w:val="es-ES"/>
              </w:rPr>
              <w:t xml:space="preserve">Se invita al Consejo a </w:t>
            </w:r>
            <w:r w:rsidRPr="006E5F74">
              <w:rPr>
                <w:b/>
                <w:bCs/>
                <w:lang w:val="es-ES"/>
              </w:rPr>
              <w:t>tomar nota</w:t>
            </w:r>
            <w:r w:rsidRPr="006E5F74">
              <w:rPr>
                <w:lang w:val="es-ES"/>
              </w:rPr>
              <w:t xml:space="preserve"> del presente Informe.</w:t>
            </w:r>
            <w:r w:rsidRPr="006E5F74">
              <w:rPr>
                <w:szCs w:val="24"/>
                <w:lang w:val="es-ES"/>
              </w:rPr>
              <w:t xml:space="preserve"> Se invita asimismo al </w:t>
            </w:r>
            <w:r w:rsidRPr="006E5F74">
              <w:rPr>
                <w:lang w:val="es-ES"/>
              </w:rPr>
              <w:t xml:space="preserve">Consejo a </w:t>
            </w:r>
            <w:r w:rsidRPr="006E5F74">
              <w:rPr>
                <w:b/>
                <w:bCs/>
                <w:lang w:val="es-ES"/>
              </w:rPr>
              <w:t>refrendar</w:t>
            </w:r>
            <w:r w:rsidRPr="006E5F74">
              <w:rPr>
                <w:lang w:val="es-ES"/>
              </w:rPr>
              <w:t xml:space="preserve"> la transmisión del informe, junto con la compilación de opiniones de los Estados Miembros del Consejo y los correspondientes resúmenes de los debates y la nota de presentación, al Secretario General de las Naciones Unidas.</w:t>
            </w:r>
          </w:p>
          <w:p w:rsidR="00585996" w:rsidRPr="006E5F74" w:rsidRDefault="00585996" w:rsidP="004436D9">
            <w:pPr>
              <w:pStyle w:val="Headingb"/>
              <w:rPr>
                <w:lang w:val="es-ES"/>
              </w:rPr>
            </w:pPr>
            <w:r w:rsidRPr="006E5F74">
              <w:rPr>
                <w:lang w:val="es-ES"/>
              </w:rPr>
              <w:t>Referencias</w:t>
            </w:r>
          </w:p>
          <w:p w:rsidR="00585996" w:rsidRPr="006E5F74" w:rsidRDefault="00585996" w:rsidP="0063747F">
            <w:pPr>
              <w:spacing w:after="120"/>
              <w:rPr>
                <w:i/>
                <w:iCs/>
                <w:lang w:val="es-ES"/>
              </w:rPr>
            </w:pPr>
            <w:r w:rsidRPr="006E5F74">
              <w:rPr>
                <w:i/>
                <w:iCs/>
                <w:lang w:val="es-ES"/>
              </w:rPr>
              <w:t xml:space="preserve">Resoluciones </w:t>
            </w:r>
            <w:hyperlink r:id="rId9" w:history="1">
              <w:r w:rsidRPr="006E5F74">
                <w:rPr>
                  <w:rStyle w:val="Hyperlink"/>
                  <w:i/>
                  <w:iCs/>
                  <w:lang w:val="es-ES"/>
                </w:rPr>
                <w:t>101</w:t>
              </w:r>
            </w:hyperlink>
            <w:r w:rsidRPr="006E5F74">
              <w:rPr>
                <w:i/>
                <w:iCs/>
                <w:lang w:val="es-ES"/>
              </w:rPr>
              <w:t xml:space="preserve">, </w:t>
            </w:r>
            <w:hyperlink r:id="rId10" w:history="1">
              <w:r w:rsidRPr="006E5F74">
                <w:rPr>
                  <w:rStyle w:val="Hyperlink"/>
                  <w:i/>
                  <w:iCs/>
                  <w:lang w:val="es-ES"/>
                </w:rPr>
                <w:t>102</w:t>
              </w:r>
            </w:hyperlink>
            <w:r w:rsidRPr="006E5F74">
              <w:rPr>
                <w:i/>
                <w:iCs/>
                <w:lang w:val="es-ES"/>
              </w:rPr>
              <w:t xml:space="preserve">, </w:t>
            </w:r>
            <w:hyperlink r:id="rId11" w:history="1">
              <w:r w:rsidRPr="006E5F74">
                <w:rPr>
                  <w:rStyle w:val="Hyperlink"/>
                  <w:i/>
                  <w:iCs/>
                  <w:lang w:val="es-ES"/>
                </w:rPr>
                <w:t>133</w:t>
              </w:r>
            </w:hyperlink>
            <w:r w:rsidRPr="006E5F74">
              <w:rPr>
                <w:i/>
                <w:iCs/>
                <w:lang w:val="es-ES"/>
              </w:rPr>
              <w:t xml:space="preserve">, </w:t>
            </w:r>
            <w:hyperlink r:id="rId12" w:history="1">
              <w:r w:rsidRPr="006E5F74">
                <w:rPr>
                  <w:rStyle w:val="Hyperlink"/>
                  <w:i/>
                  <w:iCs/>
                  <w:lang w:val="es-ES"/>
                </w:rPr>
                <w:t>180</w:t>
              </w:r>
            </w:hyperlink>
            <w:r w:rsidRPr="006E5F74">
              <w:rPr>
                <w:i/>
                <w:iCs/>
                <w:lang w:val="es-ES"/>
              </w:rPr>
              <w:t xml:space="preserve"> </w:t>
            </w:r>
            <w:r w:rsidRPr="0063747F">
              <w:rPr>
                <w:i/>
                <w:iCs/>
              </w:rPr>
              <w:t xml:space="preserve">(Rev. </w:t>
            </w:r>
            <w:r w:rsidR="00C1602B" w:rsidRPr="0063747F">
              <w:rPr>
                <w:i/>
                <w:iCs/>
              </w:rPr>
              <w:t>Dubái, 2018</w:t>
            </w:r>
            <w:r w:rsidRPr="0063747F">
              <w:rPr>
                <w:i/>
                <w:iCs/>
              </w:rPr>
              <w:t>)</w:t>
            </w:r>
            <w:r w:rsidR="004436D9" w:rsidRPr="0063747F">
              <w:rPr>
                <w:i/>
                <w:iCs/>
              </w:rPr>
              <w:t>,</w:t>
            </w:r>
            <w:r w:rsidR="004436D9" w:rsidRPr="006E5F74">
              <w:rPr>
                <w:i/>
                <w:iCs/>
                <w:lang w:val="es-ES"/>
              </w:rPr>
              <w:t xml:space="preserve"> Resolución </w:t>
            </w:r>
            <w:hyperlink r:id="rId13" w:history="1">
              <w:r w:rsidR="004436D9" w:rsidRPr="00DC36F5">
                <w:rPr>
                  <w:rStyle w:val="Hyperlink"/>
                  <w:i/>
                  <w:iCs/>
                  <w:lang w:val="es-ES"/>
                </w:rPr>
                <w:t>206</w:t>
              </w:r>
            </w:hyperlink>
            <w:bookmarkStart w:id="9" w:name="_GoBack"/>
            <w:bookmarkEnd w:id="9"/>
            <w:r w:rsidR="004436D9" w:rsidRPr="006E5F74">
              <w:rPr>
                <w:i/>
                <w:iCs/>
                <w:lang w:val="es-ES"/>
              </w:rPr>
              <w:t xml:space="preserve"> (Dubái,</w:t>
            </w:r>
            <w:r w:rsidR="0063747F">
              <w:rPr>
                <w:i/>
                <w:iCs/>
                <w:lang w:val="es-ES"/>
              </w:rPr>
              <w:t> </w:t>
            </w:r>
            <w:r w:rsidR="004436D9" w:rsidRPr="006E5F74">
              <w:rPr>
                <w:i/>
                <w:iCs/>
                <w:lang w:val="es-ES"/>
              </w:rPr>
              <w:t>2018)</w:t>
            </w:r>
            <w:r w:rsidRPr="006E5F74">
              <w:rPr>
                <w:i/>
                <w:iCs/>
                <w:lang w:val="es-ES"/>
              </w:rPr>
              <w:t xml:space="preserve"> de la Conferencia de Plenipotenciarios; Resoluciones </w:t>
            </w:r>
            <w:hyperlink r:id="rId14" w:history="1">
              <w:r w:rsidRPr="006E5F74">
                <w:rPr>
                  <w:rStyle w:val="Hyperlink"/>
                  <w:i/>
                  <w:iCs/>
                  <w:lang w:val="es-ES"/>
                </w:rPr>
                <w:t>1305</w:t>
              </w:r>
            </w:hyperlink>
            <w:r w:rsidRPr="006E5F74">
              <w:rPr>
                <w:i/>
                <w:iCs/>
                <w:lang w:val="es-ES"/>
              </w:rPr>
              <w:t xml:space="preserve"> (2009), </w:t>
            </w:r>
            <w:hyperlink r:id="rId15" w:history="1">
              <w:r w:rsidRPr="006E5F74">
                <w:rPr>
                  <w:rStyle w:val="Hyperlink"/>
                  <w:i/>
                  <w:iCs/>
                  <w:lang w:val="es-ES"/>
                </w:rPr>
                <w:t>1336</w:t>
              </w:r>
            </w:hyperlink>
            <w:r w:rsidRPr="006E5F74">
              <w:rPr>
                <w:i/>
                <w:iCs/>
                <w:lang w:val="es-ES"/>
              </w:rPr>
              <w:t xml:space="preserve"> (</w:t>
            </w:r>
            <w:proofErr w:type="spellStart"/>
            <w:r w:rsidRPr="006E5F74">
              <w:rPr>
                <w:i/>
                <w:iCs/>
                <w:lang w:val="es-ES"/>
              </w:rPr>
              <w:t>mod</w:t>
            </w:r>
            <w:proofErr w:type="spellEnd"/>
            <w:r w:rsidRPr="006E5F74">
              <w:rPr>
                <w:i/>
                <w:iCs/>
                <w:lang w:val="es-ES"/>
              </w:rPr>
              <w:t xml:space="preserve"> 2015), </w:t>
            </w:r>
            <w:hyperlink r:id="rId16" w:history="1">
              <w:r w:rsidRPr="006E5F74">
                <w:rPr>
                  <w:rStyle w:val="Hyperlink"/>
                  <w:i/>
                  <w:iCs/>
                  <w:lang w:val="es-ES"/>
                </w:rPr>
                <w:t>1344</w:t>
              </w:r>
            </w:hyperlink>
            <w:r w:rsidRPr="006E5F74">
              <w:rPr>
                <w:i/>
                <w:iCs/>
                <w:lang w:val="es-ES"/>
              </w:rPr>
              <w:t xml:space="preserve"> (</w:t>
            </w:r>
            <w:proofErr w:type="spellStart"/>
            <w:r w:rsidRPr="006E5F74">
              <w:rPr>
                <w:i/>
                <w:iCs/>
                <w:lang w:val="es-ES"/>
              </w:rPr>
              <w:t>mod</w:t>
            </w:r>
            <w:proofErr w:type="spellEnd"/>
            <w:r w:rsidRPr="006E5F74">
              <w:rPr>
                <w:i/>
                <w:iCs/>
                <w:lang w:val="es-ES"/>
              </w:rPr>
              <w:t xml:space="preserve"> 2015) del Consejo; Resoluciones </w:t>
            </w:r>
            <w:hyperlink r:id="rId17" w:history="1">
              <w:r w:rsidRPr="006E5F74">
                <w:rPr>
                  <w:rStyle w:val="Hyperlink"/>
                  <w:i/>
                  <w:iCs/>
                  <w:lang w:val="es-ES"/>
                </w:rPr>
                <w:t>47</w:t>
              </w:r>
            </w:hyperlink>
            <w:r w:rsidRPr="006E5F74">
              <w:rPr>
                <w:i/>
                <w:iCs/>
                <w:lang w:val="es-ES"/>
              </w:rPr>
              <w:t xml:space="preserve">, </w:t>
            </w:r>
            <w:hyperlink r:id="rId18" w:history="1">
              <w:r w:rsidRPr="006E5F74">
                <w:rPr>
                  <w:rStyle w:val="Hyperlink"/>
                  <w:i/>
                  <w:iCs/>
                  <w:lang w:val="es-ES"/>
                </w:rPr>
                <w:t>48</w:t>
              </w:r>
            </w:hyperlink>
            <w:r w:rsidRPr="006E5F74">
              <w:rPr>
                <w:i/>
                <w:iCs/>
                <w:lang w:val="es-ES"/>
              </w:rPr>
              <w:t xml:space="preserve"> (Rev.</w:t>
            </w:r>
            <w:r w:rsidR="0063747F">
              <w:rPr>
                <w:i/>
                <w:iCs/>
                <w:lang w:val="es-ES"/>
              </w:rPr>
              <w:t> </w:t>
            </w:r>
            <w:r w:rsidRPr="006E5F74">
              <w:rPr>
                <w:i/>
                <w:iCs/>
                <w:lang w:val="es-ES"/>
              </w:rPr>
              <w:t>Dubái,</w:t>
            </w:r>
            <w:r w:rsidR="0063747F">
              <w:rPr>
                <w:i/>
                <w:iCs/>
                <w:lang w:val="es-ES"/>
              </w:rPr>
              <w:t> </w:t>
            </w:r>
            <w:r w:rsidRPr="006E5F74">
              <w:rPr>
                <w:i/>
                <w:iCs/>
                <w:lang w:val="es-ES"/>
              </w:rPr>
              <w:t xml:space="preserve">2012), </w:t>
            </w:r>
            <w:hyperlink r:id="rId19" w:history="1">
              <w:r w:rsidRPr="006E5F74">
                <w:rPr>
                  <w:rStyle w:val="Hyperlink"/>
                  <w:i/>
                  <w:iCs/>
                  <w:lang w:val="es-ES"/>
                </w:rPr>
                <w:t>49</w:t>
              </w:r>
            </w:hyperlink>
            <w:r w:rsidRPr="006E5F74">
              <w:rPr>
                <w:i/>
                <w:iCs/>
                <w:lang w:val="es-ES"/>
              </w:rPr>
              <w:t xml:space="preserve">, </w:t>
            </w:r>
            <w:hyperlink r:id="rId20" w:history="1">
              <w:r w:rsidRPr="006E5F74">
                <w:rPr>
                  <w:rStyle w:val="Hyperlink"/>
                  <w:i/>
                  <w:iCs/>
                  <w:lang w:val="es-ES"/>
                </w:rPr>
                <w:t>50</w:t>
              </w:r>
            </w:hyperlink>
            <w:r w:rsidRPr="006E5F74">
              <w:rPr>
                <w:i/>
                <w:iCs/>
                <w:lang w:val="es-ES"/>
              </w:rPr>
              <w:t xml:space="preserve">, </w:t>
            </w:r>
            <w:hyperlink r:id="rId21" w:history="1">
              <w:r w:rsidRPr="006E5F74">
                <w:rPr>
                  <w:rStyle w:val="Hyperlink"/>
                  <w:i/>
                  <w:iCs/>
                  <w:lang w:val="es-ES"/>
                </w:rPr>
                <w:t>52</w:t>
              </w:r>
            </w:hyperlink>
            <w:r w:rsidRPr="006E5F74">
              <w:rPr>
                <w:i/>
                <w:iCs/>
                <w:lang w:val="es-ES"/>
              </w:rPr>
              <w:t xml:space="preserve"> (Rev. </w:t>
            </w:r>
            <w:proofErr w:type="spellStart"/>
            <w:r w:rsidRPr="006E5F74">
              <w:rPr>
                <w:i/>
                <w:iCs/>
                <w:lang w:val="es-ES"/>
              </w:rPr>
              <w:t>Hammamet</w:t>
            </w:r>
            <w:proofErr w:type="spellEnd"/>
            <w:r w:rsidRPr="006E5F74">
              <w:rPr>
                <w:i/>
                <w:iCs/>
                <w:lang w:val="es-ES"/>
              </w:rPr>
              <w:t xml:space="preserve">, 2016), </w:t>
            </w:r>
            <w:hyperlink r:id="rId22" w:history="1">
              <w:r w:rsidRPr="006E5F74">
                <w:rPr>
                  <w:rStyle w:val="Hyperlink"/>
                  <w:i/>
                  <w:iCs/>
                  <w:lang w:val="es-ES"/>
                </w:rPr>
                <w:t>58</w:t>
              </w:r>
            </w:hyperlink>
            <w:r w:rsidRPr="006E5F74">
              <w:rPr>
                <w:i/>
                <w:iCs/>
                <w:lang w:val="es-ES"/>
              </w:rPr>
              <w:t xml:space="preserve">, </w:t>
            </w:r>
            <w:hyperlink r:id="rId23" w:history="1">
              <w:r w:rsidRPr="006E5F74">
                <w:rPr>
                  <w:rStyle w:val="Hyperlink"/>
                  <w:i/>
                  <w:iCs/>
                  <w:lang w:val="es-ES"/>
                </w:rPr>
                <w:t>60</w:t>
              </w:r>
            </w:hyperlink>
            <w:r w:rsidRPr="006E5F74">
              <w:rPr>
                <w:i/>
                <w:iCs/>
                <w:lang w:val="es-ES"/>
              </w:rPr>
              <w:t xml:space="preserve"> (Rev. Dubái, 2012), </w:t>
            </w:r>
            <w:hyperlink r:id="rId24" w:history="1">
              <w:r w:rsidRPr="006E5F74">
                <w:rPr>
                  <w:rStyle w:val="Hyperlink"/>
                  <w:i/>
                  <w:iCs/>
                  <w:lang w:val="es-ES"/>
                </w:rPr>
                <w:t>64</w:t>
              </w:r>
            </w:hyperlink>
            <w:r w:rsidRPr="006E5F74">
              <w:rPr>
                <w:i/>
                <w:iCs/>
                <w:lang w:val="es-ES"/>
              </w:rPr>
              <w:t xml:space="preserve">, </w:t>
            </w:r>
            <w:hyperlink r:id="rId25" w:history="1">
              <w:r w:rsidRPr="006E5F74">
                <w:rPr>
                  <w:rStyle w:val="Hyperlink"/>
                  <w:i/>
                  <w:iCs/>
                  <w:lang w:val="es-ES"/>
                </w:rPr>
                <w:t>69</w:t>
              </w:r>
            </w:hyperlink>
            <w:r w:rsidRPr="006E5F74">
              <w:rPr>
                <w:i/>
                <w:iCs/>
                <w:lang w:val="es-ES"/>
              </w:rPr>
              <w:t xml:space="preserve">, </w:t>
            </w:r>
            <w:hyperlink r:id="rId26" w:history="1">
              <w:r w:rsidRPr="006E5F74">
                <w:rPr>
                  <w:rStyle w:val="Hyperlink"/>
                  <w:i/>
                  <w:iCs/>
                  <w:lang w:val="es-ES"/>
                </w:rPr>
                <w:t>75</w:t>
              </w:r>
            </w:hyperlink>
            <w:r w:rsidRPr="006E5F74">
              <w:rPr>
                <w:i/>
                <w:iCs/>
                <w:lang w:val="es-ES"/>
              </w:rPr>
              <w:t xml:space="preserve"> (Rev. </w:t>
            </w:r>
            <w:proofErr w:type="spellStart"/>
            <w:r w:rsidRPr="006E5F74">
              <w:rPr>
                <w:i/>
                <w:iCs/>
                <w:lang w:val="es-ES"/>
              </w:rPr>
              <w:t>Hammamet</w:t>
            </w:r>
            <w:proofErr w:type="spellEnd"/>
            <w:r w:rsidRPr="006E5F74">
              <w:rPr>
                <w:i/>
                <w:iCs/>
                <w:lang w:val="es-ES"/>
              </w:rPr>
              <w:t xml:space="preserve">, 2016), </w:t>
            </w:r>
            <w:hyperlink r:id="rId27" w:history="1">
              <w:r w:rsidRPr="006E5F74">
                <w:rPr>
                  <w:rStyle w:val="Hyperlink"/>
                  <w:i/>
                  <w:iCs/>
                  <w:lang w:val="es-ES"/>
                </w:rPr>
                <w:t>98</w:t>
              </w:r>
            </w:hyperlink>
            <w:r w:rsidRPr="006E5F74">
              <w:rPr>
                <w:i/>
                <w:iCs/>
                <w:lang w:val="es-ES"/>
              </w:rPr>
              <w:t xml:space="preserve"> (</w:t>
            </w:r>
            <w:proofErr w:type="spellStart"/>
            <w:r w:rsidRPr="006E5F74">
              <w:rPr>
                <w:i/>
                <w:iCs/>
                <w:lang w:val="es-ES"/>
              </w:rPr>
              <w:t>Hammamet</w:t>
            </w:r>
            <w:proofErr w:type="spellEnd"/>
            <w:r w:rsidRPr="006E5F74">
              <w:rPr>
                <w:i/>
                <w:iCs/>
                <w:lang w:val="es-ES"/>
              </w:rPr>
              <w:t xml:space="preserve">, 2016) de la AMNT; </w:t>
            </w:r>
            <w:hyperlink r:id="rId28" w:history="1">
              <w:r w:rsidRPr="006E5F74">
                <w:rPr>
                  <w:rStyle w:val="Hyperlink"/>
                  <w:i/>
                  <w:iCs/>
                  <w:lang w:val="es-ES"/>
                </w:rPr>
                <w:t>Objetivo</w:t>
              </w:r>
              <w:r w:rsidR="0063747F">
                <w:rPr>
                  <w:rStyle w:val="Hyperlink"/>
                  <w:i/>
                  <w:iCs/>
                  <w:lang w:val="es-ES"/>
                </w:rPr>
                <w:t> </w:t>
              </w:r>
              <w:r w:rsidRPr="006E5F74">
                <w:rPr>
                  <w:rStyle w:val="Hyperlink"/>
                  <w:i/>
                  <w:iCs/>
                  <w:lang w:val="es-ES"/>
                </w:rPr>
                <w:t>3/Producto 3.3 del Plan de Acción de Buenos Aires de la CMDT-17</w:t>
              </w:r>
            </w:hyperlink>
            <w:r w:rsidRPr="006E5F74">
              <w:rPr>
                <w:i/>
                <w:iCs/>
                <w:lang w:val="es-ES"/>
              </w:rPr>
              <w:t xml:space="preserve">, Resoluciones </w:t>
            </w:r>
            <w:hyperlink r:id="rId29" w:history="1">
              <w:r w:rsidRPr="006E5F74">
                <w:rPr>
                  <w:rStyle w:val="Hyperlink"/>
                  <w:i/>
                  <w:iCs/>
                  <w:lang w:val="es-ES"/>
                </w:rPr>
                <w:t>20</w:t>
              </w:r>
            </w:hyperlink>
            <w:r w:rsidRPr="006E5F74">
              <w:rPr>
                <w:i/>
                <w:iCs/>
                <w:lang w:val="es-ES"/>
              </w:rPr>
              <w:t xml:space="preserve">, </w:t>
            </w:r>
            <w:hyperlink r:id="rId30" w:history="1">
              <w:r w:rsidRPr="006E5F74">
                <w:rPr>
                  <w:rStyle w:val="Hyperlink"/>
                  <w:i/>
                  <w:iCs/>
                  <w:lang w:val="es-ES"/>
                </w:rPr>
                <w:t>30</w:t>
              </w:r>
            </w:hyperlink>
            <w:r w:rsidR="00B86729">
              <w:rPr>
                <w:i/>
                <w:iCs/>
                <w:lang w:val="es-ES"/>
              </w:rPr>
              <w:t>,</w:t>
            </w:r>
            <w:r w:rsidRPr="006E5F74">
              <w:rPr>
                <w:i/>
                <w:iCs/>
                <w:lang w:val="es-ES"/>
              </w:rPr>
              <w:t xml:space="preserve"> </w:t>
            </w:r>
            <w:hyperlink r:id="rId31" w:history="1">
              <w:r w:rsidRPr="006E5F74">
                <w:rPr>
                  <w:rStyle w:val="Hyperlink"/>
                  <w:i/>
                  <w:iCs/>
                  <w:lang w:val="es-ES"/>
                </w:rPr>
                <w:t>63</w:t>
              </w:r>
            </w:hyperlink>
            <w:r w:rsidRPr="006E5F74">
              <w:rPr>
                <w:i/>
                <w:iCs/>
                <w:lang w:val="es-ES"/>
              </w:rPr>
              <w:t xml:space="preserve"> (Rev. Buenos Aires, 2017) y </w:t>
            </w:r>
            <w:hyperlink r:id="rId32" w:history="1">
              <w:r w:rsidRPr="006E5F74">
                <w:rPr>
                  <w:rStyle w:val="Hyperlink"/>
                  <w:i/>
                  <w:iCs/>
                  <w:lang w:val="es-ES"/>
                </w:rPr>
                <w:t>45</w:t>
              </w:r>
            </w:hyperlink>
            <w:r w:rsidRPr="006E5F74">
              <w:rPr>
                <w:lang w:val="es-ES"/>
              </w:rPr>
              <w:t xml:space="preserve"> </w:t>
            </w:r>
            <w:r w:rsidRPr="006E5F74">
              <w:rPr>
                <w:i/>
                <w:iCs/>
                <w:lang w:val="es-ES"/>
              </w:rPr>
              <w:t>(Rev. Dubái, 2014) de la</w:t>
            </w:r>
            <w:r w:rsidR="0063747F">
              <w:rPr>
                <w:i/>
                <w:iCs/>
                <w:lang w:val="es-ES"/>
              </w:rPr>
              <w:t> </w:t>
            </w:r>
            <w:r w:rsidRPr="006E5F74">
              <w:rPr>
                <w:i/>
                <w:iCs/>
                <w:lang w:val="es-ES"/>
              </w:rPr>
              <w:t xml:space="preserve">CMDT; Documentos </w:t>
            </w:r>
            <w:hyperlink r:id="rId33" w:history="1">
              <w:r w:rsidRPr="006E5F74">
                <w:rPr>
                  <w:rStyle w:val="Hyperlink"/>
                  <w:i/>
                  <w:iCs/>
                  <w:lang w:val="es-ES"/>
                </w:rPr>
                <w:t>C16/33</w:t>
              </w:r>
            </w:hyperlink>
            <w:r w:rsidR="00F14490" w:rsidRPr="006E5F74">
              <w:rPr>
                <w:lang w:val="es-ES"/>
              </w:rPr>
              <w:t>,</w:t>
            </w:r>
            <w:r w:rsidRPr="006E5F74">
              <w:rPr>
                <w:i/>
                <w:iCs/>
                <w:lang w:val="es-ES"/>
              </w:rPr>
              <w:t xml:space="preserve"> </w:t>
            </w:r>
            <w:hyperlink r:id="rId34" w:history="1">
              <w:r w:rsidRPr="006E5F74">
                <w:rPr>
                  <w:rStyle w:val="Hyperlink"/>
                  <w:rFonts w:cstheme="minorHAnsi"/>
                  <w:i/>
                  <w:iCs/>
                  <w:szCs w:val="24"/>
                  <w:lang w:val="es-ES"/>
                </w:rPr>
                <w:t>C17/33</w:t>
              </w:r>
            </w:hyperlink>
            <w:r w:rsidR="00F14490" w:rsidRPr="00D165C3">
              <w:rPr>
                <w:i/>
                <w:iCs/>
              </w:rPr>
              <w:t xml:space="preserve">, </w:t>
            </w:r>
            <w:hyperlink r:id="rId35" w:history="1">
              <w:r w:rsidR="00F14490" w:rsidRPr="00D165C3">
                <w:rPr>
                  <w:rStyle w:val="Hyperlink"/>
                  <w:i/>
                  <w:iCs/>
                </w:rPr>
                <w:t>C18/33</w:t>
              </w:r>
            </w:hyperlink>
            <w:r w:rsidRPr="006E5F74">
              <w:rPr>
                <w:lang w:val="es-ES"/>
              </w:rPr>
              <w:t xml:space="preserve"> </w:t>
            </w:r>
            <w:r w:rsidRPr="006E5F74">
              <w:rPr>
                <w:i/>
                <w:iCs/>
                <w:lang w:val="es-ES"/>
              </w:rPr>
              <w:t>del Consejo</w:t>
            </w:r>
          </w:p>
        </w:tc>
      </w:tr>
    </w:tbl>
    <w:p w:rsidR="00585996" w:rsidRPr="006E5F74" w:rsidRDefault="00585996" w:rsidP="00585996">
      <w:pPr>
        <w:rPr>
          <w:lang w:val="es-ES"/>
        </w:rPr>
      </w:pPr>
      <w:r w:rsidRPr="006E5F74">
        <w:rPr>
          <w:lang w:val="es-ES"/>
        </w:rPr>
        <w:br w:type="page"/>
      </w:r>
    </w:p>
    <w:p w:rsidR="00585996" w:rsidRPr="006E5F74" w:rsidRDefault="00585996" w:rsidP="004A40C8">
      <w:pPr>
        <w:pStyle w:val="Heading1"/>
        <w:tabs>
          <w:tab w:val="clear" w:pos="2268"/>
          <w:tab w:val="clear" w:pos="2835"/>
          <w:tab w:val="center" w:pos="4819"/>
        </w:tabs>
        <w:rPr>
          <w:lang w:val="es-ES"/>
        </w:rPr>
      </w:pPr>
      <w:r w:rsidRPr="006E5F74">
        <w:rPr>
          <w:lang w:val="es-ES"/>
        </w:rPr>
        <w:lastRenderedPageBreak/>
        <w:t>1</w:t>
      </w:r>
      <w:r w:rsidRPr="006E5F74">
        <w:rPr>
          <w:lang w:val="es-ES"/>
        </w:rPr>
        <w:tab/>
        <w:t>Introducción</w:t>
      </w:r>
    </w:p>
    <w:p w:rsidR="00414492" w:rsidRPr="003B5CD1" w:rsidRDefault="00585996" w:rsidP="009B7BFE">
      <w:pPr>
        <w:rPr>
          <w:lang w:val="es-ES"/>
        </w:rPr>
      </w:pPr>
      <w:r w:rsidRPr="006E5F74">
        <w:rPr>
          <w:lang w:val="es-ES"/>
        </w:rPr>
        <w:t xml:space="preserve">En el presente Informe se describen las actividades de la UIT relativas a las Resoluciones 101, 102, 133 y 180 de la </w:t>
      </w:r>
      <w:r w:rsidR="009B7BFE" w:rsidRPr="009B7BFE">
        <w:rPr>
          <w:lang w:val="es-ES"/>
        </w:rPr>
        <w:t>Conferencia de Plenipotenciarios</w:t>
      </w:r>
      <w:r w:rsidRPr="006E5F74">
        <w:rPr>
          <w:lang w:val="es-ES"/>
        </w:rPr>
        <w:t xml:space="preserve"> realizadas durante el periodo considerado, es decir, desde la reunión de 201</w:t>
      </w:r>
      <w:r w:rsidR="004436D9" w:rsidRPr="006E5F74">
        <w:rPr>
          <w:lang w:val="es-ES"/>
        </w:rPr>
        <w:t>8</w:t>
      </w:r>
      <w:r w:rsidRPr="006E5F74">
        <w:rPr>
          <w:lang w:val="es-ES"/>
        </w:rPr>
        <w:t xml:space="preserve"> del Consejo hasta la fecha</w:t>
      </w:r>
      <w:r w:rsidR="00414492" w:rsidRPr="003B5CD1">
        <w:rPr>
          <w:lang w:val="es-ES"/>
        </w:rPr>
        <w:t>.</w:t>
      </w:r>
      <w:r w:rsidR="00414492" w:rsidRPr="006E5F74">
        <w:rPr>
          <w:lang w:val="es-ES"/>
        </w:rPr>
        <w:t xml:space="preserve"> </w:t>
      </w:r>
      <w:r w:rsidR="004436D9" w:rsidRPr="006E5F74">
        <w:rPr>
          <w:lang w:val="es-ES"/>
        </w:rPr>
        <w:t xml:space="preserve">También se incluyen actividades relativas a la Resolución </w:t>
      </w:r>
      <w:r w:rsidR="00414492" w:rsidRPr="003B5CD1">
        <w:rPr>
          <w:lang w:val="es-ES"/>
        </w:rPr>
        <w:t>206 (Rev.</w:t>
      </w:r>
      <w:r w:rsidR="003B5CD1">
        <w:rPr>
          <w:lang w:val="es-ES"/>
        </w:rPr>
        <w:t> </w:t>
      </w:r>
      <w:r w:rsidR="00414492" w:rsidRPr="003B5CD1">
        <w:rPr>
          <w:lang w:val="es-ES"/>
        </w:rPr>
        <w:t>Dub</w:t>
      </w:r>
      <w:r w:rsidR="004436D9" w:rsidRPr="003B5CD1">
        <w:rPr>
          <w:lang w:val="es-ES"/>
        </w:rPr>
        <w:t>á</w:t>
      </w:r>
      <w:r w:rsidR="00414492" w:rsidRPr="003B5CD1">
        <w:rPr>
          <w:lang w:val="es-ES"/>
        </w:rPr>
        <w:t>i, 2018).</w:t>
      </w:r>
    </w:p>
    <w:p w:rsidR="00585996" w:rsidRPr="006E5F74" w:rsidRDefault="004A40C8" w:rsidP="003B5CD1">
      <w:pPr>
        <w:rPr>
          <w:lang w:val="es-ES"/>
        </w:rPr>
      </w:pPr>
      <w:r w:rsidRPr="006E5F74">
        <w:rPr>
          <w:lang w:val="es-ES"/>
        </w:rPr>
        <w:t>1.1</w:t>
      </w:r>
      <w:r w:rsidRPr="006E5F74">
        <w:rPr>
          <w:lang w:val="es-ES"/>
        </w:rPr>
        <w:tab/>
        <w:t xml:space="preserve">La Conferencia de Plenipotenciarios </w:t>
      </w:r>
      <w:r w:rsidR="00E86C91">
        <w:rPr>
          <w:lang w:val="es-ES"/>
        </w:rPr>
        <w:t xml:space="preserve">de la UIT </w:t>
      </w:r>
      <w:r w:rsidRPr="006E5F74">
        <w:rPr>
          <w:lang w:val="es-ES"/>
        </w:rPr>
        <w:t>de 2018, celebrada del 29 de octubre al 1</w:t>
      </w:r>
      <w:r w:rsidR="009B7BFE">
        <w:rPr>
          <w:lang w:val="es-ES"/>
        </w:rPr>
        <w:t>6 de noviembre de 2018 en Dubái</w:t>
      </w:r>
      <w:r w:rsidRPr="006E5F74">
        <w:rPr>
          <w:lang w:val="es-ES"/>
        </w:rPr>
        <w:t xml:space="preserve"> </w:t>
      </w:r>
      <w:r w:rsidR="009B7BFE">
        <w:rPr>
          <w:lang w:val="es-ES"/>
        </w:rPr>
        <w:t>(</w:t>
      </w:r>
      <w:r w:rsidRPr="006E5F74">
        <w:rPr>
          <w:lang w:val="es-ES"/>
        </w:rPr>
        <w:t>Emiratos Árabes Unidos</w:t>
      </w:r>
      <w:r w:rsidR="009B7BFE">
        <w:rPr>
          <w:lang w:val="es-ES"/>
        </w:rPr>
        <w:t>)</w:t>
      </w:r>
      <w:r w:rsidRPr="006E5F74">
        <w:rPr>
          <w:lang w:val="es-ES"/>
        </w:rPr>
        <w:t xml:space="preserve">, revisó </w:t>
      </w:r>
      <w:r w:rsidR="00E86C91">
        <w:rPr>
          <w:lang w:val="es-ES"/>
        </w:rPr>
        <w:t>las</w:t>
      </w:r>
      <w:r w:rsidRPr="006E5F74">
        <w:rPr>
          <w:lang w:val="es-ES"/>
        </w:rPr>
        <w:t xml:space="preserve"> Resoluciones </w:t>
      </w:r>
      <w:r w:rsidR="00414492" w:rsidRPr="006E5F74">
        <w:rPr>
          <w:lang w:val="es-ES"/>
        </w:rPr>
        <w:t xml:space="preserve">101, 102, 133 </w:t>
      </w:r>
      <w:r w:rsidRPr="006E5F74">
        <w:rPr>
          <w:lang w:val="es-ES"/>
        </w:rPr>
        <w:t>y</w:t>
      </w:r>
      <w:r w:rsidR="00414492" w:rsidRPr="006E5F74">
        <w:rPr>
          <w:lang w:val="es-ES"/>
        </w:rPr>
        <w:t xml:space="preserve"> 180</w:t>
      </w:r>
      <w:r w:rsidR="00E86C91">
        <w:rPr>
          <w:lang w:val="es-ES"/>
        </w:rPr>
        <w:t xml:space="preserve">, </w:t>
      </w:r>
      <w:r w:rsidRPr="006E5F74">
        <w:rPr>
          <w:lang w:val="es-ES"/>
        </w:rPr>
        <w:t xml:space="preserve">y </w:t>
      </w:r>
      <w:r w:rsidR="00E86C91">
        <w:rPr>
          <w:lang w:val="es-ES"/>
        </w:rPr>
        <w:t>aprobó</w:t>
      </w:r>
      <w:r w:rsidRPr="006E5F74">
        <w:rPr>
          <w:lang w:val="es-ES"/>
        </w:rPr>
        <w:t xml:space="preserve"> una nueva Resolución 206 sobre </w:t>
      </w:r>
      <w:r w:rsidR="00414492" w:rsidRPr="006E5F74">
        <w:rPr>
          <w:lang w:val="es-ES"/>
        </w:rPr>
        <w:t>OTT</w:t>
      </w:r>
      <w:r w:rsidRPr="006E5F74">
        <w:rPr>
          <w:lang w:val="es-ES"/>
        </w:rPr>
        <w:t>.</w:t>
      </w:r>
    </w:p>
    <w:p w:rsidR="00585996" w:rsidRPr="006E5F74" w:rsidRDefault="00585996" w:rsidP="004A40C8">
      <w:pPr>
        <w:pStyle w:val="Heading1"/>
        <w:tabs>
          <w:tab w:val="clear" w:pos="2268"/>
          <w:tab w:val="clear" w:pos="2835"/>
          <w:tab w:val="center" w:pos="4819"/>
        </w:tabs>
        <w:rPr>
          <w:lang w:val="es-ES"/>
        </w:rPr>
      </w:pPr>
      <w:r w:rsidRPr="006E5F74">
        <w:rPr>
          <w:lang w:val="es-ES"/>
        </w:rPr>
        <w:t>2</w:t>
      </w:r>
      <w:r w:rsidRPr="006E5F74">
        <w:rPr>
          <w:lang w:val="es-ES"/>
        </w:rPr>
        <w:tab/>
        <w:t>Actividades relacionadas con las redes con protocolo Internet (IP), el desarrollo de redes de la próxima generación (NGN) y la Internet del futuro, incluidas las dificultades en materia de política y reglamentación</w:t>
      </w:r>
    </w:p>
    <w:p w:rsidR="00585996" w:rsidRPr="006E5F74" w:rsidRDefault="00585996" w:rsidP="00DA0438">
      <w:pPr>
        <w:rPr>
          <w:lang w:val="es-ES"/>
        </w:rPr>
      </w:pPr>
      <w:bookmarkStart w:id="10" w:name="a353677d2-7347-4cd3-8301-15d8ee365aeb"/>
      <w:bookmarkEnd w:id="10"/>
      <w:r w:rsidRPr="006E5F74">
        <w:rPr>
          <w:lang w:val="es-ES"/>
        </w:rPr>
        <w:t>2.1</w:t>
      </w:r>
      <w:r w:rsidRPr="006E5F74">
        <w:rPr>
          <w:lang w:val="es-ES"/>
        </w:rPr>
        <w:tab/>
        <w:t xml:space="preserve">Todas las Comisiones de Estudio del UIT-T prosiguen sus trabajos sobre diferentes ámbitos de </w:t>
      </w:r>
      <w:r w:rsidRPr="006E5F74">
        <w:rPr>
          <w:rFonts w:asciiTheme="minorHAnsi" w:hAnsiTheme="minorHAnsi" w:cstheme="minorHAnsi"/>
          <w:bCs/>
          <w:iCs/>
          <w:szCs w:val="24"/>
          <w:lang w:val="es-ES"/>
        </w:rPr>
        <w:t>Internet, redes IPv4/IPv6</w:t>
      </w:r>
      <w:r w:rsidRPr="006E5F74">
        <w:rPr>
          <w:rFonts w:asciiTheme="minorHAnsi" w:hAnsiTheme="minorHAnsi" w:cstheme="minorHAnsi"/>
          <w:iCs/>
          <w:szCs w:val="24"/>
          <w:lang w:val="es-ES"/>
        </w:rPr>
        <w:t xml:space="preserve">, Internet de las cosas, denominación y direccionamiento de Internet, </w:t>
      </w:r>
      <w:r w:rsidRPr="006E5F74">
        <w:rPr>
          <w:lang w:val="es-ES"/>
        </w:rPr>
        <w:t xml:space="preserve">las NGN y su evolución, las redes futuras (FN), </w:t>
      </w:r>
      <w:r w:rsidRPr="006E5F74">
        <w:rPr>
          <w:rFonts w:asciiTheme="minorHAnsi" w:hAnsiTheme="minorHAnsi" w:cstheme="minorHAnsi"/>
          <w:szCs w:val="24"/>
          <w:lang w:val="es-ES"/>
        </w:rPr>
        <w:t xml:space="preserve">la computación en la nube, </w:t>
      </w:r>
      <w:proofErr w:type="spellStart"/>
      <w:r w:rsidRPr="006E5F74">
        <w:rPr>
          <w:rFonts w:asciiTheme="minorHAnsi" w:hAnsiTheme="minorHAnsi" w:cstheme="minorHAnsi"/>
          <w:szCs w:val="24"/>
          <w:lang w:val="es-ES"/>
        </w:rPr>
        <w:t>QoS</w:t>
      </w:r>
      <w:proofErr w:type="spellEnd"/>
      <w:r w:rsidRPr="006E5F74">
        <w:rPr>
          <w:rFonts w:asciiTheme="minorHAnsi" w:hAnsiTheme="minorHAnsi" w:cstheme="minorHAnsi"/>
          <w:szCs w:val="24"/>
          <w:lang w:val="es-ES"/>
        </w:rPr>
        <w:t>, TVIP y aplicaciones IP, incertidumbre del origen y conectividad internacional</w:t>
      </w:r>
      <w:r w:rsidRPr="006E5F74">
        <w:rPr>
          <w:lang w:val="es-ES"/>
        </w:rPr>
        <w:t>.</w:t>
      </w:r>
      <w:r w:rsidR="00DA0438">
        <w:rPr>
          <w:lang w:val="es-ES"/>
        </w:rPr>
        <w:t xml:space="preserve"> </w:t>
      </w:r>
      <w:r w:rsidRPr="006E5F74">
        <w:rPr>
          <w:rFonts w:asciiTheme="minorHAnsi" w:hAnsiTheme="minorHAnsi" w:cstheme="minorHAnsi"/>
          <w:szCs w:val="24"/>
          <w:lang w:val="es-ES"/>
        </w:rPr>
        <w:t xml:space="preserve">Se han aprobado hasta la fecha más de </w:t>
      </w:r>
      <w:r w:rsidR="00FE653F" w:rsidRPr="006E5F74">
        <w:rPr>
          <w:rFonts w:asciiTheme="minorHAnsi" w:hAnsiTheme="minorHAnsi" w:cstheme="minorHAnsi"/>
          <w:szCs w:val="24"/>
          <w:lang w:val="es-ES"/>
        </w:rPr>
        <w:t>360</w:t>
      </w:r>
      <w:r w:rsidRPr="006E5F74">
        <w:rPr>
          <w:rFonts w:asciiTheme="minorHAnsi" w:hAnsiTheme="minorHAnsi"/>
          <w:lang w:val="es-ES"/>
        </w:rPr>
        <w:t xml:space="preserve"> </w:t>
      </w:r>
      <w:r w:rsidRPr="006E5F74">
        <w:rPr>
          <w:lang w:val="es-ES"/>
        </w:rPr>
        <w:t>Recomendaciones UIT-T nuevas/revisadas</w:t>
      </w:r>
      <w:r w:rsidR="004A40C8" w:rsidRPr="006E5F74">
        <w:rPr>
          <w:lang w:val="es-ES"/>
        </w:rPr>
        <w:t xml:space="preserve"> y otros textos</w:t>
      </w:r>
      <w:r w:rsidRPr="006E5F74">
        <w:rPr>
          <w:lang w:val="es-ES"/>
        </w:rPr>
        <w:t xml:space="preserve"> </w:t>
      </w:r>
      <w:r w:rsidRPr="006E5F74">
        <w:rPr>
          <w:rFonts w:asciiTheme="minorHAnsi" w:hAnsiTheme="minorHAnsi" w:cstheme="minorHAnsi"/>
          <w:szCs w:val="24"/>
          <w:lang w:val="es-ES"/>
        </w:rPr>
        <w:t xml:space="preserve">desde el último periodo de notificación. Las </w:t>
      </w:r>
      <w:hyperlink r:id="rId36" w:history="1">
        <w:r w:rsidRPr="00BD02BA">
          <w:rPr>
            <w:rStyle w:val="Hyperlink"/>
            <w:rFonts w:asciiTheme="minorHAnsi" w:hAnsiTheme="minorHAnsi" w:cstheme="minorHAnsi"/>
            <w:szCs w:val="24"/>
            <w:lang w:val="es-ES"/>
          </w:rPr>
          <w:t>Recomendaciones</w:t>
        </w:r>
      </w:hyperlink>
      <w:r w:rsidRPr="006E5F74">
        <w:rPr>
          <w:rFonts w:asciiTheme="minorHAnsi" w:hAnsiTheme="minorHAnsi" w:cstheme="minorHAnsi"/>
          <w:szCs w:val="24"/>
          <w:lang w:val="es-ES"/>
        </w:rPr>
        <w:t xml:space="preserve"> pueden consultarse en la</w:t>
      </w:r>
      <w:r w:rsidR="00936370">
        <w:rPr>
          <w:rFonts w:asciiTheme="minorHAnsi" w:hAnsiTheme="minorHAnsi" w:cstheme="minorHAnsi"/>
          <w:szCs w:val="24"/>
          <w:lang w:val="es-ES"/>
        </w:rPr>
        <w:t>s</w:t>
      </w:r>
      <w:r w:rsidRPr="006E5F74">
        <w:rPr>
          <w:rFonts w:asciiTheme="minorHAnsi" w:hAnsiTheme="minorHAnsi" w:cstheme="minorHAnsi"/>
          <w:szCs w:val="24"/>
          <w:lang w:val="es-ES"/>
        </w:rPr>
        <w:t xml:space="preserve"> página</w:t>
      </w:r>
      <w:r w:rsidR="00936370">
        <w:rPr>
          <w:rFonts w:asciiTheme="minorHAnsi" w:hAnsiTheme="minorHAnsi" w:cstheme="minorHAnsi"/>
          <w:szCs w:val="24"/>
          <w:lang w:val="es-ES"/>
        </w:rPr>
        <w:t>s</w:t>
      </w:r>
      <w:r w:rsidRPr="006E5F74">
        <w:rPr>
          <w:rFonts w:asciiTheme="minorHAnsi" w:hAnsiTheme="minorHAnsi" w:cstheme="minorHAnsi"/>
          <w:szCs w:val="24"/>
          <w:lang w:val="es-ES"/>
        </w:rPr>
        <w:t xml:space="preserve"> web de las respectivas Comisiones de Estudio del UIT-T</w:t>
      </w:r>
      <w:r w:rsidRPr="006E5F74">
        <w:rPr>
          <w:lang w:val="es-ES"/>
        </w:rPr>
        <w:t>.</w:t>
      </w:r>
    </w:p>
    <w:p w:rsidR="00E7412C" w:rsidRPr="006E5F74" w:rsidRDefault="00E1127A" w:rsidP="00936370">
      <w:pPr>
        <w:rPr>
          <w:lang w:val="es-ES"/>
        </w:rPr>
      </w:pPr>
      <w:r w:rsidRPr="006E5F74">
        <w:rPr>
          <w:lang w:val="es-ES"/>
        </w:rPr>
        <w:t>2.2</w:t>
      </w:r>
      <w:r w:rsidRPr="006E5F74">
        <w:rPr>
          <w:lang w:val="es-ES"/>
        </w:rPr>
        <w:tab/>
      </w:r>
      <w:r w:rsidR="00E7412C" w:rsidRPr="006E5F74">
        <w:rPr>
          <w:lang w:val="es-ES"/>
        </w:rPr>
        <w:t xml:space="preserve">Se estima que el 95% del tráfico internacional transita por redes ópticas de transporte </w:t>
      </w:r>
      <w:r w:rsidR="00D34C09" w:rsidRPr="006E5F74">
        <w:rPr>
          <w:lang w:val="es-ES"/>
        </w:rPr>
        <w:t>desplegadas de acuerdo</w:t>
      </w:r>
      <w:r w:rsidR="00E7412C" w:rsidRPr="006E5F74">
        <w:rPr>
          <w:lang w:val="es-ES"/>
        </w:rPr>
        <w:t xml:space="preserve"> con las normas de la UIT. </w:t>
      </w:r>
      <w:hyperlink r:id="rId37" w:history="1">
        <w:r w:rsidR="00D34C09" w:rsidRPr="00BD02BA">
          <w:rPr>
            <w:rStyle w:val="Hyperlink"/>
            <w:lang w:val="es-ES"/>
          </w:rPr>
          <w:t>Se aprobaron n</w:t>
        </w:r>
        <w:r w:rsidR="00E7412C" w:rsidRPr="00BD02BA">
          <w:rPr>
            <w:rStyle w:val="Hyperlink"/>
            <w:lang w:val="es-ES"/>
          </w:rPr>
          <w:t xml:space="preserve">uevas normas de la UIT </w:t>
        </w:r>
        <w:r w:rsidR="00936370" w:rsidRPr="00BD02BA">
          <w:rPr>
            <w:rStyle w:val="Hyperlink"/>
            <w:lang w:val="es-ES"/>
          </w:rPr>
          <w:t>para</w:t>
        </w:r>
        <w:r w:rsidR="00E7412C" w:rsidRPr="00BD02BA">
          <w:rPr>
            <w:rStyle w:val="Hyperlink"/>
            <w:lang w:val="es-ES"/>
          </w:rPr>
          <w:t xml:space="preserve"> transporte, acceso y </w:t>
        </w:r>
        <w:r w:rsidR="00BF7006" w:rsidRPr="00BD02BA">
          <w:rPr>
            <w:rStyle w:val="Hyperlink"/>
            <w:lang w:val="es-ES"/>
          </w:rPr>
          <w:t>hogar</w:t>
        </w:r>
      </w:hyperlink>
      <w:r w:rsidR="00BF7006" w:rsidRPr="006E5F74">
        <w:rPr>
          <w:lang w:val="es-ES"/>
        </w:rPr>
        <w:t xml:space="preserve"> </w:t>
      </w:r>
      <w:r w:rsidR="00936370">
        <w:rPr>
          <w:lang w:val="es-ES"/>
        </w:rPr>
        <w:t>sobre</w:t>
      </w:r>
      <w:r w:rsidR="00BF7006" w:rsidRPr="006E5F74">
        <w:rPr>
          <w:lang w:val="es-ES"/>
        </w:rPr>
        <w:t xml:space="preserve"> radio por fibra, </w:t>
      </w:r>
      <w:r w:rsidR="00E7412C" w:rsidRPr="006E5F74">
        <w:rPr>
          <w:lang w:val="es-ES"/>
        </w:rPr>
        <w:t>interfaces de línea DWDM (</w:t>
      </w:r>
      <w:proofErr w:type="spellStart"/>
      <w:r w:rsidR="00E7412C" w:rsidRPr="006E5F74">
        <w:rPr>
          <w:lang w:val="es-ES"/>
        </w:rPr>
        <w:t>multiplexación</w:t>
      </w:r>
      <w:proofErr w:type="spellEnd"/>
      <w:r w:rsidR="00E7412C" w:rsidRPr="006E5F74">
        <w:rPr>
          <w:lang w:val="es-ES"/>
        </w:rPr>
        <w:t xml:space="preserve"> por división de longitud de onda densa) </w:t>
      </w:r>
      <w:r w:rsidR="00BF7006" w:rsidRPr="006E5F74">
        <w:rPr>
          <w:lang w:val="es-ES"/>
        </w:rPr>
        <w:t xml:space="preserve">coherente de </w:t>
      </w:r>
      <w:r w:rsidR="00E7412C" w:rsidRPr="006E5F74">
        <w:rPr>
          <w:lang w:val="es-ES"/>
        </w:rPr>
        <w:t xml:space="preserve">100G </w:t>
      </w:r>
      <w:r w:rsidR="00BF7006" w:rsidRPr="006E5F74">
        <w:rPr>
          <w:lang w:val="es-ES"/>
        </w:rPr>
        <w:t>con interoperabilidad</w:t>
      </w:r>
      <w:r w:rsidR="00E7412C" w:rsidRPr="006E5F74">
        <w:rPr>
          <w:lang w:val="es-ES"/>
        </w:rPr>
        <w:t xml:space="preserve"> </w:t>
      </w:r>
      <w:proofErr w:type="spellStart"/>
      <w:r w:rsidR="00E7412C" w:rsidRPr="006E5F74">
        <w:rPr>
          <w:lang w:val="es-ES"/>
        </w:rPr>
        <w:t>multifabricante</w:t>
      </w:r>
      <w:proofErr w:type="spellEnd"/>
      <w:r w:rsidR="00E7412C" w:rsidRPr="006E5F74">
        <w:rPr>
          <w:lang w:val="es-ES"/>
        </w:rPr>
        <w:t>, instalación de cables de fibra óptica en zonas remotas, redes definida</w:t>
      </w:r>
      <w:r w:rsidR="00BF7006" w:rsidRPr="006E5F74">
        <w:rPr>
          <w:lang w:val="es-ES"/>
        </w:rPr>
        <w:t>s</w:t>
      </w:r>
      <w:r w:rsidR="00E7412C" w:rsidRPr="006E5F74">
        <w:rPr>
          <w:lang w:val="es-ES"/>
        </w:rPr>
        <w:t xml:space="preserve"> por </w:t>
      </w:r>
      <w:r w:rsidR="00E7412C" w:rsidRPr="0063747F">
        <w:rPr>
          <w:i/>
          <w:iCs/>
          <w:lang w:val="es-ES"/>
        </w:rPr>
        <w:t>software</w:t>
      </w:r>
      <w:r w:rsidR="00E7412C" w:rsidRPr="006E5F74">
        <w:rPr>
          <w:lang w:val="es-ES"/>
        </w:rPr>
        <w:t>, comunicaciones por luz visible y sincronización para I</w:t>
      </w:r>
      <w:r w:rsidR="007B24AD" w:rsidRPr="006E5F74">
        <w:rPr>
          <w:lang w:val="es-ES"/>
        </w:rPr>
        <w:t>MT-2020/5G.</w:t>
      </w:r>
    </w:p>
    <w:p w:rsidR="00E7412C" w:rsidRPr="006E5F74" w:rsidRDefault="007B24AD" w:rsidP="00C07424">
      <w:pPr>
        <w:rPr>
          <w:lang w:val="es-ES"/>
        </w:rPr>
      </w:pPr>
      <w:r w:rsidRPr="006E5F74">
        <w:rPr>
          <w:lang w:val="es-ES"/>
        </w:rPr>
        <w:t>2.3</w:t>
      </w:r>
      <w:r w:rsidRPr="006E5F74">
        <w:rPr>
          <w:lang w:val="es-ES"/>
        </w:rPr>
        <w:tab/>
      </w:r>
      <w:r w:rsidR="00E7412C" w:rsidRPr="006E5F74">
        <w:rPr>
          <w:lang w:val="es-ES"/>
        </w:rPr>
        <w:t xml:space="preserve">En 2020 el vídeo representará más del 80% de todo el tráfico de Internet. La colaboración en este ámbito entre la CEI, la ISO y la UIT ha recibido dos premios </w:t>
      </w:r>
      <w:proofErr w:type="spellStart"/>
      <w:r w:rsidR="00E7412C" w:rsidRPr="006E5F74">
        <w:rPr>
          <w:lang w:val="es-ES"/>
        </w:rPr>
        <w:t>Primetime</w:t>
      </w:r>
      <w:proofErr w:type="spellEnd"/>
      <w:r w:rsidR="00E7412C" w:rsidRPr="006E5F74">
        <w:rPr>
          <w:lang w:val="es-ES"/>
        </w:rPr>
        <w:t xml:space="preserve"> Emmy. </w:t>
      </w:r>
      <w:r w:rsidR="00BF7006" w:rsidRPr="006E5F74">
        <w:rPr>
          <w:lang w:val="es-ES"/>
        </w:rPr>
        <w:t xml:space="preserve">Los </w:t>
      </w:r>
      <w:r w:rsidR="00E7412C" w:rsidRPr="006E5F74">
        <w:rPr>
          <w:lang w:val="es-ES"/>
        </w:rPr>
        <w:t>nuevo</w:t>
      </w:r>
      <w:r w:rsidR="00BF7006" w:rsidRPr="006E5F74">
        <w:rPr>
          <w:lang w:val="es-ES"/>
        </w:rPr>
        <w:t>s</w:t>
      </w:r>
      <w:r w:rsidR="00E7412C" w:rsidRPr="006E5F74">
        <w:rPr>
          <w:lang w:val="es-ES"/>
        </w:rPr>
        <w:t xml:space="preserve"> </w:t>
      </w:r>
      <w:hyperlink r:id="rId38" w:history="1">
        <w:r w:rsidR="00E7412C" w:rsidRPr="009B1217">
          <w:rPr>
            <w:rStyle w:val="Hyperlink"/>
            <w:lang w:val="es-ES"/>
          </w:rPr>
          <w:t>proyecto</w:t>
        </w:r>
        <w:r w:rsidR="00BF7006" w:rsidRPr="009B1217">
          <w:rPr>
            <w:rStyle w:val="Hyperlink"/>
            <w:lang w:val="es-ES"/>
          </w:rPr>
          <w:t>s</w:t>
        </w:r>
        <w:r w:rsidR="00E7412C" w:rsidRPr="009B1217">
          <w:rPr>
            <w:rStyle w:val="Hyperlink"/>
            <w:lang w:val="es-ES"/>
          </w:rPr>
          <w:t xml:space="preserve"> de codificación versátil de vídeo</w:t>
        </w:r>
      </w:hyperlink>
      <w:r w:rsidR="00E7412C" w:rsidRPr="006E5F74">
        <w:rPr>
          <w:lang w:val="es-ES"/>
        </w:rPr>
        <w:t xml:space="preserve"> </w:t>
      </w:r>
      <w:r w:rsidR="00BF7006" w:rsidRPr="006E5F74">
        <w:rPr>
          <w:lang w:val="es-ES"/>
        </w:rPr>
        <w:t>están indicando</w:t>
      </w:r>
      <w:r w:rsidR="00E7412C" w:rsidRPr="006E5F74">
        <w:rPr>
          <w:lang w:val="es-ES"/>
        </w:rPr>
        <w:t xml:space="preserve"> grandes </w:t>
      </w:r>
      <w:r w:rsidR="00C07424">
        <w:rPr>
          <w:lang w:val="es-ES"/>
        </w:rPr>
        <w:t>avances</w:t>
      </w:r>
      <w:r w:rsidR="00E7412C" w:rsidRPr="006E5F74">
        <w:rPr>
          <w:lang w:val="es-ES"/>
        </w:rPr>
        <w:t>.</w:t>
      </w:r>
    </w:p>
    <w:p w:rsidR="00E7412C" w:rsidRPr="006E5F74" w:rsidRDefault="007B24AD" w:rsidP="00C07424">
      <w:pPr>
        <w:rPr>
          <w:lang w:val="es-ES"/>
        </w:rPr>
      </w:pPr>
      <w:r w:rsidRPr="006E5F74">
        <w:rPr>
          <w:lang w:val="es-ES"/>
        </w:rPr>
        <w:t>2.4</w:t>
      </w:r>
      <w:r w:rsidRPr="006E5F74">
        <w:rPr>
          <w:lang w:val="es-ES"/>
        </w:rPr>
        <w:tab/>
      </w:r>
      <w:r w:rsidR="00E7412C" w:rsidRPr="006E5F74">
        <w:rPr>
          <w:lang w:val="es-ES"/>
        </w:rPr>
        <w:t xml:space="preserve">La gestión de redes y la orquestación </w:t>
      </w:r>
      <w:r w:rsidR="008B5DCF" w:rsidRPr="006E5F74">
        <w:rPr>
          <w:lang w:val="es-ES"/>
        </w:rPr>
        <w:t xml:space="preserve">por </w:t>
      </w:r>
      <w:r w:rsidR="008B5DCF" w:rsidRPr="0063747F">
        <w:rPr>
          <w:i/>
          <w:iCs/>
          <w:lang w:val="es-ES"/>
        </w:rPr>
        <w:t>software</w:t>
      </w:r>
      <w:r w:rsidR="008B5DCF" w:rsidRPr="006E5F74">
        <w:rPr>
          <w:lang w:val="es-ES"/>
        </w:rPr>
        <w:t xml:space="preserve"> </w:t>
      </w:r>
      <w:r w:rsidR="00E7412C" w:rsidRPr="006E5F74">
        <w:rPr>
          <w:lang w:val="es-ES"/>
        </w:rPr>
        <w:t xml:space="preserve">siguen transformando las operaciones de telecomunicaciones. El trabajo del UIT-T sobre la </w:t>
      </w:r>
      <w:hyperlink r:id="rId39" w:history="1">
        <w:r w:rsidR="00E7412C" w:rsidRPr="0067657F">
          <w:rPr>
            <w:rStyle w:val="Hyperlink"/>
            <w:lang w:val="es-ES"/>
          </w:rPr>
          <w:t>5G</w:t>
        </w:r>
      </w:hyperlink>
      <w:r w:rsidR="00E7412C" w:rsidRPr="006E5F74">
        <w:rPr>
          <w:lang w:val="es-ES"/>
        </w:rPr>
        <w:t xml:space="preserve"> sustenta esta transformación con la </w:t>
      </w:r>
      <w:r w:rsidR="008B5DCF" w:rsidRPr="006E5F74">
        <w:rPr>
          <w:lang w:val="es-ES"/>
        </w:rPr>
        <w:t>elaboración</w:t>
      </w:r>
      <w:r w:rsidR="00E7412C" w:rsidRPr="006E5F74">
        <w:rPr>
          <w:lang w:val="es-ES"/>
        </w:rPr>
        <w:t xml:space="preserve"> de nuevas normas destinadas a innovación en </w:t>
      </w:r>
      <w:r w:rsidR="00C07424">
        <w:rPr>
          <w:lang w:val="es-ES"/>
        </w:rPr>
        <w:t>soluciones</w:t>
      </w:r>
      <w:r w:rsidR="008B5DCF" w:rsidRPr="006E5F74">
        <w:rPr>
          <w:lang w:val="es-ES"/>
        </w:rPr>
        <w:t xml:space="preserve"> </w:t>
      </w:r>
      <w:r w:rsidR="00E7412C" w:rsidRPr="006E5F74">
        <w:rPr>
          <w:lang w:val="es-ES"/>
        </w:rPr>
        <w:t>de red, evolución de las redes de transporte y sostenibilidad medioambiental.</w:t>
      </w:r>
    </w:p>
    <w:p w:rsidR="00E7412C" w:rsidRPr="006E5F74" w:rsidRDefault="007B24AD" w:rsidP="0063747F">
      <w:pPr>
        <w:rPr>
          <w:lang w:val="es-ES"/>
        </w:rPr>
      </w:pPr>
      <w:r w:rsidRPr="006E5F74">
        <w:rPr>
          <w:lang w:val="es-ES"/>
        </w:rPr>
        <w:t>2.5</w:t>
      </w:r>
      <w:r w:rsidRPr="006E5F74">
        <w:rPr>
          <w:lang w:val="es-ES"/>
        </w:rPr>
        <w:tab/>
      </w:r>
      <w:r w:rsidR="00E7412C" w:rsidRPr="006E5F74">
        <w:rPr>
          <w:lang w:val="es-ES"/>
        </w:rPr>
        <w:t xml:space="preserve">Se está acelerando la normalización de especificaciones de prueba </w:t>
      </w:r>
      <w:r w:rsidR="008B5DCF" w:rsidRPr="006E5F74">
        <w:rPr>
          <w:lang w:val="es-ES"/>
        </w:rPr>
        <w:t xml:space="preserve">para </w:t>
      </w:r>
      <w:proofErr w:type="spellStart"/>
      <w:r w:rsidR="00E7412C" w:rsidRPr="006E5F74">
        <w:rPr>
          <w:lang w:val="es-ES"/>
        </w:rPr>
        <w:t>IoT</w:t>
      </w:r>
      <w:proofErr w:type="spellEnd"/>
      <w:r w:rsidR="00C07424">
        <w:rPr>
          <w:lang w:val="es-ES"/>
        </w:rPr>
        <w:t>,</w:t>
      </w:r>
      <w:r w:rsidR="00E7412C" w:rsidRPr="006E5F74">
        <w:rPr>
          <w:lang w:val="es-ES"/>
        </w:rPr>
        <w:t xml:space="preserve"> gracias a una mayor colaboración entre el UIT-T y oneM2M. Más de </w:t>
      </w:r>
      <w:hyperlink r:id="rId40" w:history="1">
        <w:r w:rsidR="00E7412C" w:rsidRPr="0067657F">
          <w:rPr>
            <w:rStyle w:val="Hyperlink"/>
            <w:lang w:val="es-ES"/>
          </w:rPr>
          <w:t>50 ciudades de todo el mundo</w:t>
        </w:r>
      </w:hyperlink>
      <w:r w:rsidR="00E7412C" w:rsidRPr="006E5F74">
        <w:rPr>
          <w:lang w:val="es-ES"/>
        </w:rPr>
        <w:t xml:space="preserve"> están midiendo su evolución </w:t>
      </w:r>
      <w:r w:rsidR="00C07424">
        <w:rPr>
          <w:lang w:val="es-ES"/>
        </w:rPr>
        <w:t>utilizando</w:t>
      </w:r>
      <w:r w:rsidR="00E7412C" w:rsidRPr="006E5F74">
        <w:rPr>
          <w:lang w:val="es-ES"/>
        </w:rPr>
        <w:t xml:space="preserve"> los "Indicadores fundamentales de rendimiento para ciudades inteligentes y sostenibles", </w:t>
      </w:r>
      <w:r w:rsidR="00C07424">
        <w:rPr>
          <w:lang w:val="es-ES"/>
        </w:rPr>
        <w:t xml:space="preserve">unos indicadores </w:t>
      </w:r>
      <w:r w:rsidR="00E7412C" w:rsidRPr="006E5F74">
        <w:rPr>
          <w:lang w:val="es-ES"/>
        </w:rPr>
        <w:t xml:space="preserve">basados en normas de la UIT </w:t>
      </w:r>
      <w:r w:rsidR="008B5DCF" w:rsidRPr="006E5F74">
        <w:rPr>
          <w:lang w:val="es-ES"/>
        </w:rPr>
        <w:t>y</w:t>
      </w:r>
      <w:r w:rsidR="00E7412C" w:rsidRPr="006E5F74">
        <w:rPr>
          <w:lang w:val="es-ES"/>
        </w:rPr>
        <w:t xml:space="preserve"> recomendados por la </w:t>
      </w:r>
      <w:r w:rsidR="0063747F">
        <w:rPr>
          <w:lang w:val="es-ES"/>
        </w:rPr>
        <w:t>"</w:t>
      </w:r>
      <w:r w:rsidR="00E7412C" w:rsidRPr="006E5F74">
        <w:rPr>
          <w:lang w:val="es-ES"/>
        </w:rPr>
        <w:t>Iniciativa Unidos para las ciudades inteligentes y sostenibles (U4SSC)".</w:t>
      </w:r>
    </w:p>
    <w:p w:rsidR="00E7412C" w:rsidRPr="006E5F74" w:rsidRDefault="007B24AD" w:rsidP="00A50948">
      <w:pPr>
        <w:rPr>
          <w:lang w:val="es-ES"/>
        </w:rPr>
      </w:pPr>
      <w:r w:rsidRPr="006E5F74">
        <w:rPr>
          <w:lang w:val="es-ES"/>
        </w:rPr>
        <w:t>2.6</w:t>
      </w:r>
      <w:r w:rsidRPr="006E5F74">
        <w:rPr>
          <w:lang w:val="es-ES"/>
        </w:rPr>
        <w:tab/>
      </w:r>
      <w:r w:rsidR="00E7412C" w:rsidRPr="006E5F74">
        <w:rPr>
          <w:lang w:val="es-ES"/>
        </w:rPr>
        <w:t xml:space="preserve">El nuevo Grupo Temático del UIT-T sobre </w:t>
      </w:r>
      <w:r w:rsidR="00A50948" w:rsidRPr="00A50948">
        <w:rPr>
          <w:lang w:val="es-ES"/>
        </w:rPr>
        <w:t xml:space="preserve">Inteligencia artificial </w:t>
      </w:r>
      <w:r w:rsidR="00A50948">
        <w:rPr>
          <w:lang w:val="es-ES"/>
        </w:rPr>
        <w:t>para la salud</w:t>
      </w:r>
      <w:r w:rsidR="00A50948" w:rsidRPr="00A50948">
        <w:rPr>
          <w:lang w:val="es-ES"/>
        </w:rPr>
        <w:t xml:space="preserve"> </w:t>
      </w:r>
      <w:r w:rsidR="00E7412C" w:rsidRPr="006E5F74">
        <w:rPr>
          <w:lang w:val="es-ES"/>
        </w:rPr>
        <w:t xml:space="preserve">(FG AI4H), en el que la UIT y la Organización Mundial de la Salud (OMS) colaboran estrechamente, está trabajando para </w:t>
      </w:r>
      <w:r w:rsidR="00A50948">
        <w:rPr>
          <w:lang w:val="es-ES"/>
        </w:rPr>
        <w:t>la creación de</w:t>
      </w:r>
      <w:r w:rsidR="00E7412C" w:rsidRPr="006E5F74">
        <w:rPr>
          <w:lang w:val="es-ES"/>
        </w:rPr>
        <w:t xml:space="preserve"> un marco</w:t>
      </w:r>
      <w:r w:rsidR="00A50948">
        <w:rPr>
          <w:lang w:val="es-ES"/>
        </w:rPr>
        <w:t>,</w:t>
      </w:r>
      <w:r w:rsidR="00E7412C" w:rsidRPr="006E5F74">
        <w:rPr>
          <w:lang w:val="es-ES"/>
        </w:rPr>
        <w:t xml:space="preserve"> </w:t>
      </w:r>
      <w:r w:rsidR="00A50948">
        <w:rPr>
          <w:lang w:val="es-ES"/>
        </w:rPr>
        <w:t>con</w:t>
      </w:r>
      <w:r w:rsidR="008B5DCF" w:rsidRPr="006E5F74">
        <w:rPr>
          <w:lang w:val="es-ES"/>
        </w:rPr>
        <w:t xml:space="preserve"> </w:t>
      </w:r>
      <w:r w:rsidR="00A0006A" w:rsidRPr="006E5F74">
        <w:rPr>
          <w:lang w:val="es-ES"/>
        </w:rPr>
        <w:t xml:space="preserve">unos </w:t>
      </w:r>
      <w:r w:rsidR="008B5DCF" w:rsidRPr="006E5F74">
        <w:rPr>
          <w:lang w:val="es-ES"/>
        </w:rPr>
        <w:t>procesos asociados</w:t>
      </w:r>
      <w:r w:rsidR="00A50948">
        <w:rPr>
          <w:lang w:val="es-ES"/>
        </w:rPr>
        <w:t>,</w:t>
      </w:r>
      <w:r w:rsidR="008B5DCF" w:rsidRPr="006E5F74">
        <w:rPr>
          <w:lang w:val="es-ES"/>
        </w:rPr>
        <w:t xml:space="preserve"> </w:t>
      </w:r>
      <w:r w:rsidR="00E7412C" w:rsidRPr="006E5F74">
        <w:rPr>
          <w:lang w:val="es-ES"/>
        </w:rPr>
        <w:t xml:space="preserve">para </w:t>
      </w:r>
      <w:r w:rsidR="008B5DCF" w:rsidRPr="006E5F74">
        <w:rPr>
          <w:lang w:val="es-ES"/>
        </w:rPr>
        <w:t>las pruebas comparativas</w:t>
      </w:r>
      <w:r w:rsidR="00A50948">
        <w:rPr>
          <w:lang w:val="es-ES"/>
        </w:rPr>
        <w:t xml:space="preserve"> de</w:t>
      </w:r>
      <w:r w:rsidR="00E7412C" w:rsidRPr="006E5F74">
        <w:rPr>
          <w:lang w:val="es-ES"/>
        </w:rPr>
        <w:t xml:space="preserve"> rendimiento de los algoritmos </w:t>
      </w:r>
      <w:r w:rsidR="00A50948">
        <w:rPr>
          <w:lang w:val="es-ES"/>
        </w:rPr>
        <w:t xml:space="preserve">de </w:t>
      </w:r>
      <w:r w:rsidR="00E7412C" w:rsidRPr="006E5F74">
        <w:rPr>
          <w:lang w:val="es-ES"/>
        </w:rPr>
        <w:t xml:space="preserve">"IA para la salud". Las </w:t>
      </w:r>
      <w:hyperlink r:id="rId41" w:history="1">
        <w:r w:rsidR="00E7412C" w:rsidRPr="009623D9">
          <w:rPr>
            <w:rStyle w:val="Hyperlink"/>
            <w:i/>
            <w:iCs/>
            <w:lang w:val="es-ES"/>
          </w:rPr>
          <w:t>peticiones de contribuciones</w:t>
        </w:r>
      </w:hyperlink>
      <w:r w:rsidR="00E7412C" w:rsidRPr="006E5F74">
        <w:rPr>
          <w:lang w:val="es-ES"/>
        </w:rPr>
        <w:t xml:space="preserve"> periódicas orientan el trabajo del Grupo Temático a la hora de establecer métodos de evaluación para </w:t>
      </w:r>
      <w:r w:rsidR="00E7412C" w:rsidRPr="006E5F74">
        <w:rPr>
          <w:lang w:val="es-ES"/>
        </w:rPr>
        <w:lastRenderedPageBreak/>
        <w:t xml:space="preserve">determinar el grado en que los casos de </w:t>
      </w:r>
      <w:r w:rsidR="008B5DCF" w:rsidRPr="006E5F74">
        <w:rPr>
          <w:lang w:val="es-ES"/>
        </w:rPr>
        <w:t>utilización</w:t>
      </w:r>
      <w:r w:rsidR="00E7412C" w:rsidRPr="006E5F74">
        <w:rPr>
          <w:lang w:val="es-ES"/>
        </w:rPr>
        <w:t xml:space="preserve"> de </w:t>
      </w:r>
      <w:r w:rsidR="00A50948">
        <w:rPr>
          <w:lang w:val="es-ES"/>
        </w:rPr>
        <w:t xml:space="preserve">la </w:t>
      </w:r>
      <w:r w:rsidR="00E7412C" w:rsidRPr="006E5F74">
        <w:rPr>
          <w:lang w:val="es-ES"/>
        </w:rPr>
        <w:t xml:space="preserve">"IA para la salud" </w:t>
      </w:r>
      <w:r w:rsidR="008B5DCF" w:rsidRPr="006E5F74">
        <w:rPr>
          <w:lang w:val="es-ES"/>
        </w:rPr>
        <w:t xml:space="preserve">han </w:t>
      </w:r>
      <w:r w:rsidR="003B5D08" w:rsidRPr="006E5F74">
        <w:rPr>
          <w:lang w:val="es-ES"/>
        </w:rPr>
        <w:t>realizado</w:t>
      </w:r>
      <w:r w:rsidR="008B5DCF" w:rsidRPr="006E5F74">
        <w:rPr>
          <w:lang w:val="es-ES"/>
        </w:rPr>
        <w:t xml:space="preserve"> una prueba de concepto</w:t>
      </w:r>
      <w:r w:rsidR="00E7412C" w:rsidRPr="006E5F74">
        <w:rPr>
          <w:lang w:val="es-ES"/>
        </w:rPr>
        <w:t>.</w:t>
      </w:r>
    </w:p>
    <w:p w:rsidR="00E7412C" w:rsidRPr="006E5F74" w:rsidRDefault="003C0CED" w:rsidP="00A50948">
      <w:pPr>
        <w:rPr>
          <w:color w:val="000000" w:themeColor="text1"/>
          <w:lang w:val="es-ES"/>
        </w:rPr>
      </w:pPr>
      <w:r w:rsidRPr="006E5F74">
        <w:rPr>
          <w:lang w:val="es-ES"/>
        </w:rPr>
        <w:t>2.7</w:t>
      </w:r>
      <w:r w:rsidRPr="006E5F74">
        <w:rPr>
          <w:lang w:val="es-ES"/>
        </w:rPr>
        <w:tab/>
      </w:r>
      <w:r w:rsidR="00E7412C" w:rsidRPr="006E5F74">
        <w:rPr>
          <w:lang w:val="es-ES"/>
        </w:rPr>
        <w:t xml:space="preserve">En una nueva norma de la UIT se recogen </w:t>
      </w:r>
      <w:hyperlink r:id="rId42" w:history="1">
        <w:r w:rsidR="00E7412C" w:rsidRPr="009623D9">
          <w:rPr>
            <w:rStyle w:val="Hyperlink"/>
            <w:lang w:val="es-ES"/>
          </w:rPr>
          <w:t xml:space="preserve">directrices para la </w:t>
        </w:r>
        <w:r w:rsidR="00A50948" w:rsidRPr="009623D9">
          <w:rPr>
            <w:rStyle w:val="Hyperlink"/>
            <w:lang w:val="es-ES"/>
          </w:rPr>
          <w:t>escucha</w:t>
        </w:r>
        <w:r w:rsidR="00E7412C" w:rsidRPr="009623D9">
          <w:rPr>
            <w:rStyle w:val="Hyperlink"/>
            <w:lang w:val="es-ES"/>
          </w:rPr>
          <w:t xml:space="preserve"> segura </w:t>
        </w:r>
        <w:r w:rsidR="00A50948" w:rsidRPr="009623D9">
          <w:rPr>
            <w:rStyle w:val="Hyperlink"/>
            <w:lang w:val="es-ES"/>
          </w:rPr>
          <w:t>con</w:t>
        </w:r>
        <w:r w:rsidR="00E7412C" w:rsidRPr="009623D9">
          <w:rPr>
            <w:rStyle w:val="Hyperlink"/>
            <w:lang w:val="es-ES"/>
          </w:rPr>
          <w:t xml:space="preserve"> reproductores de música</w:t>
        </w:r>
      </w:hyperlink>
      <w:r w:rsidR="00E7412C" w:rsidRPr="006E5F74">
        <w:rPr>
          <w:color w:val="000000" w:themeColor="text1"/>
          <w:lang w:val="es-ES"/>
        </w:rPr>
        <w:t xml:space="preserve"> en el marco de la iniciativa "E</w:t>
      </w:r>
      <w:r w:rsidR="0063747F">
        <w:rPr>
          <w:color w:val="000000" w:themeColor="text1"/>
          <w:lang w:val="es-ES"/>
        </w:rPr>
        <w:t>scuchar sin riesgos" de la OMS.</w:t>
      </w:r>
    </w:p>
    <w:p w:rsidR="00E7412C" w:rsidRPr="006E5F74" w:rsidRDefault="003C0CED" w:rsidP="00527155">
      <w:pPr>
        <w:rPr>
          <w:lang w:val="es-ES"/>
        </w:rPr>
      </w:pPr>
      <w:r w:rsidRPr="006E5F74">
        <w:rPr>
          <w:lang w:val="es-ES"/>
        </w:rPr>
        <w:t>2.8</w:t>
      </w:r>
      <w:r w:rsidRPr="006E5F74">
        <w:rPr>
          <w:lang w:val="es-ES"/>
        </w:rPr>
        <w:tab/>
      </w:r>
      <w:hyperlink r:id="rId43" w:history="1">
        <w:r w:rsidR="003B5D08" w:rsidRPr="000A0D3D">
          <w:rPr>
            <w:rStyle w:val="Hyperlink"/>
            <w:lang w:val="es-ES"/>
          </w:rPr>
          <w:t>L</w:t>
        </w:r>
        <w:r w:rsidR="00E7412C" w:rsidRPr="000A0D3D">
          <w:rPr>
            <w:rStyle w:val="Hyperlink"/>
            <w:lang w:val="es-ES"/>
          </w:rPr>
          <w:t xml:space="preserve">a actualización </w:t>
        </w:r>
        <w:r w:rsidR="003B5D08" w:rsidRPr="000A0D3D">
          <w:rPr>
            <w:rStyle w:val="Hyperlink"/>
            <w:lang w:val="es-ES"/>
          </w:rPr>
          <w:t xml:space="preserve">y </w:t>
        </w:r>
        <w:r w:rsidR="00A50948" w:rsidRPr="000A0D3D">
          <w:rPr>
            <w:rStyle w:val="Hyperlink"/>
            <w:lang w:val="es-ES"/>
          </w:rPr>
          <w:t>elaboración</w:t>
        </w:r>
        <w:r w:rsidR="003B5D08" w:rsidRPr="000A0D3D">
          <w:rPr>
            <w:rStyle w:val="Hyperlink"/>
            <w:lang w:val="es-ES"/>
          </w:rPr>
          <w:t xml:space="preserve"> de nuevas </w:t>
        </w:r>
        <w:r w:rsidR="00527155" w:rsidRPr="000A0D3D">
          <w:rPr>
            <w:rStyle w:val="Hyperlink"/>
            <w:lang w:val="es-ES"/>
          </w:rPr>
          <w:t xml:space="preserve">especificaciones para </w:t>
        </w:r>
        <w:r w:rsidR="00E7412C" w:rsidRPr="000A0D3D">
          <w:rPr>
            <w:rStyle w:val="Hyperlink"/>
            <w:lang w:val="es-ES"/>
          </w:rPr>
          <w:t xml:space="preserve">pruebas de </w:t>
        </w:r>
        <w:r w:rsidR="003B5D08" w:rsidRPr="000A0D3D">
          <w:rPr>
            <w:rStyle w:val="Hyperlink"/>
            <w:lang w:val="es-ES"/>
          </w:rPr>
          <w:t xml:space="preserve">conformidad de </w:t>
        </w:r>
        <w:proofErr w:type="spellStart"/>
        <w:r w:rsidR="003B5D08" w:rsidRPr="000A0D3D">
          <w:rPr>
            <w:rStyle w:val="Hyperlink"/>
            <w:lang w:val="es-ES"/>
          </w:rPr>
          <w:t>cibersalud</w:t>
        </w:r>
        <w:proofErr w:type="spellEnd"/>
      </w:hyperlink>
      <w:r w:rsidR="003B5D08" w:rsidRPr="006E5F74">
        <w:rPr>
          <w:lang w:val="es-ES"/>
        </w:rPr>
        <w:t xml:space="preserve"> para la UIT-T H.810 abarcan pruebas </w:t>
      </w:r>
      <w:r w:rsidR="00423D56" w:rsidRPr="006E5F74">
        <w:rPr>
          <w:lang w:val="es-ES"/>
        </w:rPr>
        <w:t>relativas a</w:t>
      </w:r>
      <w:r w:rsidR="00AA1AD4" w:rsidRPr="006E5F74">
        <w:rPr>
          <w:lang w:val="es-ES"/>
        </w:rPr>
        <w:t xml:space="preserve"> nuevas funciones</w:t>
      </w:r>
      <w:r w:rsidR="00423D56" w:rsidRPr="006E5F74">
        <w:rPr>
          <w:lang w:val="es-ES"/>
        </w:rPr>
        <w:t xml:space="preserve"> de comunicación</w:t>
      </w:r>
      <w:r w:rsidR="00AA1AD4" w:rsidRPr="006E5F74">
        <w:rPr>
          <w:lang w:val="es-ES"/>
        </w:rPr>
        <w:t xml:space="preserve"> de los</w:t>
      </w:r>
      <w:r w:rsidR="00E7412C" w:rsidRPr="006E5F74">
        <w:rPr>
          <w:lang w:val="es-ES"/>
        </w:rPr>
        <w:t xml:space="preserve"> dispositivos</w:t>
      </w:r>
      <w:r w:rsidR="00E71296" w:rsidRPr="006E5F74">
        <w:rPr>
          <w:lang w:val="es-ES"/>
        </w:rPr>
        <w:t>,</w:t>
      </w:r>
      <w:r w:rsidR="00E7412C" w:rsidRPr="006E5F74">
        <w:rPr>
          <w:lang w:val="es-ES"/>
        </w:rPr>
        <w:t xml:space="preserve"> para la supervisión de </w:t>
      </w:r>
      <w:r w:rsidR="00AA1AD4" w:rsidRPr="006E5F74">
        <w:rPr>
          <w:lang w:val="es-ES"/>
        </w:rPr>
        <w:t xml:space="preserve">la situación de la alimentación de energía </w:t>
      </w:r>
      <w:r w:rsidR="00E7412C" w:rsidRPr="006E5F74">
        <w:rPr>
          <w:lang w:val="es-ES"/>
        </w:rPr>
        <w:t xml:space="preserve">y </w:t>
      </w:r>
      <w:r w:rsidR="00423D56" w:rsidRPr="006E5F74">
        <w:rPr>
          <w:lang w:val="es-ES"/>
        </w:rPr>
        <w:t xml:space="preserve">los </w:t>
      </w:r>
      <w:r w:rsidR="00527155">
        <w:rPr>
          <w:lang w:val="es-ES"/>
        </w:rPr>
        <w:t>controladores</w:t>
      </w:r>
      <w:r w:rsidR="00E7412C" w:rsidRPr="006E5F74">
        <w:rPr>
          <w:lang w:val="es-ES"/>
        </w:rPr>
        <w:t xml:space="preserve"> de glucosa</w:t>
      </w:r>
      <w:r w:rsidR="00423D56" w:rsidRPr="006E5F74">
        <w:rPr>
          <w:lang w:val="es-ES"/>
        </w:rPr>
        <w:t xml:space="preserve"> actualizados</w:t>
      </w:r>
      <w:r w:rsidR="00E7412C" w:rsidRPr="006E5F74">
        <w:rPr>
          <w:lang w:val="es-ES"/>
        </w:rPr>
        <w:t xml:space="preserve">, </w:t>
      </w:r>
      <w:r w:rsidR="00527155">
        <w:rPr>
          <w:lang w:val="es-ES"/>
        </w:rPr>
        <w:t>y modifica</w:t>
      </w:r>
      <w:r w:rsidR="00E7412C" w:rsidRPr="006E5F74">
        <w:rPr>
          <w:lang w:val="es-ES"/>
        </w:rPr>
        <w:t xml:space="preserve"> la capacidad de </w:t>
      </w:r>
      <w:proofErr w:type="spellStart"/>
      <w:r w:rsidR="00E7412C" w:rsidRPr="006E5F74">
        <w:rPr>
          <w:lang w:val="es-ES"/>
        </w:rPr>
        <w:t>telecarga</w:t>
      </w:r>
      <w:proofErr w:type="spellEnd"/>
      <w:r w:rsidR="00E7412C" w:rsidRPr="006E5F74">
        <w:rPr>
          <w:lang w:val="es-ES"/>
        </w:rPr>
        <w:t xml:space="preserve"> de </w:t>
      </w:r>
      <w:r w:rsidR="00527155">
        <w:rPr>
          <w:lang w:val="es-ES"/>
        </w:rPr>
        <w:t xml:space="preserve">las </w:t>
      </w:r>
      <w:r w:rsidR="00E7412C" w:rsidRPr="006E5F74">
        <w:rPr>
          <w:lang w:val="es-ES"/>
        </w:rPr>
        <w:t xml:space="preserve">observaciones PCD-1. </w:t>
      </w:r>
      <w:r w:rsidR="00527155">
        <w:rPr>
          <w:lang w:val="es-ES"/>
        </w:rPr>
        <w:t xml:space="preserve">La </w:t>
      </w:r>
      <w:r w:rsidR="00E7412C" w:rsidRPr="006E5F74">
        <w:rPr>
          <w:lang w:val="es-ES"/>
        </w:rPr>
        <w:t xml:space="preserve">UIT-T H.820 contiene </w:t>
      </w:r>
      <w:r w:rsidR="00423D56" w:rsidRPr="006E5F74">
        <w:rPr>
          <w:lang w:val="es-ES"/>
        </w:rPr>
        <w:t>un</w:t>
      </w:r>
      <w:r w:rsidR="00E7412C" w:rsidRPr="006E5F74">
        <w:rPr>
          <w:lang w:val="es-ES"/>
        </w:rPr>
        <w:t xml:space="preserve"> plan </w:t>
      </w:r>
      <w:r w:rsidR="00E71296" w:rsidRPr="006E5F74">
        <w:rPr>
          <w:lang w:val="es-ES"/>
        </w:rPr>
        <w:t xml:space="preserve">completo </w:t>
      </w:r>
      <w:r w:rsidR="00527155" w:rsidRPr="006E5F74">
        <w:rPr>
          <w:lang w:val="es-ES"/>
        </w:rPr>
        <w:t xml:space="preserve">de pruebas </w:t>
      </w:r>
      <w:r w:rsidR="00E7412C" w:rsidRPr="006E5F74">
        <w:rPr>
          <w:lang w:val="es-ES"/>
        </w:rPr>
        <w:t xml:space="preserve">de evaluación de la conformidad para </w:t>
      </w:r>
      <w:r w:rsidR="00527155">
        <w:rPr>
          <w:lang w:val="es-ES"/>
        </w:rPr>
        <w:t>las pruebas de</w:t>
      </w:r>
      <w:r w:rsidR="00E71296" w:rsidRPr="006E5F74">
        <w:rPr>
          <w:lang w:val="es-ES"/>
        </w:rPr>
        <w:t xml:space="preserve"> </w:t>
      </w:r>
      <w:r w:rsidR="00E7412C" w:rsidRPr="006E5F74">
        <w:rPr>
          <w:lang w:val="es-ES"/>
        </w:rPr>
        <w:t>conformidad de los sistemas H.810.</w:t>
      </w:r>
    </w:p>
    <w:p w:rsidR="00E7412C" w:rsidRPr="006E5F74" w:rsidRDefault="00FE1305" w:rsidP="00C83C55">
      <w:pPr>
        <w:rPr>
          <w:lang w:val="es-ES"/>
        </w:rPr>
      </w:pPr>
      <w:r w:rsidRPr="006E5F74">
        <w:rPr>
          <w:lang w:val="es-ES"/>
        </w:rPr>
        <w:t>2.9</w:t>
      </w:r>
      <w:r w:rsidRPr="006E5F74">
        <w:rPr>
          <w:lang w:val="es-ES"/>
        </w:rPr>
        <w:tab/>
      </w:r>
      <w:r w:rsidR="00E7412C" w:rsidRPr="006E5F74">
        <w:rPr>
          <w:lang w:val="es-ES"/>
        </w:rPr>
        <w:t>Los trabajos del UIT-T sobre calidad de funcionamiento, calidad de servicio (</w:t>
      </w:r>
      <w:proofErr w:type="spellStart"/>
      <w:r w:rsidR="00E7412C" w:rsidRPr="006E5F74">
        <w:rPr>
          <w:lang w:val="es-ES"/>
        </w:rPr>
        <w:t>QoS</w:t>
      </w:r>
      <w:proofErr w:type="spellEnd"/>
      <w:r w:rsidR="00E7412C" w:rsidRPr="006E5F74">
        <w:rPr>
          <w:lang w:val="es-ES"/>
        </w:rPr>
        <w:t>) y calidad percibida (</w:t>
      </w:r>
      <w:proofErr w:type="spellStart"/>
      <w:r w:rsidR="00E7412C" w:rsidRPr="006E5F74">
        <w:rPr>
          <w:lang w:val="es-ES"/>
        </w:rPr>
        <w:t>QoE</w:t>
      </w:r>
      <w:proofErr w:type="spellEnd"/>
      <w:r w:rsidR="00E7412C" w:rsidRPr="006E5F74">
        <w:rPr>
          <w:lang w:val="es-ES"/>
        </w:rPr>
        <w:t xml:space="preserve">) siguen evolucionando rápidamente, en paralelo a los avances de la industria de las TIC. Las </w:t>
      </w:r>
      <w:hyperlink r:id="rId44" w:history="1">
        <w:r w:rsidR="00E7412C" w:rsidRPr="00C73EBC">
          <w:rPr>
            <w:rStyle w:val="Hyperlink"/>
            <w:lang w:val="es-ES"/>
          </w:rPr>
          <w:t>nuevas normas de la UIT</w:t>
        </w:r>
      </w:hyperlink>
      <w:r w:rsidR="00E7412C" w:rsidRPr="006E5F74">
        <w:rPr>
          <w:lang w:val="es-ES"/>
        </w:rPr>
        <w:t xml:space="preserve"> atañen a la calidad de los juegos de vídeo, las aplicaciones de videotelefonía, las comunicaciones con vehículos, la difusión continua de vídeo con velocidad binaria </w:t>
      </w:r>
      <w:r w:rsidR="00E71296" w:rsidRPr="006E5F74">
        <w:rPr>
          <w:lang w:val="es-ES"/>
        </w:rPr>
        <w:t>adaptativa</w:t>
      </w:r>
      <w:r w:rsidR="00E7412C" w:rsidRPr="006E5F74">
        <w:rPr>
          <w:lang w:val="es-ES"/>
        </w:rPr>
        <w:t xml:space="preserve"> y servicios de TIC en grandes acontecimientos deportivos y del mundo del espectáculo. El trabajo del UIT-T para dar a los reguladores orientaciones técnicas en pro de la </w:t>
      </w:r>
      <w:proofErr w:type="spellStart"/>
      <w:r w:rsidR="00E7412C" w:rsidRPr="006E5F74">
        <w:rPr>
          <w:lang w:val="es-ES"/>
        </w:rPr>
        <w:t>QoS</w:t>
      </w:r>
      <w:proofErr w:type="spellEnd"/>
      <w:r w:rsidR="00E7412C" w:rsidRPr="006E5F74">
        <w:rPr>
          <w:lang w:val="es-ES"/>
        </w:rPr>
        <w:t xml:space="preserve"> está ocupando una parte cada vez más importante del programa de normalización de la UIT.</w:t>
      </w:r>
    </w:p>
    <w:p w:rsidR="00E7412C" w:rsidRPr="003B5CD1" w:rsidRDefault="00FE1305" w:rsidP="00C73EBC">
      <w:r w:rsidRPr="006E5F74">
        <w:rPr>
          <w:lang w:val="es-ES"/>
        </w:rPr>
        <w:t>2.10</w:t>
      </w:r>
      <w:r w:rsidRPr="006E5F74">
        <w:rPr>
          <w:lang w:val="es-ES"/>
        </w:rPr>
        <w:tab/>
      </w:r>
      <w:r w:rsidR="00E7412C" w:rsidRPr="006E5F74">
        <w:rPr>
          <w:lang w:val="es-ES"/>
        </w:rPr>
        <w:t xml:space="preserve">El UIT-T ofrece a la comunidad internacional una plataforma neutral para fortalecer los lazos entre la innovación técnica, las necesidades empresariales y los requisitos económicos y políticos. </w:t>
      </w:r>
      <w:hyperlink r:id="rId45" w:history="1">
        <w:r w:rsidR="00C83C55" w:rsidRPr="00C73EBC">
          <w:rPr>
            <w:rStyle w:val="Hyperlink"/>
            <w:lang w:val="es-ES"/>
          </w:rPr>
          <w:t>N</w:t>
        </w:r>
        <w:r w:rsidR="00E7412C" w:rsidRPr="00C73EBC">
          <w:rPr>
            <w:rStyle w:val="Hyperlink"/>
            <w:lang w:val="es-ES"/>
          </w:rPr>
          <w:t>uevas normas de la UIT en fase de aprobación</w:t>
        </w:r>
      </w:hyperlink>
      <w:r w:rsidR="00E7412C" w:rsidRPr="006E5F74">
        <w:rPr>
          <w:lang w:val="es-ES"/>
        </w:rPr>
        <w:t xml:space="preserve"> </w:t>
      </w:r>
      <w:r w:rsidR="00E71296" w:rsidRPr="006E5F74">
        <w:rPr>
          <w:lang w:val="es-ES"/>
        </w:rPr>
        <w:t>tratan la relaci</w:t>
      </w:r>
      <w:r w:rsidR="006143E5" w:rsidRPr="006E5F74">
        <w:rPr>
          <w:lang w:val="es-ES"/>
        </w:rPr>
        <w:t>ón</w:t>
      </w:r>
      <w:r w:rsidR="00E7412C" w:rsidRPr="006E5F74">
        <w:rPr>
          <w:lang w:val="es-ES"/>
        </w:rPr>
        <w:t xml:space="preserve"> entre operadores de red y proveedores de servicios superpuestos (OTT)</w:t>
      </w:r>
      <w:r w:rsidRPr="006E5F74">
        <w:rPr>
          <w:rFonts w:asciiTheme="minorHAnsi" w:hAnsiTheme="minorHAnsi" w:cstheme="minorHAnsi"/>
          <w:bCs/>
          <w:lang w:val="es-ES"/>
        </w:rPr>
        <w:t xml:space="preserve"> (</w:t>
      </w:r>
      <w:r w:rsidR="00C73EBC" w:rsidRPr="006E5F74">
        <w:rPr>
          <w:rFonts w:asciiTheme="minorHAnsi" w:hAnsiTheme="minorHAnsi" w:cstheme="minorHAnsi"/>
          <w:bCs/>
          <w:lang w:val="es-ES"/>
        </w:rPr>
        <w:t>U</w:t>
      </w:r>
      <w:r w:rsidRPr="006E5F74">
        <w:rPr>
          <w:rFonts w:asciiTheme="minorHAnsi" w:hAnsiTheme="minorHAnsi" w:cstheme="minorHAnsi"/>
          <w:bCs/>
          <w:lang w:val="es-ES"/>
        </w:rPr>
        <w:t>IT-T D.262)</w:t>
      </w:r>
      <w:r w:rsidR="00E7412C" w:rsidRPr="006E5F74">
        <w:rPr>
          <w:lang w:val="es-ES"/>
        </w:rPr>
        <w:t xml:space="preserve">, la competencia en los servicios móviles financieros </w:t>
      </w:r>
      <w:r w:rsidRPr="006E5F74">
        <w:rPr>
          <w:rFonts w:asciiTheme="minorHAnsi" w:hAnsiTheme="minorHAnsi" w:cstheme="minorHAnsi"/>
          <w:bCs/>
          <w:lang w:val="es-ES"/>
        </w:rPr>
        <w:t>(</w:t>
      </w:r>
      <w:r w:rsidR="00C73EBC" w:rsidRPr="006E5F74">
        <w:rPr>
          <w:rFonts w:asciiTheme="minorHAnsi" w:hAnsiTheme="minorHAnsi" w:cstheme="minorHAnsi"/>
          <w:bCs/>
          <w:lang w:val="es-ES"/>
        </w:rPr>
        <w:t>U</w:t>
      </w:r>
      <w:r w:rsidRPr="006E5F74">
        <w:rPr>
          <w:rFonts w:asciiTheme="minorHAnsi" w:hAnsiTheme="minorHAnsi" w:cstheme="minorHAnsi"/>
          <w:bCs/>
          <w:lang w:val="es-ES"/>
        </w:rPr>
        <w:t>IT-T D.263)</w:t>
      </w:r>
      <w:r w:rsidRPr="006E5F74">
        <w:rPr>
          <w:rFonts w:asciiTheme="minorHAnsi" w:hAnsiTheme="minorHAnsi"/>
          <w:lang w:val="es-ES"/>
        </w:rPr>
        <w:t xml:space="preserve"> </w:t>
      </w:r>
      <w:r w:rsidR="00E7412C" w:rsidRPr="006E5F74">
        <w:rPr>
          <w:lang w:val="es-ES"/>
        </w:rPr>
        <w:t xml:space="preserve">y los principios para un formato unificado de </w:t>
      </w:r>
      <w:r w:rsidR="00E71296" w:rsidRPr="006E5F74">
        <w:rPr>
          <w:lang w:val="es-ES"/>
        </w:rPr>
        <w:t xml:space="preserve">listas de </w:t>
      </w:r>
      <w:r w:rsidR="00E7412C" w:rsidRPr="006E5F74">
        <w:rPr>
          <w:lang w:val="es-ES"/>
        </w:rPr>
        <w:t>precios/tarifas/tasas para el intercambio de tráfico telefónico</w:t>
      </w:r>
      <w:r w:rsidRPr="006E5F74">
        <w:rPr>
          <w:lang w:val="es-ES"/>
        </w:rPr>
        <w:t xml:space="preserve"> </w:t>
      </w:r>
      <w:r w:rsidRPr="006E5F74">
        <w:rPr>
          <w:rFonts w:asciiTheme="minorHAnsi" w:hAnsiTheme="minorHAnsi" w:cstheme="minorHAnsi"/>
          <w:bCs/>
          <w:lang w:val="es-ES"/>
        </w:rPr>
        <w:t>(</w:t>
      </w:r>
      <w:r w:rsidR="00C73EBC" w:rsidRPr="006E5F74">
        <w:rPr>
          <w:rFonts w:asciiTheme="minorHAnsi" w:hAnsiTheme="minorHAnsi" w:cstheme="minorHAnsi"/>
          <w:bCs/>
          <w:lang w:val="es-ES"/>
        </w:rPr>
        <w:t>U</w:t>
      </w:r>
      <w:r w:rsidRPr="006E5F74">
        <w:rPr>
          <w:rFonts w:asciiTheme="minorHAnsi" w:hAnsiTheme="minorHAnsi" w:cstheme="minorHAnsi"/>
          <w:bCs/>
          <w:lang w:val="es-ES"/>
        </w:rPr>
        <w:t>IT-T D.198)</w:t>
      </w:r>
      <w:r w:rsidR="00E7412C" w:rsidRPr="006E5F74">
        <w:rPr>
          <w:lang w:val="es-ES"/>
        </w:rPr>
        <w:t>.</w:t>
      </w:r>
    </w:p>
    <w:p w:rsidR="00E7412C" w:rsidRPr="006E5F74" w:rsidRDefault="00930F06" w:rsidP="00C83C55">
      <w:pPr>
        <w:rPr>
          <w:lang w:val="es-ES"/>
        </w:rPr>
      </w:pPr>
      <w:r w:rsidRPr="006E5F74">
        <w:rPr>
          <w:lang w:val="es-ES"/>
        </w:rPr>
        <w:t>2.11</w:t>
      </w:r>
      <w:r w:rsidRPr="006E5F74">
        <w:rPr>
          <w:lang w:val="es-ES"/>
        </w:rPr>
        <w:tab/>
      </w:r>
      <w:r w:rsidR="00E7412C" w:rsidRPr="006E5F74">
        <w:rPr>
          <w:lang w:val="es-ES"/>
        </w:rPr>
        <w:t xml:space="preserve">En una nueva norma de la UIT, en fase de aprobación, se ofrece un marco para luchar contra la falsificación de </w:t>
      </w:r>
      <w:r w:rsidR="00C83C55">
        <w:rPr>
          <w:lang w:val="es-ES"/>
        </w:rPr>
        <w:t xml:space="preserve">los </w:t>
      </w:r>
      <w:r w:rsidR="00E7412C" w:rsidRPr="006E5F74">
        <w:rPr>
          <w:lang w:val="es-ES"/>
        </w:rPr>
        <w:t xml:space="preserve">dispositivos de TIC. Los </w:t>
      </w:r>
      <w:hyperlink r:id="rId46" w:history="1">
        <w:r w:rsidR="00E7412C" w:rsidRPr="009630FA">
          <w:rPr>
            <w:rStyle w:val="Hyperlink"/>
            <w:lang w:val="es-ES"/>
          </w:rPr>
          <w:t>trabajos</w:t>
        </w:r>
      </w:hyperlink>
      <w:r w:rsidR="00E7412C" w:rsidRPr="006E5F74">
        <w:rPr>
          <w:lang w:val="es-ES"/>
        </w:rPr>
        <w:t xml:space="preserve"> se están acelerando y se han ampliado para luchar también contra el robo de dispositivos móviles. Se está dando una importancia renovada a todo lo que rodea a la manipulación o el clonaje de identificadores de dispositivos de TIC.</w:t>
      </w:r>
    </w:p>
    <w:p w:rsidR="00E71296" w:rsidRPr="003B5CD1" w:rsidRDefault="00930F06" w:rsidP="009630FA">
      <w:pPr>
        <w:rPr>
          <w:lang w:val="es-ES"/>
        </w:rPr>
      </w:pPr>
      <w:r w:rsidRPr="006E5F74">
        <w:rPr>
          <w:lang w:val="es-ES"/>
        </w:rPr>
        <w:t>2.12</w:t>
      </w:r>
      <w:r w:rsidRPr="006E5F74">
        <w:rPr>
          <w:lang w:val="es-ES"/>
        </w:rPr>
        <w:tab/>
      </w:r>
      <w:r w:rsidR="00E7412C" w:rsidRPr="006E5F74">
        <w:rPr>
          <w:lang w:val="es-ES"/>
        </w:rPr>
        <w:t xml:space="preserve">Los </w:t>
      </w:r>
      <w:hyperlink r:id="rId47" w:history="1">
        <w:r w:rsidR="00E7412C" w:rsidRPr="009630FA">
          <w:rPr>
            <w:rStyle w:val="Hyperlink"/>
            <w:lang w:val="es-ES"/>
          </w:rPr>
          <w:t xml:space="preserve">trabajos del UIT-T sobre </w:t>
        </w:r>
        <w:proofErr w:type="spellStart"/>
        <w:r w:rsidR="00E7412C" w:rsidRPr="009630FA">
          <w:rPr>
            <w:rStyle w:val="Hyperlink"/>
            <w:lang w:val="es-ES"/>
          </w:rPr>
          <w:t>VoLTE</w:t>
        </w:r>
        <w:proofErr w:type="spellEnd"/>
        <w:r w:rsidR="00E7412C" w:rsidRPr="009630FA">
          <w:rPr>
            <w:rStyle w:val="Hyperlink"/>
            <w:lang w:val="es-ES"/>
          </w:rPr>
          <w:t>/</w:t>
        </w:r>
        <w:proofErr w:type="spellStart"/>
        <w:r w:rsidR="00E7412C" w:rsidRPr="009630FA">
          <w:rPr>
            <w:rStyle w:val="Hyperlink"/>
            <w:lang w:val="es-ES"/>
          </w:rPr>
          <w:t>ViLTE</w:t>
        </w:r>
        <w:proofErr w:type="spellEnd"/>
      </w:hyperlink>
      <w:r w:rsidR="00E7412C" w:rsidRPr="006E5F74">
        <w:rPr>
          <w:lang w:val="es-ES"/>
        </w:rPr>
        <w:t xml:space="preserve"> comprenden el despliegue de protocolos de señalización para la interconexión </w:t>
      </w:r>
      <w:proofErr w:type="spellStart"/>
      <w:r w:rsidR="00E7412C" w:rsidRPr="006E5F74">
        <w:rPr>
          <w:lang w:val="es-ES"/>
        </w:rPr>
        <w:t>VoLTE</w:t>
      </w:r>
      <w:proofErr w:type="spellEnd"/>
      <w:r w:rsidR="00E7412C" w:rsidRPr="006E5F74">
        <w:rPr>
          <w:lang w:val="es-ES"/>
        </w:rPr>
        <w:t>, cuestiones de numeración pertinentes, consideraciones relativas a la calidad de servicio (</w:t>
      </w:r>
      <w:proofErr w:type="spellStart"/>
      <w:r w:rsidR="00E7412C" w:rsidRPr="006E5F74">
        <w:rPr>
          <w:lang w:val="es-ES"/>
        </w:rPr>
        <w:t>QoS</w:t>
      </w:r>
      <w:proofErr w:type="spellEnd"/>
      <w:r w:rsidR="00E7412C" w:rsidRPr="006E5F74">
        <w:rPr>
          <w:lang w:val="es-ES"/>
        </w:rPr>
        <w:t xml:space="preserve">) y llamadas de emergencia a través de redes </w:t>
      </w:r>
      <w:proofErr w:type="spellStart"/>
      <w:r w:rsidR="00E7412C" w:rsidRPr="006E5F74">
        <w:rPr>
          <w:lang w:val="es-ES"/>
        </w:rPr>
        <w:t>VoLTE</w:t>
      </w:r>
      <w:proofErr w:type="spellEnd"/>
      <w:r w:rsidR="00E7412C" w:rsidRPr="006E5F74">
        <w:rPr>
          <w:lang w:val="es-ES"/>
        </w:rPr>
        <w:t xml:space="preserve">. Las nuevas normas de la UIT tratan de la interconexión de redes </w:t>
      </w:r>
      <w:proofErr w:type="spellStart"/>
      <w:r w:rsidR="00E7412C" w:rsidRPr="006E5F74">
        <w:rPr>
          <w:lang w:val="es-ES"/>
        </w:rPr>
        <w:t>VoLTE</w:t>
      </w:r>
      <w:proofErr w:type="spellEnd"/>
      <w:r w:rsidR="00E7412C" w:rsidRPr="006E5F74">
        <w:rPr>
          <w:lang w:val="es-ES"/>
        </w:rPr>
        <w:t>/</w:t>
      </w:r>
      <w:proofErr w:type="spellStart"/>
      <w:r w:rsidR="00E7412C" w:rsidRPr="006E5F74">
        <w:rPr>
          <w:lang w:val="es-ES"/>
        </w:rPr>
        <w:t>ViLTE</w:t>
      </w:r>
      <w:proofErr w:type="spellEnd"/>
      <w:r w:rsidR="00E7412C" w:rsidRPr="006E5F74">
        <w:rPr>
          <w:lang w:val="es-ES"/>
        </w:rPr>
        <w:t xml:space="preserve"> y las pruebas de interconexión </w:t>
      </w:r>
      <w:proofErr w:type="spellStart"/>
      <w:r w:rsidR="00E7412C" w:rsidRPr="006E5F74">
        <w:rPr>
          <w:lang w:val="es-ES"/>
        </w:rPr>
        <w:t>VoLTE</w:t>
      </w:r>
      <w:proofErr w:type="spellEnd"/>
      <w:r w:rsidR="00E7412C" w:rsidRPr="006E5F74">
        <w:rPr>
          <w:lang w:val="es-ES"/>
        </w:rPr>
        <w:t>/</w:t>
      </w:r>
      <w:proofErr w:type="spellStart"/>
      <w:r w:rsidR="00E7412C" w:rsidRPr="006E5F74">
        <w:rPr>
          <w:lang w:val="es-ES"/>
        </w:rPr>
        <w:t>ViLTE</w:t>
      </w:r>
      <w:proofErr w:type="spellEnd"/>
      <w:r w:rsidR="00E7412C" w:rsidRPr="006E5F74">
        <w:rPr>
          <w:lang w:val="es-ES"/>
        </w:rPr>
        <w:t xml:space="preserve"> para </w:t>
      </w:r>
      <w:r w:rsidR="00E71296" w:rsidRPr="006E5F74">
        <w:rPr>
          <w:lang w:val="es-ES"/>
        </w:rPr>
        <w:t>los casos de</w:t>
      </w:r>
      <w:r w:rsidR="00E7412C" w:rsidRPr="006E5F74">
        <w:rPr>
          <w:lang w:val="es-ES"/>
        </w:rPr>
        <w:t xml:space="preserve"> </w:t>
      </w:r>
      <w:proofErr w:type="spellStart"/>
      <w:r w:rsidR="00E7412C" w:rsidRPr="006E5F74">
        <w:rPr>
          <w:lang w:val="es-ES"/>
        </w:rPr>
        <w:t>interfuncionamiento</w:t>
      </w:r>
      <w:proofErr w:type="spellEnd"/>
      <w:r w:rsidR="00E7412C" w:rsidRPr="006E5F74">
        <w:rPr>
          <w:lang w:val="es-ES"/>
        </w:rPr>
        <w:t xml:space="preserve"> </w:t>
      </w:r>
      <w:r w:rsidR="00E71296" w:rsidRPr="006E5F74">
        <w:rPr>
          <w:lang w:val="es-ES"/>
        </w:rPr>
        <w:t>e</w:t>
      </w:r>
      <w:r w:rsidR="00E7412C" w:rsidRPr="006E5F74">
        <w:rPr>
          <w:lang w:val="es-ES"/>
        </w:rPr>
        <w:t xml:space="preserve"> </w:t>
      </w:r>
      <w:proofErr w:type="spellStart"/>
      <w:r w:rsidR="00E7412C" w:rsidRPr="006E5F74">
        <w:rPr>
          <w:lang w:val="es-ES"/>
        </w:rPr>
        <w:t>itinerancia</w:t>
      </w:r>
      <w:proofErr w:type="spellEnd"/>
      <w:r w:rsidR="00E7412C" w:rsidRPr="003B5CD1">
        <w:rPr>
          <w:lang w:val="es-ES"/>
        </w:rPr>
        <w:t>.</w:t>
      </w:r>
      <w:r w:rsidR="00EE196A" w:rsidRPr="003B5CD1">
        <w:rPr>
          <w:lang w:val="es-ES"/>
        </w:rPr>
        <w:t xml:space="preserve"> </w:t>
      </w:r>
      <w:r w:rsidR="0088624C" w:rsidRPr="003B5CD1">
        <w:rPr>
          <w:lang w:val="es-ES"/>
        </w:rPr>
        <w:t xml:space="preserve">Se han publicado nuevas normas UIT-T que proporcionan referencias IMS a la versión 11, sobre gestión automática de requisitos de señalización de los conjuntos de direcciones IP por las redes SDN, centros de datos virtuales, pruebas de interoperabilidad </w:t>
      </w:r>
      <w:r w:rsidR="00C83C55" w:rsidRPr="003B5CD1">
        <w:rPr>
          <w:lang w:val="es-ES"/>
        </w:rPr>
        <w:t>para la</w:t>
      </w:r>
      <w:r w:rsidR="0088624C" w:rsidRPr="003B5CD1">
        <w:rPr>
          <w:lang w:val="es-ES"/>
        </w:rPr>
        <w:t xml:space="preserve"> computación en la nube</w:t>
      </w:r>
      <w:r w:rsidR="0063747F">
        <w:rPr>
          <w:lang w:val="es-ES"/>
        </w:rPr>
        <w:t xml:space="preserve">, pruebas de pasarelas de </w:t>
      </w:r>
      <w:proofErr w:type="spellStart"/>
      <w:r w:rsidR="0063747F">
        <w:rPr>
          <w:lang w:val="es-ES"/>
        </w:rPr>
        <w:t>IoT</w:t>
      </w:r>
      <w:proofErr w:type="spellEnd"/>
      <w:r w:rsidR="0063747F">
        <w:rPr>
          <w:lang w:val="es-ES"/>
        </w:rPr>
        <w:t xml:space="preserve">, </w:t>
      </w:r>
      <w:r w:rsidR="0088624C" w:rsidRPr="003B5CD1">
        <w:rPr>
          <w:lang w:val="es-ES"/>
        </w:rPr>
        <w:t xml:space="preserve">transmisión de radio por IP, </w:t>
      </w:r>
      <w:r w:rsidR="009630FA">
        <w:rPr>
          <w:lang w:val="es-ES"/>
        </w:rPr>
        <w:t>i</w:t>
      </w:r>
      <w:r w:rsidR="0088624C" w:rsidRPr="003B5CD1">
        <w:rPr>
          <w:lang w:val="es-ES"/>
        </w:rPr>
        <w:t xml:space="preserve">nspección detallada de paquetes, IMT-2020, computación en la nube, gestión de confianza entre nubes, </w:t>
      </w:r>
      <w:proofErr w:type="spellStart"/>
      <w:r w:rsidR="0088624C" w:rsidRPr="003B5CD1">
        <w:rPr>
          <w:lang w:val="es-ES"/>
        </w:rPr>
        <w:t>macrodatos</w:t>
      </w:r>
      <w:proofErr w:type="spellEnd"/>
      <w:r w:rsidR="0088624C" w:rsidRPr="003B5CD1">
        <w:rPr>
          <w:lang w:val="es-ES"/>
        </w:rPr>
        <w:t xml:space="preserve"> como servicio</w:t>
      </w:r>
      <w:r w:rsidR="000D20E0" w:rsidRPr="003B5CD1">
        <w:rPr>
          <w:lang w:val="es-ES"/>
        </w:rPr>
        <w:t>,</w:t>
      </w:r>
      <w:r w:rsidR="0088624C" w:rsidRPr="003B5CD1">
        <w:rPr>
          <w:lang w:val="es-ES"/>
        </w:rPr>
        <w:t xml:space="preserve"> y sobre procedencia de los datos, redes de entrega de contenidos de la siguiente generación, </w:t>
      </w:r>
      <w:proofErr w:type="spellStart"/>
      <w:r w:rsidR="000D20E0" w:rsidRPr="003B5CD1">
        <w:rPr>
          <w:lang w:val="es-ES"/>
        </w:rPr>
        <w:t>Lua</w:t>
      </w:r>
      <w:proofErr w:type="spellEnd"/>
      <w:r w:rsidR="000D20E0" w:rsidRPr="003B5CD1">
        <w:rPr>
          <w:lang w:val="es-ES"/>
        </w:rPr>
        <w:t xml:space="preserve"> para TVIP, Internet de las cosas, así como proyectos pendientes de aprobación sobre requisitos de señalización para computación en el extremo y un marco para la lucha contra</w:t>
      </w:r>
      <w:r w:rsidR="003B5CD1" w:rsidRPr="003B5CD1">
        <w:rPr>
          <w:lang w:val="es-ES"/>
        </w:rPr>
        <w:t xml:space="preserve"> los dispositivos falsificados.</w:t>
      </w:r>
    </w:p>
    <w:p w:rsidR="00EE196A" w:rsidRPr="006E5F74" w:rsidRDefault="00EE196A" w:rsidP="003B5CD1">
      <w:pPr>
        <w:rPr>
          <w:lang w:val="es-ES"/>
        </w:rPr>
      </w:pPr>
      <w:r w:rsidRPr="006E5F74">
        <w:rPr>
          <w:lang w:val="es-ES"/>
        </w:rPr>
        <w:t>2.13</w:t>
      </w:r>
      <w:r w:rsidRPr="006E5F74">
        <w:rPr>
          <w:lang w:val="es-ES"/>
        </w:rPr>
        <w:tab/>
      </w:r>
      <w:r w:rsidR="000D20E0" w:rsidRPr="006E5F74">
        <w:rPr>
          <w:lang w:val="es-ES"/>
        </w:rPr>
        <w:t xml:space="preserve">El trabajo en materia de </w:t>
      </w:r>
      <w:r w:rsidR="0038354D" w:rsidRPr="006E5F74">
        <w:rPr>
          <w:lang w:val="es-ES"/>
        </w:rPr>
        <w:t>normas</w:t>
      </w:r>
      <w:r w:rsidR="000D20E0" w:rsidRPr="006E5F74">
        <w:rPr>
          <w:lang w:val="es-ES"/>
        </w:rPr>
        <w:t xml:space="preserve"> de seguridad se refleja en </w:t>
      </w:r>
      <w:hyperlink r:id="rId48" w:history="1">
        <w:r w:rsidRPr="006E5F74">
          <w:rPr>
            <w:rStyle w:val="Hyperlink"/>
            <w:rFonts w:asciiTheme="minorHAnsi" w:hAnsiTheme="minorHAnsi" w:cstheme="minorHAnsi"/>
            <w:bCs/>
            <w:szCs w:val="24"/>
            <w:lang w:val="es-ES"/>
          </w:rPr>
          <w:t>C19/18</w:t>
        </w:r>
      </w:hyperlink>
      <w:r w:rsidRPr="006E5F74">
        <w:rPr>
          <w:lang w:val="es-ES"/>
        </w:rPr>
        <w:t>.</w:t>
      </w:r>
    </w:p>
    <w:p w:rsidR="00585996" w:rsidRPr="006E5F74" w:rsidRDefault="00585996" w:rsidP="003B5CD1">
      <w:pPr>
        <w:rPr>
          <w:lang w:val="es-ES"/>
        </w:rPr>
      </w:pPr>
      <w:r w:rsidRPr="006E5F74">
        <w:rPr>
          <w:lang w:val="es-ES"/>
        </w:rPr>
        <w:lastRenderedPageBreak/>
        <w:t>2.</w:t>
      </w:r>
      <w:r w:rsidR="00B21DF8" w:rsidRPr="006E5F74">
        <w:rPr>
          <w:lang w:val="es-ES"/>
        </w:rPr>
        <w:t>14</w:t>
      </w:r>
      <w:r w:rsidRPr="006E5F74">
        <w:rPr>
          <w:lang w:val="es-ES"/>
        </w:rPr>
        <w:tab/>
        <w:t xml:space="preserve">La TSB no ha recibido información alguna sobre los incidentes comunicados en lo relativo a la </w:t>
      </w:r>
      <w:hyperlink r:id="rId49" w:history="1">
        <w:r w:rsidRPr="008A1DEC">
          <w:rPr>
            <w:rStyle w:val="Hyperlink"/>
            <w:lang w:val="es-ES"/>
          </w:rPr>
          <w:t>Resolución 69 de la AMNT</w:t>
        </w:r>
      </w:hyperlink>
      <w:r w:rsidRPr="006E5F74">
        <w:rPr>
          <w:lang w:val="es-ES"/>
        </w:rPr>
        <w:t xml:space="preserve"> sobre acceso y utilización no discriminatorios de los recursos de Internet (hasta ahora ha habido 37 incidentes desde 2009, véanse todos los </w:t>
      </w:r>
      <w:hyperlink r:id="rId50" w:history="1">
        <w:r w:rsidRPr="006E5F74">
          <w:rPr>
            <w:rStyle w:val="Hyperlink"/>
            <w:rFonts w:asciiTheme="minorHAnsi" w:hAnsiTheme="minorHAnsi" w:cstheme="minorHAnsi"/>
            <w:szCs w:val="24"/>
            <w:lang w:val="es-ES"/>
          </w:rPr>
          <w:t>informes</w:t>
        </w:r>
      </w:hyperlink>
      <w:r w:rsidRPr="006E5F74">
        <w:rPr>
          <w:lang w:val="es-ES"/>
        </w:rPr>
        <w:t xml:space="preserve"> conexos).</w:t>
      </w:r>
    </w:p>
    <w:p w:rsidR="00585996" w:rsidRPr="006E5F74" w:rsidRDefault="00585996" w:rsidP="005651C6">
      <w:pPr>
        <w:rPr>
          <w:lang w:val="es-ES"/>
        </w:rPr>
      </w:pPr>
      <w:r w:rsidRPr="006E5F74">
        <w:rPr>
          <w:lang w:val="es-ES"/>
        </w:rPr>
        <w:t>2.</w:t>
      </w:r>
      <w:r w:rsidR="00D671F5" w:rsidRPr="006E5F74">
        <w:rPr>
          <w:lang w:val="es-ES"/>
        </w:rPr>
        <w:t>15</w:t>
      </w:r>
      <w:r w:rsidRPr="006E5F74">
        <w:rPr>
          <w:lang w:val="es-ES"/>
        </w:rPr>
        <w:tab/>
        <w:t>La CE 1 y la CE 2 del UIT-D concluy</w:t>
      </w:r>
      <w:r w:rsidR="005651C6">
        <w:rPr>
          <w:lang w:val="es-ES"/>
        </w:rPr>
        <w:t>eron</w:t>
      </w:r>
      <w:r w:rsidRPr="006E5F74">
        <w:rPr>
          <w:lang w:val="es-ES"/>
        </w:rPr>
        <w:t xml:space="preserve"> su </w:t>
      </w:r>
      <w:hyperlink r:id="rId51" w:history="1">
        <w:r w:rsidRPr="006E5F74">
          <w:rPr>
            <w:rStyle w:val="Hyperlink"/>
            <w:rFonts w:asciiTheme="minorHAnsi" w:hAnsiTheme="minorHAnsi" w:cstheme="minorHAnsi"/>
            <w:szCs w:val="24"/>
            <w:lang w:val="es-ES"/>
          </w:rPr>
          <w:t>periodo de estudios 2014-2017</w:t>
        </w:r>
      </w:hyperlink>
      <w:r w:rsidRPr="006E5F74">
        <w:rPr>
          <w:lang w:val="es-ES"/>
        </w:rPr>
        <w:t xml:space="preserve"> y public</w:t>
      </w:r>
      <w:r w:rsidR="005651C6">
        <w:rPr>
          <w:lang w:val="es-ES"/>
        </w:rPr>
        <w:t>aron</w:t>
      </w:r>
      <w:r w:rsidRPr="006E5F74">
        <w:rPr>
          <w:lang w:val="es-ES"/>
        </w:rPr>
        <w:t xml:space="preserve"> una serie de informes y directrices sobre Internet (véa</w:t>
      </w:r>
      <w:r w:rsidR="00AF59F5">
        <w:rPr>
          <w:lang w:val="es-ES"/>
        </w:rPr>
        <w:t>n</w:t>
      </w:r>
      <w:r w:rsidRPr="006E5F74">
        <w:rPr>
          <w:lang w:val="es-ES"/>
        </w:rPr>
        <w:t xml:space="preserve">se los informes de la </w:t>
      </w:r>
      <w:hyperlink r:id="rId52" w:history="1">
        <w:r w:rsidRPr="006E5F74">
          <w:rPr>
            <w:rStyle w:val="Hyperlink"/>
            <w:lang w:val="es-ES"/>
          </w:rPr>
          <w:t>CE</w:t>
        </w:r>
        <w:r w:rsidR="0063747F">
          <w:rPr>
            <w:rStyle w:val="Hyperlink"/>
            <w:lang w:val="es-ES"/>
          </w:rPr>
          <w:t> </w:t>
        </w:r>
        <w:r w:rsidRPr="006E5F74">
          <w:rPr>
            <w:rStyle w:val="Hyperlink"/>
            <w:lang w:val="es-ES"/>
          </w:rPr>
          <w:t>1 del UIT-D</w:t>
        </w:r>
      </w:hyperlink>
      <w:r w:rsidRPr="006E5F74">
        <w:rPr>
          <w:lang w:val="es-ES"/>
        </w:rPr>
        <w:t xml:space="preserve"> y de la </w:t>
      </w:r>
      <w:hyperlink r:id="rId53" w:history="1">
        <w:r w:rsidRPr="006E5F74">
          <w:rPr>
            <w:rStyle w:val="Hyperlink"/>
            <w:lang w:val="es-ES"/>
          </w:rPr>
          <w:t>CE</w:t>
        </w:r>
        <w:r w:rsidR="0063747F">
          <w:rPr>
            <w:rStyle w:val="Hyperlink"/>
            <w:lang w:val="es-ES"/>
          </w:rPr>
          <w:t> </w:t>
        </w:r>
        <w:r w:rsidRPr="006E5F74">
          <w:rPr>
            <w:rStyle w:val="Hyperlink"/>
            <w:lang w:val="es-ES"/>
          </w:rPr>
          <w:t>2 del UIT</w:t>
        </w:r>
        <w:r w:rsidR="003B5CD1">
          <w:rPr>
            <w:rStyle w:val="Hyperlink"/>
            <w:lang w:val="es-ES"/>
          </w:rPr>
          <w:noBreakHyphen/>
        </w:r>
        <w:r w:rsidRPr="006E5F74">
          <w:rPr>
            <w:rStyle w:val="Hyperlink"/>
            <w:lang w:val="es-ES"/>
          </w:rPr>
          <w:t>D</w:t>
        </w:r>
      </w:hyperlink>
      <w:r w:rsidRPr="006E5F74">
        <w:rPr>
          <w:lang w:val="es-ES"/>
        </w:rPr>
        <w:t xml:space="preserve">). Tras la CMDT-17, continuaron los trabajos sobre cuestiones relativas a IP como la interconexión NGN, </w:t>
      </w:r>
      <w:proofErr w:type="spellStart"/>
      <w:r w:rsidRPr="006E5F74">
        <w:rPr>
          <w:lang w:val="es-ES"/>
        </w:rPr>
        <w:t>VoIP</w:t>
      </w:r>
      <w:proofErr w:type="spellEnd"/>
      <w:r w:rsidRPr="006E5F74">
        <w:rPr>
          <w:lang w:val="es-ES"/>
        </w:rPr>
        <w:t>, servicios en la nube y estrategias, políticas y tecnologías para el despliegue de la banda ancha. Los grupos investigarán las directrices para la transición de las redes de banda estrecha a redes de banda ancha de gran calidad y alta velocidad (incluida la transición a las redes IMT-2020), habida cuenta de las características de interconexión e interoperabilidad.</w:t>
      </w:r>
      <w:r w:rsidRPr="006E5F74">
        <w:rPr>
          <w:b/>
          <w:color w:val="800000"/>
          <w:sz w:val="22"/>
          <w:lang w:val="es-ES"/>
        </w:rPr>
        <w:t xml:space="preserve"> </w:t>
      </w:r>
      <w:r w:rsidRPr="006E5F74">
        <w:rPr>
          <w:lang w:val="es-ES"/>
        </w:rPr>
        <w:t>La nueva Cuestión 1/1 estudiará las "</w:t>
      </w:r>
      <w:r w:rsidR="00AF59F5" w:rsidRPr="006E5F74">
        <w:rPr>
          <w:lang w:val="es-ES"/>
        </w:rPr>
        <w:t xml:space="preserve">Estrategias </w:t>
      </w:r>
      <w:r w:rsidRPr="006E5F74">
        <w:rPr>
          <w:lang w:val="es-ES"/>
        </w:rPr>
        <w:t>y políticas para el despliegue de la banda ancha en los países en desarrollo" (fusión de las antiguas Cuestiones 1/1 y 2/1). Las Cuestiones 4/1, 5/1 y 1/2 proseguirán sus trabajos de anteriores periodos de estudio, concentrándose en la necesidad de recurrir a las TIC para el desarrollo socioeconómico sostenible.</w:t>
      </w:r>
    </w:p>
    <w:p w:rsidR="003E59A2" w:rsidRPr="006E5F74" w:rsidRDefault="00585996" w:rsidP="005D1CDE">
      <w:pPr>
        <w:rPr>
          <w:rFonts w:asciiTheme="minorHAnsi" w:hAnsiTheme="minorHAnsi" w:cstheme="minorHAnsi"/>
          <w:lang w:val="es-ES"/>
        </w:rPr>
      </w:pPr>
      <w:r w:rsidRPr="006E5F74">
        <w:rPr>
          <w:lang w:val="es-ES"/>
        </w:rPr>
        <w:t>2.</w:t>
      </w:r>
      <w:r w:rsidR="00FA0C71" w:rsidRPr="006E5F74">
        <w:rPr>
          <w:lang w:val="es-ES"/>
        </w:rPr>
        <w:t>16</w:t>
      </w:r>
      <w:r w:rsidRPr="006E5F74">
        <w:rPr>
          <w:lang w:val="es-ES"/>
        </w:rPr>
        <w:tab/>
        <w:t xml:space="preserve">El UIT-D sigue </w:t>
      </w:r>
      <w:r w:rsidR="00C83C55">
        <w:rPr>
          <w:lang w:val="es-ES"/>
        </w:rPr>
        <w:t>construyendo</w:t>
      </w:r>
      <w:r w:rsidRPr="006E5F74">
        <w:rPr>
          <w:lang w:val="es-ES"/>
        </w:rPr>
        <w:t xml:space="preserve"> la conectividad inalámbrica a Internet en banda ancha y </w:t>
      </w:r>
      <w:r w:rsidR="00C83C55">
        <w:rPr>
          <w:lang w:val="es-ES"/>
        </w:rPr>
        <w:t>desarrolla</w:t>
      </w:r>
      <w:r w:rsidRPr="006E5F74">
        <w:rPr>
          <w:lang w:val="es-ES"/>
        </w:rPr>
        <w:t xml:space="preserve"> aplicaciones TIC para dar acceso digital gratuito o a bajo costo a escuelas y hospitales, y a poblaciones insuficientemente atendidas de zonas rurales y aisladas en determinados países (Burundi, Burkina Faso, </w:t>
      </w:r>
      <w:proofErr w:type="spellStart"/>
      <w:r w:rsidRPr="006E5F74">
        <w:rPr>
          <w:lang w:val="es-ES"/>
        </w:rPr>
        <w:t>Djibouti</w:t>
      </w:r>
      <w:proofErr w:type="spellEnd"/>
      <w:r w:rsidRPr="006E5F74">
        <w:rPr>
          <w:lang w:val="es-ES"/>
        </w:rPr>
        <w:t xml:space="preserve">, </w:t>
      </w:r>
      <w:proofErr w:type="spellStart"/>
      <w:r w:rsidRPr="006E5F74">
        <w:rPr>
          <w:lang w:val="es-ES"/>
        </w:rPr>
        <w:t>Lesotho</w:t>
      </w:r>
      <w:proofErr w:type="spellEnd"/>
      <w:r w:rsidRPr="006E5F74">
        <w:rPr>
          <w:lang w:val="es-ES"/>
        </w:rPr>
        <w:t xml:space="preserve">, Malí, </w:t>
      </w:r>
      <w:proofErr w:type="spellStart"/>
      <w:r w:rsidR="000D20E0" w:rsidRPr="006E5F74">
        <w:rPr>
          <w:lang w:val="es-ES"/>
        </w:rPr>
        <w:t>Rwanda</w:t>
      </w:r>
      <w:proofErr w:type="spellEnd"/>
      <w:r w:rsidR="000D20E0" w:rsidRPr="006E5F74">
        <w:rPr>
          <w:lang w:val="es-ES"/>
        </w:rPr>
        <w:t>, Eswatini</w:t>
      </w:r>
      <w:r w:rsidRPr="006E5F74">
        <w:rPr>
          <w:lang w:val="es-ES"/>
        </w:rPr>
        <w:t>, Antigua y Barbuda</w:t>
      </w:r>
      <w:r w:rsidR="005D1CDE">
        <w:rPr>
          <w:lang w:val="es-ES"/>
        </w:rPr>
        <w:t>,</w:t>
      </w:r>
      <w:r w:rsidRPr="006E5F74">
        <w:rPr>
          <w:lang w:val="es-ES"/>
        </w:rPr>
        <w:t xml:space="preserve"> Saint </w:t>
      </w:r>
      <w:proofErr w:type="spellStart"/>
      <w:r w:rsidRPr="006E5F74">
        <w:rPr>
          <w:lang w:val="es-ES"/>
        </w:rPr>
        <w:t>Kitts</w:t>
      </w:r>
      <w:proofErr w:type="spellEnd"/>
      <w:r w:rsidRPr="006E5F74">
        <w:rPr>
          <w:lang w:val="es-ES"/>
        </w:rPr>
        <w:t xml:space="preserve"> y </w:t>
      </w:r>
      <w:proofErr w:type="spellStart"/>
      <w:r w:rsidRPr="006E5F74">
        <w:rPr>
          <w:lang w:val="es-ES"/>
        </w:rPr>
        <w:t>Nevis</w:t>
      </w:r>
      <w:proofErr w:type="spellEnd"/>
      <w:r w:rsidRPr="006E5F74">
        <w:rPr>
          <w:lang w:val="es-ES"/>
        </w:rPr>
        <w:t>, etc.).</w:t>
      </w:r>
      <w:r w:rsidR="00DF0570" w:rsidRPr="006E5F74">
        <w:rPr>
          <w:lang w:val="es-ES"/>
        </w:rPr>
        <w:t xml:space="preserve"> </w:t>
      </w:r>
      <w:r w:rsidR="003E59A2" w:rsidRPr="006E5F74">
        <w:rPr>
          <w:rFonts w:asciiTheme="minorHAnsi" w:hAnsiTheme="minorHAnsi" w:cstheme="minorHAnsi"/>
          <w:lang w:val="es-ES"/>
        </w:rPr>
        <w:t>Se publicó el Informe</w:t>
      </w:r>
      <w:r w:rsidR="00DF0570" w:rsidRPr="006E5F74">
        <w:rPr>
          <w:rFonts w:asciiTheme="minorHAnsi" w:hAnsiTheme="minorHAnsi" w:cstheme="minorHAnsi"/>
          <w:lang w:val="es-ES"/>
        </w:rPr>
        <w:t xml:space="preserve"> </w:t>
      </w:r>
      <w:r w:rsidR="0063747F">
        <w:rPr>
          <w:rFonts w:asciiTheme="minorHAnsi" w:hAnsiTheme="minorHAnsi" w:cstheme="minorHAnsi"/>
          <w:lang w:val="es-ES"/>
        </w:rPr>
        <w:t>"</w:t>
      </w:r>
      <w:r w:rsidR="00DF0570" w:rsidRPr="006E5F74">
        <w:rPr>
          <w:lang w:val="es-ES"/>
        </w:rPr>
        <w:t>Sentando las bases para la 5G: oportunidades y desafíos</w:t>
      </w:r>
      <w:r w:rsidR="0063747F">
        <w:rPr>
          <w:rFonts w:asciiTheme="minorHAnsi" w:hAnsiTheme="minorHAnsi" w:cstheme="minorHAnsi"/>
          <w:lang w:val="es-ES"/>
        </w:rPr>
        <w:t>"</w:t>
      </w:r>
      <w:r w:rsidR="003E59A2" w:rsidRPr="006E5F74">
        <w:rPr>
          <w:rFonts w:asciiTheme="minorHAnsi" w:hAnsiTheme="minorHAnsi" w:cstheme="minorHAnsi"/>
          <w:lang w:val="es-ES"/>
        </w:rPr>
        <w:t xml:space="preserve"> para ayudar a los países en desarrollo con herramientas </w:t>
      </w:r>
      <w:r w:rsidR="000A61AB">
        <w:rPr>
          <w:rFonts w:asciiTheme="minorHAnsi" w:hAnsiTheme="minorHAnsi" w:cstheme="minorHAnsi"/>
          <w:lang w:val="es-ES"/>
        </w:rPr>
        <w:t>sobre la</w:t>
      </w:r>
      <w:r w:rsidR="003E59A2" w:rsidRPr="006E5F74">
        <w:rPr>
          <w:rFonts w:asciiTheme="minorHAnsi" w:hAnsiTheme="minorHAnsi" w:cstheme="minorHAnsi"/>
          <w:lang w:val="es-ES"/>
        </w:rPr>
        <w:t xml:space="preserve"> banda ancha para la elaboración de sus planes y el desar</w:t>
      </w:r>
      <w:r w:rsidR="003B5CD1">
        <w:rPr>
          <w:rFonts w:asciiTheme="minorHAnsi" w:hAnsiTheme="minorHAnsi" w:cstheme="minorHAnsi"/>
          <w:lang w:val="es-ES"/>
        </w:rPr>
        <w:t>rollo de infraestructuras.</w:t>
      </w:r>
    </w:p>
    <w:p w:rsidR="00585996" w:rsidRPr="003B5CD1" w:rsidRDefault="00585996" w:rsidP="003B5CD1">
      <w:pPr>
        <w:rPr>
          <w:lang w:val="es-ES"/>
        </w:rPr>
      </w:pPr>
      <w:r w:rsidRPr="003B5CD1">
        <w:rPr>
          <w:lang w:val="es-ES"/>
        </w:rPr>
        <w:t>2.</w:t>
      </w:r>
      <w:r w:rsidR="009D7FDE" w:rsidRPr="003B5CD1">
        <w:rPr>
          <w:lang w:val="es-ES"/>
        </w:rPr>
        <w:t>17</w:t>
      </w:r>
      <w:r w:rsidRPr="003B5CD1">
        <w:rPr>
          <w:lang w:val="es-ES"/>
        </w:rPr>
        <w:tab/>
        <w:t>El UIT-R aprobó la Recomendación UIT-R M.2083</w:t>
      </w:r>
      <w:r w:rsidR="009D7FDE" w:rsidRPr="003B5CD1">
        <w:rPr>
          <w:lang w:val="es-ES"/>
        </w:rPr>
        <w:t>-0</w:t>
      </w:r>
      <w:r w:rsidRPr="003B5CD1">
        <w:rPr>
          <w:lang w:val="es-ES"/>
        </w:rPr>
        <w:t xml:space="preserve"> "Concepción de las IMT </w:t>
      </w:r>
      <w:r w:rsidR="0063747F" w:rsidRPr="0063747F">
        <w:rPr>
          <w:lang w:val="es-ES"/>
        </w:rPr>
        <w:t>–</w:t>
      </w:r>
      <w:r w:rsidRPr="003B5CD1">
        <w:rPr>
          <w:lang w:val="es-ES"/>
        </w:rPr>
        <w:t xml:space="preserve"> Marco y </w:t>
      </w:r>
      <w:r w:rsidRPr="006E5F74">
        <w:rPr>
          <w:lang w:val="es-ES"/>
        </w:rPr>
        <w:t>objetivos generales del futuro desarrollo de las IMT para 2020 y en adelante"</w:t>
      </w:r>
      <w:r w:rsidR="009D7FDE" w:rsidRPr="006E5F74">
        <w:rPr>
          <w:lang w:val="es-ES"/>
        </w:rPr>
        <w:t>,</w:t>
      </w:r>
      <w:r w:rsidRPr="006E5F74">
        <w:rPr>
          <w:lang w:val="es-ES"/>
        </w:rPr>
        <w:t xml:space="preserve"> las Resoluciones UIT-R.65 "Principios para el futuro desarrollo de las IMT para 2020 y años posteriores" y UIT-R.66 "Estudios relativos a sistemas y aplicaciones inalámbricos para el desarrollo de la Internet de las cosas</w:t>
      </w:r>
      <w:r w:rsidRPr="003B5CD1">
        <w:rPr>
          <w:lang w:val="es-ES"/>
        </w:rPr>
        <w:t>"</w:t>
      </w:r>
      <w:r w:rsidR="003E59A2" w:rsidRPr="003B5CD1">
        <w:rPr>
          <w:lang w:val="es-ES"/>
        </w:rPr>
        <w:t xml:space="preserve"> y el Informe UIT</w:t>
      </w:r>
      <w:r w:rsidR="009D7FDE" w:rsidRPr="003B5CD1">
        <w:rPr>
          <w:lang w:val="es-ES"/>
        </w:rPr>
        <w:t>-R M.2440-0 "Utilización de la componente terrenal de las telecomunicaciones móviles internacionales (IMT) para las comunicaciones de tipo máquina en banda estrecha y banda ancha"</w:t>
      </w:r>
      <w:r w:rsidRPr="006E5F74">
        <w:rPr>
          <w:lang w:val="es-ES"/>
        </w:rPr>
        <w:t>.</w:t>
      </w:r>
    </w:p>
    <w:p w:rsidR="00585996" w:rsidRPr="003B5CD1" w:rsidRDefault="00585996" w:rsidP="003B5CD1">
      <w:pPr>
        <w:rPr>
          <w:lang w:val="es-ES"/>
        </w:rPr>
      </w:pPr>
      <w:r w:rsidRPr="003B5CD1">
        <w:rPr>
          <w:lang w:val="es-ES"/>
        </w:rPr>
        <w:t>2.</w:t>
      </w:r>
      <w:r w:rsidR="00E90D75" w:rsidRPr="003B5CD1">
        <w:rPr>
          <w:lang w:val="es-ES"/>
        </w:rPr>
        <w:t>18</w:t>
      </w:r>
      <w:r w:rsidRPr="003B5CD1">
        <w:rPr>
          <w:lang w:val="es-ES"/>
        </w:rPr>
        <w:tab/>
      </w:r>
      <w:r w:rsidRPr="006E5F74">
        <w:rPr>
          <w:lang w:val="es-ES"/>
        </w:rPr>
        <w:t xml:space="preserve">La UIT sigue trabajando en cooperación con la </w:t>
      </w:r>
      <w:proofErr w:type="spellStart"/>
      <w:r w:rsidRPr="006E5F74">
        <w:rPr>
          <w:lang w:val="es-ES"/>
        </w:rPr>
        <w:t>Corporation</w:t>
      </w:r>
      <w:proofErr w:type="spellEnd"/>
      <w:r w:rsidRPr="006E5F74">
        <w:rPr>
          <w:lang w:val="es-ES"/>
        </w:rPr>
        <w:t xml:space="preserve"> </w:t>
      </w:r>
      <w:proofErr w:type="spellStart"/>
      <w:r w:rsidRPr="006E5F74">
        <w:rPr>
          <w:lang w:val="es-ES"/>
        </w:rPr>
        <w:t>for</w:t>
      </w:r>
      <w:proofErr w:type="spellEnd"/>
      <w:r w:rsidRPr="006E5F74">
        <w:rPr>
          <w:lang w:val="es-ES"/>
        </w:rPr>
        <w:t xml:space="preserve"> </w:t>
      </w:r>
      <w:proofErr w:type="spellStart"/>
      <w:r w:rsidRPr="006E5F74">
        <w:rPr>
          <w:lang w:val="es-ES"/>
        </w:rPr>
        <w:t>National</w:t>
      </w:r>
      <w:proofErr w:type="spellEnd"/>
      <w:r w:rsidRPr="006E5F74">
        <w:rPr>
          <w:lang w:val="es-ES"/>
        </w:rPr>
        <w:t xml:space="preserve"> </w:t>
      </w:r>
      <w:proofErr w:type="spellStart"/>
      <w:r w:rsidRPr="006E5F74">
        <w:rPr>
          <w:lang w:val="es-ES"/>
        </w:rPr>
        <w:t>Research</w:t>
      </w:r>
      <w:proofErr w:type="spellEnd"/>
      <w:r w:rsidRPr="006E5F74">
        <w:rPr>
          <w:lang w:val="es-ES"/>
        </w:rPr>
        <w:t xml:space="preserve"> </w:t>
      </w:r>
      <w:proofErr w:type="spellStart"/>
      <w:r w:rsidRPr="006E5F74">
        <w:rPr>
          <w:lang w:val="es-ES"/>
        </w:rPr>
        <w:t>Initiatives</w:t>
      </w:r>
      <w:proofErr w:type="spellEnd"/>
      <w:r w:rsidRPr="006E5F74">
        <w:rPr>
          <w:lang w:val="es-ES"/>
        </w:rPr>
        <w:t> (CNRI) y la Fundación DONA sobre la utilización de la arquitectura de objeto digital (DOA) –una arquitectura avanzada para la gestión de la información– con el fin de utilizar sus características de gestión de objetos digitales avanzadas en la UIT y otros organismos de las Naciones Unidas interesados.</w:t>
      </w:r>
    </w:p>
    <w:p w:rsidR="00585996" w:rsidRPr="006E5F74" w:rsidRDefault="00585996" w:rsidP="003B5CD1">
      <w:pPr>
        <w:rPr>
          <w:lang w:val="es-ES"/>
        </w:rPr>
      </w:pPr>
      <w:r w:rsidRPr="006E5F74">
        <w:rPr>
          <w:lang w:val="es-ES"/>
        </w:rPr>
        <w:t>2.</w:t>
      </w:r>
      <w:r w:rsidR="00E90D75" w:rsidRPr="006E5F74">
        <w:rPr>
          <w:lang w:val="es-ES"/>
        </w:rPr>
        <w:t>19</w:t>
      </w:r>
      <w:r w:rsidRPr="006E5F74">
        <w:rPr>
          <w:lang w:val="es-ES"/>
        </w:rPr>
        <w:tab/>
        <w:t xml:space="preserve">Se impartieron varios cursillos de formación a través de la </w:t>
      </w:r>
      <w:hyperlink r:id="rId54" w:history="1">
        <w:r w:rsidRPr="006E5F74">
          <w:rPr>
            <w:rStyle w:val="Hyperlink"/>
            <w:rFonts w:asciiTheme="minorHAnsi" w:hAnsiTheme="minorHAnsi" w:cstheme="minorHAnsi"/>
            <w:szCs w:val="24"/>
            <w:lang w:val="es-ES"/>
          </w:rPr>
          <w:t>Academia de la UIT</w:t>
        </w:r>
      </w:hyperlink>
      <w:r w:rsidRPr="006E5F74">
        <w:rPr>
          <w:lang w:val="es-ES"/>
        </w:rPr>
        <w:t xml:space="preserve"> y de la red de </w:t>
      </w:r>
      <w:hyperlink r:id="rId55" w:history="1">
        <w:r w:rsidRPr="006E5F74">
          <w:rPr>
            <w:rStyle w:val="Hyperlink"/>
            <w:rFonts w:asciiTheme="minorHAnsi" w:hAnsiTheme="minorHAnsi" w:cstheme="minorHAnsi"/>
            <w:szCs w:val="24"/>
            <w:lang w:val="es-ES"/>
          </w:rPr>
          <w:t>Centros de Excelencia de la UIT</w:t>
        </w:r>
      </w:hyperlink>
      <w:r w:rsidRPr="006E5F74">
        <w:rPr>
          <w:lang w:val="es-ES"/>
        </w:rPr>
        <w:t>, sobre temas tales como "</w:t>
      </w:r>
      <w:r w:rsidR="003B5CD1">
        <w:rPr>
          <w:lang w:val="es-ES"/>
        </w:rPr>
        <w:t>Despliegue de IPv6</w:t>
      </w:r>
      <w:r w:rsidRPr="006E5F74">
        <w:rPr>
          <w:lang w:val="es-ES"/>
        </w:rPr>
        <w:t xml:space="preserve">", "Aspectos estratégicos de la gobernanza de Internet y las innovaciones", "Infraestructura TIC e </w:t>
      </w:r>
      <w:proofErr w:type="spellStart"/>
      <w:r w:rsidRPr="006E5F74">
        <w:rPr>
          <w:lang w:val="es-ES"/>
        </w:rPr>
        <w:t>IoT</w:t>
      </w:r>
      <w:proofErr w:type="spellEnd"/>
      <w:r w:rsidRPr="006E5F74">
        <w:rPr>
          <w:lang w:val="es-ES"/>
        </w:rPr>
        <w:t>", "Tecnologías de acceso por fibra óptica y redes de la próxima generación", "Tecnologías de la cuarta generación: LTE y LTE Avanzadas", "</w:t>
      </w:r>
      <w:r w:rsidR="005D1CDE" w:rsidRPr="006E5F74">
        <w:rPr>
          <w:lang w:val="es-ES"/>
        </w:rPr>
        <w:t xml:space="preserve">El </w:t>
      </w:r>
      <w:r w:rsidRPr="006E5F74">
        <w:rPr>
          <w:lang w:val="es-ES"/>
        </w:rPr>
        <w:t>futuro de la interfaz con 5G", "</w:t>
      </w:r>
      <w:r w:rsidR="005D1CDE" w:rsidRPr="006E5F74">
        <w:rPr>
          <w:lang w:val="es-ES"/>
        </w:rPr>
        <w:t xml:space="preserve">El </w:t>
      </w:r>
      <w:r w:rsidRPr="006E5F74">
        <w:rPr>
          <w:lang w:val="es-ES"/>
        </w:rPr>
        <w:t>papel de las TIC en las ciudades sostenibles e inteligentes", etc.</w:t>
      </w:r>
    </w:p>
    <w:p w:rsidR="00585996" w:rsidRPr="006E5F74" w:rsidRDefault="00585996" w:rsidP="00901096">
      <w:pPr>
        <w:rPr>
          <w:lang w:val="es-ES"/>
        </w:rPr>
      </w:pPr>
      <w:r w:rsidRPr="00901096">
        <w:rPr>
          <w:lang w:val="es-ES"/>
        </w:rPr>
        <w:t>2.</w:t>
      </w:r>
      <w:r w:rsidR="00E90D75" w:rsidRPr="00901096">
        <w:rPr>
          <w:lang w:val="es-ES"/>
        </w:rPr>
        <w:t>20</w:t>
      </w:r>
      <w:r w:rsidRPr="006E5F74">
        <w:rPr>
          <w:lang w:val="es-ES"/>
        </w:rPr>
        <w:tab/>
        <w:t>La UIT también prestó asistencia al Instituto Costarricense de Electricidad (ICE) para reforzar su capacitación, en particular sobre las redes NGN, mediante el proyecto titulado "Desarrollo del conocimiento en tecnologías para especialistas del ICE".</w:t>
      </w:r>
    </w:p>
    <w:p w:rsidR="00585996" w:rsidRPr="006E5F74" w:rsidRDefault="00585996" w:rsidP="00585996">
      <w:pPr>
        <w:pStyle w:val="Heading1"/>
        <w:tabs>
          <w:tab w:val="clear" w:pos="2268"/>
          <w:tab w:val="clear" w:pos="2835"/>
          <w:tab w:val="center" w:pos="4819"/>
        </w:tabs>
        <w:rPr>
          <w:lang w:val="es-ES"/>
        </w:rPr>
      </w:pPr>
      <w:r w:rsidRPr="006E5F74">
        <w:rPr>
          <w:lang w:val="es-ES"/>
        </w:rPr>
        <w:lastRenderedPageBreak/>
        <w:t>3</w:t>
      </w:r>
      <w:r w:rsidRPr="006E5F74">
        <w:rPr>
          <w:lang w:val="es-ES"/>
        </w:rPr>
        <w:tab/>
        <w:t>IPv6</w:t>
      </w:r>
    </w:p>
    <w:p w:rsidR="00585996" w:rsidRPr="006E5F74" w:rsidRDefault="00585996" w:rsidP="0063747F">
      <w:pPr>
        <w:rPr>
          <w:lang w:val="es-ES"/>
        </w:rPr>
      </w:pPr>
      <w:r w:rsidRPr="006E5F74">
        <w:rPr>
          <w:lang w:val="es-ES"/>
        </w:rPr>
        <w:t>3.1</w:t>
      </w:r>
      <w:r w:rsidRPr="006E5F74">
        <w:rPr>
          <w:lang w:val="es-ES"/>
        </w:rPr>
        <w:tab/>
        <w:t>La CE 3 del UIT-T sigue estudiando la metodología y los temas de estudio necesarios para la aplicación de las partes pertinentes de la Resolución 64 de la AMNT. La CE </w:t>
      </w:r>
      <w:r w:rsidR="003E59A2" w:rsidRPr="006E5F74">
        <w:rPr>
          <w:lang w:val="es-ES"/>
        </w:rPr>
        <w:t>11 y la CE</w:t>
      </w:r>
      <w:r w:rsidR="0063747F">
        <w:rPr>
          <w:lang w:val="es-ES"/>
        </w:rPr>
        <w:t> </w:t>
      </w:r>
      <w:r w:rsidRPr="006E5F74">
        <w:rPr>
          <w:lang w:val="es-ES"/>
        </w:rPr>
        <w:t>20 del U</w:t>
      </w:r>
      <w:r w:rsidRPr="006E5F74">
        <w:rPr>
          <w:rFonts w:asciiTheme="minorHAnsi" w:hAnsiTheme="minorHAnsi" w:cstheme="minorHAnsi"/>
          <w:szCs w:val="24"/>
          <w:lang w:val="es-ES"/>
        </w:rPr>
        <w:t>IT-T también está</w:t>
      </w:r>
      <w:r w:rsidR="003E59A2" w:rsidRPr="006E5F74">
        <w:rPr>
          <w:rFonts w:asciiTheme="minorHAnsi" w:hAnsiTheme="minorHAnsi" w:cstheme="minorHAnsi"/>
          <w:szCs w:val="24"/>
          <w:lang w:val="es-ES"/>
        </w:rPr>
        <w:t>n</w:t>
      </w:r>
      <w:r w:rsidRPr="006E5F74">
        <w:rPr>
          <w:rFonts w:asciiTheme="minorHAnsi" w:hAnsiTheme="minorHAnsi" w:cstheme="minorHAnsi"/>
          <w:szCs w:val="24"/>
          <w:lang w:val="es-ES"/>
        </w:rPr>
        <w:t xml:space="preserve"> preparando un proyecto de Recomendación UIT-T sobre IPv6</w:t>
      </w:r>
      <w:r w:rsidRPr="006E5F74">
        <w:rPr>
          <w:rFonts w:asciiTheme="minorHAnsi" w:hAnsiTheme="minorHAnsi"/>
          <w:lang w:val="es-ES"/>
        </w:rPr>
        <w:t>.</w:t>
      </w:r>
      <w:r w:rsidR="003E59A2" w:rsidRPr="006E5F74">
        <w:rPr>
          <w:rFonts w:asciiTheme="minorHAnsi" w:hAnsiTheme="minorHAnsi"/>
          <w:lang w:val="es-ES"/>
        </w:rPr>
        <w:t xml:space="preserve"> La CE</w:t>
      </w:r>
      <w:r w:rsidR="0063747F">
        <w:rPr>
          <w:rFonts w:asciiTheme="minorHAnsi" w:hAnsiTheme="minorHAnsi"/>
          <w:lang w:val="es-ES"/>
        </w:rPr>
        <w:t> </w:t>
      </w:r>
      <w:r w:rsidR="003E59A2" w:rsidRPr="006E5F74">
        <w:rPr>
          <w:rFonts w:asciiTheme="minorHAnsi" w:hAnsiTheme="minorHAnsi"/>
          <w:lang w:val="es-ES"/>
        </w:rPr>
        <w:t xml:space="preserve">11 </w:t>
      </w:r>
      <w:r w:rsidR="000A61AB">
        <w:rPr>
          <w:rFonts w:asciiTheme="minorHAnsi" w:hAnsiTheme="minorHAnsi"/>
          <w:lang w:val="es-ES"/>
        </w:rPr>
        <w:t xml:space="preserve">del UIT-T </w:t>
      </w:r>
      <w:r w:rsidR="003E59A2" w:rsidRPr="006E5F74">
        <w:rPr>
          <w:rFonts w:asciiTheme="minorHAnsi" w:hAnsiTheme="minorHAnsi"/>
          <w:lang w:val="es-ES"/>
        </w:rPr>
        <w:t>ha aprobado una nueva norma UIT-T Q.3405 sobre procedimientos del protocolo IP</w:t>
      </w:r>
      <w:r w:rsidR="00E00B6B" w:rsidRPr="006E5F74">
        <w:rPr>
          <w:rFonts w:asciiTheme="minorHAnsi" w:hAnsiTheme="minorHAnsi"/>
          <w:lang w:val="es-ES"/>
        </w:rPr>
        <w:t>V</w:t>
      </w:r>
      <w:r w:rsidR="003E59A2" w:rsidRPr="006E5F74">
        <w:rPr>
          <w:rFonts w:asciiTheme="minorHAnsi" w:hAnsiTheme="minorHAnsi"/>
          <w:lang w:val="es-ES"/>
        </w:rPr>
        <w:t>6 para los servicios de banda ancha.</w:t>
      </w:r>
    </w:p>
    <w:p w:rsidR="00585996" w:rsidRPr="006E5F74" w:rsidRDefault="00585996" w:rsidP="003B5CD1">
      <w:pPr>
        <w:rPr>
          <w:lang w:val="es-ES"/>
        </w:rPr>
      </w:pPr>
      <w:r w:rsidRPr="006E5F74">
        <w:rPr>
          <w:lang w:val="es-ES"/>
        </w:rPr>
        <w:t>3.2</w:t>
      </w:r>
      <w:r w:rsidRPr="006E5F74">
        <w:rPr>
          <w:lang w:val="es-ES"/>
        </w:rPr>
        <w:tab/>
        <w:t xml:space="preserve">La BDT y </w:t>
      </w:r>
      <w:r w:rsidR="003E59A2" w:rsidRPr="006E5F74">
        <w:rPr>
          <w:lang w:val="es-ES"/>
        </w:rPr>
        <w:t xml:space="preserve">la </w:t>
      </w:r>
      <w:r w:rsidRPr="006E5F74">
        <w:rPr>
          <w:lang w:val="es-ES"/>
        </w:rPr>
        <w:t>MUST (</w:t>
      </w:r>
      <w:r w:rsidR="003E59A2" w:rsidRPr="006E5F74">
        <w:rPr>
          <w:lang w:val="es-ES"/>
        </w:rPr>
        <w:t>Universidad de Ciencia y Tecnología de Malasia</w:t>
      </w:r>
      <w:r w:rsidRPr="006E5F74">
        <w:rPr>
          <w:lang w:val="es-ES"/>
        </w:rPr>
        <w:t>) siguen preparando la creación de un centro de la UIT especializado en IPV6/</w:t>
      </w:r>
      <w:proofErr w:type="spellStart"/>
      <w:r w:rsidRPr="006E5F74">
        <w:rPr>
          <w:lang w:val="es-ES"/>
        </w:rPr>
        <w:t>IoT</w:t>
      </w:r>
      <w:proofErr w:type="spellEnd"/>
      <w:r w:rsidRPr="006E5F74">
        <w:rPr>
          <w:lang w:val="es-ES"/>
        </w:rPr>
        <w:t xml:space="preserve"> para ayudar a los Estados Miembros en su transición de IPv4 a IPv6 para </w:t>
      </w:r>
      <w:r w:rsidR="000A61AB">
        <w:rPr>
          <w:lang w:val="es-ES"/>
        </w:rPr>
        <w:t xml:space="preserve">la </w:t>
      </w:r>
      <w:proofErr w:type="spellStart"/>
      <w:r w:rsidRPr="006E5F74">
        <w:rPr>
          <w:lang w:val="es-ES"/>
        </w:rPr>
        <w:t>IoT</w:t>
      </w:r>
      <w:proofErr w:type="spellEnd"/>
      <w:r w:rsidR="00E00B6B" w:rsidRPr="006E5F74">
        <w:rPr>
          <w:lang w:val="es-ES"/>
        </w:rPr>
        <w:t xml:space="preserve"> </w:t>
      </w:r>
      <w:r w:rsidR="000A61AB">
        <w:rPr>
          <w:lang w:val="es-ES"/>
        </w:rPr>
        <w:t xml:space="preserve">y la </w:t>
      </w:r>
      <w:r w:rsidR="00E00B6B" w:rsidRPr="006E5F74">
        <w:rPr>
          <w:lang w:val="es-ES"/>
        </w:rPr>
        <w:t>Industria 4.0</w:t>
      </w:r>
      <w:r w:rsidRPr="006E5F74">
        <w:rPr>
          <w:lang w:val="es-ES"/>
        </w:rPr>
        <w:t>.</w:t>
      </w:r>
    </w:p>
    <w:p w:rsidR="00585996" w:rsidRPr="006E5F74" w:rsidRDefault="00585996" w:rsidP="00AD21D9">
      <w:pPr>
        <w:rPr>
          <w:lang w:val="es-ES"/>
        </w:rPr>
      </w:pPr>
      <w:r w:rsidRPr="006E5F74">
        <w:rPr>
          <w:lang w:val="es-ES"/>
        </w:rPr>
        <w:t>3.3</w:t>
      </w:r>
      <w:r w:rsidRPr="006E5F74">
        <w:rPr>
          <w:lang w:val="es-ES"/>
        </w:rPr>
        <w:tab/>
        <w:t>Continúan los trabajos sobre el proyecto de banco de pruebas internacional de TVIP IPv6 (</w:t>
      </w:r>
      <w:hyperlink r:id="rId56" w:history="1">
        <w:r w:rsidRPr="006E5F74">
          <w:rPr>
            <w:rStyle w:val="Hyperlink"/>
            <w:rFonts w:asciiTheme="minorHAnsi" w:hAnsiTheme="minorHAnsi" w:cstheme="minorHAnsi"/>
            <w:szCs w:val="24"/>
            <w:lang w:val="es-ES"/>
          </w:rPr>
          <w:t>I3GT</w:t>
        </w:r>
      </w:hyperlink>
      <w:r w:rsidRPr="006E5F74">
        <w:rPr>
          <w:lang w:val="es-ES"/>
        </w:rPr>
        <w:t>) entre los Miembros de la UIT, con el respaldo de la Secretaría de la UIT, para poner a prueba varios aspectos de las normas del UIT-T sobre TVIP, formar a instituciones académicas sobre tecnologías actualizadas de TVIP y presentar TVIP normalizada a partes interesadas, así como promover la implantación de capacidades IPv6 en los países en desarrollo.</w:t>
      </w:r>
      <w:r w:rsidRPr="006E5F74">
        <w:rPr>
          <w:rFonts w:asciiTheme="minorHAnsi" w:hAnsiTheme="minorHAnsi"/>
          <w:lang w:val="es-ES"/>
        </w:rPr>
        <w:t xml:space="preserve"> La CE 16 del UIT-T </w:t>
      </w:r>
      <w:r w:rsidR="00E00B6B" w:rsidRPr="006E5F74">
        <w:rPr>
          <w:rFonts w:asciiTheme="minorHAnsi" w:hAnsiTheme="minorHAnsi"/>
          <w:lang w:val="es-ES"/>
        </w:rPr>
        <w:t>está trabajando</w:t>
      </w:r>
      <w:r w:rsidRPr="006E5F74">
        <w:rPr>
          <w:rFonts w:asciiTheme="minorHAnsi" w:hAnsiTheme="minorHAnsi"/>
          <w:lang w:val="es-ES"/>
        </w:rPr>
        <w:t xml:space="preserve"> </w:t>
      </w:r>
      <w:r w:rsidR="00E00B6B" w:rsidRPr="006E5F74">
        <w:rPr>
          <w:rFonts w:asciiTheme="minorHAnsi" w:hAnsiTheme="minorHAnsi"/>
          <w:lang w:val="es-ES"/>
        </w:rPr>
        <w:t xml:space="preserve">en </w:t>
      </w:r>
      <w:r w:rsidRPr="006E5F74">
        <w:rPr>
          <w:rFonts w:asciiTheme="minorHAnsi" w:hAnsiTheme="minorHAnsi"/>
          <w:lang w:val="es-ES"/>
        </w:rPr>
        <w:t xml:space="preserve">el proyecto de artículo técnico del UIT-T </w:t>
      </w:r>
      <w:hyperlink r:id="rId57" w:history="1">
        <w:r w:rsidRPr="006E5F74">
          <w:rPr>
            <w:rStyle w:val="Hyperlink"/>
            <w:rFonts w:asciiTheme="minorHAnsi" w:hAnsiTheme="minorHAnsi"/>
            <w:lang w:val="es-ES"/>
          </w:rPr>
          <w:t>HSTP.IPTV-Guide.2</w:t>
        </w:r>
      </w:hyperlink>
      <w:r w:rsidRPr="006E5F74">
        <w:rPr>
          <w:rFonts w:asciiTheme="minorHAnsi" w:hAnsiTheme="minorHAnsi"/>
          <w:lang w:val="es-ES"/>
        </w:rPr>
        <w:t xml:space="preserve"> sobre </w:t>
      </w:r>
      <w:r w:rsidRPr="006E5F74">
        <w:rPr>
          <w:lang w:val="es-ES"/>
        </w:rPr>
        <w:t>"</w:t>
      </w:r>
      <w:r w:rsidR="0099361A" w:rsidRPr="006E5F74">
        <w:rPr>
          <w:lang w:val="es-ES"/>
        </w:rPr>
        <w:t xml:space="preserve">Parámetros </w:t>
      </w:r>
      <w:r w:rsidRPr="006E5F74">
        <w:rPr>
          <w:lang w:val="es-ES"/>
        </w:rPr>
        <w:t>del servicio TV</w:t>
      </w:r>
      <w:r w:rsidRPr="006E5F74">
        <w:rPr>
          <w:rFonts w:asciiTheme="minorHAnsi" w:hAnsiTheme="minorHAnsi"/>
          <w:lang w:val="es-ES"/>
        </w:rPr>
        <w:t>IP para los nuevos proveedores de servicio de TVIP</w:t>
      </w:r>
      <w:r w:rsidRPr="006E5F74">
        <w:rPr>
          <w:lang w:val="es-ES"/>
        </w:rPr>
        <w:t>"</w:t>
      </w:r>
      <w:r w:rsidRPr="006E5F74">
        <w:rPr>
          <w:rFonts w:asciiTheme="minorHAnsi" w:hAnsiTheme="minorHAnsi"/>
          <w:lang w:val="es-ES"/>
        </w:rPr>
        <w:t>.</w:t>
      </w:r>
    </w:p>
    <w:p w:rsidR="00585996" w:rsidRPr="003B5CD1" w:rsidRDefault="00585996" w:rsidP="000912F0">
      <w:pPr>
        <w:rPr>
          <w:lang w:val="es-ES"/>
        </w:rPr>
      </w:pPr>
      <w:r w:rsidRPr="003B5CD1">
        <w:rPr>
          <w:lang w:val="es-ES"/>
        </w:rPr>
        <w:t>3.4</w:t>
      </w:r>
      <w:r w:rsidRPr="003B5CD1">
        <w:rPr>
          <w:lang w:val="es-ES"/>
        </w:rPr>
        <w:tab/>
        <w:t xml:space="preserve">La BDT sigue prestando asistencia a los países </w:t>
      </w:r>
      <w:r w:rsidR="000A61AB" w:rsidRPr="003B5CD1">
        <w:rPr>
          <w:lang w:val="es-ES"/>
        </w:rPr>
        <w:t>sobre</w:t>
      </w:r>
      <w:r w:rsidRPr="003B5CD1">
        <w:rPr>
          <w:lang w:val="es-ES"/>
        </w:rPr>
        <w:t xml:space="preserve"> aplicación de políticas de IPv6 y </w:t>
      </w:r>
      <w:r w:rsidR="000A61AB" w:rsidRPr="003B5CD1">
        <w:rPr>
          <w:lang w:val="es-ES"/>
        </w:rPr>
        <w:t xml:space="preserve">los </w:t>
      </w:r>
      <w:r w:rsidRPr="003B5CD1">
        <w:rPr>
          <w:lang w:val="es-ES"/>
        </w:rPr>
        <w:t>banco</w:t>
      </w:r>
      <w:r w:rsidR="000A61AB" w:rsidRPr="003B5CD1">
        <w:rPr>
          <w:lang w:val="es-ES"/>
        </w:rPr>
        <w:t>s</w:t>
      </w:r>
      <w:r w:rsidRPr="003B5CD1">
        <w:rPr>
          <w:lang w:val="es-ES"/>
        </w:rPr>
        <w:t xml:space="preserve"> de pruebas IPv6, como solicitaron los Estados Miembros;</w:t>
      </w:r>
      <w:r w:rsidR="00667DA2" w:rsidRPr="003B5CD1">
        <w:rPr>
          <w:lang w:val="es-ES"/>
        </w:rPr>
        <w:t xml:space="preserve"> en la </w:t>
      </w:r>
      <w:r w:rsidR="00E00B6B" w:rsidRPr="003B5CD1">
        <w:rPr>
          <w:lang w:val="es-ES"/>
        </w:rPr>
        <w:t xml:space="preserve">Región </w:t>
      </w:r>
      <w:r w:rsidR="00667DA2" w:rsidRPr="003B5CD1">
        <w:rPr>
          <w:lang w:val="es-ES"/>
        </w:rPr>
        <w:t xml:space="preserve">de África, se prestó asistencia </w:t>
      </w:r>
      <w:r w:rsidR="00E00B6B" w:rsidRPr="003B5CD1">
        <w:rPr>
          <w:lang w:val="es-ES"/>
        </w:rPr>
        <w:t>para</w:t>
      </w:r>
      <w:r w:rsidR="00667DA2" w:rsidRPr="003B5CD1">
        <w:rPr>
          <w:lang w:val="es-ES"/>
        </w:rPr>
        <w:t xml:space="preserve"> la creación de banco</w:t>
      </w:r>
      <w:r w:rsidR="00E00B6B" w:rsidRPr="003B5CD1">
        <w:rPr>
          <w:lang w:val="es-ES"/>
        </w:rPr>
        <w:t>s</w:t>
      </w:r>
      <w:r w:rsidR="00667DA2" w:rsidRPr="003B5CD1">
        <w:rPr>
          <w:lang w:val="es-ES"/>
        </w:rPr>
        <w:t xml:space="preserve"> de pruebas de la versión 6 del protocolo Internet (IPv6) en </w:t>
      </w:r>
      <w:proofErr w:type="spellStart"/>
      <w:r w:rsidR="00667DA2" w:rsidRPr="003B5CD1">
        <w:rPr>
          <w:lang w:val="es-ES"/>
        </w:rPr>
        <w:t>Côte</w:t>
      </w:r>
      <w:proofErr w:type="spellEnd"/>
      <w:r w:rsidR="00667DA2" w:rsidRPr="003B5CD1">
        <w:rPr>
          <w:lang w:val="es-ES"/>
        </w:rPr>
        <w:t xml:space="preserve"> </w:t>
      </w:r>
      <w:proofErr w:type="spellStart"/>
      <w:r w:rsidR="00667DA2" w:rsidRPr="003B5CD1">
        <w:rPr>
          <w:lang w:val="es-ES"/>
        </w:rPr>
        <w:t>d'Ivoire</w:t>
      </w:r>
      <w:proofErr w:type="spellEnd"/>
      <w:r w:rsidR="00E00B6B" w:rsidRPr="003B5CD1">
        <w:rPr>
          <w:lang w:val="es-ES"/>
        </w:rPr>
        <w:t xml:space="preserve"> y </w:t>
      </w:r>
      <w:r w:rsidR="00667DA2" w:rsidRPr="003B5CD1">
        <w:rPr>
          <w:lang w:val="es-ES"/>
        </w:rPr>
        <w:t xml:space="preserve">Uganda, que se utilizarán como bancos de pruebas subregionales para la transición de IPv4 a IPv6 </w:t>
      </w:r>
      <w:r w:rsidR="00E00B6B" w:rsidRPr="003B5CD1">
        <w:rPr>
          <w:lang w:val="es-ES"/>
        </w:rPr>
        <w:t>en África occidental y oriental respectivamente; en</w:t>
      </w:r>
      <w:r w:rsidR="00667DA2" w:rsidRPr="003B5CD1">
        <w:rPr>
          <w:lang w:val="es-ES"/>
        </w:rPr>
        <w:t xml:space="preserve"> </w:t>
      </w:r>
      <w:proofErr w:type="spellStart"/>
      <w:r w:rsidR="00667DA2" w:rsidRPr="003B5CD1">
        <w:rPr>
          <w:lang w:val="es-ES"/>
        </w:rPr>
        <w:t>Zimbabwe</w:t>
      </w:r>
      <w:proofErr w:type="spellEnd"/>
      <w:r w:rsidR="00E00B6B" w:rsidRPr="003B5CD1">
        <w:rPr>
          <w:lang w:val="es-ES"/>
        </w:rPr>
        <w:t>, que se utilizará como banco de pruebas subregional para la transición de IPv4 a IPv6 en África meridional</w:t>
      </w:r>
      <w:r w:rsidR="00F93C46">
        <w:rPr>
          <w:lang w:val="es-ES"/>
        </w:rPr>
        <w:t>;</w:t>
      </w:r>
      <w:r w:rsidR="00E00B6B" w:rsidRPr="003B5CD1">
        <w:rPr>
          <w:lang w:val="es-ES"/>
        </w:rPr>
        <w:t xml:space="preserve"> y en Camerún, que se utilizará como banco de pruebas subregional para la transición de IPv4 a IPv6 en África central. Se prevé la instalación de un banco de pruebas IPv6 en Sierra Leona en el primer trimestre de 2019. </w:t>
      </w:r>
      <w:r w:rsidR="00667DA2" w:rsidRPr="003B5CD1">
        <w:rPr>
          <w:lang w:val="es-ES"/>
        </w:rPr>
        <w:t xml:space="preserve">Se </w:t>
      </w:r>
      <w:r w:rsidR="000A61AB" w:rsidRPr="003B5CD1">
        <w:rPr>
          <w:lang w:val="es-ES"/>
        </w:rPr>
        <w:t>realizó</w:t>
      </w:r>
      <w:r w:rsidR="00667DA2" w:rsidRPr="003B5CD1">
        <w:rPr>
          <w:lang w:val="es-ES"/>
        </w:rPr>
        <w:t xml:space="preserve"> un estudio de viabilidad relativo a la mejora de los bancos de pruebas de IPv6 y se </w:t>
      </w:r>
      <w:r w:rsidR="00E00B6B" w:rsidRPr="003B5CD1">
        <w:rPr>
          <w:lang w:val="es-ES"/>
        </w:rPr>
        <w:t xml:space="preserve">está elaborando un plan maestro para facilitar la </w:t>
      </w:r>
      <w:r w:rsidR="000A61AB" w:rsidRPr="003B5CD1">
        <w:rPr>
          <w:lang w:val="es-ES"/>
        </w:rPr>
        <w:t>implantación</w:t>
      </w:r>
      <w:r w:rsidR="00E00B6B" w:rsidRPr="003B5CD1">
        <w:rPr>
          <w:lang w:val="es-ES"/>
        </w:rPr>
        <w:t xml:space="preserve"> </w:t>
      </w:r>
      <w:r w:rsidR="00667DA2" w:rsidRPr="003B5CD1">
        <w:rPr>
          <w:lang w:val="es-ES"/>
        </w:rPr>
        <w:t>de IPv6</w:t>
      </w:r>
      <w:r w:rsidR="00E00B6B" w:rsidRPr="003B5CD1">
        <w:rPr>
          <w:lang w:val="es-ES"/>
        </w:rPr>
        <w:t xml:space="preserve"> </w:t>
      </w:r>
      <w:r w:rsidR="000A61AB" w:rsidRPr="003B5CD1">
        <w:rPr>
          <w:lang w:val="es-ES"/>
        </w:rPr>
        <w:t>a</w:t>
      </w:r>
      <w:r w:rsidR="003B5CD1">
        <w:rPr>
          <w:lang w:val="es-ES"/>
        </w:rPr>
        <w:t xml:space="preserve"> los países de África.</w:t>
      </w:r>
    </w:p>
    <w:p w:rsidR="00585996" w:rsidRPr="000912F0" w:rsidRDefault="00585996" w:rsidP="00F93C46">
      <w:pPr>
        <w:rPr>
          <w:lang w:val="es-ES"/>
        </w:rPr>
      </w:pPr>
      <w:r w:rsidRPr="000912F0">
        <w:rPr>
          <w:lang w:val="es-ES"/>
        </w:rPr>
        <w:t>3.5</w:t>
      </w:r>
      <w:r w:rsidRPr="006E5F74">
        <w:rPr>
          <w:lang w:val="es-ES"/>
        </w:rPr>
        <w:tab/>
      </w:r>
      <w:r w:rsidR="00DC5BF9" w:rsidRPr="006E5F74">
        <w:rPr>
          <w:lang w:val="es-ES"/>
        </w:rPr>
        <w:t>En asociación con APNIC y Australia, l</w:t>
      </w:r>
      <w:r w:rsidRPr="006E5F74">
        <w:rPr>
          <w:lang w:val="es-ES"/>
        </w:rPr>
        <w:t>os días 4</w:t>
      </w:r>
      <w:r w:rsidR="00F93C46">
        <w:rPr>
          <w:lang w:val="es-ES"/>
        </w:rPr>
        <w:t xml:space="preserve"> a </w:t>
      </w:r>
      <w:r w:rsidRPr="006E5F74">
        <w:rPr>
          <w:lang w:val="es-ES"/>
        </w:rPr>
        <w:t>8 de diciembre de 2017</w:t>
      </w:r>
      <w:r w:rsidR="00DC5BF9" w:rsidRPr="006E5F74">
        <w:rPr>
          <w:lang w:val="es-ES"/>
        </w:rPr>
        <w:t>,</w:t>
      </w:r>
      <w:r w:rsidRPr="006E5F74">
        <w:rPr>
          <w:lang w:val="es-ES"/>
        </w:rPr>
        <w:t xml:space="preserve"> se </w:t>
      </w:r>
      <w:r w:rsidR="000A61AB">
        <w:rPr>
          <w:lang w:val="es-ES"/>
        </w:rPr>
        <w:t>impartió</w:t>
      </w:r>
      <w:r w:rsidRPr="006E5F74">
        <w:rPr>
          <w:lang w:val="es-ES"/>
        </w:rPr>
        <w:t xml:space="preserve"> una formación sobre</w:t>
      </w:r>
      <w:r w:rsidR="000A61AB">
        <w:rPr>
          <w:lang w:val="es-ES"/>
        </w:rPr>
        <w:t xml:space="preserve"> el</w:t>
      </w:r>
      <w:r w:rsidRPr="006E5F74">
        <w:rPr>
          <w:lang w:val="es-ES"/>
        </w:rPr>
        <w:t xml:space="preserve"> "Programa de seguridad </w:t>
      </w:r>
      <w:r w:rsidR="00532703">
        <w:rPr>
          <w:lang w:val="es-ES"/>
        </w:rPr>
        <w:t>para la</w:t>
      </w:r>
      <w:r w:rsidRPr="006E5F74">
        <w:rPr>
          <w:lang w:val="es-ES"/>
        </w:rPr>
        <w:t xml:space="preserve"> infraestructura</w:t>
      </w:r>
      <w:r w:rsidR="000A61AB">
        <w:rPr>
          <w:lang w:val="es-ES"/>
        </w:rPr>
        <w:t xml:space="preserve"> </w:t>
      </w:r>
      <w:r w:rsidRPr="006E5F74">
        <w:rPr>
          <w:lang w:val="es-ES"/>
        </w:rPr>
        <w:t xml:space="preserve">de Internet e IPv6" en Tonga para la </w:t>
      </w:r>
      <w:r w:rsidR="0063747F" w:rsidRPr="006E5F74">
        <w:rPr>
          <w:lang w:val="es-ES"/>
        </w:rPr>
        <w:t xml:space="preserve">Región </w:t>
      </w:r>
      <w:r w:rsidRPr="006E5F74">
        <w:rPr>
          <w:lang w:val="es-ES"/>
        </w:rPr>
        <w:t>del Pacífico</w:t>
      </w:r>
      <w:r w:rsidR="00DC5BF9" w:rsidRPr="006E5F74">
        <w:rPr>
          <w:lang w:val="es-ES"/>
        </w:rPr>
        <w:t xml:space="preserve"> y, en 2018, se elaboró un plan IPV6 para Mongolia y Brunei</w:t>
      </w:r>
      <w:r w:rsidRPr="006E5F74">
        <w:rPr>
          <w:lang w:val="es-ES"/>
        </w:rPr>
        <w:t>.</w:t>
      </w:r>
    </w:p>
    <w:p w:rsidR="00585996" w:rsidRPr="00532703" w:rsidRDefault="00585996" w:rsidP="0063747F">
      <w:pPr>
        <w:rPr>
          <w:lang w:val="es-ES"/>
        </w:rPr>
      </w:pPr>
      <w:r w:rsidRPr="000912F0">
        <w:rPr>
          <w:lang w:val="es-ES"/>
        </w:rPr>
        <w:t>3.6</w:t>
      </w:r>
      <w:r w:rsidRPr="006E5F74">
        <w:rPr>
          <w:lang w:val="es-ES"/>
        </w:rPr>
        <w:tab/>
      </w:r>
      <w:r w:rsidRPr="000912F0">
        <w:rPr>
          <w:lang w:val="es-ES"/>
        </w:rPr>
        <w:t>A través de la Academia de la U</w:t>
      </w:r>
      <w:r w:rsidRPr="00532703">
        <w:rPr>
          <w:lang w:val="es-ES"/>
        </w:rPr>
        <w:t>IT</w:t>
      </w:r>
      <w:r w:rsidR="00DC5BF9" w:rsidRPr="00532703">
        <w:rPr>
          <w:lang w:val="es-ES"/>
        </w:rPr>
        <w:t>,</w:t>
      </w:r>
      <w:r w:rsidRPr="00532703">
        <w:rPr>
          <w:lang w:val="es-ES"/>
        </w:rPr>
        <w:t xml:space="preserve"> </w:t>
      </w:r>
      <w:r w:rsidR="00DC5BF9" w:rsidRPr="00532703">
        <w:rPr>
          <w:lang w:val="es-ES"/>
        </w:rPr>
        <w:t xml:space="preserve">el Centro de Excelencia ALTTC, en asociación con MDES (Tailandia) y APNIC, </w:t>
      </w:r>
      <w:r w:rsidRPr="00532703">
        <w:rPr>
          <w:lang w:val="es-ES"/>
        </w:rPr>
        <w:t>impart</w:t>
      </w:r>
      <w:r w:rsidR="00DC5BF9" w:rsidRPr="00532703">
        <w:rPr>
          <w:lang w:val="es-ES"/>
        </w:rPr>
        <w:t>ió un curso sobre seguridad de la infraestructura de Internet e</w:t>
      </w:r>
      <w:r w:rsidRPr="00532703">
        <w:rPr>
          <w:lang w:val="es-ES"/>
        </w:rPr>
        <w:t xml:space="preserve"> IPv6</w:t>
      </w:r>
      <w:r w:rsidR="00DC5BF9" w:rsidRPr="00532703">
        <w:rPr>
          <w:lang w:val="es-ES"/>
        </w:rPr>
        <w:t xml:space="preserve"> en la Región de Asia</w:t>
      </w:r>
      <w:r w:rsidR="0063747F">
        <w:rPr>
          <w:lang w:val="es-ES"/>
        </w:rPr>
        <w:t>-</w:t>
      </w:r>
      <w:r w:rsidR="00DC5BF9" w:rsidRPr="00532703">
        <w:rPr>
          <w:lang w:val="es-ES"/>
        </w:rPr>
        <w:t>Pacífico</w:t>
      </w:r>
      <w:r w:rsidR="00532703" w:rsidRPr="00532703">
        <w:rPr>
          <w:lang w:val="es-ES"/>
        </w:rPr>
        <w:t>,</w:t>
      </w:r>
      <w:r w:rsidR="00DC5BF9" w:rsidRPr="00532703">
        <w:rPr>
          <w:lang w:val="es-ES"/>
        </w:rPr>
        <w:t xml:space="preserve"> en </w:t>
      </w:r>
      <w:proofErr w:type="spellStart"/>
      <w:r w:rsidR="00DC5BF9" w:rsidRPr="00532703">
        <w:rPr>
          <w:lang w:val="es-ES"/>
        </w:rPr>
        <w:t>Ghaziabad</w:t>
      </w:r>
      <w:proofErr w:type="spellEnd"/>
      <w:r w:rsidR="00532703" w:rsidRPr="00532703">
        <w:rPr>
          <w:lang w:val="es-ES"/>
        </w:rPr>
        <w:t xml:space="preserve"> (India)</w:t>
      </w:r>
      <w:r w:rsidR="00DC5BF9" w:rsidRPr="00532703">
        <w:rPr>
          <w:lang w:val="es-ES"/>
        </w:rPr>
        <w:t xml:space="preserve"> del 1 al 5 de mayo de 2018</w:t>
      </w:r>
      <w:r w:rsidRPr="00532703">
        <w:rPr>
          <w:lang w:val="es-ES"/>
        </w:rPr>
        <w:t>.</w:t>
      </w:r>
    </w:p>
    <w:p w:rsidR="00DC5BF9" w:rsidRPr="00532703" w:rsidRDefault="00DE6D02" w:rsidP="003B5CD1">
      <w:pPr>
        <w:rPr>
          <w:lang w:val="es-ES"/>
        </w:rPr>
      </w:pPr>
      <w:r w:rsidRPr="00532703">
        <w:rPr>
          <w:lang w:val="es-ES"/>
        </w:rPr>
        <w:t>3.7</w:t>
      </w:r>
      <w:r w:rsidRPr="00532703">
        <w:rPr>
          <w:lang w:val="es-ES"/>
        </w:rPr>
        <w:tab/>
      </w:r>
      <w:r w:rsidR="00DC5BF9" w:rsidRPr="00532703">
        <w:rPr>
          <w:lang w:val="es-ES"/>
        </w:rPr>
        <w:t xml:space="preserve">En la </w:t>
      </w:r>
      <w:r w:rsidR="00B93782" w:rsidRPr="00532703">
        <w:rPr>
          <w:lang w:val="es-ES"/>
        </w:rPr>
        <w:t xml:space="preserve">Región </w:t>
      </w:r>
      <w:r w:rsidR="00DC5BF9" w:rsidRPr="00532703">
        <w:rPr>
          <w:lang w:val="es-ES"/>
        </w:rPr>
        <w:t xml:space="preserve">de los Estados Árabes, se </w:t>
      </w:r>
      <w:r w:rsidR="00532703">
        <w:rPr>
          <w:lang w:val="es-ES"/>
        </w:rPr>
        <w:t>llevó a cabo</w:t>
      </w:r>
      <w:r w:rsidR="00DC5BF9" w:rsidRPr="00532703">
        <w:rPr>
          <w:lang w:val="es-ES"/>
        </w:rPr>
        <w:t xml:space="preserve"> un proyecto de creación de capacidad en materia de IPV6 en el marco del acuerdo de cooperación firmado entre la Autoridad Reguladora de Telecomunicaciones (TRA) de los </w:t>
      </w:r>
      <w:r w:rsidR="00532703" w:rsidRPr="00532703">
        <w:rPr>
          <w:lang w:val="es-ES"/>
        </w:rPr>
        <w:t xml:space="preserve">Emiratos Árabes Unidos </w:t>
      </w:r>
      <w:r w:rsidR="00DC5BF9" w:rsidRPr="00532703">
        <w:rPr>
          <w:lang w:val="es-ES"/>
        </w:rPr>
        <w:t>y la UIT.</w:t>
      </w:r>
    </w:p>
    <w:p w:rsidR="00585996" w:rsidRPr="000912F0" w:rsidRDefault="00585996" w:rsidP="000912F0">
      <w:pPr>
        <w:rPr>
          <w:lang w:val="es-ES"/>
        </w:rPr>
      </w:pPr>
      <w:r w:rsidRPr="000912F0">
        <w:rPr>
          <w:lang w:val="es-ES"/>
        </w:rPr>
        <w:t>3.</w:t>
      </w:r>
      <w:r w:rsidR="00DE6D02" w:rsidRPr="000912F0">
        <w:rPr>
          <w:lang w:val="es-ES"/>
        </w:rPr>
        <w:t>8</w:t>
      </w:r>
      <w:r w:rsidRPr="00532703">
        <w:rPr>
          <w:lang w:val="es-ES"/>
        </w:rPr>
        <w:tab/>
        <w:t xml:space="preserve">En el </w:t>
      </w:r>
      <w:hyperlink r:id="rId58" w:history="1">
        <w:r w:rsidR="003B5CD1" w:rsidRPr="000912F0">
          <w:rPr>
            <w:rStyle w:val="Hyperlink"/>
          </w:rPr>
          <w:t>Informe Final</w:t>
        </w:r>
      </w:hyperlink>
      <w:r w:rsidRPr="00532703">
        <w:rPr>
          <w:lang w:val="es-ES"/>
        </w:rPr>
        <w:t xml:space="preserve"> de la </w:t>
      </w:r>
      <w:hyperlink r:id="rId59" w:history="1">
        <w:r w:rsidRPr="000912F0">
          <w:rPr>
            <w:rStyle w:val="Hyperlink"/>
          </w:rPr>
          <w:t>Cuestión 1/1</w:t>
        </w:r>
      </w:hyperlink>
      <w:r w:rsidRPr="006E5F74">
        <w:rPr>
          <w:lang w:val="es-ES"/>
        </w:rPr>
        <w:t xml:space="preserve"> de la CE 1 del UIT-D se analizan mediante estudios de caso las experiencias de países en la transición de IPv4 a IPv6 </w:t>
      </w:r>
      <w:r w:rsidR="00532703">
        <w:rPr>
          <w:lang w:val="es-ES"/>
        </w:rPr>
        <w:t>para permitir la</w:t>
      </w:r>
      <w:r w:rsidRPr="006E5F74">
        <w:rPr>
          <w:lang w:val="es-ES"/>
        </w:rPr>
        <w:t xml:space="preserve"> </w:t>
      </w:r>
      <w:proofErr w:type="spellStart"/>
      <w:r w:rsidRPr="006E5F74">
        <w:rPr>
          <w:lang w:val="es-ES"/>
        </w:rPr>
        <w:t>IoT</w:t>
      </w:r>
      <w:proofErr w:type="spellEnd"/>
      <w:r w:rsidRPr="006E5F74">
        <w:rPr>
          <w:lang w:val="es-ES"/>
        </w:rPr>
        <w:t>, M2M, Internet para todo (</w:t>
      </w:r>
      <w:proofErr w:type="spellStart"/>
      <w:r w:rsidRPr="006E5F74">
        <w:rPr>
          <w:lang w:val="es-ES"/>
        </w:rPr>
        <w:t>IoE</w:t>
      </w:r>
      <w:proofErr w:type="spellEnd"/>
      <w:r w:rsidRPr="006E5F74">
        <w:rPr>
          <w:lang w:val="es-ES"/>
        </w:rPr>
        <w:t>) y otras futuras tecnologías.</w:t>
      </w:r>
    </w:p>
    <w:p w:rsidR="00585996" w:rsidRPr="006E5F74" w:rsidRDefault="00585996" w:rsidP="00C37688">
      <w:pPr>
        <w:pStyle w:val="Heading1"/>
        <w:tabs>
          <w:tab w:val="clear" w:pos="2268"/>
          <w:tab w:val="clear" w:pos="2835"/>
          <w:tab w:val="center" w:pos="4819"/>
        </w:tabs>
        <w:rPr>
          <w:lang w:val="es-ES"/>
        </w:rPr>
      </w:pPr>
      <w:r w:rsidRPr="006E5F74">
        <w:rPr>
          <w:lang w:val="es-ES"/>
        </w:rPr>
        <w:lastRenderedPageBreak/>
        <w:t>4</w:t>
      </w:r>
      <w:r w:rsidRPr="006E5F74">
        <w:rPr>
          <w:lang w:val="es-ES"/>
        </w:rPr>
        <w:tab/>
        <w:t>Cuestiones de política pública relacionadas con Internet, incluida la gestión de nombres de dominio y direcciones</w:t>
      </w:r>
    </w:p>
    <w:p w:rsidR="00585996" w:rsidRPr="006E5F74" w:rsidRDefault="00585996" w:rsidP="00AD21D9">
      <w:pPr>
        <w:rPr>
          <w:lang w:val="es-ES"/>
        </w:rPr>
      </w:pPr>
      <w:r w:rsidRPr="006E5F74">
        <w:rPr>
          <w:lang w:val="es-ES"/>
        </w:rPr>
        <w:t>4.1</w:t>
      </w:r>
      <w:r w:rsidRPr="006E5F74">
        <w:rPr>
          <w:lang w:val="es-ES"/>
        </w:rPr>
        <w:tab/>
        <w:t xml:space="preserve">El </w:t>
      </w:r>
      <w:hyperlink r:id="rId60" w:history="1">
        <w:r w:rsidRPr="006E5F74">
          <w:rPr>
            <w:rStyle w:val="Hyperlink"/>
            <w:lang w:val="es-ES"/>
          </w:rPr>
          <w:t>Grupo de Trabajo del Consejo sobre cuestiones de política pública internacional relacionadas con Internet (GTC-Internet)</w:t>
        </w:r>
      </w:hyperlink>
      <w:r w:rsidRPr="006E5F74">
        <w:rPr>
          <w:lang w:val="es-ES"/>
        </w:rPr>
        <w:t xml:space="preserve"> celebró</w:t>
      </w:r>
      <w:r w:rsidR="003532D0" w:rsidRPr="006E5F74">
        <w:rPr>
          <w:lang w:val="es-ES"/>
        </w:rPr>
        <w:t xml:space="preserve"> </w:t>
      </w:r>
      <w:r w:rsidR="00DC5BF9" w:rsidRPr="006E5F74">
        <w:rPr>
          <w:lang w:val="es-ES"/>
        </w:rPr>
        <w:t xml:space="preserve">su </w:t>
      </w:r>
      <w:r w:rsidR="00C37688" w:rsidRPr="006E5F74">
        <w:rPr>
          <w:lang w:val="es-ES"/>
        </w:rPr>
        <w:t>duodécima</w:t>
      </w:r>
      <w:r w:rsidR="00DC5BF9" w:rsidRPr="006E5F74">
        <w:rPr>
          <w:lang w:val="es-ES"/>
        </w:rPr>
        <w:t xml:space="preserve"> reunión </w:t>
      </w:r>
      <w:r w:rsidR="00C37688" w:rsidRPr="006E5F74">
        <w:rPr>
          <w:lang w:val="es-ES"/>
        </w:rPr>
        <w:t xml:space="preserve">el 1 de febrero de 2018. Un Informe </w:t>
      </w:r>
      <w:r w:rsidR="00532703">
        <w:rPr>
          <w:lang w:val="es-ES"/>
        </w:rPr>
        <w:t xml:space="preserve">por </w:t>
      </w:r>
      <w:r w:rsidR="00C37688" w:rsidRPr="006E5F74">
        <w:rPr>
          <w:lang w:val="es-ES"/>
        </w:rPr>
        <w:t xml:space="preserve">separado está incluido en el Documento </w:t>
      </w:r>
      <w:hyperlink r:id="rId61" w:history="1">
        <w:r w:rsidR="003532D0" w:rsidRPr="006E5F74">
          <w:rPr>
            <w:rStyle w:val="Hyperlink"/>
            <w:rFonts w:cstheme="minorHAnsi"/>
            <w:szCs w:val="22"/>
            <w:lang w:val="es-ES"/>
          </w:rPr>
          <w:t>C18/51</w:t>
        </w:r>
      </w:hyperlink>
      <w:r w:rsidR="003532D0" w:rsidRPr="006E5F74">
        <w:rPr>
          <w:rFonts w:cstheme="minorHAnsi"/>
          <w:szCs w:val="22"/>
          <w:lang w:val="es-ES"/>
        </w:rPr>
        <w:t>.</w:t>
      </w:r>
    </w:p>
    <w:p w:rsidR="00854BB7" w:rsidRPr="006E5F74" w:rsidRDefault="00585996" w:rsidP="0063747F">
      <w:pPr>
        <w:rPr>
          <w:lang w:val="es-ES"/>
        </w:rPr>
      </w:pPr>
      <w:r w:rsidRPr="006E5F74">
        <w:rPr>
          <w:lang w:val="es-ES"/>
        </w:rPr>
        <w:t>4.2</w:t>
      </w:r>
      <w:r w:rsidRPr="006E5F74">
        <w:rPr>
          <w:lang w:val="es-ES"/>
        </w:rPr>
        <w:tab/>
        <w:t>La UIT</w:t>
      </w:r>
      <w:r w:rsidRPr="006E5F74">
        <w:rPr>
          <w:rFonts w:asciiTheme="minorHAnsi" w:hAnsiTheme="minorHAnsi" w:cstheme="minorHAnsi"/>
          <w:lang w:val="es-ES"/>
        </w:rPr>
        <w:t xml:space="preserve"> participó en la </w:t>
      </w:r>
      <w:r w:rsidR="00173619" w:rsidRPr="006E5F74">
        <w:rPr>
          <w:lang w:val="es-ES"/>
        </w:rPr>
        <w:t>decimotercera</w:t>
      </w:r>
      <w:r w:rsidRPr="006E5F74">
        <w:rPr>
          <w:lang w:val="es-ES"/>
        </w:rPr>
        <w:t xml:space="preserve"> reunión del IGF, organizada del 1</w:t>
      </w:r>
      <w:r w:rsidR="00C37688" w:rsidRPr="006E5F74">
        <w:rPr>
          <w:lang w:val="es-ES"/>
        </w:rPr>
        <w:t>2</w:t>
      </w:r>
      <w:r w:rsidRPr="006E5F74">
        <w:rPr>
          <w:lang w:val="es-ES"/>
        </w:rPr>
        <w:t xml:space="preserve"> al </w:t>
      </w:r>
      <w:r w:rsidR="00C37688" w:rsidRPr="006E5F74">
        <w:rPr>
          <w:lang w:val="es-ES"/>
        </w:rPr>
        <w:t>14</w:t>
      </w:r>
      <w:r w:rsidRPr="006E5F74">
        <w:rPr>
          <w:lang w:val="es-ES"/>
        </w:rPr>
        <w:t xml:space="preserve"> de </w:t>
      </w:r>
      <w:r w:rsidR="00C37688" w:rsidRPr="006E5F74">
        <w:rPr>
          <w:lang w:val="es-ES"/>
        </w:rPr>
        <w:t>noviembre</w:t>
      </w:r>
      <w:r w:rsidRPr="006E5F74">
        <w:rPr>
          <w:lang w:val="es-ES"/>
        </w:rPr>
        <w:t xml:space="preserve"> de 201</w:t>
      </w:r>
      <w:r w:rsidR="00C37688" w:rsidRPr="006E5F74">
        <w:rPr>
          <w:lang w:val="es-ES"/>
        </w:rPr>
        <w:t>8</w:t>
      </w:r>
      <w:r w:rsidRPr="006E5F74">
        <w:rPr>
          <w:lang w:val="es-ES"/>
        </w:rPr>
        <w:t xml:space="preserve"> en </w:t>
      </w:r>
      <w:r w:rsidR="00C37688" w:rsidRPr="006E5F74">
        <w:rPr>
          <w:lang w:val="es-ES"/>
        </w:rPr>
        <w:t>París</w:t>
      </w:r>
      <w:r w:rsidRPr="006E5F74">
        <w:rPr>
          <w:lang w:val="es-ES"/>
        </w:rPr>
        <w:t xml:space="preserve"> (</w:t>
      </w:r>
      <w:r w:rsidR="00C37688" w:rsidRPr="006E5F74">
        <w:rPr>
          <w:lang w:val="es-ES"/>
        </w:rPr>
        <w:t>Franci</w:t>
      </w:r>
      <w:r w:rsidRPr="006E5F74">
        <w:rPr>
          <w:lang w:val="es-ES"/>
        </w:rPr>
        <w:t>a)</w:t>
      </w:r>
      <w:r w:rsidR="00C37688" w:rsidRPr="006E5F74">
        <w:rPr>
          <w:lang w:val="es-ES"/>
        </w:rPr>
        <w:t xml:space="preserve">. Debido al solapamiento con la </w:t>
      </w:r>
      <w:r w:rsidR="00F93144" w:rsidRPr="006E5F74">
        <w:rPr>
          <w:lang w:val="es-ES"/>
        </w:rPr>
        <w:t xml:space="preserve">Conferencia </w:t>
      </w:r>
      <w:r w:rsidR="00C37688" w:rsidRPr="006E5F74">
        <w:rPr>
          <w:lang w:val="es-ES"/>
        </w:rPr>
        <w:t xml:space="preserve">de </w:t>
      </w:r>
      <w:r w:rsidR="00F93144" w:rsidRPr="006E5F74">
        <w:rPr>
          <w:lang w:val="es-ES"/>
        </w:rPr>
        <w:t xml:space="preserve">Plenipotenciarios </w:t>
      </w:r>
      <w:r w:rsidR="00C37688" w:rsidRPr="006E5F74">
        <w:rPr>
          <w:lang w:val="es-ES"/>
        </w:rPr>
        <w:t>de la</w:t>
      </w:r>
      <w:r w:rsidR="0063747F">
        <w:rPr>
          <w:lang w:val="es-ES"/>
        </w:rPr>
        <w:t> </w:t>
      </w:r>
      <w:r w:rsidR="00C37688" w:rsidRPr="006E5F74">
        <w:rPr>
          <w:lang w:val="es-ES"/>
        </w:rPr>
        <w:t xml:space="preserve">UIT la participación en el IGF no alcanzó el mismo nivel que los años anteriores. La UIT coorganizó un Foro abierto sobre aplicación de las Líneas de Acción de la CMSI para los ODS y el Foro de la CMSI 2019 (coorganizado por los Facilitadores de líneas de acción de la CMSI) y un taller coorganizado sobre creación de capacidad </w:t>
      </w:r>
      <w:r w:rsidR="00532703">
        <w:rPr>
          <w:lang w:val="es-ES"/>
        </w:rPr>
        <w:t>en materia de</w:t>
      </w:r>
      <w:r w:rsidR="0063747F">
        <w:rPr>
          <w:lang w:val="es-ES"/>
        </w:rPr>
        <w:t xml:space="preserve"> gobernanza de Internet.</w:t>
      </w:r>
    </w:p>
    <w:p w:rsidR="00585996" w:rsidRPr="006E5F74" w:rsidRDefault="00585996">
      <w:pPr>
        <w:rPr>
          <w:lang w:val="es-ES"/>
        </w:rPr>
      </w:pPr>
      <w:r w:rsidRPr="006E5F74">
        <w:rPr>
          <w:lang w:val="es-ES"/>
        </w:rPr>
        <w:t>4.</w:t>
      </w:r>
      <w:r w:rsidR="002F359B" w:rsidRPr="006E5F74">
        <w:rPr>
          <w:lang w:val="es-ES"/>
        </w:rPr>
        <w:t>3</w:t>
      </w:r>
      <w:r w:rsidRPr="006E5F74">
        <w:rPr>
          <w:lang w:val="es-ES"/>
        </w:rPr>
        <w:tab/>
        <w:t>La UIT sigue estudiando el tema de la protección de los nombres y acrónimos de las organizaciones intergubernamentales (OIG) en los nuevos dominios de nivel superior genérico (</w:t>
      </w:r>
      <w:proofErr w:type="spellStart"/>
      <w:r w:rsidRPr="006E5F74">
        <w:rPr>
          <w:lang w:val="es-ES"/>
        </w:rPr>
        <w:t>gTLD</w:t>
      </w:r>
      <w:proofErr w:type="spellEnd"/>
      <w:r w:rsidRPr="006E5F74">
        <w:rPr>
          <w:lang w:val="es-ES"/>
        </w:rPr>
        <w:t>), en el marco de la coalición de OIG integrada por unas 35 OIG incluidas la OCDE, la ONU, la UPU, la OMS, la OMPI y el Banco Mundial.</w:t>
      </w:r>
    </w:p>
    <w:p w:rsidR="00585996" w:rsidRPr="006E5F74" w:rsidRDefault="00585996">
      <w:pPr>
        <w:rPr>
          <w:lang w:val="es-ES"/>
        </w:rPr>
      </w:pPr>
      <w:r w:rsidRPr="006E5F74">
        <w:rPr>
          <w:lang w:val="es-ES"/>
        </w:rPr>
        <w:t>4.</w:t>
      </w:r>
      <w:r w:rsidR="002F359B" w:rsidRPr="006E5F74">
        <w:rPr>
          <w:lang w:val="es-ES"/>
        </w:rPr>
        <w:t>4</w:t>
      </w:r>
      <w:r w:rsidRPr="006E5F74">
        <w:rPr>
          <w:lang w:val="es-ES"/>
        </w:rPr>
        <w:tab/>
        <w:t>La CE 2 del UIT-T sigue manteniéndose al tanto de la posible confusión con los números del plan de numeración UIT-T E.164 en el sistema DNS, con respecto al suministro de nombres de dominio totalmente numéricos por TELNIC, el operador del registro de nombres de dominio del </w:t>
      </w:r>
      <w:proofErr w:type="spellStart"/>
      <w:r w:rsidRPr="006E5F74">
        <w:rPr>
          <w:lang w:val="es-ES"/>
        </w:rPr>
        <w:t>gTLD</w:t>
      </w:r>
      <w:proofErr w:type="spellEnd"/>
      <w:r w:rsidRPr="006E5F74">
        <w:rPr>
          <w:lang w:val="es-ES"/>
        </w:rPr>
        <w:t xml:space="preserve"> .tel. La CE 2 del UIT-T está a la espera de contribuciones de los Miembros del UIT-T tras haber formulado una petición de contribuciones sobre este asunto en su reunión de enero de 2016.</w:t>
      </w:r>
    </w:p>
    <w:p w:rsidR="00585996" w:rsidRPr="006E5F74" w:rsidRDefault="00585996" w:rsidP="0071403E">
      <w:pPr>
        <w:rPr>
          <w:lang w:val="es-ES"/>
        </w:rPr>
      </w:pPr>
      <w:r w:rsidRPr="00901096">
        <w:rPr>
          <w:lang w:val="es-ES"/>
        </w:rPr>
        <w:t>4.</w:t>
      </w:r>
      <w:r w:rsidR="00984AB6" w:rsidRPr="00901096">
        <w:rPr>
          <w:lang w:val="es-ES"/>
        </w:rPr>
        <w:t>5</w:t>
      </w:r>
      <w:r w:rsidRPr="00901096">
        <w:rPr>
          <w:lang w:val="es-ES"/>
        </w:rPr>
        <w:tab/>
        <w:t xml:space="preserve">La </w:t>
      </w:r>
      <w:r w:rsidRPr="006E5F74">
        <w:rPr>
          <w:lang w:val="es-ES"/>
        </w:rPr>
        <w:t xml:space="preserve">BDT sigue desarrollando </w:t>
      </w:r>
      <w:r w:rsidR="00854BB7" w:rsidRPr="006E5F74">
        <w:rPr>
          <w:lang w:val="es-ES"/>
        </w:rPr>
        <w:t xml:space="preserve">capacidades </w:t>
      </w:r>
      <w:r w:rsidRPr="006E5F74">
        <w:rPr>
          <w:lang w:val="es-ES"/>
        </w:rPr>
        <w:t>en el campo de la gobernanza de Internet</w:t>
      </w:r>
      <w:r w:rsidR="00854BB7" w:rsidRPr="006E5F74">
        <w:rPr>
          <w:lang w:val="es-ES"/>
        </w:rPr>
        <w:t xml:space="preserve"> para los </w:t>
      </w:r>
      <w:r w:rsidR="00CE782D">
        <w:rPr>
          <w:lang w:val="es-ES"/>
        </w:rPr>
        <w:t>m</w:t>
      </w:r>
      <w:r w:rsidR="00854BB7" w:rsidRPr="006E5F74">
        <w:rPr>
          <w:lang w:val="es-ES"/>
        </w:rPr>
        <w:t>iembros de la UIT</w:t>
      </w:r>
      <w:r w:rsidRPr="006E5F74">
        <w:rPr>
          <w:lang w:val="es-ES"/>
        </w:rPr>
        <w:t>.</w:t>
      </w:r>
      <w:r w:rsidR="00854BB7" w:rsidRPr="006E5F74">
        <w:rPr>
          <w:lang w:val="es-ES"/>
        </w:rPr>
        <w:t xml:space="preserve"> Se llevaron a cabo varias actividades de formación y creación de capacidad en</w:t>
      </w:r>
      <w:r w:rsidR="0071403E">
        <w:rPr>
          <w:lang w:val="es-ES"/>
        </w:rPr>
        <w:t> </w:t>
      </w:r>
      <w:r w:rsidR="00854BB7" w:rsidRPr="006E5F74">
        <w:rPr>
          <w:lang w:val="es-ES"/>
        </w:rPr>
        <w:t xml:space="preserve">2018. A través de la red de </w:t>
      </w:r>
      <w:r w:rsidR="00532703" w:rsidRPr="006E5F74">
        <w:rPr>
          <w:lang w:val="es-ES"/>
        </w:rPr>
        <w:t xml:space="preserve">Centros </w:t>
      </w:r>
      <w:r w:rsidR="00854BB7" w:rsidRPr="006E5F74">
        <w:rPr>
          <w:lang w:val="es-ES"/>
        </w:rPr>
        <w:t xml:space="preserve">de Excelencia y la Academia de la UIT, se impartieron varios cursos de formación en el campo de la gobernanza de Internet. </w:t>
      </w:r>
      <w:r w:rsidR="00F93144" w:rsidRPr="006E5F74">
        <w:rPr>
          <w:lang w:val="es-ES"/>
        </w:rPr>
        <w:t xml:space="preserve">Se organizó un </w:t>
      </w:r>
      <w:r w:rsidRPr="006E5F74">
        <w:rPr>
          <w:lang w:val="es-ES"/>
        </w:rPr>
        <w:t xml:space="preserve">taller regional </w:t>
      </w:r>
      <w:r w:rsidR="00E502CD" w:rsidRPr="006E5F74">
        <w:rPr>
          <w:lang w:val="es-ES"/>
        </w:rPr>
        <w:t xml:space="preserve">sobre gobernanza de Internet </w:t>
      </w:r>
      <w:r w:rsidR="00F93144" w:rsidRPr="006E5F74">
        <w:rPr>
          <w:lang w:val="es-ES"/>
        </w:rPr>
        <w:t xml:space="preserve">para la Región de África </w:t>
      </w:r>
      <w:r w:rsidR="00854BB7" w:rsidRPr="006E5F74">
        <w:rPr>
          <w:lang w:val="es-ES"/>
        </w:rPr>
        <w:t>en Abuja</w:t>
      </w:r>
      <w:r w:rsidR="00E502CD">
        <w:rPr>
          <w:lang w:val="es-ES"/>
        </w:rPr>
        <w:t xml:space="preserve"> (</w:t>
      </w:r>
      <w:r w:rsidR="00854BB7" w:rsidRPr="006E5F74">
        <w:rPr>
          <w:lang w:val="es-ES"/>
        </w:rPr>
        <w:t>Nigeria</w:t>
      </w:r>
      <w:r w:rsidR="00E502CD">
        <w:rPr>
          <w:lang w:val="es-ES"/>
        </w:rPr>
        <w:t>),</w:t>
      </w:r>
      <w:r w:rsidRPr="006E5F74">
        <w:rPr>
          <w:lang w:val="es-ES"/>
        </w:rPr>
        <w:t xml:space="preserve"> </w:t>
      </w:r>
      <w:r w:rsidR="00F93144" w:rsidRPr="006E5F74">
        <w:rPr>
          <w:lang w:val="es-ES"/>
        </w:rPr>
        <w:t xml:space="preserve">los </w:t>
      </w:r>
      <w:r w:rsidR="00E502CD">
        <w:rPr>
          <w:lang w:val="es-ES"/>
        </w:rPr>
        <w:t xml:space="preserve">días </w:t>
      </w:r>
      <w:r w:rsidR="00F93144" w:rsidRPr="006E5F74">
        <w:rPr>
          <w:lang w:val="es-ES"/>
        </w:rPr>
        <w:t xml:space="preserve">27 y 28 </w:t>
      </w:r>
      <w:r w:rsidRPr="006E5F74">
        <w:rPr>
          <w:lang w:val="es-ES"/>
        </w:rPr>
        <w:t>de agosto de 201</w:t>
      </w:r>
      <w:r w:rsidR="00F93144" w:rsidRPr="006E5F74">
        <w:rPr>
          <w:lang w:val="es-ES"/>
        </w:rPr>
        <w:t>8</w:t>
      </w:r>
      <w:r w:rsidRPr="006E5F74">
        <w:rPr>
          <w:lang w:val="es-ES"/>
        </w:rPr>
        <w:t xml:space="preserve">, en colaboración con </w:t>
      </w:r>
      <w:proofErr w:type="spellStart"/>
      <w:r w:rsidRPr="006E5F74">
        <w:rPr>
          <w:lang w:val="es-ES"/>
        </w:rPr>
        <w:t>Diplo</w:t>
      </w:r>
      <w:proofErr w:type="spellEnd"/>
      <w:r w:rsidR="00F93144" w:rsidRPr="006E5F74">
        <w:rPr>
          <w:lang w:val="es-ES"/>
        </w:rPr>
        <w:t xml:space="preserve"> </w:t>
      </w:r>
      <w:proofErr w:type="spellStart"/>
      <w:r w:rsidRPr="006E5F74">
        <w:rPr>
          <w:lang w:val="es-ES"/>
        </w:rPr>
        <w:t>Foundation</w:t>
      </w:r>
      <w:proofErr w:type="spellEnd"/>
      <w:r w:rsidRPr="006E5F74">
        <w:rPr>
          <w:lang w:val="es-ES"/>
        </w:rPr>
        <w:t>.</w:t>
      </w:r>
      <w:r w:rsidR="00F93144" w:rsidRPr="006E5F74">
        <w:rPr>
          <w:lang w:val="es-ES"/>
        </w:rPr>
        <w:t xml:space="preserve"> El taller atrajo a más de 100 participantes. La UIT también contribuyó a eventos de creación de capacidad </w:t>
      </w:r>
      <w:r w:rsidR="00532703" w:rsidRPr="006E5F74">
        <w:rPr>
          <w:lang w:val="es-ES"/>
        </w:rPr>
        <w:t>durante</w:t>
      </w:r>
      <w:r w:rsidR="00F93144" w:rsidRPr="006E5F74">
        <w:rPr>
          <w:lang w:val="es-ES"/>
        </w:rPr>
        <w:t xml:space="preserve"> el Foro de la CMSI 2018 y el IGF 2018, en asociació</w:t>
      </w:r>
      <w:r w:rsidR="003B5CD1">
        <w:rPr>
          <w:lang w:val="es-ES"/>
        </w:rPr>
        <w:t xml:space="preserve">n con ICANN y </w:t>
      </w:r>
      <w:proofErr w:type="spellStart"/>
      <w:r w:rsidR="003B5CD1">
        <w:rPr>
          <w:lang w:val="es-ES"/>
        </w:rPr>
        <w:t>Diplo</w:t>
      </w:r>
      <w:proofErr w:type="spellEnd"/>
      <w:r w:rsidR="003B5CD1">
        <w:rPr>
          <w:lang w:val="es-ES"/>
        </w:rPr>
        <w:t xml:space="preserve"> </w:t>
      </w:r>
      <w:proofErr w:type="spellStart"/>
      <w:r w:rsidR="003B5CD1">
        <w:rPr>
          <w:lang w:val="es-ES"/>
        </w:rPr>
        <w:t>Foundation</w:t>
      </w:r>
      <w:proofErr w:type="spellEnd"/>
      <w:r w:rsidR="003B5CD1">
        <w:rPr>
          <w:lang w:val="es-ES"/>
        </w:rPr>
        <w:t>.</w:t>
      </w:r>
    </w:p>
    <w:p w:rsidR="00585996" w:rsidRPr="006E5F74" w:rsidRDefault="00585996" w:rsidP="00585996">
      <w:pPr>
        <w:pStyle w:val="Heading1"/>
        <w:tabs>
          <w:tab w:val="clear" w:pos="2268"/>
          <w:tab w:val="clear" w:pos="2835"/>
          <w:tab w:val="center" w:pos="4819"/>
        </w:tabs>
        <w:rPr>
          <w:lang w:val="es-ES"/>
        </w:rPr>
      </w:pPr>
      <w:r w:rsidRPr="006E5F74">
        <w:rPr>
          <w:lang w:val="es-ES"/>
        </w:rPr>
        <w:t>5</w:t>
      </w:r>
      <w:r w:rsidRPr="006E5F74">
        <w:rPr>
          <w:lang w:val="es-ES"/>
        </w:rPr>
        <w:tab/>
        <w:t>ENUM</w:t>
      </w:r>
    </w:p>
    <w:p w:rsidR="00585996" w:rsidRPr="006E5F74" w:rsidRDefault="00585996" w:rsidP="0073627E">
      <w:pPr>
        <w:rPr>
          <w:lang w:val="es-ES"/>
        </w:rPr>
      </w:pPr>
      <w:r w:rsidRPr="006E5F74">
        <w:rPr>
          <w:lang w:val="es-ES"/>
        </w:rPr>
        <w:t xml:space="preserve">El UIT-T mantiene </w:t>
      </w:r>
      <w:hyperlink r:id="rId62" w:history="1">
        <w:r w:rsidRPr="006E5F74">
          <w:rPr>
            <w:rStyle w:val="Hyperlink"/>
            <w:lang w:val="es-ES"/>
          </w:rPr>
          <w:t>informaciones actualizadas sobre el protocolo ENUM</w:t>
        </w:r>
      </w:hyperlink>
      <w:r w:rsidRPr="006E5F74">
        <w:rPr>
          <w:lang w:val="es-ES"/>
        </w:rPr>
        <w:t>. Esas informaciones se refieren en especial a las delegaciones aprobadas del ENUM y a las pruebas relativas a dicho protocolo.</w:t>
      </w:r>
    </w:p>
    <w:p w:rsidR="00585996" w:rsidRPr="006E5F74" w:rsidRDefault="00585996" w:rsidP="0073627E">
      <w:pPr>
        <w:pStyle w:val="Heading1"/>
        <w:tabs>
          <w:tab w:val="clear" w:pos="2268"/>
          <w:tab w:val="clear" w:pos="2835"/>
          <w:tab w:val="center" w:pos="4819"/>
        </w:tabs>
        <w:rPr>
          <w:lang w:val="es-ES"/>
        </w:rPr>
      </w:pPr>
      <w:r w:rsidRPr="006E5F74">
        <w:rPr>
          <w:lang w:val="es-ES"/>
        </w:rPr>
        <w:t>6</w:t>
      </w:r>
      <w:r w:rsidRPr="006E5F74">
        <w:rPr>
          <w:lang w:val="es-ES"/>
        </w:rPr>
        <w:tab/>
        <w:t>Conectividad internacional a Internet (IIC) y Puntos de intercambio Internet (IXP)</w:t>
      </w:r>
    </w:p>
    <w:p w:rsidR="00585996" w:rsidRPr="006E5F74" w:rsidRDefault="00585996" w:rsidP="001B16BF">
      <w:pPr>
        <w:rPr>
          <w:rFonts w:asciiTheme="minorHAnsi" w:hAnsiTheme="minorHAnsi"/>
          <w:szCs w:val="24"/>
          <w:lang w:val="es-ES"/>
        </w:rPr>
      </w:pPr>
      <w:r w:rsidRPr="006E5F74">
        <w:rPr>
          <w:lang w:val="es-ES"/>
        </w:rPr>
        <w:t>6.1</w:t>
      </w:r>
      <w:r w:rsidRPr="006E5F74">
        <w:rPr>
          <w:lang w:val="es-ES"/>
        </w:rPr>
        <w:tab/>
        <w:t xml:space="preserve">La BDT sigue prestando asistencia a países para la creación de IXP nacionales y </w:t>
      </w:r>
      <w:r w:rsidR="009D1F51" w:rsidRPr="006E5F74">
        <w:rPr>
          <w:lang w:val="es-ES"/>
        </w:rPr>
        <w:t>poder alcanzar</w:t>
      </w:r>
      <w:r w:rsidRPr="006E5F74">
        <w:rPr>
          <w:lang w:val="es-ES"/>
        </w:rPr>
        <w:t xml:space="preserve"> una conectividad regional efic</w:t>
      </w:r>
      <w:r w:rsidR="009D1F51" w:rsidRPr="006E5F74">
        <w:rPr>
          <w:lang w:val="es-ES"/>
        </w:rPr>
        <w:t>iente</w:t>
      </w:r>
      <w:r w:rsidRPr="006E5F74">
        <w:rPr>
          <w:lang w:val="es-ES"/>
        </w:rPr>
        <w:t xml:space="preserve"> y rentable </w:t>
      </w:r>
      <w:r w:rsidR="00E502CD" w:rsidRPr="006E5F74">
        <w:rPr>
          <w:lang w:val="es-ES"/>
        </w:rPr>
        <w:t xml:space="preserve">a Internet </w:t>
      </w:r>
      <w:r w:rsidRPr="006E5F74">
        <w:rPr>
          <w:lang w:val="es-ES"/>
        </w:rPr>
        <w:t>mediante, por ejemplo, la elaboración de un modelo de interconexión que sirva de base para la creación de IXP nacionales y regionales</w:t>
      </w:r>
      <w:r w:rsidRPr="006E5F74">
        <w:rPr>
          <w:rFonts w:asciiTheme="minorHAnsi" w:hAnsiTheme="minorHAnsi" w:cstheme="minorHAnsi"/>
          <w:szCs w:val="24"/>
          <w:lang w:val="es-ES"/>
        </w:rPr>
        <w:t>, como en el caso de Guatemala</w:t>
      </w:r>
      <w:r w:rsidRPr="006E5F74">
        <w:rPr>
          <w:lang w:val="es-ES"/>
        </w:rPr>
        <w:t>; el apoyo al fortalecimiento de las capacidades de l</w:t>
      </w:r>
      <w:r w:rsidR="009D1F51" w:rsidRPr="006E5F74">
        <w:rPr>
          <w:lang w:val="es-ES"/>
        </w:rPr>
        <w:t>o</w:t>
      </w:r>
      <w:r w:rsidRPr="006E5F74">
        <w:rPr>
          <w:lang w:val="es-ES"/>
        </w:rPr>
        <w:t xml:space="preserve">s IXP nacionales (Montenegro) y de la Central Nacional </w:t>
      </w:r>
      <w:r w:rsidR="009D1F51" w:rsidRPr="006E5F74">
        <w:rPr>
          <w:lang w:val="es-ES"/>
        </w:rPr>
        <w:t xml:space="preserve">de Internet </w:t>
      </w:r>
      <w:r w:rsidRPr="006E5F74">
        <w:rPr>
          <w:lang w:val="es-ES"/>
        </w:rPr>
        <w:t>de Timor</w:t>
      </w:r>
      <w:r w:rsidR="001B16BF">
        <w:rPr>
          <w:lang w:val="es-ES"/>
        </w:rPr>
        <w:t>-</w:t>
      </w:r>
      <w:r w:rsidRPr="006E5F74">
        <w:rPr>
          <w:lang w:val="es-ES"/>
        </w:rPr>
        <w:t xml:space="preserve">Leste; la preparación </w:t>
      </w:r>
      <w:r w:rsidRPr="006E5F74">
        <w:rPr>
          <w:lang w:val="es-ES"/>
        </w:rPr>
        <w:lastRenderedPageBreak/>
        <w:t xml:space="preserve">de una nueva publicación sobre "Centrales </w:t>
      </w:r>
      <w:r w:rsidR="009D1F51" w:rsidRPr="006E5F74">
        <w:rPr>
          <w:lang w:val="es-ES"/>
        </w:rPr>
        <w:t xml:space="preserve">de </w:t>
      </w:r>
      <w:r w:rsidRPr="006E5F74">
        <w:rPr>
          <w:lang w:val="es-ES"/>
        </w:rPr>
        <w:t xml:space="preserve">Internet", </w:t>
      </w:r>
      <w:r w:rsidR="009D1F51" w:rsidRPr="006E5F74">
        <w:rPr>
          <w:lang w:val="es-ES"/>
        </w:rPr>
        <w:t>que incluyen</w:t>
      </w:r>
      <w:r w:rsidRPr="006E5F74">
        <w:rPr>
          <w:lang w:val="es-ES"/>
        </w:rPr>
        <w:t xml:space="preserve"> energías renovables para las comunicaciones rurales</w:t>
      </w:r>
      <w:r w:rsidR="009D1F51" w:rsidRPr="006E5F74">
        <w:rPr>
          <w:lang w:val="es-ES"/>
        </w:rPr>
        <w:t xml:space="preserve">, entre otros. </w:t>
      </w:r>
      <w:r w:rsidR="0073627E" w:rsidRPr="006E5F74">
        <w:rPr>
          <w:lang w:val="es-ES"/>
        </w:rPr>
        <w:t xml:space="preserve">Se está analizando otro IXP subregional con </w:t>
      </w:r>
      <w:proofErr w:type="spellStart"/>
      <w:r w:rsidR="0073627E" w:rsidRPr="006E5F74">
        <w:rPr>
          <w:lang w:val="es-ES"/>
        </w:rPr>
        <w:t>Djibouti</w:t>
      </w:r>
      <w:proofErr w:type="spellEnd"/>
      <w:r w:rsidR="0073627E" w:rsidRPr="006E5F74">
        <w:rPr>
          <w:lang w:val="es-ES"/>
        </w:rPr>
        <w:t xml:space="preserve"> Telecom utilizando su centro de dat</w:t>
      </w:r>
      <w:r w:rsidR="0063747F">
        <w:rPr>
          <w:lang w:val="es-ES"/>
        </w:rPr>
        <w:t>os y cables ópticos.</w:t>
      </w:r>
    </w:p>
    <w:p w:rsidR="0073627E" w:rsidRPr="006E5F74" w:rsidRDefault="0073627E" w:rsidP="003B5CD1">
      <w:pPr>
        <w:rPr>
          <w:lang w:val="es-ES"/>
        </w:rPr>
      </w:pPr>
      <w:r w:rsidRPr="006E5F74">
        <w:rPr>
          <w:lang w:val="es-ES"/>
        </w:rPr>
        <w:t xml:space="preserve">La BDT también ha desarrollado una </w:t>
      </w:r>
      <w:hyperlink r:id="rId63" w:history="1">
        <w:r w:rsidRPr="001B16BF">
          <w:rPr>
            <w:rStyle w:val="Hyperlink"/>
            <w:lang w:val="es-ES"/>
          </w:rPr>
          <w:t>plataforma cartográfica de datos de las TIC</w:t>
        </w:r>
      </w:hyperlink>
      <w:r w:rsidRPr="006E5F74">
        <w:rPr>
          <w:lang w:val="es-ES"/>
        </w:rPr>
        <w:t xml:space="preserve"> para poder almacenar la situación de los IXP, la conectividad de las redes troncales nacionales (fibras ópticas, enlaces de microondas y estaciones terrenales de satélite) así como medidas funda</w:t>
      </w:r>
      <w:r w:rsidR="0063747F">
        <w:rPr>
          <w:lang w:val="es-ES"/>
        </w:rPr>
        <w:t>mentales del sector de las TIC.</w:t>
      </w:r>
    </w:p>
    <w:p w:rsidR="00BE61D5" w:rsidRPr="006E5F74" w:rsidRDefault="00585996" w:rsidP="003B5CD1">
      <w:pPr>
        <w:rPr>
          <w:lang w:val="es-ES"/>
        </w:rPr>
      </w:pPr>
      <w:r w:rsidRPr="006E5F74">
        <w:rPr>
          <w:lang w:val="es-ES"/>
        </w:rPr>
        <w:t>6.2</w:t>
      </w:r>
      <w:r w:rsidRPr="006E5F74">
        <w:rPr>
          <w:lang w:val="es-ES"/>
        </w:rPr>
        <w:tab/>
        <w:t xml:space="preserve">La CE 3 del UIT-T sigue trabajando en el tema de la </w:t>
      </w:r>
      <w:r w:rsidR="0073627E" w:rsidRPr="006E5F74">
        <w:rPr>
          <w:lang w:val="es-ES"/>
        </w:rPr>
        <w:t>conectividad internacional a Internet (CII)</w:t>
      </w:r>
      <w:r w:rsidRPr="006E5F74">
        <w:rPr>
          <w:lang w:val="es-ES"/>
        </w:rPr>
        <w:t xml:space="preserve">, incluido </w:t>
      </w:r>
      <w:r w:rsidR="0073627E" w:rsidRPr="006E5F74">
        <w:rPr>
          <w:lang w:val="es-ES"/>
        </w:rPr>
        <w:t xml:space="preserve">un marco para la </w:t>
      </w:r>
      <w:r w:rsidR="00BE61D5" w:rsidRPr="006E5F74">
        <w:rPr>
          <w:lang w:val="es-ES"/>
        </w:rPr>
        <w:t xml:space="preserve">prestación de servicios de CII en competencia, </w:t>
      </w:r>
      <w:r w:rsidRPr="006E5F74">
        <w:rPr>
          <w:lang w:val="es-ES"/>
        </w:rPr>
        <w:t xml:space="preserve">el intercambio de </w:t>
      </w:r>
      <w:r w:rsidR="00BE61D5" w:rsidRPr="006E5F74">
        <w:rPr>
          <w:lang w:val="es-ES"/>
        </w:rPr>
        <w:t xml:space="preserve">tráfico IP entre homólogos, los puntos </w:t>
      </w:r>
      <w:r w:rsidRPr="006E5F74">
        <w:rPr>
          <w:lang w:val="es-ES"/>
        </w:rPr>
        <w:t>de intercambio de tráfico</w:t>
      </w:r>
      <w:r w:rsidR="00BE61D5" w:rsidRPr="006E5F74">
        <w:rPr>
          <w:lang w:val="es-ES"/>
        </w:rPr>
        <w:t xml:space="preserve"> regionales</w:t>
      </w:r>
      <w:r w:rsidRPr="006E5F74">
        <w:rPr>
          <w:lang w:val="es-ES"/>
        </w:rPr>
        <w:t>, los modelos de cost</w:t>
      </w:r>
      <w:r w:rsidR="00BE61D5" w:rsidRPr="006E5F74">
        <w:rPr>
          <w:lang w:val="es-ES"/>
        </w:rPr>
        <w:t>e</w:t>
      </w:r>
      <w:r w:rsidRPr="006E5F74">
        <w:rPr>
          <w:lang w:val="es-ES"/>
        </w:rPr>
        <w:t>s y el cost</w:t>
      </w:r>
      <w:r w:rsidR="00BE61D5" w:rsidRPr="006E5F74">
        <w:rPr>
          <w:lang w:val="es-ES"/>
        </w:rPr>
        <w:t>e</w:t>
      </w:r>
      <w:r w:rsidRPr="006E5F74">
        <w:rPr>
          <w:lang w:val="es-ES"/>
        </w:rPr>
        <w:t xml:space="preserve"> de la prestación de servicios.</w:t>
      </w:r>
      <w:r w:rsidR="006222A5" w:rsidRPr="006E5F74">
        <w:rPr>
          <w:lang w:val="es-ES"/>
        </w:rPr>
        <w:t xml:space="preserve"> </w:t>
      </w:r>
      <w:r w:rsidR="00BE61D5" w:rsidRPr="006E5F74">
        <w:rPr>
          <w:lang w:val="es-ES"/>
        </w:rPr>
        <w:t>La Comisión, en el marco de la nueva Cuestión 13/3, está elaborando una nueva norma sobre la optimización de la utilización de los cables terrenales a través de múltiples países para aumentar la conectiv</w:t>
      </w:r>
      <w:r w:rsidR="0063747F">
        <w:rPr>
          <w:lang w:val="es-ES"/>
        </w:rPr>
        <w:t>idad regional e internacional.</w:t>
      </w:r>
    </w:p>
    <w:p w:rsidR="006222A5" w:rsidRPr="006E5F74" w:rsidRDefault="003B5CD1" w:rsidP="003B5CD1">
      <w:pPr>
        <w:pStyle w:val="Heading1"/>
        <w:rPr>
          <w:lang w:val="es-ES"/>
        </w:rPr>
      </w:pPr>
      <w:r>
        <w:rPr>
          <w:lang w:val="es-ES"/>
        </w:rPr>
        <w:t>7</w:t>
      </w:r>
      <w:r w:rsidR="006222A5" w:rsidRPr="006E5F74">
        <w:rPr>
          <w:lang w:val="es-ES"/>
        </w:rPr>
        <w:tab/>
        <w:t>OTT</w:t>
      </w:r>
    </w:p>
    <w:p w:rsidR="006222A5" w:rsidRPr="003B5CD1" w:rsidRDefault="006222A5" w:rsidP="003B5CD1">
      <w:pPr>
        <w:rPr>
          <w:lang w:val="es-ES"/>
        </w:rPr>
      </w:pPr>
      <w:r w:rsidRPr="003B5CD1">
        <w:rPr>
          <w:lang w:val="es-ES"/>
        </w:rPr>
        <w:t>7.1</w:t>
      </w:r>
      <w:r w:rsidRPr="003B5CD1">
        <w:rPr>
          <w:lang w:val="es-ES"/>
        </w:rPr>
        <w:tab/>
      </w:r>
      <w:r w:rsidR="00BE61D5" w:rsidRPr="00E502CD">
        <w:rPr>
          <w:lang w:val="es-ES"/>
        </w:rPr>
        <w:t>La CE</w:t>
      </w:r>
      <w:r w:rsidR="0063747F">
        <w:rPr>
          <w:lang w:val="es-ES"/>
        </w:rPr>
        <w:t> </w:t>
      </w:r>
      <w:r w:rsidR="00BE61D5" w:rsidRPr="00E502CD">
        <w:rPr>
          <w:lang w:val="es-ES"/>
        </w:rPr>
        <w:t xml:space="preserve">3 del UIT-T ha </w:t>
      </w:r>
      <w:r w:rsidR="006143E5" w:rsidRPr="00E502CD">
        <w:rPr>
          <w:lang w:val="es-ES"/>
        </w:rPr>
        <w:t>aprobado,</w:t>
      </w:r>
      <w:r w:rsidR="00BE61D5" w:rsidRPr="00E502CD">
        <w:rPr>
          <w:lang w:val="es-ES"/>
        </w:rPr>
        <w:t xml:space="preserve"> en su última reunión, </w:t>
      </w:r>
      <w:r w:rsidR="006143E5" w:rsidRPr="00E502CD">
        <w:rPr>
          <w:lang w:val="es-ES"/>
        </w:rPr>
        <w:t xml:space="preserve">la </w:t>
      </w:r>
      <w:r w:rsidR="00BE61D5" w:rsidRPr="00E502CD">
        <w:rPr>
          <w:lang w:val="es-ES"/>
        </w:rPr>
        <w:t xml:space="preserve">primera etapa </w:t>
      </w:r>
      <w:r w:rsidR="006143E5" w:rsidRPr="00E502CD">
        <w:rPr>
          <w:lang w:val="es-ES"/>
        </w:rPr>
        <w:t xml:space="preserve">de aprobación </w:t>
      </w:r>
      <w:r w:rsidR="00BE61D5" w:rsidRPr="00E502CD">
        <w:rPr>
          <w:lang w:val="es-ES"/>
        </w:rPr>
        <w:t>("determinada")</w:t>
      </w:r>
      <w:r w:rsidR="006143E5" w:rsidRPr="00E502CD">
        <w:rPr>
          <w:lang w:val="es-ES"/>
        </w:rPr>
        <w:t xml:space="preserve"> de una nueva norma que </w:t>
      </w:r>
      <w:r w:rsidR="00E502CD" w:rsidRPr="00E502CD">
        <w:rPr>
          <w:lang w:val="es-ES"/>
        </w:rPr>
        <w:t>aborda</w:t>
      </w:r>
      <w:r w:rsidR="006143E5" w:rsidRPr="00E502CD">
        <w:rPr>
          <w:lang w:val="es-ES"/>
        </w:rPr>
        <w:t xml:space="preserve"> la relación entre operadores de red y proveedores de servicios superpuestos (OTT). </w:t>
      </w:r>
      <w:r w:rsidR="008626EA" w:rsidRPr="003B5CD1">
        <w:rPr>
          <w:lang w:val="es-ES"/>
        </w:rPr>
        <w:t xml:space="preserve">En el proyecto de </w:t>
      </w:r>
      <w:r w:rsidR="006143E5" w:rsidRPr="003B5CD1">
        <w:rPr>
          <w:lang w:val="es-ES"/>
        </w:rPr>
        <w:t xml:space="preserve">nueva </w:t>
      </w:r>
      <w:r w:rsidR="008626EA" w:rsidRPr="003B5CD1">
        <w:rPr>
          <w:lang w:val="es-ES"/>
        </w:rPr>
        <w:t xml:space="preserve">Recomendación UIT-T D.262 </w:t>
      </w:r>
      <w:r w:rsidR="006143E5" w:rsidRPr="003B5CD1">
        <w:rPr>
          <w:lang w:val="es-ES"/>
        </w:rPr>
        <w:t xml:space="preserve">(D.OTT) sobre </w:t>
      </w:r>
      <w:r w:rsidR="008626EA" w:rsidRPr="003B5CD1">
        <w:rPr>
          <w:lang w:val="es-ES"/>
        </w:rPr>
        <w:t>un marco de colaboración destinado</w:t>
      </w:r>
      <w:r w:rsidR="006143E5" w:rsidRPr="003B5CD1">
        <w:rPr>
          <w:lang w:val="es-ES"/>
        </w:rPr>
        <w:t xml:space="preserve"> para proveedores OTT se proporcionan parámetros para el análisis de las nuevas dinámicas financieras del ecosistema de las TIC y la manera en que los marcos de políticas y </w:t>
      </w:r>
      <w:r w:rsidR="00E502CD" w:rsidRPr="003B5CD1">
        <w:rPr>
          <w:lang w:val="es-ES"/>
        </w:rPr>
        <w:t xml:space="preserve">los marcos </w:t>
      </w:r>
      <w:r w:rsidR="006143E5" w:rsidRPr="003B5CD1">
        <w:rPr>
          <w:lang w:val="es-ES"/>
        </w:rPr>
        <w:t>reglamentarios pueden dar soporte a</w:t>
      </w:r>
      <w:r w:rsidR="008626EA" w:rsidRPr="003B5CD1">
        <w:rPr>
          <w:lang w:val="es-ES"/>
        </w:rPr>
        <w:t xml:space="preserve"> la competencia, la protección del consumidor, los beneficios para los consumidores, </w:t>
      </w:r>
      <w:r w:rsidR="006143E5" w:rsidRPr="003B5CD1">
        <w:rPr>
          <w:lang w:val="es-ES"/>
        </w:rPr>
        <w:t>una</w:t>
      </w:r>
      <w:r w:rsidR="008626EA" w:rsidRPr="003B5CD1">
        <w:rPr>
          <w:lang w:val="es-ES"/>
        </w:rPr>
        <w:t xml:space="preserve"> innovación dinámica, </w:t>
      </w:r>
      <w:r w:rsidR="006143E5" w:rsidRPr="003B5CD1">
        <w:rPr>
          <w:lang w:val="es-ES"/>
        </w:rPr>
        <w:t>una</w:t>
      </w:r>
      <w:r w:rsidR="008626EA" w:rsidRPr="003B5CD1">
        <w:rPr>
          <w:lang w:val="es-ES"/>
        </w:rPr>
        <w:t xml:space="preserve"> inversión sostenible y el desarrollo, la accesibilidad y </w:t>
      </w:r>
      <w:r w:rsidR="00E502CD" w:rsidRPr="003B5CD1">
        <w:rPr>
          <w:lang w:val="es-ES"/>
        </w:rPr>
        <w:t xml:space="preserve">la </w:t>
      </w:r>
      <w:r w:rsidR="008626EA" w:rsidRPr="003B5CD1">
        <w:rPr>
          <w:lang w:val="es-ES"/>
        </w:rPr>
        <w:t>asequibilidad de las infraestructuras en relación con el crecimiento global de l</w:t>
      </w:r>
      <w:r w:rsidR="006143E5" w:rsidRPr="003B5CD1">
        <w:rPr>
          <w:lang w:val="es-ES"/>
        </w:rPr>
        <w:t>o</w:t>
      </w:r>
      <w:r w:rsidR="008626EA" w:rsidRPr="003B5CD1">
        <w:rPr>
          <w:lang w:val="es-ES"/>
        </w:rPr>
        <w:t xml:space="preserve">s </w:t>
      </w:r>
      <w:r w:rsidR="006143E5" w:rsidRPr="003B5CD1">
        <w:rPr>
          <w:lang w:val="es-ES"/>
        </w:rPr>
        <w:t xml:space="preserve">servicios </w:t>
      </w:r>
      <w:r w:rsidR="008626EA" w:rsidRPr="003B5CD1">
        <w:rPr>
          <w:lang w:val="es-ES"/>
        </w:rPr>
        <w:t>OTT.</w:t>
      </w:r>
    </w:p>
    <w:p w:rsidR="006143E5" w:rsidRPr="00E502CD" w:rsidRDefault="006222A5" w:rsidP="003B5CD1">
      <w:pPr>
        <w:rPr>
          <w:lang w:val="es-ES"/>
        </w:rPr>
      </w:pPr>
      <w:r w:rsidRPr="00E502CD">
        <w:rPr>
          <w:lang w:val="es-ES"/>
        </w:rPr>
        <w:t>7.2</w:t>
      </w:r>
      <w:r w:rsidRPr="00E502CD">
        <w:rPr>
          <w:lang w:val="es-ES"/>
        </w:rPr>
        <w:tab/>
      </w:r>
      <w:r w:rsidR="006143E5" w:rsidRPr="00E502CD">
        <w:rPr>
          <w:lang w:val="es-ES"/>
        </w:rPr>
        <w:t>Anteriormente, la CE</w:t>
      </w:r>
      <w:r w:rsidR="003B5CD1">
        <w:rPr>
          <w:lang w:val="es-ES"/>
        </w:rPr>
        <w:t> </w:t>
      </w:r>
      <w:r w:rsidR="006143E5" w:rsidRPr="00E502CD">
        <w:rPr>
          <w:lang w:val="es-ES"/>
        </w:rPr>
        <w:t xml:space="preserve">3 del UIT-T investigó sobre la cuestión y publicó un Informe Técnico sobre las repercusiones económicas de los servicios OTT </w:t>
      </w:r>
      <w:r w:rsidR="00D93645" w:rsidRPr="00E502CD">
        <w:rPr>
          <w:lang w:val="es-ES"/>
        </w:rPr>
        <w:t>con varios casos de países. La Comisión también está realizando t</w:t>
      </w:r>
      <w:r w:rsidR="001B16BF">
        <w:rPr>
          <w:lang w:val="es-ES"/>
        </w:rPr>
        <w:t>rabajos sobre temas que incluyen</w:t>
      </w:r>
      <w:r w:rsidR="00D93645" w:rsidRPr="00E502CD">
        <w:rPr>
          <w:lang w:val="es-ES"/>
        </w:rPr>
        <w:t xml:space="preserve"> repercusiones del atajo OTT y asociaciones entre actores</w:t>
      </w:r>
      <w:r w:rsidR="00E502CD">
        <w:rPr>
          <w:lang w:val="es-ES"/>
        </w:rPr>
        <w:t xml:space="preserve"> de </w:t>
      </w:r>
      <w:r w:rsidR="00D93645" w:rsidRPr="00E502CD">
        <w:rPr>
          <w:lang w:val="es-ES"/>
        </w:rPr>
        <w:t>OTT</w:t>
      </w:r>
      <w:r w:rsidR="003B5CD1">
        <w:rPr>
          <w:lang w:val="es-ES"/>
        </w:rPr>
        <w:t xml:space="preserve"> y operadores de redes móviles.</w:t>
      </w:r>
    </w:p>
    <w:p w:rsidR="00D93645" w:rsidRPr="00E502CD" w:rsidRDefault="006222A5" w:rsidP="00B93782">
      <w:pPr>
        <w:rPr>
          <w:lang w:val="es-ES"/>
        </w:rPr>
      </w:pPr>
      <w:r w:rsidRPr="00E502CD">
        <w:rPr>
          <w:lang w:val="es-ES"/>
        </w:rPr>
        <w:t>7.3</w:t>
      </w:r>
      <w:r w:rsidRPr="00E502CD">
        <w:rPr>
          <w:lang w:val="es-ES"/>
        </w:rPr>
        <w:tab/>
      </w:r>
      <w:r w:rsidR="00D93645" w:rsidRPr="00E502CD">
        <w:rPr>
          <w:lang w:val="es-ES"/>
        </w:rPr>
        <w:t>La CE</w:t>
      </w:r>
      <w:r w:rsidR="00B93782">
        <w:rPr>
          <w:lang w:val="es-ES"/>
        </w:rPr>
        <w:t> </w:t>
      </w:r>
      <w:r w:rsidR="00D93645" w:rsidRPr="00E502CD">
        <w:rPr>
          <w:lang w:val="es-ES"/>
        </w:rPr>
        <w:t>17 del UIT-T</w:t>
      </w:r>
      <w:r w:rsidR="00AD21D9" w:rsidRPr="00E502CD">
        <w:rPr>
          <w:lang w:val="es-ES"/>
        </w:rPr>
        <w:t xml:space="preserve"> ha</w:t>
      </w:r>
      <w:r w:rsidR="00D93645" w:rsidRPr="00E502CD">
        <w:rPr>
          <w:lang w:val="es-ES"/>
        </w:rPr>
        <w:t xml:space="preserve"> identificado</w:t>
      </w:r>
      <w:r w:rsidR="00AD21D9" w:rsidRPr="00E502CD">
        <w:rPr>
          <w:lang w:val="es-ES"/>
        </w:rPr>
        <w:t xml:space="preserve"> a los servicios OTT, en sus estudios sobre la transformación de la seguridad,</w:t>
      </w:r>
      <w:r w:rsidR="00D93645" w:rsidRPr="00E502CD">
        <w:rPr>
          <w:lang w:val="es-ES"/>
        </w:rPr>
        <w:t xml:space="preserve"> como uno de los nuevos actores del ecosistema que </w:t>
      </w:r>
      <w:r w:rsidR="00AD21D9" w:rsidRPr="00E502CD">
        <w:rPr>
          <w:lang w:val="es-ES"/>
        </w:rPr>
        <w:t>tiene</w:t>
      </w:r>
      <w:r w:rsidR="00BD39BD">
        <w:rPr>
          <w:lang w:val="es-ES"/>
        </w:rPr>
        <w:t>n</w:t>
      </w:r>
      <w:r w:rsidR="00AD21D9" w:rsidRPr="00E502CD">
        <w:rPr>
          <w:lang w:val="es-ES"/>
        </w:rPr>
        <w:t xml:space="preserve"> repercusiones sobre la seguridad. Varias Recomendaciones y temas de trabajo actuales ya están teniendo en cuenta estos cambios, y la CE</w:t>
      </w:r>
      <w:r w:rsidR="00B93782">
        <w:rPr>
          <w:lang w:val="es-ES"/>
        </w:rPr>
        <w:t> </w:t>
      </w:r>
      <w:r w:rsidR="00AD21D9" w:rsidRPr="00E502CD">
        <w:rPr>
          <w:lang w:val="es-ES"/>
        </w:rPr>
        <w:t xml:space="preserve">17 ha señalado la nube (que abarca los OTT) como una nueva Cuestión posible en sus prototipos a largo plazo (actualmente </w:t>
      </w:r>
      <w:r w:rsidR="003B5CD1">
        <w:rPr>
          <w:lang w:val="es-ES"/>
        </w:rPr>
        <w:t>afecta a la C17/7 y la C8/17).</w:t>
      </w:r>
    </w:p>
    <w:p w:rsidR="006222A5" w:rsidRPr="00E502CD" w:rsidRDefault="006222A5" w:rsidP="003B5CD1">
      <w:pPr>
        <w:rPr>
          <w:rFonts w:asciiTheme="minorHAnsi" w:hAnsiTheme="minorHAnsi" w:cstheme="minorHAnsi"/>
          <w:lang w:val="es-ES"/>
        </w:rPr>
      </w:pPr>
      <w:r w:rsidRPr="00E502CD">
        <w:rPr>
          <w:rFonts w:asciiTheme="minorHAnsi" w:hAnsiTheme="minorHAnsi" w:cstheme="minorHAnsi"/>
          <w:lang w:val="es-ES"/>
        </w:rPr>
        <w:t>7.4</w:t>
      </w:r>
      <w:r w:rsidRPr="00E502CD">
        <w:rPr>
          <w:rFonts w:asciiTheme="minorHAnsi" w:hAnsiTheme="minorHAnsi" w:cstheme="minorHAnsi"/>
          <w:lang w:val="es-ES"/>
        </w:rPr>
        <w:tab/>
      </w:r>
      <w:r w:rsidR="00AD21D9" w:rsidRPr="00E502CD">
        <w:rPr>
          <w:rFonts w:asciiTheme="minorHAnsi" w:hAnsiTheme="minorHAnsi" w:cstheme="minorHAnsi"/>
          <w:lang w:val="es-ES"/>
        </w:rPr>
        <w:t>En la CE</w:t>
      </w:r>
      <w:r w:rsidR="003B5CD1">
        <w:rPr>
          <w:rFonts w:asciiTheme="minorHAnsi" w:hAnsiTheme="minorHAnsi" w:cstheme="minorHAnsi"/>
          <w:lang w:val="es-ES"/>
        </w:rPr>
        <w:t> </w:t>
      </w:r>
      <w:r w:rsidR="00AD21D9" w:rsidRPr="00E502CD">
        <w:rPr>
          <w:rFonts w:asciiTheme="minorHAnsi" w:hAnsiTheme="minorHAnsi" w:cstheme="minorHAnsi"/>
          <w:lang w:val="es-ES"/>
        </w:rPr>
        <w:t xml:space="preserve">1 del UIT-D, la nueva C3/1 </w:t>
      </w:r>
      <w:r w:rsidR="00BD39BD">
        <w:rPr>
          <w:rFonts w:asciiTheme="minorHAnsi" w:hAnsiTheme="minorHAnsi" w:cstheme="minorHAnsi"/>
          <w:lang w:val="es-ES"/>
        </w:rPr>
        <w:t>tratará</w:t>
      </w:r>
      <w:r w:rsidR="00AD21D9" w:rsidRPr="00E502CD">
        <w:rPr>
          <w:rFonts w:asciiTheme="minorHAnsi" w:hAnsiTheme="minorHAnsi" w:cstheme="minorHAnsi"/>
          <w:lang w:val="es-ES"/>
        </w:rPr>
        <w:t xml:space="preserve"> de </w:t>
      </w:r>
      <w:r w:rsidR="00EC6B64" w:rsidRPr="00E502CD">
        <w:rPr>
          <w:rFonts w:asciiTheme="minorHAnsi" w:hAnsiTheme="minorHAnsi" w:cstheme="minorHAnsi"/>
          <w:lang w:val="es-ES"/>
        </w:rPr>
        <w:t>"</w:t>
      </w:r>
      <w:r w:rsidR="00EC6B64" w:rsidRPr="00E502CD">
        <w:rPr>
          <w:lang w:val="es-ES"/>
        </w:rPr>
        <w:t>Nuevas tecnologías, incluida la computación en la nube, los servicios móviles y los servicios superpuestos (OTT): retos, oportunidades e impacto económico y político para los países en desarrollo</w:t>
      </w:r>
      <w:r w:rsidR="00EC6B64" w:rsidRPr="00E502CD">
        <w:rPr>
          <w:rFonts w:asciiTheme="minorHAnsi" w:hAnsiTheme="minorHAnsi" w:cstheme="minorHAnsi"/>
          <w:lang w:val="es-ES"/>
        </w:rPr>
        <w:t xml:space="preserve">" </w:t>
      </w:r>
      <w:r w:rsidRPr="00E502CD">
        <w:rPr>
          <w:rFonts w:asciiTheme="minorHAnsi" w:hAnsiTheme="minorHAnsi" w:cstheme="minorHAnsi"/>
          <w:lang w:val="es-ES"/>
        </w:rPr>
        <w:t>(</w:t>
      </w:r>
      <w:r w:rsidR="00AD21D9" w:rsidRPr="00E502CD">
        <w:rPr>
          <w:rFonts w:asciiTheme="minorHAnsi" w:hAnsiTheme="minorHAnsi" w:cstheme="minorHAnsi"/>
          <w:lang w:val="es-ES"/>
        </w:rPr>
        <w:t>fusión de las anteriores C</w:t>
      </w:r>
      <w:r w:rsidRPr="00E502CD">
        <w:rPr>
          <w:rFonts w:asciiTheme="minorHAnsi" w:hAnsiTheme="minorHAnsi" w:cstheme="minorHAnsi"/>
          <w:lang w:val="es-ES"/>
        </w:rPr>
        <w:t xml:space="preserve">1/1 </w:t>
      </w:r>
      <w:r w:rsidR="00AD21D9" w:rsidRPr="00E502CD">
        <w:rPr>
          <w:rFonts w:asciiTheme="minorHAnsi" w:hAnsiTheme="minorHAnsi" w:cstheme="minorHAnsi"/>
          <w:lang w:val="es-ES"/>
        </w:rPr>
        <w:t>y C</w:t>
      </w:r>
      <w:r w:rsidRPr="00E502CD">
        <w:rPr>
          <w:rFonts w:asciiTheme="minorHAnsi" w:hAnsiTheme="minorHAnsi" w:cstheme="minorHAnsi"/>
          <w:lang w:val="es-ES"/>
        </w:rPr>
        <w:t>3/1).</w:t>
      </w:r>
    </w:p>
    <w:p w:rsidR="003B5CD1" w:rsidRDefault="003B5CD1" w:rsidP="00411C49">
      <w:pPr>
        <w:pStyle w:val="Reasons"/>
      </w:pPr>
    </w:p>
    <w:p w:rsidR="003B5CD1" w:rsidRDefault="003B5CD1">
      <w:pPr>
        <w:jc w:val="center"/>
      </w:pPr>
      <w:r>
        <w:t>______________</w:t>
      </w:r>
    </w:p>
    <w:sectPr w:rsidR="003B5CD1" w:rsidSect="006710F6">
      <w:headerReference w:type="default" r:id="rId64"/>
      <w:footerReference w:type="default" r:id="rId65"/>
      <w:footerReference w:type="first" r:id="rId6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144" w:rsidRDefault="00F93144">
      <w:r>
        <w:separator/>
      </w:r>
    </w:p>
  </w:endnote>
  <w:endnote w:type="continuationSeparator" w:id="0">
    <w:p w:rsidR="00F93144" w:rsidRDefault="00F9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144" w:rsidRPr="0063747F" w:rsidRDefault="0063747F" w:rsidP="0063747F">
    <w:pPr>
      <w:pStyle w:val="Footer"/>
      <w:rPr>
        <w:lang w:val="fr-CH"/>
      </w:rPr>
    </w:pPr>
    <w:r w:rsidRPr="0063747F">
      <w:rPr>
        <w:lang w:val="en-US"/>
      </w:rPr>
      <w:fldChar w:fldCharType="begin"/>
    </w:r>
    <w:r w:rsidRPr="0063747F">
      <w:rPr>
        <w:lang w:val="fr-CH"/>
      </w:rPr>
      <w:instrText xml:space="preserve"> FILENAME \p  \* MERGEFORMAT </w:instrText>
    </w:r>
    <w:r w:rsidRPr="0063747F">
      <w:rPr>
        <w:lang w:val="en-US"/>
      </w:rPr>
      <w:fldChar w:fldCharType="separate"/>
    </w:r>
    <w:r w:rsidR="00B86729">
      <w:rPr>
        <w:lang w:val="fr-CH"/>
      </w:rPr>
      <w:t>P:\ESP\SG\CONSEIL\C19\000\033S.docx</w:t>
    </w:r>
    <w:r w:rsidRPr="0063747F">
      <w:rPr>
        <w:lang w:val="en-US"/>
      </w:rPr>
      <w:fldChar w:fldCharType="end"/>
    </w:r>
    <w:r w:rsidRPr="0063747F">
      <w:rPr>
        <w:lang w:val="fr-CH"/>
      </w:rPr>
      <w:t xml:space="preserve"> (</w:t>
    </w:r>
    <w:r>
      <w:rPr>
        <w:lang w:val="fr-CH"/>
      </w:rPr>
      <w:t>450249</w:t>
    </w:r>
    <w:r w:rsidRPr="0063747F">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144" w:rsidRPr="00D21DEA" w:rsidRDefault="00F93144" w:rsidP="00D21DEA">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144" w:rsidRDefault="00F93144">
      <w:r>
        <w:t>____________________</w:t>
      </w:r>
    </w:p>
  </w:footnote>
  <w:footnote w:type="continuationSeparator" w:id="0">
    <w:p w:rsidR="00F93144" w:rsidRDefault="00F93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144" w:rsidRDefault="00F93144" w:rsidP="007657F0">
    <w:pPr>
      <w:pStyle w:val="Header"/>
    </w:pPr>
    <w:r>
      <w:fldChar w:fldCharType="begin"/>
    </w:r>
    <w:r>
      <w:instrText>PAGE</w:instrText>
    </w:r>
    <w:r>
      <w:fldChar w:fldCharType="separate"/>
    </w:r>
    <w:r w:rsidR="00DC36F5">
      <w:rPr>
        <w:noProof/>
      </w:rPr>
      <w:t>7</w:t>
    </w:r>
    <w:r>
      <w:rPr>
        <w:noProof/>
      </w:rPr>
      <w:fldChar w:fldCharType="end"/>
    </w:r>
  </w:p>
  <w:p w:rsidR="00F93144" w:rsidRDefault="00F93144" w:rsidP="00C2727F">
    <w:pPr>
      <w:pStyle w:val="Header"/>
    </w:pPr>
    <w:r>
      <w:t>C19/33-S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C43C0A"/>
    <w:multiLevelType w:val="multilevel"/>
    <w:tmpl w:val="18AE419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112"/>
    <w:rsid w:val="000258AA"/>
    <w:rsid w:val="000564B9"/>
    <w:rsid w:val="00066A59"/>
    <w:rsid w:val="00074112"/>
    <w:rsid w:val="000912F0"/>
    <w:rsid w:val="00093EEB"/>
    <w:rsid w:val="000A0D3D"/>
    <w:rsid w:val="000A61AB"/>
    <w:rsid w:val="000B0D00"/>
    <w:rsid w:val="000B7C15"/>
    <w:rsid w:val="000D1D0F"/>
    <w:rsid w:val="000D20E0"/>
    <w:rsid w:val="000F5290"/>
    <w:rsid w:val="0010165C"/>
    <w:rsid w:val="00121537"/>
    <w:rsid w:val="00137743"/>
    <w:rsid w:val="00146BFB"/>
    <w:rsid w:val="00173619"/>
    <w:rsid w:val="001B16BF"/>
    <w:rsid w:val="001F14A2"/>
    <w:rsid w:val="002801AA"/>
    <w:rsid w:val="002C4676"/>
    <w:rsid w:val="002C70B0"/>
    <w:rsid w:val="002F359B"/>
    <w:rsid w:val="002F3CC4"/>
    <w:rsid w:val="003532D0"/>
    <w:rsid w:val="00355A5F"/>
    <w:rsid w:val="0038354D"/>
    <w:rsid w:val="003B5CD1"/>
    <w:rsid w:val="003B5D08"/>
    <w:rsid w:val="003C0CED"/>
    <w:rsid w:val="003E59A2"/>
    <w:rsid w:val="00414492"/>
    <w:rsid w:val="00423D56"/>
    <w:rsid w:val="004436D9"/>
    <w:rsid w:val="004A40C8"/>
    <w:rsid w:val="004D0A0E"/>
    <w:rsid w:val="00513630"/>
    <w:rsid w:val="00527155"/>
    <w:rsid w:val="00532703"/>
    <w:rsid w:val="00560125"/>
    <w:rsid w:val="005651C6"/>
    <w:rsid w:val="00585553"/>
    <w:rsid w:val="00585996"/>
    <w:rsid w:val="005929DD"/>
    <w:rsid w:val="005B34D9"/>
    <w:rsid w:val="005D0CCF"/>
    <w:rsid w:val="005D1CDE"/>
    <w:rsid w:val="005F3BCB"/>
    <w:rsid w:val="005F410F"/>
    <w:rsid w:val="0060149A"/>
    <w:rsid w:val="00601924"/>
    <w:rsid w:val="006143E5"/>
    <w:rsid w:val="006222A5"/>
    <w:rsid w:val="0063747F"/>
    <w:rsid w:val="006447EA"/>
    <w:rsid w:val="0064731F"/>
    <w:rsid w:val="00655ECB"/>
    <w:rsid w:val="00667DA2"/>
    <w:rsid w:val="006710F6"/>
    <w:rsid w:val="00672BDD"/>
    <w:rsid w:val="0067657F"/>
    <w:rsid w:val="006C1B56"/>
    <w:rsid w:val="006D4761"/>
    <w:rsid w:val="006E5F74"/>
    <w:rsid w:val="0071403E"/>
    <w:rsid w:val="00726872"/>
    <w:rsid w:val="0073627E"/>
    <w:rsid w:val="00760F1C"/>
    <w:rsid w:val="007657F0"/>
    <w:rsid w:val="0077252D"/>
    <w:rsid w:val="007B24AD"/>
    <w:rsid w:val="007D15C7"/>
    <w:rsid w:val="007E5DD3"/>
    <w:rsid w:val="007F350B"/>
    <w:rsid w:val="00820BE4"/>
    <w:rsid w:val="008451E8"/>
    <w:rsid w:val="008474B8"/>
    <w:rsid w:val="00854BB7"/>
    <w:rsid w:val="00854FF0"/>
    <w:rsid w:val="008626EA"/>
    <w:rsid w:val="0088624C"/>
    <w:rsid w:val="008A1DEC"/>
    <w:rsid w:val="008B5DCF"/>
    <w:rsid w:val="00901096"/>
    <w:rsid w:val="00913B9C"/>
    <w:rsid w:val="00930F06"/>
    <w:rsid w:val="00936370"/>
    <w:rsid w:val="00956E77"/>
    <w:rsid w:val="009623D9"/>
    <w:rsid w:val="009630FA"/>
    <w:rsid w:val="00984AB6"/>
    <w:rsid w:val="0099361A"/>
    <w:rsid w:val="009B1217"/>
    <w:rsid w:val="009B7BFE"/>
    <w:rsid w:val="009D1F51"/>
    <w:rsid w:val="009D7FDE"/>
    <w:rsid w:val="009F4811"/>
    <w:rsid w:val="00A0006A"/>
    <w:rsid w:val="00A50948"/>
    <w:rsid w:val="00AA1AD4"/>
    <w:rsid w:val="00AA390C"/>
    <w:rsid w:val="00AD21D9"/>
    <w:rsid w:val="00AE3534"/>
    <w:rsid w:val="00AF0283"/>
    <w:rsid w:val="00AF59F5"/>
    <w:rsid w:val="00B0200A"/>
    <w:rsid w:val="00B21DF8"/>
    <w:rsid w:val="00B574DB"/>
    <w:rsid w:val="00B826C2"/>
    <w:rsid w:val="00B8298E"/>
    <w:rsid w:val="00B86729"/>
    <w:rsid w:val="00B93782"/>
    <w:rsid w:val="00BD02BA"/>
    <w:rsid w:val="00BD0723"/>
    <w:rsid w:val="00BD2518"/>
    <w:rsid w:val="00BD39BD"/>
    <w:rsid w:val="00BE61D5"/>
    <w:rsid w:val="00BF1D1C"/>
    <w:rsid w:val="00BF7006"/>
    <w:rsid w:val="00C07424"/>
    <w:rsid w:val="00C1602B"/>
    <w:rsid w:val="00C20C59"/>
    <w:rsid w:val="00C2727F"/>
    <w:rsid w:val="00C37688"/>
    <w:rsid w:val="00C55B1F"/>
    <w:rsid w:val="00C73EBC"/>
    <w:rsid w:val="00C83C55"/>
    <w:rsid w:val="00CE782D"/>
    <w:rsid w:val="00CF1A67"/>
    <w:rsid w:val="00D165C3"/>
    <w:rsid w:val="00D21DEA"/>
    <w:rsid w:val="00D2750E"/>
    <w:rsid w:val="00D34C09"/>
    <w:rsid w:val="00D62446"/>
    <w:rsid w:val="00D671F5"/>
    <w:rsid w:val="00D93645"/>
    <w:rsid w:val="00DA0438"/>
    <w:rsid w:val="00DA4EA2"/>
    <w:rsid w:val="00DB76A4"/>
    <w:rsid w:val="00DC36F5"/>
    <w:rsid w:val="00DC3D3E"/>
    <w:rsid w:val="00DC5BF9"/>
    <w:rsid w:val="00DD5C3C"/>
    <w:rsid w:val="00DE2C90"/>
    <w:rsid w:val="00DE3B24"/>
    <w:rsid w:val="00DE6D02"/>
    <w:rsid w:val="00DF0570"/>
    <w:rsid w:val="00E00B6B"/>
    <w:rsid w:val="00E06947"/>
    <w:rsid w:val="00E1127A"/>
    <w:rsid w:val="00E3592D"/>
    <w:rsid w:val="00E502CD"/>
    <w:rsid w:val="00E71296"/>
    <w:rsid w:val="00E7412C"/>
    <w:rsid w:val="00E86C91"/>
    <w:rsid w:val="00E90D75"/>
    <w:rsid w:val="00E92DE8"/>
    <w:rsid w:val="00EB1212"/>
    <w:rsid w:val="00EB6DC8"/>
    <w:rsid w:val="00EC6B64"/>
    <w:rsid w:val="00ED65AB"/>
    <w:rsid w:val="00EE196A"/>
    <w:rsid w:val="00F001C9"/>
    <w:rsid w:val="00F04AA5"/>
    <w:rsid w:val="00F12850"/>
    <w:rsid w:val="00F14490"/>
    <w:rsid w:val="00F33BF4"/>
    <w:rsid w:val="00F7050F"/>
    <w:rsid w:val="00F7105E"/>
    <w:rsid w:val="00F75F57"/>
    <w:rsid w:val="00F82FEE"/>
    <w:rsid w:val="00F87E98"/>
    <w:rsid w:val="00F93144"/>
    <w:rsid w:val="00F93C46"/>
    <w:rsid w:val="00F94E0C"/>
    <w:rsid w:val="00FA0C71"/>
    <w:rsid w:val="00FD57D3"/>
    <w:rsid w:val="00FE1305"/>
    <w:rsid w:val="00FE653F"/>
    <w:rsid w:val="00FF11BD"/>
    <w:rsid w:val="00FF3E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6241693-268B-488E-A860-43E37007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qFormat/>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ing1Char">
    <w:name w:val="Heading 1 Char"/>
    <w:basedOn w:val="DefaultParagraphFont"/>
    <w:link w:val="Heading1"/>
    <w:rsid w:val="00585996"/>
    <w:rPr>
      <w:rFonts w:ascii="Calibri" w:hAnsi="Calibri"/>
      <w:b/>
      <w:sz w:val="28"/>
      <w:lang w:val="es-ES_tradnl" w:eastAsia="en-US"/>
    </w:rPr>
  </w:style>
  <w:style w:type="character" w:styleId="Strong">
    <w:name w:val="Strong"/>
    <w:basedOn w:val="DefaultParagraphFont"/>
    <w:uiPriority w:val="22"/>
    <w:qFormat/>
    <w:rsid w:val="00585996"/>
    <w:rPr>
      <w:b/>
      <w:bCs/>
    </w:rPr>
  </w:style>
  <w:style w:type="character" w:customStyle="1" w:styleId="enumlev1Char">
    <w:name w:val="enumlev1 Char"/>
    <w:basedOn w:val="DefaultParagraphFont"/>
    <w:link w:val="enumlev1"/>
    <w:locked/>
    <w:rsid w:val="00E7412C"/>
    <w:rPr>
      <w:rFonts w:ascii="Calibri" w:hAnsi="Calibri"/>
      <w:sz w:val="24"/>
      <w:lang w:val="es-ES_tradnl" w:eastAsia="en-US"/>
    </w:rPr>
  </w:style>
  <w:style w:type="paragraph" w:styleId="BalloonText">
    <w:name w:val="Balloon Text"/>
    <w:basedOn w:val="Normal"/>
    <w:link w:val="BalloonTextChar"/>
    <w:semiHidden/>
    <w:unhideWhenUsed/>
    <w:rsid w:val="00854FF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54FF0"/>
    <w:rPr>
      <w:rFonts w:ascii="Segoe UI" w:hAnsi="Segoe UI" w:cs="Segoe UI"/>
      <w:sz w:val="18"/>
      <w:szCs w:val="18"/>
      <w:lang w:val="es-ES_tradnl" w:eastAsia="en-US"/>
    </w:rPr>
  </w:style>
  <w:style w:type="paragraph" w:styleId="ListParagraph">
    <w:name w:val="List Paragraph"/>
    <w:basedOn w:val="Normal"/>
    <w:uiPriority w:val="34"/>
    <w:qFormat/>
    <w:rsid w:val="004A40C8"/>
    <w:pPr>
      <w:ind w:left="720"/>
      <w:contextualSpacing/>
    </w:pPr>
  </w:style>
  <w:style w:type="paragraph" w:styleId="Revision">
    <w:name w:val="Revision"/>
    <w:hidden/>
    <w:uiPriority w:val="99"/>
    <w:semiHidden/>
    <w:rsid w:val="00B86729"/>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206-S.pdf" TargetMode="External"/><Relationship Id="rId18" Type="http://schemas.openxmlformats.org/officeDocument/2006/relationships/hyperlink" Target="https://www.itu.int/pub/T-RES-T.48-2016/es" TargetMode="External"/><Relationship Id="rId26" Type="http://schemas.openxmlformats.org/officeDocument/2006/relationships/hyperlink" Target="https://www.itu.int/pub/T-RES-T.75-2016/es" TargetMode="External"/><Relationship Id="rId39" Type="http://schemas.openxmlformats.org/officeDocument/2006/relationships/hyperlink" Target="https://www.itu.int/es/mediacentre/Pages/2018-CM05.aspx" TargetMode="External"/><Relationship Id="rId21" Type="http://schemas.openxmlformats.org/officeDocument/2006/relationships/hyperlink" Target="https://www.itu.int/pub/T-RES-T.52-2016/es" TargetMode="External"/><Relationship Id="rId34" Type="http://schemas.openxmlformats.org/officeDocument/2006/relationships/hyperlink" Target="https://www.itu.int/md/S17-CL-C-0033/en" TargetMode="External"/><Relationship Id="rId42" Type="http://schemas.openxmlformats.org/officeDocument/2006/relationships/hyperlink" Target="https://news.itu.int/safe-listening-standard/" TargetMode="External"/><Relationship Id="rId47" Type="http://schemas.openxmlformats.org/officeDocument/2006/relationships/hyperlink" Target="https://www.itu.int/en/ITU-T/studygroups/2017-2020/11/Pages/exec-sum-201807.aspx" TargetMode="External"/><Relationship Id="rId50" Type="http://schemas.openxmlformats.org/officeDocument/2006/relationships/hyperlink" Target="https://www.itu.int/net/ITU-T/res69/secured/notifications.aspx" TargetMode="External"/><Relationship Id="rId55" Type="http://schemas.openxmlformats.org/officeDocument/2006/relationships/hyperlink" Target="https://academy.itu.int/index.php?option=com_content&amp;view=article&amp;id=154&amp;Itemid=588&amp;lang=en" TargetMode="External"/><Relationship Id="rId63" Type="http://schemas.openxmlformats.org/officeDocument/2006/relationships/hyperlink" Target="https://www.itu.int/itu-d/tnd-map-public/"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15-CL-C-0112/es" TargetMode="External"/><Relationship Id="rId29" Type="http://schemas.openxmlformats.org/officeDocument/2006/relationships/hyperlink" Target="http://www.itu.int/en/action/internet/Documents/Resolution_20_wtdc1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33-S.pdf" TargetMode="External"/><Relationship Id="rId24" Type="http://schemas.openxmlformats.org/officeDocument/2006/relationships/hyperlink" Target="https://www.itu.int/pub/T-RES-T.64-2016/es" TargetMode="External"/><Relationship Id="rId32" Type="http://schemas.openxmlformats.org/officeDocument/2006/relationships/hyperlink" Target="http://www.itu.int/en/action/internet/Documents/Resolution_45_wtdc14.pdf" TargetMode="External"/><Relationship Id="rId37" Type="http://schemas.openxmlformats.org/officeDocument/2006/relationships/hyperlink" Target="https://www.itu.int/en/ITU-T/studygroups/2017-2020/15/Pages/exec-sum-201810.aspx" TargetMode="External"/><Relationship Id="rId40" Type="http://schemas.openxmlformats.org/officeDocument/2006/relationships/hyperlink" Target="https://www.itu.int/es/mediacentre/Pages/2018-PR34.aspx" TargetMode="External"/><Relationship Id="rId45" Type="http://schemas.openxmlformats.org/officeDocument/2006/relationships/hyperlink" Target="https://www.itu.int/en/ITU-T/studygroups/2017-2020/03/Documents/Executive%20Summary%20of%20ITU-T%20Study%20Group%203%20Meeting%20(Geneva,%209%E2%80%9318%20April%202018).pdf" TargetMode="External"/><Relationship Id="rId53" Type="http://schemas.openxmlformats.org/officeDocument/2006/relationships/hyperlink" Target="https://www.itu.int/pub/D-STG-SG02/es" TargetMode="External"/><Relationship Id="rId58" Type="http://schemas.openxmlformats.org/officeDocument/2006/relationships/hyperlink" Target="https://www.itu.int/pub/D-STG-SG01.01.1-2017/es"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15-CL-C-0113/es" TargetMode="External"/><Relationship Id="rId23" Type="http://schemas.openxmlformats.org/officeDocument/2006/relationships/hyperlink" Target="https://www.itu.int/pub/T-RES-T.60-2016/es" TargetMode="External"/><Relationship Id="rId28" Type="http://schemas.openxmlformats.org/officeDocument/2006/relationships/hyperlink" Target="https://www.itu.int/md/D14-WTDC17-C-0115/es" TargetMode="External"/><Relationship Id="rId36" Type="http://schemas.openxmlformats.org/officeDocument/2006/relationships/hyperlink" Target="https://www.itu.int/ITU-T/workprog/wp_search.aspx?isn_sp=3925&amp;isn_status=-1,2&amp;adf=2018-02-01&amp;adt=2019-03-31&amp;pg_size=100&amp;details=0&amp;field=acdefghijo" TargetMode="External"/><Relationship Id="rId49" Type="http://schemas.openxmlformats.org/officeDocument/2006/relationships/hyperlink" Target="https://www.itu.int/net/ITU-T/res69/Default.aspx" TargetMode="External"/><Relationship Id="rId57" Type="http://schemas.openxmlformats.org/officeDocument/2006/relationships/hyperlink" Target="http://www.itu.int/itu-t/workprog/wp_item.aspx?isn=14423" TargetMode="External"/><Relationship Id="rId61" Type="http://schemas.openxmlformats.org/officeDocument/2006/relationships/hyperlink" Target="https://www.itu.int/md/S18-CL-C-0051/es" TargetMode="External"/><Relationship Id="rId10" Type="http://schemas.openxmlformats.org/officeDocument/2006/relationships/hyperlink" Target="https://www.itu.int/en/council/Documents/basic-texts/RES-102-S.pdf" TargetMode="External"/><Relationship Id="rId19" Type="http://schemas.openxmlformats.org/officeDocument/2006/relationships/hyperlink" Target="https://www.itu.int/pub/T-RES-T.49-2016/es" TargetMode="External"/><Relationship Id="rId31" Type="http://schemas.openxmlformats.org/officeDocument/2006/relationships/hyperlink" Target="http://www.itu.int/en/action/internet/Documents/Resolution_63_wtdc14.pdf" TargetMode="External"/><Relationship Id="rId44" Type="http://schemas.openxmlformats.org/officeDocument/2006/relationships/hyperlink" Target="https://news.itu.int/workshop-on-quality-of-service-regulation/" TargetMode="External"/><Relationship Id="rId52" Type="http://schemas.openxmlformats.org/officeDocument/2006/relationships/hyperlink" Target="https://www.itu.int/pub/D-STG-SG01/es" TargetMode="External"/><Relationship Id="rId60" Type="http://schemas.openxmlformats.org/officeDocument/2006/relationships/hyperlink" Target="http://www.itu.int/council/groups/CWG-internet/index.html"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en/council/Documents/basic-texts/RES-101-S.pdf" TargetMode="External"/><Relationship Id="rId14" Type="http://schemas.openxmlformats.org/officeDocument/2006/relationships/hyperlink" Target="https://www.itu.int/md/S09-CL-C-0105/es" TargetMode="External"/><Relationship Id="rId22" Type="http://schemas.openxmlformats.org/officeDocument/2006/relationships/hyperlink" Target="https://www.itu.int/pub/T-RES-T.58-2016/es" TargetMode="External"/><Relationship Id="rId27" Type="http://schemas.openxmlformats.org/officeDocument/2006/relationships/hyperlink" Target="https://www.itu.int/pub/T-RES-T.98-2016/es" TargetMode="External"/><Relationship Id="rId30" Type="http://schemas.openxmlformats.org/officeDocument/2006/relationships/hyperlink" Target="http://www.itu.int/en/action/internet/Documents/Resolution_30_wtdc14.pdf" TargetMode="External"/><Relationship Id="rId35" Type="http://schemas.openxmlformats.org/officeDocument/2006/relationships/hyperlink" Target="https://www.itu.int/md/S18-CL-C-0033/es" TargetMode="External"/><Relationship Id="rId43" Type="http://schemas.openxmlformats.org/officeDocument/2006/relationships/hyperlink" Target="https://www.itu.int/en/ITU-T/studygroups/2017-2020/16/Pages/results-1807.aspx" TargetMode="External"/><Relationship Id="rId48" Type="http://schemas.openxmlformats.org/officeDocument/2006/relationships/hyperlink" Target="https://www.itu.int/md/S19-CL-C-0018/es" TargetMode="External"/><Relationship Id="rId56" Type="http://schemas.openxmlformats.org/officeDocument/2006/relationships/hyperlink" Target="http://www.itu.int/en/ITU-T/C-I/interop/I3GT/Pages/default.aspx" TargetMode="External"/><Relationship Id="rId64"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www.itu.int/net4/ITU-D/CDS/sg/index.asp?lg=3&amp;sp=2018&amp;stg=" TargetMode="External"/><Relationship Id="rId3" Type="http://schemas.openxmlformats.org/officeDocument/2006/relationships/styles" Target="styles.xml"/><Relationship Id="rId12" Type="http://schemas.openxmlformats.org/officeDocument/2006/relationships/hyperlink" Target="https://www.itu.int/en/council/Documents/basic-texts/RES-180-S.pdf" TargetMode="External"/><Relationship Id="rId17" Type="http://schemas.openxmlformats.org/officeDocument/2006/relationships/hyperlink" Target="https://www.itu.int/pub/T-RES-T.47-2016/es" TargetMode="External"/><Relationship Id="rId25" Type="http://schemas.openxmlformats.org/officeDocument/2006/relationships/hyperlink" Target="https://www.itu.int/pub/T-RES-T.69-2016/es" TargetMode="External"/><Relationship Id="rId33" Type="http://schemas.openxmlformats.org/officeDocument/2006/relationships/hyperlink" Target="https://www.itu.int/md/S16-CL-C-0033/es" TargetMode="External"/><Relationship Id="rId38" Type="http://schemas.openxmlformats.org/officeDocument/2006/relationships/hyperlink" Target="https://news.itu.int/versatile-video-coding-project-starts-strongly/" TargetMode="External"/><Relationship Id="rId46" Type="http://schemas.openxmlformats.org/officeDocument/2006/relationships/hyperlink" Target="https://news.itu.int/renewed-international-commitment-to-combat-counterfeiting/" TargetMode="External"/><Relationship Id="rId59" Type="http://schemas.openxmlformats.org/officeDocument/2006/relationships/hyperlink" Target="https://www.itu.int/net4/ITU-D/CDS/sg/rgqlist.asp?lg=3&amp;sp=2014&amp;rgq=D14-SG01-RGQ01.1&amp;stg=1" TargetMode="External"/><Relationship Id="rId67" Type="http://schemas.openxmlformats.org/officeDocument/2006/relationships/fontTable" Target="fontTable.xml"/><Relationship Id="rId20" Type="http://schemas.openxmlformats.org/officeDocument/2006/relationships/hyperlink" Target="https://www.itu.int/pub/T-RES-T.50-2016/es" TargetMode="External"/><Relationship Id="rId41" Type="http://schemas.openxmlformats.org/officeDocument/2006/relationships/hyperlink" Target="https://news.itu.int/artificial-intelligence-health-call-proposals/" TargetMode="External"/><Relationship Id="rId54" Type="http://schemas.openxmlformats.org/officeDocument/2006/relationships/hyperlink" Target="https://academy.itu.int/" TargetMode="External"/><Relationship Id="rId62" Type="http://schemas.openxmlformats.org/officeDocument/2006/relationships/hyperlink" Target="http://www.itu.int/ITU-T/inr/enu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5AED0-4B51-4A0B-89FA-38291FC0E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PS_C19.dotx</Template>
  <TotalTime>0</TotalTime>
  <Pages>7</Pages>
  <Words>3609</Words>
  <Characters>22801</Characters>
  <Application>Microsoft Office Word</Application>
  <DocSecurity>0</DocSecurity>
  <Lines>190</Lines>
  <Paragraphs>52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26358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Actividades en el ámbito de Internet</dc:title>
  <dc:subject>Consejo 2018</dc:subject>
  <dc:creator>Santiago, Genoveva</dc:creator>
  <cp:keywords>C2019, C19</cp:keywords>
  <dc:description/>
  <cp:lastModifiedBy>Brouard, Ricarda</cp:lastModifiedBy>
  <cp:revision>2</cp:revision>
  <cp:lastPrinted>2019-05-07T08:37:00Z</cp:lastPrinted>
  <dcterms:created xsi:type="dcterms:W3CDTF">2019-05-13T08:04:00Z</dcterms:created>
  <dcterms:modified xsi:type="dcterms:W3CDTF">2019-05-13T08:04:00Z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