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490962">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90962">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90962">
            <w:pPr>
              <w:spacing w:before="0"/>
              <w:rPr>
                <w:b/>
                <w:bCs/>
                <w:sz w:val="26"/>
                <w:szCs w:val="26"/>
                <w:lang w:val="fr-CH"/>
              </w:rPr>
            </w:pPr>
          </w:p>
        </w:tc>
        <w:tc>
          <w:tcPr>
            <w:tcW w:w="3261" w:type="dxa"/>
            <w:tcBorders>
              <w:bottom w:val="single" w:sz="12" w:space="0" w:color="auto"/>
            </w:tcBorders>
          </w:tcPr>
          <w:p w:rsidR="00520F36" w:rsidRPr="0092392D" w:rsidRDefault="00520F36" w:rsidP="00490962">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90962">
            <w:pPr>
              <w:spacing w:before="0"/>
              <w:rPr>
                <w:smallCaps/>
                <w:sz w:val="22"/>
                <w:lang w:val="fr-CH"/>
              </w:rPr>
            </w:pPr>
          </w:p>
        </w:tc>
        <w:tc>
          <w:tcPr>
            <w:tcW w:w="3261" w:type="dxa"/>
            <w:tcBorders>
              <w:top w:val="single" w:sz="12" w:space="0" w:color="auto"/>
            </w:tcBorders>
          </w:tcPr>
          <w:p w:rsidR="00520F36" w:rsidRPr="0092392D" w:rsidRDefault="00520F36" w:rsidP="00490962">
            <w:pPr>
              <w:spacing w:before="0"/>
              <w:rPr>
                <w:b/>
                <w:bCs/>
              </w:rPr>
            </w:pPr>
          </w:p>
        </w:tc>
      </w:tr>
      <w:tr w:rsidR="00520F36" w:rsidRPr="0092392D">
        <w:trPr>
          <w:cantSplit/>
          <w:trHeight w:val="20"/>
        </w:trPr>
        <w:tc>
          <w:tcPr>
            <w:tcW w:w="6912" w:type="dxa"/>
            <w:vMerge w:val="restart"/>
          </w:tcPr>
          <w:p w:rsidR="00520F36" w:rsidRPr="00520F36" w:rsidRDefault="00490962" w:rsidP="00490962">
            <w:pPr>
              <w:spacing w:before="0"/>
              <w:rPr>
                <w:rFonts w:cs="Times"/>
                <w:b/>
                <w:bCs/>
                <w:szCs w:val="24"/>
                <w:lang w:val="fr-CH"/>
              </w:rPr>
            </w:pPr>
            <w:bookmarkStart w:id="2" w:name="dnum" w:colFirst="1" w:colLast="1"/>
            <w:bookmarkStart w:id="3" w:name="dmeeting" w:colFirst="0" w:colLast="0"/>
            <w:r w:rsidRPr="00490962">
              <w:rPr>
                <w:rFonts w:cs="Times"/>
                <w:b/>
                <w:bCs/>
                <w:szCs w:val="24"/>
                <w:lang w:val="fr-CH"/>
              </w:rPr>
              <w:t>Point de l'ordre du jour : ADM 10</w:t>
            </w:r>
          </w:p>
        </w:tc>
        <w:tc>
          <w:tcPr>
            <w:tcW w:w="3261" w:type="dxa"/>
          </w:tcPr>
          <w:p w:rsidR="00520F36" w:rsidRPr="00520F36" w:rsidRDefault="00520F36" w:rsidP="00490962">
            <w:pPr>
              <w:spacing w:before="0"/>
              <w:rPr>
                <w:b/>
                <w:bCs/>
              </w:rPr>
            </w:pPr>
            <w:r>
              <w:rPr>
                <w:b/>
                <w:bCs/>
              </w:rPr>
              <w:t>Document C1</w:t>
            </w:r>
            <w:r w:rsidR="00106B19">
              <w:rPr>
                <w:b/>
                <w:bCs/>
              </w:rPr>
              <w:t>9</w:t>
            </w:r>
            <w:r>
              <w:rPr>
                <w:b/>
                <w:bCs/>
              </w:rPr>
              <w:t>/</w:t>
            </w:r>
            <w:r w:rsidR="00490962">
              <w:rPr>
                <w:b/>
                <w:bCs/>
              </w:rPr>
              <w:t>34</w:t>
            </w:r>
            <w:r>
              <w:rPr>
                <w:b/>
                <w:bCs/>
              </w:rPr>
              <w:t>-F</w:t>
            </w:r>
          </w:p>
        </w:tc>
      </w:tr>
      <w:tr w:rsidR="00520F36" w:rsidRPr="0092392D">
        <w:trPr>
          <w:cantSplit/>
          <w:trHeight w:val="20"/>
        </w:trPr>
        <w:tc>
          <w:tcPr>
            <w:tcW w:w="6912" w:type="dxa"/>
            <w:vMerge/>
          </w:tcPr>
          <w:p w:rsidR="00520F36" w:rsidRPr="0092392D" w:rsidRDefault="00520F36" w:rsidP="00490962">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490962" w:rsidP="00490962">
            <w:pPr>
              <w:spacing w:before="0"/>
              <w:rPr>
                <w:b/>
                <w:bCs/>
              </w:rPr>
            </w:pPr>
            <w:r>
              <w:rPr>
                <w:b/>
                <w:bCs/>
              </w:rPr>
              <w:t xml:space="preserve">13 février </w:t>
            </w:r>
            <w:r w:rsidR="00520F36">
              <w:rPr>
                <w:b/>
                <w:bCs/>
              </w:rPr>
              <w:t>201</w:t>
            </w:r>
            <w:r w:rsidR="00106B19">
              <w:rPr>
                <w:b/>
                <w:bCs/>
              </w:rPr>
              <w:t>9</w:t>
            </w:r>
          </w:p>
        </w:tc>
      </w:tr>
      <w:tr w:rsidR="00520F36" w:rsidRPr="0092392D">
        <w:trPr>
          <w:cantSplit/>
          <w:trHeight w:val="20"/>
        </w:trPr>
        <w:tc>
          <w:tcPr>
            <w:tcW w:w="6912" w:type="dxa"/>
            <w:vMerge/>
          </w:tcPr>
          <w:p w:rsidR="00520F36" w:rsidRPr="0092392D" w:rsidRDefault="00520F36" w:rsidP="00490962">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490962">
            <w:pPr>
              <w:spacing w:before="0"/>
              <w:rPr>
                <w:b/>
                <w:bCs/>
              </w:rPr>
            </w:pPr>
            <w:r>
              <w:rPr>
                <w:b/>
                <w:bCs/>
              </w:rPr>
              <w:t>Original: anglais</w:t>
            </w:r>
          </w:p>
        </w:tc>
      </w:tr>
      <w:tr w:rsidR="00520F36" w:rsidRPr="0092392D">
        <w:trPr>
          <w:cantSplit/>
        </w:trPr>
        <w:tc>
          <w:tcPr>
            <w:tcW w:w="10173" w:type="dxa"/>
            <w:gridSpan w:val="2"/>
          </w:tcPr>
          <w:p w:rsidR="00520F36" w:rsidRPr="0092392D" w:rsidRDefault="00490962" w:rsidP="00490962">
            <w:pPr>
              <w:pStyle w:val="Source"/>
            </w:pPr>
            <w:bookmarkStart w:id="6" w:name="dsource" w:colFirst="0" w:colLast="0"/>
            <w:bookmarkEnd w:id="5"/>
            <w:r w:rsidRPr="00490962">
              <w:t>Rapport du Secrétaire</w:t>
            </w:r>
            <w:bookmarkStart w:id="7" w:name="_GoBack"/>
            <w:bookmarkEnd w:id="7"/>
            <w:r w:rsidRPr="00490962">
              <w:t xml:space="preserve"> général</w:t>
            </w:r>
          </w:p>
        </w:tc>
      </w:tr>
      <w:tr w:rsidR="00520F36" w:rsidRPr="0092392D">
        <w:trPr>
          <w:cantSplit/>
        </w:trPr>
        <w:tc>
          <w:tcPr>
            <w:tcW w:w="10173" w:type="dxa"/>
            <w:gridSpan w:val="2"/>
          </w:tcPr>
          <w:p w:rsidR="00520F36" w:rsidRPr="0092392D" w:rsidRDefault="00490962" w:rsidP="00490962">
            <w:pPr>
              <w:pStyle w:val="Title1"/>
            </w:pPr>
            <w:bookmarkStart w:id="8" w:name="dtitle1" w:colFirst="0" w:colLast="0"/>
            <w:bookmarkEnd w:id="6"/>
            <w:r>
              <w:t xml:space="preserve">FONDS POUR LE DÉVELOPPEMENT DES TECHNOLOGIES DE L'INFORMATION </w:t>
            </w:r>
            <w:r>
              <w:br/>
              <w:t>ET DE LA COMMUNICATION (FDTIC)</w:t>
            </w:r>
          </w:p>
        </w:tc>
      </w:tr>
      <w:bookmarkEnd w:id="8"/>
    </w:tbl>
    <w:p w:rsidR="00520F36" w:rsidRPr="0092392D" w:rsidRDefault="00520F36" w:rsidP="00490962">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490962">
            <w:pPr>
              <w:pStyle w:val="Headingb"/>
              <w:rPr>
                <w:lang w:val="fr-CH"/>
              </w:rPr>
            </w:pPr>
            <w:r w:rsidRPr="0092392D">
              <w:rPr>
                <w:lang w:val="fr-CH"/>
              </w:rPr>
              <w:t>Résumé</w:t>
            </w:r>
          </w:p>
          <w:p w:rsidR="00520F36" w:rsidRPr="0092392D" w:rsidRDefault="00490962" w:rsidP="00490962">
            <w:pPr>
              <w:rPr>
                <w:lang w:val="fr-CH"/>
              </w:rPr>
            </w:pPr>
            <w:r w:rsidRPr="00490962">
              <w:rPr>
                <w:lang w:val="fr-CH"/>
              </w:rPr>
              <w:t>Le présent document a pour objet de rendre compte de la situation du Fonds pour le développement des technologies de l'information et de la communication (FDTIC) en ce qui concerne son utilisation pour la mise en œuvre de projets de développement.</w:t>
            </w:r>
          </w:p>
          <w:p w:rsidR="00520F36" w:rsidRPr="0092392D" w:rsidRDefault="00520F36" w:rsidP="00490962">
            <w:pPr>
              <w:pStyle w:val="Headingb"/>
              <w:rPr>
                <w:lang w:val="fr-CH"/>
              </w:rPr>
            </w:pPr>
            <w:r w:rsidRPr="0092392D">
              <w:rPr>
                <w:lang w:val="fr-CH"/>
              </w:rPr>
              <w:t>Suite à donner</w:t>
            </w:r>
          </w:p>
          <w:p w:rsidR="00520F36" w:rsidRPr="0092392D" w:rsidRDefault="00490962" w:rsidP="00490962">
            <w:pPr>
              <w:rPr>
                <w:lang w:val="fr-CH"/>
              </w:rPr>
            </w:pPr>
            <w:r w:rsidRPr="00D01FA9">
              <w:rPr>
                <w:szCs w:val="24"/>
                <w:lang w:val="fr-CH"/>
              </w:rPr>
              <w:t xml:space="preserve">Le Conseil est invité à </w:t>
            </w:r>
            <w:r w:rsidRPr="0076035B">
              <w:rPr>
                <w:b/>
                <w:bCs/>
                <w:szCs w:val="24"/>
                <w:lang w:val="fr-CH"/>
              </w:rPr>
              <w:t>prendre note</w:t>
            </w:r>
            <w:r w:rsidRPr="00D01FA9">
              <w:rPr>
                <w:szCs w:val="24"/>
                <w:lang w:val="fr-CH"/>
              </w:rPr>
              <w:t xml:space="preserve"> du </w:t>
            </w:r>
            <w:r>
              <w:rPr>
                <w:szCs w:val="24"/>
                <w:lang w:val="fr-CH"/>
              </w:rPr>
              <w:t>r</w:t>
            </w:r>
            <w:r w:rsidRPr="00D01FA9">
              <w:rPr>
                <w:szCs w:val="24"/>
                <w:lang w:val="fr-CH"/>
              </w:rPr>
              <w:t xml:space="preserve">apport et à </w:t>
            </w:r>
            <w:r w:rsidRPr="0076035B">
              <w:rPr>
                <w:b/>
                <w:bCs/>
                <w:szCs w:val="24"/>
                <w:lang w:val="fr-CH"/>
              </w:rPr>
              <w:t xml:space="preserve">formuler les </w:t>
            </w:r>
            <w:r>
              <w:rPr>
                <w:b/>
                <w:bCs/>
                <w:szCs w:val="24"/>
                <w:lang w:val="fr-CH"/>
              </w:rPr>
              <w:t>avis</w:t>
            </w:r>
            <w:r w:rsidRPr="00D01FA9">
              <w:rPr>
                <w:szCs w:val="24"/>
                <w:lang w:val="fr-CH"/>
              </w:rPr>
              <w:t xml:space="preserve"> qu</w:t>
            </w:r>
            <w:r>
              <w:rPr>
                <w:szCs w:val="24"/>
                <w:lang w:val="fr-CH"/>
              </w:rPr>
              <w:t>'</w:t>
            </w:r>
            <w:r w:rsidRPr="00D01FA9">
              <w:rPr>
                <w:szCs w:val="24"/>
                <w:lang w:val="fr-CH"/>
              </w:rPr>
              <w:t>il jugera utiles.</w:t>
            </w:r>
          </w:p>
          <w:p w:rsidR="00520F36" w:rsidRPr="0092392D" w:rsidRDefault="00520F36" w:rsidP="00490962">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490962">
            <w:pPr>
              <w:pStyle w:val="Headingb"/>
              <w:rPr>
                <w:lang w:val="fr-CH"/>
              </w:rPr>
            </w:pPr>
            <w:r w:rsidRPr="0092392D">
              <w:rPr>
                <w:lang w:val="fr-CH"/>
              </w:rPr>
              <w:t>Références</w:t>
            </w:r>
          </w:p>
          <w:p w:rsidR="00520F36" w:rsidRPr="0092392D" w:rsidRDefault="009B5695" w:rsidP="00490962">
            <w:pPr>
              <w:spacing w:after="120"/>
              <w:rPr>
                <w:i/>
                <w:iCs/>
                <w:lang w:val="fr-CH"/>
              </w:rPr>
            </w:pPr>
            <w:hyperlink r:id="rId9" w:history="1">
              <w:r w:rsidR="00490962" w:rsidRPr="005D5AD3">
                <w:rPr>
                  <w:rStyle w:val="Hyperlink"/>
                  <w:i/>
                  <w:iCs/>
                  <w:lang w:val="fr-CH"/>
                </w:rPr>
                <w:t>Résolution 11 (</w:t>
              </w:r>
              <w:proofErr w:type="spellStart"/>
              <w:r w:rsidR="00490962" w:rsidRPr="005D5AD3">
                <w:rPr>
                  <w:rStyle w:val="Hyperlink"/>
                  <w:i/>
                  <w:iCs/>
                  <w:lang w:val="fr-CH"/>
                </w:rPr>
                <w:t>Rév</w:t>
              </w:r>
              <w:proofErr w:type="spellEnd"/>
              <w:r w:rsidR="00490962" w:rsidRPr="005D5AD3">
                <w:rPr>
                  <w:rStyle w:val="Hyperlink"/>
                  <w:i/>
                  <w:iCs/>
                  <w:lang w:val="fr-CH"/>
                </w:rPr>
                <w:t>. Dubaï, 2018)</w:t>
              </w:r>
            </w:hyperlink>
            <w:r w:rsidR="00490962" w:rsidRPr="00490962">
              <w:rPr>
                <w:i/>
                <w:iCs/>
                <w:lang w:val="fr-CH"/>
              </w:rPr>
              <w:t xml:space="preserve"> de la Conférence de plénipotentiaires; Résolutions </w:t>
            </w:r>
            <w:hyperlink r:id="rId10" w:history="1">
              <w:r w:rsidR="00490962" w:rsidRPr="005D5AD3">
                <w:rPr>
                  <w:rStyle w:val="Hyperlink"/>
                  <w:i/>
                  <w:iCs/>
                  <w:lang w:val="fr-CH"/>
                </w:rPr>
                <w:t>1111</w:t>
              </w:r>
            </w:hyperlink>
            <w:r w:rsidR="00490962" w:rsidRPr="00490962">
              <w:rPr>
                <w:i/>
                <w:iCs/>
                <w:lang w:val="fr-CH"/>
              </w:rPr>
              <w:t xml:space="preserve"> et </w:t>
            </w:r>
            <w:hyperlink r:id="rId11" w:history="1">
              <w:r w:rsidR="00490962" w:rsidRPr="005D5AD3">
                <w:rPr>
                  <w:rStyle w:val="Hyperlink"/>
                  <w:i/>
                  <w:iCs/>
                  <w:lang w:val="fr-CH"/>
                </w:rPr>
                <w:t>1338</w:t>
              </w:r>
            </w:hyperlink>
            <w:r w:rsidR="00490962" w:rsidRPr="00490962">
              <w:rPr>
                <w:i/>
                <w:iCs/>
                <w:lang w:val="fr-CH"/>
              </w:rPr>
              <w:t xml:space="preserve"> du Conseil.</w:t>
            </w:r>
          </w:p>
        </w:tc>
      </w:tr>
    </w:tbl>
    <w:p w:rsidR="00490962" w:rsidRPr="00D540CC" w:rsidRDefault="00490962" w:rsidP="00490962">
      <w:pPr>
        <w:pStyle w:val="Heading1"/>
      </w:pPr>
      <w:r>
        <w:t>1</w:t>
      </w:r>
      <w:r>
        <w:tab/>
      </w:r>
      <w:r w:rsidRPr="00D540CC">
        <w:t>Introduction</w:t>
      </w:r>
    </w:p>
    <w:p w:rsidR="00490962" w:rsidRPr="00B03831" w:rsidRDefault="00490962" w:rsidP="00490962">
      <w:pPr>
        <w:rPr>
          <w:b/>
          <w:lang w:val="fr-CH"/>
        </w:rPr>
      </w:pPr>
      <w:r w:rsidRPr="00B03831">
        <w:rPr>
          <w:lang w:val="fr-CH"/>
        </w:rPr>
        <w:t>1.1</w:t>
      </w:r>
      <w:r w:rsidRPr="00B03831">
        <w:rPr>
          <w:lang w:val="fr-CH"/>
        </w:rPr>
        <w:tab/>
      </w:r>
      <w:r w:rsidRPr="00D01FA9">
        <w:rPr>
          <w:lang w:val="fr-CH"/>
        </w:rPr>
        <w:t>L</w:t>
      </w:r>
      <w:r>
        <w:rPr>
          <w:lang w:val="fr-CH"/>
        </w:rPr>
        <w:t>'</w:t>
      </w:r>
      <w:r w:rsidRPr="00D01FA9">
        <w:rPr>
          <w:lang w:val="fr-CH"/>
        </w:rPr>
        <w:t>une des fonctions de l</w:t>
      </w:r>
      <w:r>
        <w:rPr>
          <w:lang w:val="fr-CH"/>
        </w:rPr>
        <w:t>'</w:t>
      </w:r>
      <w:r w:rsidRPr="00D01FA9">
        <w:rPr>
          <w:lang w:val="fr-CH"/>
        </w:rPr>
        <w:t>UIT</w:t>
      </w:r>
      <w:r>
        <w:rPr>
          <w:lang w:val="fr-CH"/>
        </w:rPr>
        <w:t>,</w:t>
      </w:r>
      <w:r w:rsidRPr="00D01FA9">
        <w:rPr>
          <w:lang w:val="fr-CH"/>
        </w:rPr>
        <w:t xml:space="preserve"> et du Secteur du développem</w:t>
      </w:r>
      <w:r>
        <w:rPr>
          <w:lang w:val="fr-CH"/>
        </w:rPr>
        <w:t>ent des télécommunications (UIT</w:t>
      </w:r>
      <w:r>
        <w:rPr>
          <w:lang w:val="fr-CH"/>
        </w:rPr>
        <w:noBreakHyphen/>
      </w:r>
      <w:r w:rsidRPr="00D01FA9">
        <w:rPr>
          <w:lang w:val="fr-CH"/>
        </w:rPr>
        <w:t>D) en particulier</w:t>
      </w:r>
      <w:r>
        <w:rPr>
          <w:lang w:val="fr-CH"/>
        </w:rPr>
        <w:t>,</w:t>
      </w:r>
      <w:r w:rsidRPr="00D01FA9">
        <w:rPr>
          <w:lang w:val="fr-CH"/>
        </w:rPr>
        <w:t xml:space="preserve"> consiste à s</w:t>
      </w:r>
      <w:r>
        <w:rPr>
          <w:lang w:val="fr-CH"/>
        </w:rPr>
        <w:t>'</w:t>
      </w:r>
      <w:r w:rsidRPr="00D01FA9">
        <w:rPr>
          <w:lang w:val="fr-CH"/>
        </w:rPr>
        <w:t>acquitter de la double responsabilité de l</w:t>
      </w:r>
      <w:r>
        <w:rPr>
          <w:lang w:val="fr-CH"/>
        </w:rPr>
        <w:t>'</w:t>
      </w:r>
      <w:r w:rsidRPr="00D01FA9">
        <w:rPr>
          <w:lang w:val="fr-CH"/>
        </w:rPr>
        <w:t>Union en tant qu</w:t>
      </w:r>
      <w:r>
        <w:rPr>
          <w:lang w:val="fr-CH"/>
        </w:rPr>
        <w:t>'</w:t>
      </w:r>
      <w:r w:rsidRPr="00D01FA9">
        <w:rPr>
          <w:lang w:val="fr-CH"/>
        </w:rPr>
        <w:t>institution spécialisée des Nations Unies et agent d</w:t>
      </w:r>
      <w:r>
        <w:rPr>
          <w:lang w:val="fr-CH"/>
        </w:rPr>
        <w:t>'</w:t>
      </w:r>
      <w:r w:rsidRPr="00D01FA9">
        <w:rPr>
          <w:lang w:val="fr-CH"/>
        </w:rPr>
        <w:t>exécution pour la mise en œuvre de projets, conformément à la Constitution de l</w:t>
      </w:r>
      <w:r>
        <w:rPr>
          <w:lang w:val="fr-CH"/>
        </w:rPr>
        <w:t>'</w:t>
      </w:r>
      <w:r w:rsidRPr="00D01FA9">
        <w:rPr>
          <w:lang w:val="fr-CH"/>
        </w:rPr>
        <w:t>UIT.</w:t>
      </w:r>
    </w:p>
    <w:p w:rsidR="00490962" w:rsidRPr="006939A5" w:rsidRDefault="00490962" w:rsidP="005D5AD3">
      <w:pPr>
        <w:rPr>
          <w:rFonts w:cstheme="minorHAnsi"/>
          <w:lang w:val="fr-CH"/>
        </w:rPr>
      </w:pPr>
      <w:r w:rsidRPr="00156E46">
        <w:rPr>
          <w:rFonts w:cstheme="minorHAnsi"/>
          <w:lang w:val="fr-CH"/>
        </w:rPr>
        <w:t>1.2</w:t>
      </w:r>
      <w:r w:rsidRPr="00156E46">
        <w:rPr>
          <w:rFonts w:cstheme="minorHAnsi"/>
          <w:lang w:val="fr-CH"/>
        </w:rPr>
        <w:tab/>
        <w:t xml:space="preserve">Le </w:t>
      </w:r>
      <w:r w:rsidRPr="00D01FA9">
        <w:rPr>
          <w:lang w:val="fr-CH"/>
        </w:rPr>
        <w:t>Fonds pour le développement des technologies de l</w:t>
      </w:r>
      <w:r>
        <w:rPr>
          <w:lang w:val="fr-CH"/>
        </w:rPr>
        <w:t>'</w:t>
      </w:r>
      <w:r w:rsidRPr="00D01FA9">
        <w:rPr>
          <w:lang w:val="fr-CH"/>
        </w:rPr>
        <w:t>information et de la communication (</w:t>
      </w:r>
      <w:hyperlink r:id="rId12" w:history="1">
        <w:r w:rsidRPr="00A62AD8">
          <w:rPr>
            <w:rStyle w:val="Hyperlink"/>
            <w:lang w:val="fr-CH"/>
          </w:rPr>
          <w:t>FDTIC</w:t>
        </w:r>
      </w:hyperlink>
      <w:r w:rsidRPr="00D01FA9">
        <w:rPr>
          <w:lang w:val="fr-CH"/>
        </w:rPr>
        <w:t>)</w:t>
      </w:r>
      <w:r>
        <w:rPr>
          <w:lang w:val="fr-CH"/>
        </w:rPr>
        <w:t xml:space="preserve"> est le fruit d'une initiative spéciale lancée en 1997, qui vise à soutenir la mise en œuvre de </w:t>
      </w:r>
      <w:proofErr w:type="gramStart"/>
      <w:r>
        <w:rPr>
          <w:lang w:val="fr-CH"/>
        </w:rPr>
        <w:t>projets</w:t>
      </w:r>
      <w:proofErr w:type="gramEnd"/>
      <w:r>
        <w:rPr>
          <w:lang w:val="fr-CH"/>
        </w:rPr>
        <w:t xml:space="preserve"> en faveur du développement en vue de parvenir au développement durable. Il s'appuie sur des partenariats </w:t>
      </w:r>
      <w:proofErr w:type="gramStart"/>
      <w:r>
        <w:rPr>
          <w:lang w:val="fr-CH"/>
        </w:rPr>
        <w:t>multi</w:t>
      </w:r>
      <w:r w:rsidR="005D5AD3">
        <w:rPr>
          <w:lang w:val="fr-CH"/>
        </w:rPr>
        <w:t>-parties prenantes</w:t>
      </w:r>
      <w:proofErr w:type="gramEnd"/>
      <w:r w:rsidR="005D5AD3">
        <w:rPr>
          <w:lang w:val="fr-CH"/>
        </w:rPr>
        <w:t xml:space="preserve"> conclus par d</w:t>
      </w:r>
      <w:r>
        <w:rPr>
          <w:lang w:val="fr-CH"/>
        </w:rPr>
        <w:t>es États M</w:t>
      </w:r>
      <w:r w:rsidR="005D5AD3">
        <w:rPr>
          <w:lang w:val="fr-CH"/>
        </w:rPr>
        <w:t>embres de l'UIT, des Membres de</w:t>
      </w:r>
      <w:r>
        <w:rPr>
          <w:lang w:val="fr-CH"/>
        </w:rPr>
        <w:t xml:space="preserve"> Secteurs</w:t>
      </w:r>
      <w:r w:rsidR="005D5AD3">
        <w:rPr>
          <w:lang w:val="fr-CH"/>
        </w:rPr>
        <w:t xml:space="preserve"> de l'UIT</w:t>
      </w:r>
      <w:r>
        <w:rPr>
          <w:lang w:val="fr-CH"/>
        </w:rPr>
        <w:t xml:space="preserve">, des membres des secteurs public et privé, des organisations multilatérales, des fondations, des </w:t>
      </w:r>
      <w:r w:rsidR="005D5AD3">
        <w:rPr>
          <w:lang w:val="fr-CH"/>
        </w:rPr>
        <w:t>établissements financiers</w:t>
      </w:r>
      <w:r>
        <w:rPr>
          <w:lang w:val="fr-CH"/>
        </w:rPr>
        <w:t xml:space="preserve"> et des </w:t>
      </w:r>
      <w:r w:rsidR="005D5AD3">
        <w:rPr>
          <w:lang w:val="fr-CH"/>
        </w:rPr>
        <w:t xml:space="preserve">organismes </w:t>
      </w:r>
      <w:r>
        <w:rPr>
          <w:lang w:val="fr-CH"/>
        </w:rPr>
        <w:t>de développement.</w:t>
      </w:r>
    </w:p>
    <w:p w:rsidR="00490962" w:rsidRPr="00AE2C3D" w:rsidRDefault="00490962" w:rsidP="00490962">
      <w:pPr>
        <w:pStyle w:val="Heading1"/>
        <w:rPr>
          <w:lang w:val="fr-CH"/>
        </w:rPr>
      </w:pPr>
      <w:r>
        <w:rPr>
          <w:lang w:val="fr-CH"/>
        </w:rPr>
        <w:lastRenderedPageBreak/>
        <w:t>2</w:t>
      </w:r>
      <w:r w:rsidRPr="00AE2C3D">
        <w:rPr>
          <w:lang w:val="fr-CH"/>
        </w:rPr>
        <w:tab/>
        <w:t>Principales règles et procédures du FDTIC</w:t>
      </w:r>
    </w:p>
    <w:p w:rsidR="00490962" w:rsidRPr="005D6496" w:rsidRDefault="00490962" w:rsidP="005D5AD3">
      <w:pPr>
        <w:rPr>
          <w:rFonts w:cstheme="minorHAnsi"/>
          <w:b/>
          <w:lang w:val="fr-CH"/>
        </w:rPr>
      </w:pPr>
      <w:r w:rsidRPr="00652B20">
        <w:rPr>
          <w:lang w:val="fr-CH"/>
        </w:rPr>
        <w:t>2.1</w:t>
      </w:r>
      <w:r w:rsidRPr="00652B20">
        <w:rPr>
          <w:lang w:val="fr-CH"/>
        </w:rPr>
        <w:tab/>
        <w:t xml:space="preserve">En principe, le FDTIC est utilisé comme capital de démarrage, généralement jusqu'à 25% du coût total d'un projet de développement. </w:t>
      </w:r>
      <w:r w:rsidRPr="005D6496">
        <w:rPr>
          <w:lang w:val="fr-CH"/>
        </w:rPr>
        <w:t xml:space="preserve">Le capital de démarrage est destiné à attirer des fonds extrabudgétaires levés </w:t>
      </w:r>
      <w:r>
        <w:rPr>
          <w:lang w:val="fr-CH"/>
        </w:rPr>
        <w:t>en</w:t>
      </w:r>
      <w:r w:rsidRPr="005D6496">
        <w:rPr>
          <w:lang w:val="fr-CH"/>
        </w:rPr>
        <w:t xml:space="preserve"> mobili</w:t>
      </w:r>
      <w:r>
        <w:rPr>
          <w:lang w:val="fr-CH"/>
        </w:rPr>
        <w:t>s</w:t>
      </w:r>
      <w:r w:rsidRPr="005D6496">
        <w:rPr>
          <w:lang w:val="fr-CH"/>
        </w:rPr>
        <w:t>a</w:t>
      </w:r>
      <w:r>
        <w:rPr>
          <w:lang w:val="fr-CH"/>
        </w:rPr>
        <w:t>n</w:t>
      </w:r>
      <w:r w:rsidRPr="005D6496">
        <w:rPr>
          <w:lang w:val="fr-CH"/>
        </w:rPr>
        <w:t xml:space="preserve">t des ressources </w:t>
      </w:r>
      <w:r w:rsidR="005D5AD3">
        <w:rPr>
          <w:lang w:val="fr-CH"/>
        </w:rPr>
        <w:t xml:space="preserve">sous la forme de contributions </w:t>
      </w:r>
      <w:r w:rsidRPr="005D6496">
        <w:rPr>
          <w:lang w:val="fr-CH"/>
        </w:rPr>
        <w:t xml:space="preserve">en espèces </w:t>
      </w:r>
      <w:r>
        <w:rPr>
          <w:lang w:val="fr-CH"/>
        </w:rPr>
        <w:t>et</w:t>
      </w:r>
      <w:r w:rsidRPr="005D6496">
        <w:rPr>
          <w:lang w:val="fr-CH"/>
        </w:rPr>
        <w:t xml:space="preserve">, </w:t>
      </w:r>
      <w:r>
        <w:rPr>
          <w:lang w:val="fr-CH"/>
        </w:rPr>
        <w:t>dans certains cas, en nature,</w:t>
      </w:r>
      <w:r w:rsidRPr="005D6496">
        <w:rPr>
          <w:lang w:val="fr-CH"/>
        </w:rPr>
        <w:t xml:space="preserve"> </w:t>
      </w:r>
      <w:r>
        <w:rPr>
          <w:lang w:val="fr-CH"/>
        </w:rPr>
        <w:t>pour financer des projets aux niveaux national, régional et international</w:t>
      </w:r>
      <w:r w:rsidRPr="005D6496">
        <w:rPr>
          <w:lang w:val="fr-CH"/>
        </w:rPr>
        <w:t>.</w:t>
      </w:r>
    </w:p>
    <w:p w:rsidR="00490962" w:rsidRPr="00A300BD" w:rsidRDefault="00490962" w:rsidP="00490962">
      <w:pPr>
        <w:rPr>
          <w:rFonts w:cstheme="minorHAnsi"/>
          <w:szCs w:val="24"/>
          <w:lang w:val="fr-CH"/>
        </w:rPr>
      </w:pPr>
      <w:r w:rsidRPr="00A300BD">
        <w:rPr>
          <w:szCs w:val="24"/>
          <w:lang w:val="fr-CH"/>
        </w:rPr>
        <w:t>2.2</w:t>
      </w:r>
      <w:r w:rsidRPr="00A300BD">
        <w:rPr>
          <w:szCs w:val="24"/>
          <w:lang w:val="fr-CH"/>
        </w:rPr>
        <w:tab/>
      </w:r>
      <w:r>
        <w:rPr>
          <w:szCs w:val="24"/>
          <w:lang w:val="fr-CH"/>
        </w:rPr>
        <w:t>Conformément à</w:t>
      </w:r>
      <w:r w:rsidRPr="00A300BD">
        <w:rPr>
          <w:szCs w:val="24"/>
          <w:lang w:val="fr-CH"/>
        </w:rPr>
        <w:t xml:space="preserve"> </w:t>
      </w:r>
      <w:r w:rsidRPr="001D2757">
        <w:rPr>
          <w:lang w:val="fr-CH"/>
        </w:rPr>
        <w:t xml:space="preserve">la procédure adoptée, les propositions de projets </w:t>
      </w:r>
      <w:r>
        <w:rPr>
          <w:lang w:val="fr-CH"/>
        </w:rPr>
        <w:t>de développement, y compris les contributions connexes en espèces et en nature, peuvent être soumises au FDTIC à l'adresse</w:t>
      </w:r>
      <w:r w:rsidRPr="001D2757">
        <w:rPr>
          <w:lang w:val="fr-CH"/>
        </w:rPr>
        <w:t xml:space="preserve"> </w:t>
      </w:r>
      <w:hyperlink r:id="rId13" w:history="1">
        <w:r w:rsidRPr="001D2757">
          <w:rPr>
            <w:rStyle w:val="Hyperlink"/>
            <w:szCs w:val="24"/>
            <w:lang w:val="fr-CH"/>
          </w:rPr>
          <w:t>bdtictdf@itu.int</w:t>
        </w:r>
      </w:hyperlink>
      <w:r w:rsidRPr="00740126">
        <w:rPr>
          <w:lang w:val="fr-CH"/>
        </w:rPr>
        <w:t>,</w:t>
      </w:r>
      <w:r w:rsidRPr="001D2757">
        <w:rPr>
          <w:lang w:val="fr-CH"/>
        </w:rPr>
        <w:t xml:space="preserve"> </w:t>
      </w:r>
      <w:r>
        <w:rPr>
          <w:lang w:val="fr-CH"/>
        </w:rPr>
        <w:t>afin que leur admissibilité à bénéficier du financement du FDTIC soit examinée</w:t>
      </w:r>
      <w:r w:rsidRPr="00A300BD">
        <w:rPr>
          <w:szCs w:val="24"/>
          <w:lang w:val="fr-CH"/>
        </w:rPr>
        <w:t>.</w:t>
      </w:r>
    </w:p>
    <w:p w:rsidR="00490962" w:rsidRDefault="00490962" w:rsidP="00490962">
      <w:pPr>
        <w:rPr>
          <w:lang w:val="fr-CH"/>
        </w:rPr>
      </w:pPr>
      <w:r w:rsidRPr="00446CC7">
        <w:rPr>
          <w:szCs w:val="24"/>
          <w:lang w:val="fr-CH"/>
        </w:rPr>
        <w:t>2.3</w:t>
      </w:r>
      <w:r w:rsidRPr="00446CC7">
        <w:rPr>
          <w:szCs w:val="24"/>
          <w:lang w:val="fr-CH"/>
        </w:rPr>
        <w:tab/>
      </w:r>
      <w:r w:rsidRPr="001D2757">
        <w:rPr>
          <w:lang w:val="fr-CH"/>
        </w:rPr>
        <w:t xml:space="preserve">Les projets proposés en faveur du développement sont administrés </w:t>
      </w:r>
      <w:r>
        <w:rPr>
          <w:lang w:val="fr-CH"/>
        </w:rPr>
        <w:t>conformément aux critères suivants en matière de sélection et d'éligibilité, entre autres:</w:t>
      </w:r>
    </w:p>
    <w:p w:rsidR="00490962" w:rsidRPr="00446CC7" w:rsidRDefault="00490962" w:rsidP="00490962">
      <w:pPr>
        <w:pStyle w:val="enumlev1"/>
        <w:rPr>
          <w:lang w:val="fr-CH"/>
        </w:rPr>
      </w:pPr>
      <w:r>
        <w:rPr>
          <w:lang w:val="fr-CH"/>
        </w:rPr>
        <w:t>–</w:t>
      </w:r>
      <w:r w:rsidRPr="00446CC7">
        <w:rPr>
          <w:lang w:val="fr-CH"/>
        </w:rPr>
        <w:tab/>
        <w:t>Le projet doit bénéficier à un pays au moins parmi les pays les moins avancés (PMA), les petits États insulaires en développement (PEID), les pays en développement sans littoral, les pays dont l'économie est en transition et ceux ayant des besoins spéciaux.</w:t>
      </w:r>
    </w:p>
    <w:p w:rsidR="00490962" w:rsidRPr="00446CC7" w:rsidRDefault="00490962" w:rsidP="00490962">
      <w:pPr>
        <w:pStyle w:val="enumlev1"/>
        <w:rPr>
          <w:lang w:val="fr-CH"/>
        </w:rPr>
      </w:pPr>
      <w:r>
        <w:rPr>
          <w:lang w:val="fr-CH"/>
        </w:rPr>
        <w:t>–</w:t>
      </w:r>
      <w:r w:rsidRPr="00446CC7">
        <w:rPr>
          <w:lang w:val="fr-CH"/>
        </w:rPr>
        <w:tab/>
        <w:t>Le projet doit relever de l'une des catégories/de l'un des thèmes suivants</w:t>
      </w:r>
      <w:r>
        <w:rPr>
          <w:rStyle w:val="FootnoteReference"/>
          <w:lang w:val="fr-CH"/>
        </w:rPr>
        <w:footnoteReference w:id="1"/>
      </w:r>
      <w:r w:rsidRPr="00446CC7">
        <w:rPr>
          <w:lang w:val="fr-CH"/>
        </w:rPr>
        <w:t xml:space="preserve">: </w:t>
      </w:r>
    </w:p>
    <w:p w:rsidR="00490962" w:rsidRPr="00AE2C3D" w:rsidRDefault="00490962" w:rsidP="00490962">
      <w:pPr>
        <w:pStyle w:val="enumlev2"/>
        <w:rPr>
          <w:lang w:val="fr-CH"/>
        </w:rPr>
      </w:pPr>
      <w:r w:rsidRPr="00490962">
        <w:rPr>
          <w:lang w:val="fr-CH"/>
        </w:rPr>
        <w:t>•</w:t>
      </w:r>
      <w:r w:rsidRPr="00AE2C3D">
        <w:rPr>
          <w:lang w:val="fr-CH"/>
        </w:rPr>
        <w:tab/>
        <w:t>Renforcement des capacités</w:t>
      </w:r>
    </w:p>
    <w:p w:rsidR="00490962" w:rsidRPr="00AE2C3D" w:rsidRDefault="00490962" w:rsidP="00490962">
      <w:pPr>
        <w:pStyle w:val="enumlev2"/>
        <w:rPr>
          <w:lang w:val="fr-CH"/>
        </w:rPr>
      </w:pPr>
      <w:r w:rsidRPr="00490962">
        <w:rPr>
          <w:lang w:val="fr-CH"/>
        </w:rPr>
        <w:t>•</w:t>
      </w:r>
      <w:r w:rsidRPr="00AE2C3D">
        <w:rPr>
          <w:lang w:val="fr-CH"/>
        </w:rPr>
        <w:tab/>
        <w:t>Changements climatiques</w:t>
      </w:r>
    </w:p>
    <w:p w:rsidR="00490962" w:rsidRPr="00AE2C3D" w:rsidRDefault="00490962" w:rsidP="00490962">
      <w:pPr>
        <w:pStyle w:val="enumlev2"/>
        <w:rPr>
          <w:lang w:val="fr-CH"/>
        </w:rPr>
      </w:pPr>
      <w:r w:rsidRPr="00490962">
        <w:rPr>
          <w:lang w:val="fr-CH"/>
        </w:rPr>
        <w:t>•</w:t>
      </w:r>
      <w:r w:rsidRPr="00AE2C3D">
        <w:rPr>
          <w:lang w:val="fr-CH"/>
        </w:rPr>
        <w:tab/>
      </w:r>
      <w:proofErr w:type="spellStart"/>
      <w:r w:rsidRPr="00AE2C3D">
        <w:rPr>
          <w:lang w:val="fr-CH"/>
        </w:rPr>
        <w:t>Cybersécurité</w:t>
      </w:r>
      <w:proofErr w:type="spellEnd"/>
    </w:p>
    <w:p w:rsidR="00490962" w:rsidRPr="00AE2C3D" w:rsidRDefault="00490962" w:rsidP="00490962">
      <w:pPr>
        <w:pStyle w:val="enumlev2"/>
        <w:rPr>
          <w:lang w:val="fr-CH"/>
        </w:rPr>
      </w:pPr>
      <w:r w:rsidRPr="00490962">
        <w:rPr>
          <w:lang w:val="fr-CH"/>
        </w:rPr>
        <w:t>•</w:t>
      </w:r>
      <w:r w:rsidRPr="00AE2C3D">
        <w:rPr>
          <w:lang w:val="fr-CH"/>
        </w:rPr>
        <w:tab/>
        <w:t>Inclusion numérique</w:t>
      </w:r>
    </w:p>
    <w:p w:rsidR="00490962" w:rsidRPr="00AE2C3D" w:rsidRDefault="00490962" w:rsidP="00490962">
      <w:pPr>
        <w:pStyle w:val="enumlev2"/>
        <w:rPr>
          <w:lang w:val="fr-CH"/>
        </w:rPr>
      </w:pPr>
      <w:r w:rsidRPr="00490962">
        <w:rPr>
          <w:lang w:val="fr-CH"/>
        </w:rPr>
        <w:t>•</w:t>
      </w:r>
      <w:r w:rsidRPr="00AE2C3D">
        <w:rPr>
          <w:lang w:val="fr-CH"/>
        </w:rPr>
        <w:tab/>
        <w:t>Télécommunications d'urgence</w:t>
      </w:r>
    </w:p>
    <w:p w:rsidR="00490962" w:rsidRPr="00AE2C3D" w:rsidRDefault="00490962" w:rsidP="00490962">
      <w:pPr>
        <w:pStyle w:val="enumlev2"/>
        <w:rPr>
          <w:lang w:val="fr-CH"/>
        </w:rPr>
      </w:pPr>
      <w:r w:rsidRPr="00490962">
        <w:rPr>
          <w:lang w:val="fr-CH"/>
        </w:rPr>
        <w:t>•</w:t>
      </w:r>
      <w:r w:rsidRPr="00AE2C3D">
        <w:rPr>
          <w:lang w:val="fr-CH"/>
        </w:rPr>
        <w:tab/>
        <w:t>Applications TIC</w:t>
      </w:r>
    </w:p>
    <w:p w:rsidR="00490962" w:rsidRPr="00AE2C3D" w:rsidRDefault="00490962" w:rsidP="00490962">
      <w:pPr>
        <w:pStyle w:val="enumlev2"/>
        <w:rPr>
          <w:lang w:val="fr-CH"/>
        </w:rPr>
      </w:pPr>
      <w:r w:rsidRPr="00490962">
        <w:rPr>
          <w:lang w:val="fr-CH"/>
        </w:rPr>
        <w:t>•</w:t>
      </w:r>
      <w:r w:rsidRPr="00AE2C3D">
        <w:rPr>
          <w:lang w:val="fr-CH"/>
        </w:rPr>
        <w:tab/>
        <w:t>Innovation</w:t>
      </w:r>
    </w:p>
    <w:p w:rsidR="00490962" w:rsidRPr="00446CC7" w:rsidRDefault="00490962" w:rsidP="00490962">
      <w:pPr>
        <w:pStyle w:val="enumlev2"/>
        <w:rPr>
          <w:lang w:val="fr-CH"/>
        </w:rPr>
      </w:pPr>
      <w:r w:rsidRPr="00490962">
        <w:rPr>
          <w:lang w:val="fr-CH"/>
        </w:rPr>
        <w:t>•</w:t>
      </w:r>
      <w:r w:rsidRPr="00AE2C3D">
        <w:rPr>
          <w:lang w:val="fr-CH"/>
        </w:rPr>
        <w:tab/>
        <w:t>Environnemen</w:t>
      </w:r>
      <w:r w:rsidRPr="00446CC7">
        <w:rPr>
          <w:lang w:val="fr-CH"/>
        </w:rPr>
        <w:t>t réglementaire et commercial</w:t>
      </w:r>
    </w:p>
    <w:p w:rsidR="00490962" w:rsidRPr="00446CC7" w:rsidRDefault="00490962" w:rsidP="00490962">
      <w:pPr>
        <w:pStyle w:val="enumlev2"/>
        <w:rPr>
          <w:lang w:val="fr-CH"/>
        </w:rPr>
      </w:pPr>
      <w:r w:rsidRPr="00490962">
        <w:rPr>
          <w:lang w:val="fr-CH"/>
        </w:rPr>
        <w:t>•</w:t>
      </w:r>
      <w:r w:rsidRPr="00AE2C3D">
        <w:rPr>
          <w:lang w:val="fr-CH"/>
        </w:rPr>
        <w:tab/>
      </w:r>
      <w:r w:rsidRPr="00446CC7">
        <w:rPr>
          <w:lang w:val="fr-CH"/>
        </w:rPr>
        <w:t>Statistiques et indicateurs</w:t>
      </w:r>
    </w:p>
    <w:p w:rsidR="00490962" w:rsidRPr="00D01FA9" w:rsidRDefault="00490962" w:rsidP="00490962">
      <w:pPr>
        <w:pStyle w:val="enumlev2"/>
        <w:rPr>
          <w:lang w:val="fr-CH"/>
        </w:rPr>
      </w:pPr>
      <w:r w:rsidRPr="00490962">
        <w:rPr>
          <w:lang w:val="fr-CH"/>
        </w:rPr>
        <w:t>•</w:t>
      </w:r>
      <w:r w:rsidRPr="00AE2C3D">
        <w:rPr>
          <w:lang w:val="fr-CH"/>
        </w:rPr>
        <w:tab/>
      </w:r>
      <w:r w:rsidRPr="00D01FA9">
        <w:rPr>
          <w:lang w:val="fr-CH"/>
        </w:rPr>
        <w:t>Gestion du spectre et radiodiffusion</w:t>
      </w:r>
    </w:p>
    <w:p w:rsidR="00490962" w:rsidRPr="00D01FA9" w:rsidRDefault="00490962" w:rsidP="00490962">
      <w:pPr>
        <w:pStyle w:val="enumlev2"/>
        <w:rPr>
          <w:lang w:val="fr-CH"/>
        </w:rPr>
      </w:pPr>
      <w:r w:rsidRPr="00490962">
        <w:rPr>
          <w:lang w:val="fr-CH"/>
        </w:rPr>
        <w:t>•</w:t>
      </w:r>
      <w:r w:rsidRPr="00AE2C3D">
        <w:rPr>
          <w:lang w:val="fr-CH"/>
        </w:rPr>
        <w:tab/>
      </w:r>
      <w:r w:rsidRPr="00D01FA9">
        <w:rPr>
          <w:lang w:val="fr-CH"/>
        </w:rPr>
        <w:t>Assistance aux pays ayant des besoins spéciaux</w:t>
      </w:r>
    </w:p>
    <w:p w:rsidR="00490962" w:rsidRPr="00446CC7" w:rsidRDefault="005D5AD3" w:rsidP="005D5AD3">
      <w:pPr>
        <w:pStyle w:val="enumlev2"/>
        <w:rPr>
          <w:lang w:val="fr-CH"/>
        </w:rPr>
      </w:pPr>
      <w:r w:rsidRPr="00490962">
        <w:rPr>
          <w:lang w:val="fr-CH"/>
        </w:rPr>
        <w:t>•</w:t>
      </w:r>
      <w:r w:rsidR="00490962" w:rsidRPr="00446CC7">
        <w:rPr>
          <w:lang w:val="fr-CH"/>
        </w:rPr>
        <w:tab/>
        <w:t xml:space="preserve">Tout autre </w:t>
      </w:r>
      <w:r w:rsidR="00490962">
        <w:rPr>
          <w:lang w:val="fr-CH"/>
        </w:rPr>
        <w:t>thème</w:t>
      </w:r>
      <w:r w:rsidR="00490962" w:rsidRPr="00446CC7">
        <w:rPr>
          <w:lang w:val="fr-CH"/>
        </w:rPr>
        <w:t xml:space="preserve"> jugé important par la Commission de direction du FDTIC</w:t>
      </w:r>
      <w:r w:rsidR="00490962">
        <w:rPr>
          <w:rStyle w:val="FootnoteReference"/>
        </w:rPr>
        <w:footnoteReference w:id="2"/>
      </w:r>
      <w:r w:rsidR="00490962" w:rsidRPr="00446CC7">
        <w:rPr>
          <w:lang w:val="fr-CH"/>
        </w:rPr>
        <w:t>.</w:t>
      </w:r>
    </w:p>
    <w:p w:rsidR="00490962" w:rsidRDefault="00490962" w:rsidP="005D5AD3">
      <w:pPr>
        <w:rPr>
          <w:szCs w:val="24"/>
          <w:lang w:val="fr-CH"/>
        </w:rPr>
      </w:pPr>
      <w:r w:rsidRPr="00446CC7">
        <w:rPr>
          <w:szCs w:val="24"/>
          <w:lang w:val="fr-CH"/>
        </w:rPr>
        <w:t>2.4</w:t>
      </w:r>
      <w:r w:rsidRPr="00446CC7">
        <w:rPr>
          <w:szCs w:val="24"/>
          <w:lang w:val="fr-CH"/>
        </w:rPr>
        <w:tab/>
      </w:r>
      <w:r>
        <w:rPr>
          <w:lang w:val="fr-CH"/>
        </w:rPr>
        <w:t>Des analyses et des évaluations des</w:t>
      </w:r>
      <w:r w:rsidRPr="001D2757">
        <w:rPr>
          <w:lang w:val="fr-CH"/>
        </w:rPr>
        <w:t xml:space="preserve"> propositions de projets</w:t>
      </w:r>
      <w:r>
        <w:rPr>
          <w:lang w:val="fr-CH"/>
        </w:rPr>
        <w:t xml:space="preserve"> </w:t>
      </w:r>
      <w:r w:rsidR="005D5AD3">
        <w:rPr>
          <w:lang w:val="fr-CH"/>
        </w:rPr>
        <w:t xml:space="preserve">sont réalisées à intervalles réguliers pour </w:t>
      </w:r>
      <w:r>
        <w:rPr>
          <w:lang w:val="fr-CH"/>
        </w:rPr>
        <w:t xml:space="preserve">veiller à ce que ces </w:t>
      </w:r>
      <w:r w:rsidR="005D5AD3">
        <w:rPr>
          <w:lang w:val="fr-CH"/>
        </w:rPr>
        <w:t xml:space="preserve">propositions </w:t>
      </w:r>
      <w:r>
        <w:rPr>
          <w:szCs w:val="24"/>
          <w:lang w:val="fr-CH"/>
        </w:rPr>
        <w:t>soient conformes</w:t>
      </w:r>
      <w:r w:rsidRPr="00446CC7">
        <w:rPr>
          <w:szCs w:val="24"/>
          <w:lang w:val="fr-CH"/>
        </w:rPr>
        <w:t xml:space="preserve"> </w:t>
      </w:r>
      <w:r>
        <w:rPr>
          <w:lang w:val="fr-CH"/>
        </w:rPr>
        <w:t>aux critères de sélection/d'éligibilité</w:t>
      </w:r>
      <w:r w:rsidR="005D5AD3">
        <w:rPr>
          <w:lang w:val="fr-CH"/>
        </w:rPr>
        <w:t>,</w:t>
      </w:r>
      <w:r>
        <w:rPr>
          <w:lang w:val="fr-CH"/>
        </w:rPr>
        <w:t xml:space="preserve"> </w:t>
      </w:r>
      <w:r w:rsidR="005D5AD3">
        <w:rPr>
          <w:lang w:val="fr-CH"/>
        </w:rPr>
        <w:t xml:space="preserve">avant que </w:t>
      </w:r>
      <w:r>
        <w:rPr>
          <w:lang w:val="fr-CH"/>
        </w:rPr>
        <w:t xml:space="preserve">ces propositions </w:t>
      </w:r>
      <w:r w:rsidR="005D5AD3">
        <w:rPr>
          <w:lang w:val="fr-CH"/>
        </w:rPr>
        <w:t xml:space="preserve">soient soumises </w:t>
      </w:r>
      <w:r>
        <w:rPr>
          <w:lang w:val="fr-CH"/>
        </w:rPr>
        <w:t xml:space="preserve">à la Commission </w:t>
      </w:r>
      <w:r w:rsidRPr="00D01FA9">
        <w:rPr>
          <w:lang w:val="fr-CH"/>
        </w:rPr>
        <w:t>de direction</w:t>
      </w:r>
      <w:r>
        <w:rPr>
          <w:lang w:val="fr-CH"/>
        </w:rPr>
        <w:t xml:space="preserve"> du</w:t>
      </w:r>
      <w:r w:rsidR="00D55800">
        <w:rPr>
          <w:lang w:val="fr-CH"/>
        </w:rPr>
        <w:t> </w:t>
      </w:r>
      <w:r w:rsidRPr="00D01FA9">
        <w:rPr>
          <w:lang w:val="fr-CH"/>
        </w:rPr>
        <w:t>FDTIC</w:t>
      </w:r>
      <w:r>
        <w:rPr>
          <w:lang w:val="fr-CH"/>
        </w:rPr>
        <w:t>.</w:t>
      </w:r>
    </w:p>
    <w:p w:rsidR="00490962" w:rsidRPr="002E38CE" w:rsidRDefault="00490962" w:rsidP="005D5AD3">
      <w:pPr>
        <w:keepLines/>
        <w:rPr>
          <w:lang w:val="fr-CH"/>
        </w:rPr>
      </w:pPr>
      <w:bookmarkStart w:id="9" w:name="dnote"/>
      <w:bookmarkEnd w:id="9"/>
      <w:r w:rsidRPr="00022FB9">
        <w:rPr>
          <w:szCs w:val="24"/>
          <w:lang w:val="fr-CH"/>
        </w:rPr>
        <w:lastRenderedPageBreak/>
        <w:t>2.5</w:t>
      </w:r>
      <w:r w:rsidRPr="00022FB9">
        <w:rPr>
          <w:szCs w:val="24"/>
          <w:lang w:val="fr-CH"/>
        </w:rPr>
        <w:tab/>
      </w:r>
      <w:r>
        <w:rPr>
          <w:lang w:val="fr-CH"/>
        </w:rPr>
        <w:t xml:space="preserve">La Commission </w:t>
      </w:r>
      <w:r w:rsidRPr="00D01FA9">
        <w:rPr>
          <w:lang w:val="fr-CH"/>
        </w:rPr>
        <w:t>de direction</w:t>
      </w:r>
      <w:r>
        <w:rPr>
          <w:lang w:val="fr-CH"/>
        </w:rPr>
        <w:t xml:space="preserve"> du</w:t>
      </w:r>
      <w:r w:rsidRPr="00D01FA9">
        <w:rPr>
          <w:lang w:val="fr-CH"/>
        </w:rPr>
        <w:t xml:space="preserve"> FDTIC:</w:t>
      </w:r>
      <w:r w:rsidRPr="002E38CE">
        <w:rPr>
          <w:lang w:val="fr-CH"/>
        </w:rPr>
        <w:t xml:space="preserve"> </w:t>
      </w:r>
      <w:r>
        <w:rPr>
          <w:lang w:val="fr-CH"/>
        </w:rPr>
        <w:t xml:space="preserve">a) </w:t>
      </w:r>
      <w:r w:rsidRPr="00D01FA9">
        <w:rPr>
          <w:lang w:val="fr-CH"/>
        </w:rPr>
        <w:t>examine et approuve les projets pour lesquels un financement est demandé;</w:t>
      </w:r>
      <w:r w:rsidRPr="002E38CE">
        <w:rPr>
          <w:lang w:val="fr-CH"/>
        </w:rPr>
        <w:t xml:space="preserve"> </w:t>
      </w:r>
      <w:r>
        <w:rPr>
          <w:lang w:val="fr-CH"/>
        </w:rPr>
        <w:t>b) approuve le montant</w:t>
      </w:r>
      <w:r w:rsidRPr="00D01FA9">
        <w:rPr>
          <w:lang w:val="fr-CH"/>
        </w:rPr>
        <w:t xml:space="preserve"> </w:t>
      </w:r>
      <w:r>
        <w:rPr>
          <w:lang w:val="fr-CH"/>
        </w:rPr>
        <w:t>du financement à attribuer</w:t>
      </w:r>
      <w:r w:rsidRPr="00D01FA9">
        <w:rPr>
          <w:lang w:val="fr-CH"/>
        </w:rPr>
        <w:t xml:space="preserve"> aux projets retenus</w:t>
      </w:r>
      <w:r>
        <w:rPr>
          <w:lang w:val="fr-CH"/>
        </w:rPr>
        <w:t xml:space="preserve"> par la Commission de direction du</w:t>
      </w:r>
      <w:r w:rsidRPr="00D01FA9">
        <w:rPr>
          <w:lang w:val="fr-CH"/>
        </w:rPr>
        <w:t xml:space="preserve"> FDTIC;</w:t>
      </w:r>
      <w:r w:rsidRPr="002E38CE">
        <w:rPr>
          <w:lang w:val="fr-CH"/>
        </w:rPr>
        <w:t xml:space="preserve"> </w:t>
      </w:r>
      <w:r w:rsidRPr="00D01FA9">
        <w:rPr>
          <w:lang w:val="fr-CH"/>
        </w:rPr>
        <w:t>et c) suit l</w:t>
      </w:r>
      <w:r>
        <w:rPr>
          <w:lang w:val="fr-CH"/>
        </w:rPr>
        <w:t>'</w:t>
      </w:r>
      <w:r w:rsidRPr="00D01FA9">
        <w:rPr>
          <w:lang w:val="fr-CH"/>
        </w:rPr>
        <w:t>évolution de la mise en œuvre et les résultats budgétaires des projets appuyés par le FDTIC.</w:t>
      </w:r>
    </w:p>
    <w:p w:rsidR="00490962" w:rsidRPr="00D07162" w:rsidRDefault="00490962" w:rsidP="00490962">
      <w:pPr>
        <w:rPr>
          <w:lang w:val="fr-CH"/>
        </w:rPr>
      </w:pPr>
      <w:r w:rsidRPr="00D07162">
        <w:rPr>
          <w:lang w:val="fr-CH"/>
        </w:rPr>
        <w:t>2.6</w:t>
      </w:r>
      <w:r w:rsidRPr="00D07162">
        <w:rPr>
          <w:lang w:val="fr-CH"/>
        </w:rPr>
        <w:tab/>
        <w:t>Un rapport annuel</w:t>
      </w:r>
      <w:r>
        <w:rPr>
          <w:lang w:val="fr-CH"/>
        </w:rPr>
        <w:t xml:space="preserve"> concernant la situation </w:t>
      </w:r>
      <w:r w:rsidRPr="00D07162">
        <w:rPr>
          <w:lang w:val="fr-CH"/>
        </w:rPr>
        <w:t xml:space="preserve">du FDTIC et </w:t>
      </w:r>
      <w:r>
        <w:rPr>
          <w:lang w:val="fr-CH"/>
        </w:rPr>
        <w:t xml:space="preserve">l'état d'avancement </w:t>
      </w:r>
      <w:r w:rsidRPr="00D07162">
        <w:rPr>
          <w:lang w:val="fr-CH"/>
        </w:rPr>
        <w:t>des pr</w:t>
      </w:r>
      <w:r>
        <w:rPr>
          <w:lang w:val="fr-CH"/>
        </w:rPr>
        <w:t>ojets financés approuvés par la Commission de direction du FDTIC est présenté</w:t>
      </w:r>
      <w:r w:rsidRPr="00D07162">
        <w:rPr>
          <w:lang w:val="fr-CH"/>
        </w:rPr>
        <w:t xml:space="preserve"> au Conseil de l</w:t>
      </w:r>
      <w:r>
        <w:rPr>
          <w:lang w:val="fr-CH"/>
        </w:rPr>
        <w:t>'</w:t>
      </w:r>
      <w:r w:rsidRPr="00D07162">
        <w:rPr>
          <w:lang w:val="fr-CH"/>
        </w:rPr>
        <w:t>UIT en vue d</w:t>
      </w:r>
      <w:r>
        <w:rPr>
          <w:lang w:val="fr-CH"/>
        </w:rPr>
        <w:t>'obtenir des avis et/ou son approbation, s'il y a lieu.</w:t>
      </w:r>
    </w:p>
    <w:p w:rsidR="00490962" w:rsidRPr="00A93D03" w:rsidRDefault="00490962" w:rsidP="00490962">
      <w:pPr>
        <w:pStyle w:val="Heading1"/>
        <w:rPr>
          <w:lang w:val="fr-CH"/>
        </w:rPr>
      </w:pPr>
      <w:r w:rsidRPr="00A93D03">
        <w:rPr>
          <w:lang w:val="fr-CH"/>
        </w:rPr>
        <w:t>3</w:t>
      </w:r>
      <w:r w:rsidRPr="00A93D03">
        <w:rPr>
          <w:lang w:val="fr-CH"/>
        </w:rPr>
        <w:tab/>
      </w:r>
      <w:r w:rsidRPr="00D01FA9">
        <w:rPr>
          <w:lang w:val="fr-CH"/>
        </w:rPr>
        <w:t>Principales activités du FDTIC et évolution</w:t>
      </w:r>
    </w:p>
    <w:p w:rsidR="00490962" w:rsidRPr="00C133D5" w:rsidRDefault="00490962" w:rsidP="00490962">
      <w:pPr>
        <w:rPr>
          <w:szCs w:val="24"/>
          <w:lang w:val="fr-CH"/>
        </w:rPr>
      </w:pPr>
      <w:r>
        <w:rPr>
          <w:lang w:val="fr-CH"/>
        </w:rPr>
        <w:t>3.1</w:t>
      </w:r>
      <w:r>
        <w:rPr>
          <w:lang w:val="fr-CH"/>
        </w:rPr>
        <w:tab/>
        <w:t>A l</w:t>
      </w:r>
      <w:r w:rsidRPr="00D01FA9">
        <w:rPr>
          <w:lang w:val="fr-CH"/>
        </w:rPr>
        <w:t>a 52</w:t>
      </w:r>
      <w:r w:rsidRPr="00022FB9">
        <w:rPr>
          <w:lang w:val="fr-CH"/>
        </w:rPr>
        <w:t>ème</w:t>
      </w:r>
      <w:r w:rsidRPr="00D01FA9">
        <w:rPr>
          <w:lang w:val="fr-CH"/>
        </w:rPr>
        <w:t xml:space="preserve"> réunion</w:t>
      </w:r>
      <w:r w:rsidRPr="00022FB9">
        <w:rPr>
          <w:lang w:val="fr-CH"/>
        </w:rPr>
        <w:t xml:space="preserve"> </w:t>
      </w:r>
      <w:r>
        <w:rPr>
          <w:lang w:val="fr-CH"/>
        </w:rPr>
        <w:t xml:space="preserve">de </w:t>
      </w:r>
      <w:r w:rsidRPr="00D01FA9">
        <w:rPr>
          <w:lang w:val="fr-CH"/>
        </w:rPr>
        <w:t xml:space="preserve">la Commission de direction du FDTIC, </w:t>
      </w:r>
      <w:r>
        <w:rPr>
          <w:lang w:val="fr-CH"/>
        </w:rPr>
        <w:t>tenue</w:t>
      </w:r>
      <w:r w:rsidRPr="00D01FA9">
        <w:rPr>
          <w:lang w:val="fr-CH"/>
        </w:rPr>
        <w:t xml:space="preserve"> le 12 décembre 2017, </w:t>
      </w:r>
      <w:r>
        <w:rPr>
          <w:lang w:val="fr-CH"/>
        </w:rPr>
        <w:t>l'état d'avancement de trois projets qui avaient été approuvés à la 51</w:t>
      </w:r>
      <w:r w:rsidRPr="00022FB9">
        <w:rPr>
          <w:lang w:val="fr-CH"/>
        </w:rPr>
        <w:t>ème</w:t>
      </w:r>
      <w:r>
        <w:rPr>
          <w:lang w:val="fr-CH"/>
        </w:rPr>
        <w:t xml:space="preserve"> réunion de la Commission a été examiné, et il a été procédé à l'évaluation de 14 p</w:t>
      </w:r>
      <w:r w:rsidR="00D55800">
        <w:rPr>
          <w:lang w:val="fr-CH"/>
        </w:rPr>
        <w:t>rojets en cours financés par le </w:t>
      </w:r>
      <w:r>
        <w:rPr>
          <w:lang w:val="fr-CH"/>
        </w:rPr>
        <w:t>FDTIC. La prochaine réunion de la Commission de direction du FDTIC aura lieu après réception de nouvelles propositions de projets qui remplissent les critères de sélection.</w:t>
      </w:r>
    </w:p>
    <w:p w:rsidR="00490962" w:rsidRPr="005C0DE1" w:rsidRDefault="00490962" w:rsidP="005C0DE1">
      <w:pPr>
        <w:pStyle w:val="Headingb"/>
        <w:rPr>
          <w:i/>
          <w:iCs/>
          <w:lang w:val="fr-CH"/>
        </w:rPr>
      </w:pPr>
      <w:r w:rsidRPr="005C0DE1">
        <w:rPr>
          <w:i/>
          <w:iCs/>
          <w:lang w:val="fr-CH"/>
        </w:rPr>
        <w:t xml:space="preserve">État d'avancement des projets relevant du FDTIC </w:t>
      </w:r>
    </w:p>
    <w:p w:rsidR="00490962" w:rsidRDefault="00490962" w:rsidP="00733462">
      <w:pPr>
        <w:rPr>
          <w:rFonts w:cstheme="minorHAnsi"/>
          <w:szCs w:val="24"/>
          <w:lang w:val="fr-CH"/>
        </w:rPr>
      </w:pPr>
      <w:r w:rsidRPr="00D107E1">
        <w:rPr>
          <w:rFonts w:cstheme="minorHAnsi"/>
          <w:szCs w:val="24"/>
          <w:lang w:val="fr-CH"/>
        </w:rPr>
        <w:t>3.2</w:t>
      </w:r>
      <w:r w:rsidRPr="00D107E1">
        <w:rPr>
          <w:rFonts w:cstheme="minorHAnsi"/>
          <w:szCs w:val="24"/>
          <w:lang w:val="fr-CH"/>
        </w:rPr>
        <w:tab/>
      </w:r>
      <w:r w:rsidRPr="00D01FA9">
        <w:rPr>
          <w:lang w:val="fr-CH"/>
        </w:rPr>
        <w:t>En décembre 201</w:t>
      </w:r>
      <w:r>
        <w:rPr>
          <w:lang w:val="fr-CH"/>
        </w:rPr>
        <w:t>8</w:t>
      </w:r>
      <w:r w:rsidRPr="00D01FA9">
        <w:rPr>
          <w:lang w:val="fr-CH"/>
        </w:rPr>
        <w:t xml:space="preserve">, </w:t>
      </w:r>
      <w:r>
        <w:rPr>
          <w:lang w:val="fr-CH"/>
        </w:rPr>
        <w:t>le</w:t>
      </w:r>
      <w:r w:rsidRPr="00D01FA9">
        <w:rPr>
          <w:lang w:val="fr-CH"/>
        </w:rPr>
        <w:t xml:space="preserve"> FDTIC </w:t>
      </w:r>
      <w:r>
        <w:rPr>
          <w:lang w:val="fr-CH"/>
        </w:rPr>
        <w:t>comptait</w:t>
      </w:r>
      <w:r w:rsidRPr="00D01FA9">
        <w:rPr>
          <w:lang w:val="fr-CH"/>
        </w:rPr>
        <w:t xml:space="preserve"> 1</w:t>
      </w:r>
      <w:r>
        <w:rPr>
          <w:lang w:val="fr-CH"/>
        </w:rPr>
        <w:t>6 projets en cours</w:t>
      </w:r>
      <w:r w:rsidRPr="00D01FA9">
        <w:rPr>
          <w:lang w:val="fr-CH"/>
        </w:rPr>
        <w:t xml:space="preserve">, </w:t>
      </w:r>
      <w:r>
        <w:rPr>
          <w:lang w:val="fr-CH"/>
        </w:rPr>
        <w:t>pour une valeur totale de</w:t>
      </w:r>
      <w:r w:rsidR="005C0DE1">
        <w:rPr>
          <w:rFonts w:cstheme="minorHAnsi"/>
          <w:szCs w:val="24"/>
          <w:lang w:val="fr-CH"/>
        </w:rPr>
        <w:t> </w:t>
      </w:r>
      <w:r w:rsidRPr="00D107E1">
        <w:rPr>
          <w:rFonts w:cstheme="minorHAnsi"/>
          <w:szCs w:val="24"/>
          <w:lang w:val="fr-CH"/>
        </w:rPr>
        <w:t>18</w:t>
      </w:r>
      <w:r>
        <w:rPr>
          <w:lang w:val="fr-CH"/>
        </w:rPr>
        <w:t> </w:t>
      </w:r>
      <w:r w:rsidRPr="00D107E1">
        <w:rPr>
          <w:rFonts w:cstheme="minorHAnsi"/>
          <w:szCs w:val="24"/>
          <w:lang w:val="fr-CH"/>
        </w:rPr>
        <w:t>043</w:t>
      </w:r>
      <w:r>
        <w:rPr>
          <w:rFonts w:cstheme="minorHAnsi"/>
          <w:szCs w:val="24"/>
          <w:lang w:val="fr-CH"/>
        </w:rPr>
        <w:t> </w:t>
      </w:r>
      <w:r w:rsidRPr="00D107E1">
        <w:rPr>
          <w:rFonts w:cstheme="minorHAnsi"/>
          <w:szCs w:val="24"/>
          <w:lang w:val="fr-CH"/>
        </w:rPr>
        <w:t xml:space="preserve">423 </w:t>
      </w:r>
      <w:r>
        <w:rPr>
          <w:rFonts w:cstheme="minorHAnsi"/>
          <w:szCs w:val="24"/>
          <w:lang w:val="fr-CH"/>
        </w:rPr>
        <w:t xml:space="preserve">CHF </w:t>
      </w:r>
      <w:r w:rsidRPr="00D107E1">
        <w:rPr>
          <w:rFonts w:cstheme="minorHAnsi"/>
          <w:szCs w:val="24"/>
          <w:lang w:val="fr-CH"/>
        </w:rPr>
        <w:t>(</w:t>
      </w:r>
      <w:r>
        <w:rPr>
          <w:rFonts w:cstheme="minorHAnsi"/>
          <w:szCs w:val="24"/>
          <w:lang w:val="fr-CH"/>
        </w:rPr>
        <w:t>financement extérieur</w:t>
      </w:r>
      <w:r w:rsidR="005D5AD3">
        <w:rPr>
          <w:rFonts w:cstheme="minorHAnsi"/>
          <w:szCs w:val="24"/>
          <w:lang w:val="fr-CH"/>
        </w:rPr>
        <w:t xml:space="preserve"> en espèces</w:t>
      </w:r>
      <w:r>
        <w:rPr>
          <w:rFonts w:cstheme="minorHAnsi"/>
          <w:szCs w:val="24"/>
          <w:lang w:val="fr-CH"/>
        </w:rPr>
        <w:t>: 65%;</w:t>
      </w:r>
      <w:r w:rsidRPr="00D107E1">
        <w:rPr>
          <w:rFonts w:cstheme="minorHAnsi"/>
          <w:szCs w:val="24"/>
          <w:lang w:val="fr-CH"/>
        </w:rPr>
        <w:t xml:space="preserve"> </w:t>
      </w:r>
      <w:r w:rsidRPr="00D01FA9">
        <w:rPr>
          <w:lang w:val="fr-CH"/>
        </w:rPr>
        <w:t>FDTIC</w:t>
      </w:r>
      <w:r>
        <w:rPr>
          <w:rFonts w:cstheme="minorHAnsi"/>
          <w:szCs w:val="24"/>
          <w:lang w:val="fr-CH"/>
        </w:rPr>
        <w:t xml:space="preserve">: </w:t>
      </w:r>
      <w:r w:rsidRPr="00D107E1">
        <w:rPr>
          <w:rFonts w:cstheme="minorHAnsi"/>
          <w:szCs w:val="24"/>
          <w:lang w:val="fr-CH"/>
        </w:rPr>
        <w:t xml:space="preserve">33% </w:t>
      </w:r>
      <w:r>
        <w:rPr>
          <w:rFonts w:cstheme="minorHAnsi"/>
          <w:szCs w:val="24"/>
          <w:lang w:val="fr-CH"/>
        </w:rPr>
        <w:t>et</w:t>
      </w:r>
      <w:r w:rsidRPr="00D107E1">
        <w:rPr>
          <w:rFonts w:cstheme="minorHAnsi"/>
          <w:szCs w:val="24"/>
          <w:lang w:val="fr-CH"/>
        </w:rPr>
        <w:t xml:space="preserve"> </w:t>
      </w:r>
      <w:r>
        <w:rPr>
          <w:rFonts w:cstheme="minorHAnsi"/>
          <w:szCs w:val="24"/>
          <w:lang w:val="fr-CH"/>
        </w:rPr>
        <w:t>financement du Plan opérationnel</w:t>
      </w:r>
      <w:r w:rsidR="005D5AD3">
        <w:rPr>
          <w:rFonts w:cstheme="minorHAnsi"/>
          <w:szCs w:val="24"/>
          <w:lang w:val="fr-CH"/>
        </w:rPr>
        <w:t xml:space="preserve"> en espèces</w:t>
      </w:r>
      <w:r>
        <w:rPr>
          <w:rFonts w:cstheme="minorHAnsi"/>
          <w:szCs w:val="24"/>
          <w:lang w:val="fr-CH"/>
        </w:rPr>
        <w:t>:</w:t>
      </w:r>
      <w:r w:rsidRPr="00D107E1">
        <w:rPr>
          <w:rFonts w:cstheme="minorHAnsi"/>
          <w:szCs w:val="24"/>
          <w:lang w:val="fr-CH"/>
        </w:rPr>
        <w:t xml:space="preserve"> 2%). </w:t>
      </w:r>
      <w:r w:rsidR="005D5AD3">
        <w:rPr>
          <w:rFonts w:cstheme="minorHAnsi"/>
          <w:szCs w:val="24"/>
          <w:lang w:val="fr-CH"/>
        </w:rPr>
        <w:t xml:space="preserve">La répartition de ces </w:t>
      </w:r>
      <w:r w:rsidRPr="0028010E">
        <w:rPr>
          <w:rFonts w:cstheme="minorHAnsi"/>
          <w:szCs w:val="24"/>
          <w:lang w:val="fr-CH"/>
        </w:rPr>
        <w:t>projets par région</w:t>
      </w:r>
      <w:r w:rsidR="005D5AD3">
        <w:rPr>
          <w:rFonts w:cstheme="minorHAnsi"/>
          <w:szCs w:val="24"/>
          <w:lang w:val="fr-CH"/>
        </w:rPr>
        <w:t xml:space="preserve"> est </w:t>
      </w:r>
      <w:r w:rsidRPr="0028010E">
        <w:rPr>
          <w:rFonts w:cstheme="minorHAnsi"/>
          <w:szCs w:val="24"/>
          <w:lang w:val="fr-CH"/>
        </w:rPr>
        <w:t>présenté</w:t>
      </w:r>
      <w:r w:rsidR="005D5AD3">
        <w:rPr>
          <w:rFonts w:cstheme="minorHAnsi"/>
          <w:szCs w:val="24"/>
          <w:lang w:val="fr-CH"/>
        </w:rPr>
        <w:t>e</w:t>
      </w:r>
      <w:r w:rsidRPr="0028010E">
        <w:rPr>
          <w:rFonts w:cstheme="minorHAnsi"/>
          <w:szCs w:val="24"/>
          <w:lang w:val="fr-CH"/>
        </w:rPr>
        <w:t xml:space="preserve"> </w:t>
      </w:r>
      <w:r>
        <w:rPr>
          <w:rFonts w:cstheme="minorHAnsi"/>
          <w:szCs w:val="24"/>
          <w:lang w:val="fr-CH"/>
        </w:rPr>
        <w:t>à</w:t>
      </w:r>
      <w:r w:rsidRPr="0028010E">
        <w:rPr>
          <w:rFonts w:cstheme="minorHAnsi"/>
          <w:szCs w:val="24"/>
          <w:lang w:val="fr-CH"/>
        </w:rPr>
        <w:t xml:space="preserve"> la Figure 1, la valeur des projets </w:t>
      </w:r>
      <w:r>
        <w:rPr>
          <w:rFonts w:cstheme="minorHAnsi"/>
          <w:szCs w:val="24"/>
          <w:lang w:val="fr-CH"/>
        </w:rPr>
        <w:t>par</w:t>
      </w:r>
      <w:r w:rsidRPr="0028010E">
        <w:rPr>
          <w:rFonts w:cstheme="minorHAnsi"/>
          <w:szCs w:val="24"/>
          <w:lang w:val="fr-CH"/>
        </w:rPr>
        <w:t xml:space="preserve"> région </w:t>
      </w:r>
      <w:r>
        <w:rPr>
          <w:rFonts w:cstheme="minorHAnsi"/>
          <w:szCs w:val="24"/>
          <w:lang w:val="fr-CH"/>
        </w:rPr>
        <w:t>étant présentée à la Figure</w:t>
      </w:r>
      <w:r w:rsidRPr="0028010E">
        <w:rPr>
          <w:rFonts w:cstheme="minorHAnsi"/>
          <w:szCs w:val="24"/>
          <w:lang w:val="fr-CH"/>
        </w:rPr>
        <w:t xml:space="preserve"> 2 </w:t>
      </w:r>
      <w:r>
        <w:rPr>
          <w:rFonts w:cstheme="minorHAnsi"/>
          <w:szCs w:val="24"/>
          <w:lang w:val="fr-CH"/>
        </w:rPr>
        <w:t>et leur mise en œuvre</w:t>
      </w:r>
      <w:r w:rsidRPr="0028010E">
        <w:rPr>
          <w:rFonts w:cstheme="minorHAnsi"/>
          <w:szCs w:val="24"/>
          <w:lang w:val="fr-CH"/>
        </w:rPr>
        <w:t xml:space="preserve"> </w:t>
      </w:r>
      <w:r>
        <w:rPr>
          <w:rFonts w:cstheme="minorHAnsi"/>
          <w:szCs w:val="24"/>
          <w:lang w:val="fr-CH"/>
        </w:rPr>
        <w:t>par</w:t>
      </w:r>
      <w:r w:rsidRPr="0028010E">
        <w:rPr>
          <w:rFonts w:cstheme="minorHAnsi"/>
          <w:szCs w:val="24"/>
          <w:lang w:val="fr-CH"/>
        </w:rPr>
        <w:t xml:space="preserve"> </w:t>
      </w:r>
      <w:r>
        <w:rPr>
          <w:rFonts w:cstheme="minorHAnsi"/>
          <w:szCs w:val="24"/>
          <w:lang w:val="fr-CH"/>
        </w:rPr>
        <w:t>domaine thématique étant présentée à la Figure</w:t>
      </w:r>
      <w:r w:rsidRPr="0028010E">
        <w:rPr>
          <w:rFonts w:cstheme="minorHAnsi"/>
          <w:szCs w:val="24"/>
          <w:lang w:val="fr-CH"/>
        </w:rPr>
        <w:t xml:space="preserve"> 3. </w:t>
      </w:r>
      <w:r w:rsidR="005D5AD3">
        <w:rPr>
          <w:rFonts w:cstheme="minorHAnsi"/>
          <w:szCs w:val="24"/>
          <w:lang w:val="fr-CH"/>
        </w:rPr>
        <w:t xml:space="preserve">Parmi les </w:t>
      </w:r>
      <w:r w:rsidRPr="00DE4ECF">
        <w:rPr>
          <w:rFonts w:cstheme="minorHAnsi"/>
          <w:szCs w:val="24"/>
          <w:lang w:val="fr-CH"/>
        </w:rPr>
        <w:t>exemples de projets relevant de différents domain</w:t>
      </w:r>
      <w:r>
        <w:rPr>
          <w:rFonts w:cstheme="minorHAnsi"/>
          <w:szCs w:val="24"/>
          <w:lang w:val="fr-CH"/>
        </w:rPr>
        <w:t>e</w:t>
      </w:r>
      <w:r w:rsidRPr="00DE4ECF">
        <w:rPr>
          <w:rFonts w:cstheme="minorHAnsi"/>
          <w:szCs w:val="24"/>
          <w:lang w:val="fr-CH"/>
        </w:rPr>
        <w:t xml:space="preserve">s thématiques, </w:t>
      </w:r>
      <w:r w:rsidR="005D5AD3">
        <w:rPr>
          <w:rFonts w:cstheme="minorHAnsi"/>
          <w:szCs w:val="24"/>
          <w:lang w:val="fr-CH"/>
        </w:rPr>
        <w:t xml:space="preserve">on peut citer </w:t>
      </w:r>
      <w:r w:rsidR="005D5AD3">
        <w:rPr>
          <w:lang w:val="fr-CH"/>
        </w:rPr>
        <w:t>l</w:t>
      </w:r>
      <w:r>
        <w:rPr>
          <w:lang w:val="fr-CH"/>
        </w:rPr>
        <w:t>'élaboration d'un réseau hertzien large bande pour l'Afrique (Mali, Burkina Faso, Rwanda</w:t>
      </w:r>
      <w:r>
        <w:rPr>
          <w:rFonts w:cstheme="minorHAnsi"/>
          <w:szCs w:val="24"/>
          <w:lang w:val="fr-CH"/>
        </w:rPr>
        <w:t xml:space="preserve">, Eswatini, Madagascar et </w:t>
      </w:r>
      <w:r w:rsidRPr="00687B3A">
        <w:rPr>
          <w:rFonts w:cstheme="minorHAnsi"/>
          <w:szCs w:val="24"/>
          <w:lang w:val="fr-CH"/>
        </w:rPr>
        <w:t>Djibouti</w:t>
      </w:r>
      <w:r>
        <w:rPr>
          <w:rFonts w:cstheme="minorHAnsi"/>
          <w:szCs w:val="24"/>
          <w:lang w:val="fr-CH"/>
        </w:rPr>
        <w:t xml:space="preserve">), le projet </w:t>
      </w:r>
      <w:r w:rsidRPr="00400AFA">
        <w:rPr>
          <w:rFonts w:cstheme="minorHAnsi"/>
          <w:szCs w:val="24"/>
          <w:lang w:val="fr-CH"/>
        </w:rPr>
        <w:t>visant à connecter les écoles</w:t>
      </w:r>
      <w:r>
        <w:rPr>
          <w:rFonts w:cstheme="minorHAnsi"/>
          <w:szCs w:val="24"/>
          <w:lang w:val="fr-CH"/>
        </w:rPr>
        <w:t xml:space="preserve"> en Palestine, </w:t>
      </w:r>
      <w:r w:rsidRPr="00687B3A">
        <w:rPr>
          <w:color w:val="000000"/>
          <w:lang w:val="fr-CH"/>
        </w:rPr>
        <w:t>le développement des télécommunications rurales</w:t>
      </w:r>
      <w:r>
        <w:rPr>
          <w:color w:val="000000"/>
          <w:lang w:val="fr-CH"/>
        </w:rPr>
        <w:t xml:space="preserve"> dans les pays les moins avancés</w:t>
      </w:r>
      <w:r w:rsidRPr="00DE4ECF">
        <w:rPr>
          <w:rFonts w:cstheme="minorHAnsi"/>
          <w:szCs w:val="24"/>
          <w:lang w:val="fr-CH"/>
        </w:rPr>
        <w:t xml:space="preserve">, </w:t>
      </w:r>
      <w:r>
        <w:rPr>
          <w:color w:val="000000"/>
          <w:lang w:val="fr-CH"/>
        </w:rPr>
        <w:t>la télémédecine au Zimbabwe, le c</w:t>
      </w:r>
      <w:r w:rsidRPr="00687B3A">
        <w:rPr>
          <w:color w:val="000000"/>
          <w:lang w:val="fr-CH"/>
        </w:rPr>
        <w:t>entre régional sur l</w:t>
      </w:r>
      <w:r>
        <w:rPr>
          <w:color w:val="000000"/>
          <w:lang w:val="fr-CH"/>
        </w:rPr>
        <w:t>'</w:t>
      </w:r>
      <w:r w:rsidRPr="00687B3A">
        <w:rPr>
          <w:color w:val="000000"/>
          <w:lang w:val="fr-CH"/>
        </w:rPr>
        <w:t>accessibilité des TIC pour les personnes handicapées</w:t>
      </w:r>
      <w:r w:rsidRPr="00DE4ECF">
        <w:rPr>
          <w:rFonts w:cstheme="minorHAnsi"/>
          <w:szCs w:val="24"/>
          <w:lang w:val="fr-CH"/>
        </w:rPr>
        <w:t xml:space="preserve">, </w:t>
      </w:r>
      <w:r w:rsidRPr="00670DA3">
        <w:rPr>
          <w:rFonts w:cstheme="minorHAnsi"/>
          <w:iCs/>
          <w:szCs w:val="24"/>
          <w:lang w:val="fr-CH"/>
        </w:rPr>
        <w:t xml:space="preserve">le renforcement des capacités de communication par satellite, le contrôle du spectre </w:t>
      </w:r>
      <w:r w:rsidR="005D5AD3">
        <w:rPr>
          <w:rFonts w:cstheme="minorHAnsi"/>
          <w:iCs/>
          <w:szCs w:val="24"/>
          <w:lang w:val="fr-CH"/>
        </w:rPr>
        <w:t xml:space="preserve">radioélectrique </w:t>
      </w:r>
      <w:r w:rsidRPr="00670DA3">
        <w:rPr>
          <w:rFonts w:cstheme="minorHAnsi"/>
          <w:iCs/>
          <w:szCs w:val="24"/>
          <w:lang w:val="fr-CH"/>
        </w:rPr>
        <w:t xml:space="preserve">à Cuba, </w:t>
      </w:r>
      <w:r>
        <w:rPr>
          <w:rFonts w:cstheme="minorHAnsi"/>
          <w:iCs/>
          <w:szCs w:val="24"/>
          <w:lang w:val="fr-CH"/>
        </w:rPr>
        <w:t xml:space="preserve">des </w:t>
      </w:r>
      <w:r w:rsidRPr="00670DA3">
        <w:rPr>
          <w:rFonts w:cstheme="minorHAnsi"/>
          <w:iCs/>
          <w:szCs w:val="24"/>
          <w:lang w:val="fr-CH"/>
        </w:rPr>
        <w:t>solutions en matière d</w:t>
      </w:r>
      <w:r w:rsidR="005C0DE1">
        <w:rPr>
          <w:rFonts w:cstheme="minorHAnsi"/>
          <w:iCs/>
          <w:szCs w:val="24"/>
          <w:lang w:val="fr-CH"/>
        </w:rPr>
        <w:t>e communications d'urgence pour </w:t>
      </w:r>
      <w:r w:rsidRPr="00670DA3">
        <w:rPr>
          <w:rFonts w:cstheme="minorHAnsi"/>
          <w:iCs/>
          <w:szCs w:val="24"/>
          <w:lang w:val="fr-CH"/>
        </w:rPr>
        <w:t>les îles du Pacifique</w:t>
      </w:r>
      <w:r w:rsidRPr="00670DA3">
        <w:rPr>
          <w:rFonts w:cstheme="minorHAnsi"/>
          <w:szCs w:val="24"/>
          <w:lang w:val="fr-CH"/>
        </w:rPr>
        <w:t xml:space="preserve">, </w:t>
      </w:r>
      <w:r>
        <w:rPr>
          <w:rFonts w:cstheme="minorHAnsi"/>
          <w:szCs w:val="24"/>
          <w:lang w:val="fr-CH"/>
        </w:rPr>
        <w:t>l'</w:t>
      </w:r>
      <w:r w:rsidR="005D5AD3">
        <w:rPr>
          <w:rFonts w:cstheme="minorHAnsi"/>
          <w:iCs/>
          <w:szCs w:val="24"/>
          <w:lang w:val="fr-CH"/>
        </w:rPr>
        <w:t xml:space="preserve">augmentation </w:t>
      </w:r>
      <w:r w:rsidRPr="00670DA3">
        <w:rPr>
          <w:rFonts w:cstheme="minorHAnsi"/>
          <w:iCs/>
          <w:szCs w:val="24"/>
          <w:lang w:val="fr-CH"/>
        </w:rPr>
        <w:t xml:space="preserve">des taux de pénétration </w:t>
      </w:r>
      <w:r w:rsidR="005C0DE1">
        <w:rPr>
          <w:rFonts w:cstheme="minorHAnsi"/>
          <w:iCs/>
          <w:szCs w:val="24"/>
          <w:lang w:val="fr-CH"/>
        </w:rPr>
        <w:t>du large bande hertzien grâce à </w:t>
      </w:r>
      <w:r w:rsidR="005D5AD3">
        <w:rPr>
          <w:rFonts w:cstheme="minorHAnsi"/>
          <w:iCs/>
          <w:szCs w:val="24"/>
          <w:lang w:val="fr-CH"/>
        </w:rPr>
        <w:t>l'amélioration et à l'harmonisation de l'</w:t>
      </w:r>
      <w:r w:rsidRPr="00670DA3">
        <w:rPr>
          <w:rFonts w:cstheme="minorHAnsi"/>
          <w:iCs/>
          <w:szCs w:val="24"/>
          <w:lang w:val="fr-CH"/>
        </w:rPr>
        <w:t xml:space="preserve">utilisation du </w:t>
      </w:r>
      <w:r>
        <w:rPr>
          <w:rFonts w:cstheme="minorHAnsi"/>
          <w:iCs/>
          <w:szCs w:val="24"/>
          <w:lang w:val="fr-CH"/>
        </w:rPr>
        <w:t>spectre et de la réglementation</w:t>
      </w:r>
      <w:r w:rsidR="005C0DE1">
        <w:rPr>
          <w:rFonts w:cstheme="minorHAnsi"/>
          <w:iCs/>
          <w:szCs w:val="24"/>
          <w:lang w:val="fr-CH"/>
        </w:rPr>
        <w:t xml:space="preserve"> (Initiative </w:t>
      </w:r>
      <w:r w:rsidRPr="00670DA3">
        <w:rPr>
          <w:rFonts w:cstheme="minorHAnsi"/>
          <w:iCs/>
          <w:szCs w:val="24"/>
          <w:lang w:val="fr-CH"/>
        </w:rPr>
        <w:t>PRIDA) en Afrique</w:t>
      </w:r>
      <w:r w:rsidRPr="00670DA3">
        <w:rPr>
          <w:rFonts w:cstheme="minorHAnsi"/>
          <w:szCs w:val="24"/>
          <w:lang w:val="fr-CH"/>
        </w:rPr>
        <w:t xml:space="preserve"> et la cr</w:t>
      </w:r>
      <w:r w:rsidRPr="00670DA3">
        <w:rPr>
          <w:rFonts w:cstheme="minorHAnsi"/>
          <w:iCs/>
          <w:szCs w:val="24"/>
          <w:lang w:val="fr-CH"/>
        </w:rPr>
        <w:t>éation d'un centre d'expertise sur le protocole IPv6 et l'Internet des objets</w:t>
      </w:r>
      <w:r w:rsidRPr="00670DA3">
        <w:rPr>
          <w:rFonts w:cstheme="minorHAnsi"/>
          <w:szCs w:val="24"/>
          <w:lang w:val="fr-CH"/>
        </w:rPr>
        <w:t xml:space="preserve"> en tant que projet</w:t>
      </w:r>
      <w:r>
        <w:rPr>
          <w:rFonts w:cstheme="minorHAnsi"/>
          <w:szCs w:val="24"/>
          <w:lang w:val="fr-CH"/>
        </w:rPr>
        <w:t xml:space="preserve"> mondial</w:t>
      </w:r>
      <w:r w:rsidRPr="00DE4ECF">
        <w:rPr>
          <w:rFonts w:cstheme="minorHAnsi"/>
          <w:szCs w:val="24"/>
          <w:lang w:val="fr-CH"/>
        </w:rPr>
        <w:t>.</w:t>
      </w:r>
    </w:p>
    <w:p w:rsidR="00733462" w:rsidRDefault="00733462" w:rsidP="00733462">
      <w:pPr>
        <w:pStyle w:val="Figuretitle"/>
        <w:rPr>
          <w:lang w:val="fr-CH"/>
        </w:rPr>
      </w:pPr>
      <w:r w:rsidRPr="00733462">
        <w:rPr>
          <w:lang w:val="fr-CH"/>
        </w:rPr>
        <w:t>Figure 1 – Nombre de projets en cours financés par le FDTIC par région (décembre 2018)</w:t>
      </w:r>
    </w:p>
    <w:p w:rsidR="00733462" w:rsidRPr="00733462" w:rsidRDefault="00733462" w:rsidP="00733462">
      <w:pPr>
        <w:jc w:val="center"/>
        <w:rPr>
          <w:rFonts w:cstheme="minorHAnsi"/>
          <w:szCs w:val="24"/>
          <w:lang w:val="fr-CH"/>
        </w:rPr>
      </w:pPr>
      <w:r w:rsidRPr="00733462">
        <w:rPr>
          <w:rFonts w:cstheme="minorHAnsi"/>
          <w:noProof/>
          <w:szCs w:val="24"/>
          <w:lang w:val="en-GB" w:eastAsia="zh-CN"/>
        </w:rPr>
        <w:drawing>
          <wp:inline distT="0" distB="0" distL="0" distR="0" wp14:anchorId="660AE8CB" wp14:editId="2A368210">
            <wp:extent cx="3696970" cy="21627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5AB7" w:rsidRDefault="001B5AB7" w:rsidP="001B5AB7">
      <w:pPr>
        <w:pStyle w:val="Figuretitle"/>
        <w:rPr>
          <w:lang w:val="fr-CH"/>
        </w:rPr>
      </w:pPr>
      <w:r>
        <w:rPr>
          <w:lang w:val="fr-CH"/>
        </w:rPr>
        <w:lastRenderedPageBreak/>
        <w:t>Figure 2</w:t>
      </w:r>
      <w:r w:rsidRPr="00733462">
        <w:rPr>
          <w:lang w:val="fr-CH"/>
        </w:rPr>
        <w:t xml:space="preserve"> – </w:t>
      </w:r>
      <w:r>
        <w:rPr>
          <w:lang w:val="fr-CH"/>
        </w:rPr>
        <w:t>Valeur des projets en cours financés par le FDTIC par région (décembre 2018)</w:t>
      </w:r>
    </w:p>
    <w:p w:rsidR="001B5AB7" w:rsidRDefault="001B5AB7" w:rsidP="001B5AB7">
      <w:pPr>
        <w:jc w:val="center"/>
        <w:rPr>
          <w:lang w:val="fr-CH"/>
        </w:rPr>
      </w:pPr>
      <w:r w:rsidRPr="001B5AB7">
        <w:rPr>
          <w:noProof/>
          <w:lang w:val="en-GB" w:eastAsia="zh-CN"/>
        </w:rPr>
        <w:drawing>
          <wp:inline distT="0" distB="0" distL="0" distR="0" wp14:anchorId="7F808387" wp14:editId="1C3B4739">
            <wp:extent cx="5335270" cy="2852382"/>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5AB7" w:rsidRDefault="001B5AB7" w:rsidP="00782A43">
      <w:pPr>
        <w:pStyle w:val="Figuretitle"/>
        <w:spacing w:before="480"/>
        <w:rPr>
          <w:lang w:val="fr-CH"/>
        </w:rPr>
      </w:pPr>
      <w:r>
        <w:rPr>
          <w:lang w:val="fr-CH"/>
        </w:rPr>
        <w:t>Figure 3</w:t>
      </w:r>
      <w:r w:rsidRPr="00733462">
        <w:rPr>
          <w:lang w:val="fr-CH"/>
        </w:rPr>
        <w:t xml:space="preserve"> – </w:t>
      </w:r>
      <w:r>
        <w:rPr>
          <w:lang w:val="fr-CH"/>
        </w:rPr>
        <w:t>Projets financés par le FDTIC par domaine thématique (décembre 2018)</w:t>
      </w:r>
    </w:p>
    <w:p w:rsidR="00490962" w:rsidRPr="00D540CC" w:rsidRDefault="009837F0" w:rsidP="009837F0">
      <w:pPr>
        <w:tabs>
          <w:tab w:val="clear" w:pos="567"/>
          <w:tab w:val="clear" w:pos="1134"/>
          <w:tab w:val="clear" w:pos="1701"/>
          <w:tab w:val="clear" w:pos="2268"/>
          <w:tab w:val="clear" w:pos="2835"/>
        </w:tabs>
        <w:snapToGrid w:val="0"/>
        <w:spacing w:after="120"/>
        <w:jc w:val="center"/>
        <w:rPr>
          <w:rFonts w:cstheme="minorHAnsi"/>
          <w:szCs w:val="24"/>
        </w:rPr>
      </w:pPr>
      <w:r w:rsidRPr="009837F0">
        <w:rPr>
          <w:rFonts w:cstheme="minorHAnsi"/>
          <w:noProof/>
          <w:szCs w:val="24"/>
          <w:lang w:val="en-GB" w:eastAsia="zh-CN"/>
        </w:rPr>
        <w:drawing>
          <wp:inline distT="0" distB="0" distL="0" distR="0" wp14:anchorId="5335EA09" wp14:editId="45CDCEBB">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0962" w:rsidRPr="00490962" w:rsidRDefault="00490962" w:rsidP="00782A43">
      <w:pPr>
        <w:spacing w:before="360"/>
        <w:rPr>
          <w:lang w:val="fr-CH"/>
        </w:rPr>
      </w:pPr>
      <w:r w:rsidRPr="00490962">
        <w:rPr>
          <w:lang w:val="fr-CH"/>
        </w:rPr>
        <w:t>3.3</w:t>
      </w:r>
      <w:r w:rsidRPr="00490962">
        <w:rPr>
          <w:lang w:val="fr-CH"/>
        </w:rPr>
        <w:tab/>
        <w:t>A sa 52</w:t>
      </w:r>
      <w:r w:rsidRPr="0028508B">
        <w:rPr>
          <w:lang w:val="fr-CH"/>
        </w:rPr>
        <w:t>ème</w:t>
      </w:r>
      <w:r w:rsidRPr="00490962">
        <w:rPr>
          <w:lang w:val="fr-CH"/>
        </w:rPr>
        <w:t xml:space="preserve"> réunion, </w:t>
      </w:r>
      <w:r w:rsidRPr="00D01FA9">
        <w:rPr>
          <w:lang w:val="fr-CH"/>
        </w:rPr>
        <w:t>la Commission de direction du FDTIC</w:t>
      </w:r>
      <w:r>
        <w:rPr>
          <w:lang w:val="fr-CH"/>
        </w:rPr>
        <w:t xml:space="preserve"> a conseillé de clore certains projets, le cas échéant, en tenant compte de l'état d'avancement et de la durée de la mise en œuvre du projet, et a demandé au BDT de continuer à contrôler la progression en vue de la mise en œuvre rapide de ces projets.</w:t>
      </w:r>
      <w:r w:rsidRPr="00490962">
        <w:rPr>
          <w:lang w:val="fr-CH"/>
        </w:rPr>
        <w:t xml:space="preserve"> La Commission de direction continuera à examiner des propositions de projet et à financer les projets sélectionnés dans différents domaines d'activité, en accordant une attention particulière aux initiatives régionales approuvées par la CMDT-17, compte tenu des règles et des critères définis dans les règles et procédures du FDTIC et dans les limites du compte de capital du FDTIC.</w:t>
      </w:r>
    </w:p>
    <w:p w:rsidR="00490962" w:rsidRPr="003A5F5A" w:rsidRDefault="00490962" w:rsidP="00490962">
      <w:pPr>
        <w:pStyle w:val="Heading1"/>
        <w:rPr>
          <w:lang w:val="fr-CH"/>
        </w:rPr>
      </w:pPr>
      <w:r w:rsidRPr="003A5F5A">
        <w:rPr>
          <w:lang w:val="fr-CH"/>
        </w:rPr>
        <w:lastRenderedPageBreak/>
        <w:t>4</w:t>
      </w:r>
      <w:r w:rsidRPr="003A5F5A">
        <w:rPr>
          <w:lang w:val="fr-CH"/>
        </w:rPr>
        <w:tab/>
      </w:r>
      <w:r w:rsidRPr="00D01FA9">
        <w:rPr>
          <w:lang w:val="fr-CH"/>
        </w:rPr>
        <w:t>Évolution du compte de capital du FDTIC</w:t>
      </w:r>
    </w:p>
    <w:p w:rsidR="00490962" w:rsidRPr="00986721" w:rsidRDefault="00490962" w:rsidP="00490962">
      <w:pPr>
        <w:rPr>
          <w:lang w:val="fr-CH"/>
        </w:rPr>
      </w:pPr>
      <w:r w:rsidRPr="003A5F5A">
        <w:rPr>
          <w:lang w:val="fr-CH"/>
        </w:rPr>
        <w:t>4.1</w:t>
      </w:r>
      <w:r>
        <w:rPr>
          <w:lang w:val="fr-CH"/>
        </w:rPr>
        <w:tab/>
      </w:r>
      <w:r w:rsidRPr="00D01FA9">
        <w:rPr>
          <w:lang w:val="fr-CH"/>
        </w:rPr>
        <w:t>Le montant total des intérêts perçus en 201</w:t>
      </w:r>
      <w:r>
        <w:rPr>
          <w:lang w:val="fr-CH"/>
        </w:rPr>
        <w:t>8</w:t>
      </w:r>
      <w:r w:rsidRPr="00D01FA9">
        <w:rPr>
          <w:lang w:val="fr-CH"/>
        </w:rPr>
        <w:t xml:space="preserve"> pour le compte de capital du FDTIC</w:t>
      </w:r>
      <w:r w:rsidRPr="00986721">
        <w:rPr>
          <w:lang w:val="fr-CH"/>
        </w:rPr>
        <w:t xml:space="preserve"> </w:t>
      </w:r>
      <w:r>
        <w:rPr>
          <w:lang w:val="fr-CH"/>
        </w:rPr>
        <w:t>était d</w:t>
      </w:r>
      <w:r w:rsidR="00782A43">
        <w:rPr>
          <w:lang w:val="fr-CH"/>
        </w:rPr>
        <w:t>e </w:t>
      </w:r>
      <w:r w:rsidRPr="00986721">
        <w:rPr>
          <w:lang w:val="fr-CH"/>
        </w:rPr>
        <w:t>72</w:t>
      </w:r>
      <w:r>
        <w:rPr>
          <w:lang w:val="fr-CH"/>
        </w:rPr>
        <w:t> </w:t>
      </w:r>
      <w:r w:rsidRPr="00986721">
        <w:rPr>
          <w:lang w:val="fr-CH"/>
        </w:rPr>
        <w:t>468</w:t>
      </w:r>
      <w:r>
        <w:rPr>
          <w:lang w:val="fr-CH"/>
        </w:rPr>
        <w:t xml:space="preserve"> USD</w:t>
      </w:r>
      <w:r w:rsidRPr="00986721">
        <w:rPr>
          <w:lang w:val="fr-CH"/>
        </w:rPr>
        <w:t>.</w:t>
      </w:r>
    </w:p>
    <w:p w:rsidR="00490962" w:rsidRDefault="00490962" w:rsidP="009837F0">
      <w:pPr>
        <w:rPr>
          <w:lang w:val="fr-CH"/>
        </w:rPr>
      </w:pPr>
      <w:r w:rsidRPr="00986721">
        <w:rPr>
          <w:lang w:val="fr-CH"/>
        </w:rPr>
        <w:t>4.2</w:t>
      </w:r>
      <w:r w:rsidRPr="00986721">
        <w:rPr>
          <w:lang w:val="fr-CH"/>
        </w:rPr>
        <w:tab/>
        <w:t>Au 31 décembre 2018, le solde disponible du compte de capital du FDTIC s</w:t>
      </w:r>
      <w:r>
        <w:rPr>
          <w:lang w:val="fr-CH"/>
        </w:rPr>
        <w:t>'</w:t>
      </w:r>
      <w:r w:rsidR="00782A43">
        <w:rPr>
          <w:lang w:val="fr-CH"/>
        </w:rPr>
        <w:t>élevait à </w:t>
      </w:r>
      <w:r w:rsidRPr="00986721">
        <w:rPr>
          <w:lang w:val="fr-CH"/>
        </w:rPr>
        <w:t>4</w:t>
      </w:r>
      <w:r>
        <w:rPr>
          <w:lang w:val="fr-CH"/>
        </w:rPr>
        <w:t> </w:t>
      </w:r>
      <w:r w:rsidRPr="00986721">
        <w:rPr>
          <w:lang w:val="fr-CH"/>
        </w:rPr>
        <w:t>375</w:t>
      </w:r>
      <w:r>
        <w:rPr>
          <w:lang w:val="fr-CH"/>
        </w:rPr>
        <w:t> </w:t>
      </w:r>
      <w:r w:rsidRPr="00986721">
        <w:rPr>
          <w:lang w:val="fr-CH"/>
        </w:rPr>
        <w:t>147</w:t>
      </w:r>
      <w:r>
        <w:rPr>
          <w:lang w:val="fr-CH"/>
        </w:rPr>
        <w:t xml:space="preserve"> USD</w:t>
      </w:r>
      <w:r w:rsidRPr="00986721">
        <w:rPr>
          <w:lang w:val="fr-CH"/>
        </w:rPr>
        <w:t xml:space="preserve">, </w:t>
      </w:r>
      <w:r>
        <w:rPr>
          <w:lang w:val="fr-CH"/>
        </w:rPr>
        <w:t xml:space="preserve">tandis que </w:t>
      </w:r>
      <w:r w:rsidR="009837F0">
        <w:rPr>
          <w:lang w:val="fr-CH"/>
        </w:rPr>
        <w:t xml:space="preserve">celui </w:t>
      </w:r>
      <w:r>
        <w:rPr>
          <w:lang w:val="fr-CH"/>
        </w:rPr>
        <w:t>du</w:t>
      </w:r>
      <w:r w:rsidRPr="00986721">
        <w:rPr>
          <w:lang w:val="fr-CH"/>
        </w:rPr>
        <w:t xml:space="preserve"> </w:t>
      </w:r>
      <w:r w:rsidRPr="00F703FF">
        <w:rPr>
          <w:lang w:val="fr-CH"/>
        </w:rPr>
        <w:t>Fonds de roulement des expositions (EWCF)</w:t>
      </w:r>
      <w:r w:rsidRPr="00986721">
        <w:rPr>
          <w:lang w:val="fr-CH"/>
        </w:rPr>
        <w:t xml:space="preserve"> </w:t>
      </w:r>
      <w:r>
        <w:rPr>
          <w:lang w:val="fr-CH"/>
        </w:rPr>
        <w:t>s'élevait à</w:t>
      </w:r>
      <w:r w:rsidR="00782A43">
        <w:rPr>
          <w:lang w:val="fr-CH"/>
        </w:rPr>
        <w:t> </w:t>
      </w:r>
      <w:r w:rsidRPr="00986721">
        <w:rPr>
          <w:lang w:val="fr-CH"/>
        </w:rPr>
        <w:t>8</w:t>
      </w:r>
      <w:r>
        <w:rPr>
          <w:lang w:val="fr-CH"/>
        </w:rPr>
        <w:t> </w:t>
      </w:r>
      <w:r w:rsidRPr="00986721">
        <w:rPr>
          <w:lang w:val="fr-CH"/>
        </w:rPr>
        <w:t>377</w:t>
      </w:r>
      <w:r>
        <w:rPr>
          <w:lang w:val="fr-CH"/>
        </w:rPr>
        <w:t> </w:t>
      </w:r>
      <w:r w:rsidRPr="00986721">
        <w:rPr>
          <w:lang w:val="fr-CH"/>
        </w:rPr>
        <w:t>576</w:t>
      </w:r>
      <w:r>
        <w:rPr>
          <w:lang w:val="fr-CH"/>
        </w:rPr>
        <w:t xml:space="preserve"> CHF</w:t>
      </w:r>
      <w:r w:rsidRPr="00986721">
        <w:rPr>
          <w:lang w:val="fr-CH"/>
        </w:rPr>
        <w:t>.</w:t>
      </w:r>
    </w:p>
    <w:p w:rsidR="009837F0" w:rsidRDefault="009837F0" w:rsidP="009837F0">
      <w:pPr>
        <w:pStyle w:val="Figuretitle"/>
        <w:rPr>
          <w:lang w:val="fr-CH"/>
        </w:rPr>
      </w:pPr>
      <w:r>
        <w:rPr>
          <w:lang w:val="fr-CH"/>
        </w:rPr>
        <w:t>Figure 4</w:t>
      </w:r>
      <w:r w:rsidRPr="00733462">
        <w:rPr>
          <w:lang w:val="fr-CH"/>
        </w:rPr>
        <w:t xml:space="preserve"> – </w:t>
      </w:r>
      <w:r>
        <w:rPr>
          <w:lang w:val="fr-CH"/>
        </w:rPr>
        <w:t>Évolution du compte de capital du FDTIC (USD)</w:t>
      </w:r>
    </w:p>
    <w:p w:rsidR="00490962" w:rsidRDefault="00490962" w:rsidP="00490962">
      <w:pPr>
        <w:tabs>
          <w:tab w:val="clear" w:pos="567"/>
          <w:tab w:val="clear" w:pos="1134"/>
          <w:tab w:val="clear" w:pos="1701"/>
          <w:tab w:val="clear" w:pos="2268"/>
          <w:tab w:val="clear" w:pos="2835"/>
        </w:tabs>
        <w:snapToGrid w:val="0"/>
        <w:jc w:val="both"/>
        <w:rPr>
          <w:szCs w:val="24"/>
        </w:rPr>
      </w:pPr>
      <w:r>
        <w:rPr>
          <w:noProof/>
          <w:lang w:val="en-GB" w:eastAsia="zh-CN"/>
        </w:rPr>
        <w:drawing>
          <wp:inline distT="0" distB="0" distL="0" distR="0" wp14:anchorId="52FAE686" wp14:editId="7E6A8AFA">
            <wp:extent cx="5831840" cy="2647666"/>
            <wp:effectExtent l="0" t="0" r="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0962" w:rsidRPr="00490962" w:rsidRDefault="00490962" w:rsidP="00490962">
      <w:pPr>
        <w:rPr>
          <w:lang w:val="fr-CH"/>
        </w:rPr>
      </w:pPr>
      <w:r w:rsidRPr="00490962">
        <w:rPr>
          <w:lang w:val="fr-CH"/>
        </w:rPr>
        <w:t>4.3</w:t>
      </w:r>
      <w:r w:rsidRPr="00490962">
        <w:rPr>
          <w:lang w:val="fr-CH"/>
        </w:rPr>
        <w:tab/>
        <w:t>Il est à noter que les dispositions ci-après de la Résolution 11 (</w:t>
      </w:r>
      <w:proofErr w:type="spellStart"/>
      <w:r w:rsidRPr="00490962">
        <w:rPr>
          <w:lang w:val="fr-CH"/>
        </w:rPr>
        <w:t>Rév</w:t>
      </w:r>
      <w:proofErr w:type="spellEnd"/>
      <w:r w:rsidRPr="00490962">
        <w:rPr>
          <w:lang w:val="fr-CH"/>
        </w:rPr>
        <w:t>. Dubaï, 2018) de la Conférence de plénipotentiaires de l'UIT peuvent avoir une incidence sur le Fonds EWCF et, par conséquent, sur le FDTIC:</w:t>
      </w:r>
    </w:p>
    <w:p w:rsidR="00490962" w:rsidRPr="00807C0E" w:rsidRDefault="00490962" w:rsidP="00490962">
      <w:pPr>
        <w:pStyle w:val="enumlev1"/>
      </w:pPr>
      <w:r w:rsidRPr="00490962">
        <w:t>–</w:t>
      </w:r>
      <w:r>
        <w:rPr>
          <w:b/>
          <w:bCs/>
        </w:rPr>
        <w:tab/>
      </w:r>
      <w:r w:rsidR="00782A43" w:rsidRPr="00807C0E">
        <w:rPr>
          <w:b/>
          <w:bCs/>
        </w:rPr>
        <w:t>P</w:t>
      </w:r>
      <w:r w:rsidRPr="00807C0E">
        <w:rPr>
          <w:b/>
          <w:bCs/>
        </w:rPr>
        <w:t xml:space="preserve">oint 4 du </w:t>
      </w:r>
      <w:r w:rsidRPr="00490962">
        <w:rPr>
          <w:b/>
          <w:bCs/>
          <w:i/>
          <w:iCs/>
        </w:rPr>
        <w:t>décide</w:t>
      </w:r>
      <w:r w:rsidRPr="00807C0E">
        <w:t xml:space="preserve">: </w:t>
      </w:r>
      <w:r w:rsidRPr="00490962">
        <w:rPr>
          <w:i/>
          <w:iCs/>
        </w:rPr>
        <w:t>que le cahier des charges établi à partir des contributions soumises par les membres de l'UIT, pour le recrutement du cabinet de conseil en gestion externe indépendant sera soumis pour approbation au Groupe de travail du Conseil sur les ressources financières et les ressources humaines (GTC-FHR) et que les honoraires dudit cabinet de conseil seront couverts par le Fonds de roulement des expositions (EWCF).</w:t>
      </w:r>
    </w:p>
    <w:p w:rsidR="00490962" w:rsidRPr="00807C0E" w:rsidRDefault="00490962" w:rsidP="00490962">
      <w:pPr>
        <w:pStyle w:val="enumlev1"/>
      </w:pPr>
      <w:r w:rsidRPr="00490962">
        <w:t>–</w:t>
      </w:r>
      <w:r>
        <w:rPr>
          <w:b/>
          <w:bCs/>
        </w:rPr>
        <w:tab/>
      </w:r>
      <w:r w:rsidR="00782A43" w:rsidRPr="00807C0E">
        <w:rPr>
          <w:b/>
          <w:bCs/>
        </w:rPr>
        <w:t>P</w:t>
      </w:r>
      <w:r w:rsidRPr="00807C0E">
        <w:rPr>
          <w:b/>
          <w:bCs/>
        </w:rPr>
        <w:t xml:space="preserve">oint 10 du </w:t>
      </w:r>
      <w:r w:rsidRPr="00490962">
        <w:rPr>
          <w:b/>
          <w:bCs/>
          <w:i/>
          <w:iCs/>
        </w:rPr>
        <w:t>décide</w:t>
      </w:r>
      <w:r w:rsidRPr="00807C0E">
        <w:t xml:space="preserve">: </w:t>
      </w:r>
      <w:r w:rsidRPr="00490962">
        <w:rPr>
          <w:i/>
          <w:iCs/>
        </w:rPr>
        <w:t>que le Fonds EWCF doit être doté d'une réserve minimale de cinq millions de francs suisses (5 000 000 CHF).</w:t>
      </w:r>
    </w:p>
    <w:p w:rsidR="00490962" w:rsidRPr="007E3F65" w:rsidRDefault="00490962" w:rsidP="00490962">
      <w:pPr>
        <w:pStyle w:val="Heading1"/>
        <w:rPr>
          <w:lang w:val="fr-CH"/>
        </w:rPr>
      </w:pPr>
      <w:r w:rsidRPr="007E3F65">
        <w:rPr>
          <w:lang w:val="fr-CH"/>
        </w:rPr>
        <w:t>5</w:t>
      </w:r>
      <w:r w:rsidRPr="007E3F65">
        <w:rPr>
          <w:lang w:val="fr-CH"/>
        </w:rPr>
        <w:tab/>
      </w:r>
      <w:r w:rsidRPr="00D01FA9">
        <w:rPr>
          <w:lang w:val="fr-CH"/>
        </w:rPr>
        <w:t>Perspectives d</w:t>
      </w:r>
      <w:r>
        <w:rPr>
          <w:lang w:val="fr-CH"/>
        </w:rPr>
        <w:t>'</w:t>
      </w:r>
      <w:r w:rsidRPr="00D01FA9">
        <w:rPr>
          <w:lang w:val="fr-CH"/>
        </w:rPr>
        <w:t>avenir</w:t>
      </w:r>
    </w:p>
    <w:p w:rsidR="00490962" w:rsidRPr="00B80DFE" w:rsidRDefault="00490962" w:rsidP="00490962">
      <w:pPr>
        <w:rPr>
          <w:color w:val="0D0D0D" w:themeColor="text1" w:themeTint="F2"/>
          <w:szCs w:val="24"/>
          <w:lang w:val="fr-CH"/>
        </w:rPr>
      </w:pPr>
      <w:r w:rsidRPr="007E3F65">
        <w:rPr>
          <w:lang w:val="fr-CH"/>
        </w:rPr>
        <w:t>5.1</w:t>
      </w:r>
      <w:r w:rsidRPr="007E3F65">
        <w:rPr>
          <w:lang w:val="fr-CH"/>
        </w:rPr>
        <w:tab/>
        <w:t>La progression de la mise en œuvre des projets financés par l</w:t>
      </w:r>
      <w:r>
        <w:rPr>
          <w:lang w:val="fr-CH"/>
        </w:rPr>
        <w:t>e FDTIC sera analysée et mise à </w:t>
      </w:r>
      <w:r w:rsidRPr="007E3F65">
        <w:rPr>
          <w:lang w:val="fr-CH"/>
        </w:rPr>
        <w:t>jour à intervalles réguliers à l</w:t>
      </w:r>
      <w:r>
        <w:rPr>
          <w:lang w:val="fr-CH"/>
        </w:rPr>
        <w:t>'</w:t>
      </w:r>
      <w:r w:rsidRPr="007E3F65">
        <w:rPr>
          <w:lang w:val="fr-CH"/>
        </w:rPr>
        <w:t>adresse</w:t>
      </w:r>
      <w:r w:rsidRPr="00B80DFE">
        <w:rPr>
          <w:color w:val="000000" w:themeColor="text1"/>
          <w:kern w:val="24"/>
          <w:szCs w:val="24"/>
          <w:lang w:val="fr-CH"/>
        </w:rPr>
        <w:t xml:space="preserve"> </w:t>
      </w:r>
      <w:hyperlink r:id="rId18" w:history="1">
        <w:r w:rsidRPr="00B80DFE">
          <w:rPr>
            <w:rStyle w:val="Hyperlink"/>
            <w:kern w:val="24"/>
            <w:szCs w:val="24"/>
            <w:lang w:val="fr-CH"/>
          </w:rPr>
          <w:t>https://www.itu.int/en/ITU-D/Partners/Pages/ICT-DF/default.aspx</w:t>
        </w:r>
      </w:hyperlink>
      <w:r w:rsidRPr="00B80DFE">
        <w:rPr>
          <w:color w:val="000000" w:themeColor="text1"/>
          <w:kern w:val="24"/>
          <w:szCs w:val="24"/>
          <w:lang w:val="fr-CH"/>
        </w:rPr>
        <w:t>.</w:t>
      </w:r>
    </w:p>
    <w:p w:rsidR="00490962" w:rsidRPr="00F045E6" w:rsidRDefault="00490962" w:rsidP="009837F0">
      <w:pPr>
        <w:rPr>
          <w:lang w:val="fr-CH"/>
        </w:rPr>
      </w:pPr>
      <w:r w:rsidRPr="00B80DFE">
        <w:rPr>
          <w:color w:val="000000" w:themeColor="text1"/>
          <w:kern w:val="24"/>
          <w:szCs w:val="24"/>
          <w:lang w:val="fr-CH"/>
        </w:rPr>
        <w:t>5.2</w:t>
      </w:r>
      <w:r w:rsidRPr="00B80DFE">
        <w:rPr>
          <w:color w:val="000000" w:themeColor="text1"/>
          <w:kern w:val="24"/>
          <w:szCs w:val="24"/>
          <w:lang w:val="fr-CH"/>
        </w:rPr>
        <w:tab/>
      </w:r>
      <w:r w:rsidRPr="00D01FA9">
        <w:rPr>
          <w:lang w:val="fr-CH"/>
        </w:rPr>
        <w:t xml:space="preserve">Compte tenu du fait que le FDTIC est conçu pour répondre à une demande et pour fournir des capitaux de démarrage, la Commission de direction </w:t>
      </w:r>
      <w:r>
        <w:rPr>
          <w:lang w:val="fr-CH"/>
        </w:rPr>
        <w:t xml:space="preserve">du FDTIC </w:t>
      </w:r>
      <w:r w:rsidRPr="00D01FA9">
        <w:rPr>
          <w:lang w:val="fr-CH"/>
        </w:rPr>
        <w:t xml:space="preserve">continuera à examiner les projets proposés à la lumière des règles et des critères </w:t>
      </w:r>
      <w:r w:rsidR="009837F0">
        <w:rPr>
          <w:lang w:val="fr-CH"/>
        </w:rPr>
        <w:t xml:space="preserve">tout en rentrant </w:t>
      </w:r>
      <w:r w:rsidRPr="00D01FA9">
        <w:rPr>
          <w:lang w:val="fr-CH"/>
        </w:rPr>
        <w:t>dans les limites du compte de capital du FDTIC</w:t>
      </w:r>
      <w:r w:rsidR="009837F0">
        <w:rPr>
          <w:lang w:val="fr-CH"/>
        </w:rPr>
        <w:t>,</w:t>
      </w:r>
      <w:r w:rsidRPr="00D01FA9">
        <w:rPr>
          <w:lang w:val="fr-CH"/>
        </w:rPr>
        <w:t xml:space="preserve"> afin de soutenir le développement des télécommunications/TIC </w:t>
      </w:r>
      <w:r w:rsidR="009837F0">
        <w:rPr>
          <w:lang w:val="fr-CH"/>
        </w:rPr>
        <w:t xml:space="preserve">dans </w:t>
      </w:r>
      <w:r w:rsidRPr="00D01FA9">
        <w:rPr>
          <w:lang w:val="fr-CH"/>
        </w:rPr>
        <w:t xml:space="preserve">les </w:t>
      </w:r>
      <w:r>
        <w:rPr>
          <w:lang w:val="fr-CH"/>
        </w:rPr>
        <w:t xml:space="preserve">États </w:t>
      </w:r>
      <w:r w:rsidR="009837F0">
        <w:rPr>
          <w:lang w:val="fr-CH"/>
        </w:rPr>
        <w:t>M</w:t>
      </w:r>
      <w:r w:rsidRPr="00D01FA9">
        <w:rPr>
          <w:lang w:val="fr-CH"/>
        </w:rPr>
        <w:t>embres de l</w:t>
      </w:r>
      <w:r>
        <w:rPr>
          <w:lang w:val="fr-CH"/>
        </w:rPr>
        <w:t>'</w:t>
      </w:r>
      <w:r w:rsidRPr="00D01FA9">
        <w:rPr>
          <w:lang w:val="fr-CH"/>
        </w:rPr>
        <w:t>UIT et de contribuer à la réalisation des Objectifs de développement durable.</w:t>
      </w:r>
    </w:p>
    <w:p w:rsidR="00490962" w:rsidRPr="003420E6" w:rsidRDefault="00490962" w:rsidP="00490962">
      <w:pPr>
        <w:rPr>
          <w:szCs w:val="24"/>
          <w:lang w:val="fr-CH"/>
        </w:rPr>
      </w:pPr>
      <w:r w:rsidRPr="003420E6">
        <w:rPr>
          <w:color w:val="000000" w:themeColor="text1"/>
          <w:kern w:val="24"/>
          <w:szCs w:val="24"/>
          <w:lang w:val="fr-CH"/>
        </w:rPr>
        <w:lastRenderedPageBreak/>
        <w:t>5.3</w:t>
      </w:r>
      <w:r w:rsidRPr="003420E6">
        <w:rPr>
          <w:color w:val="000000" w:themeColor="text1"/>
          <w:kern w:val="24"/>
          <w:szCs w:val="24"/>
          <w:lang w:val="fr-CH"/>
        </w:rPr>
        <w:tab/>
      </w:r>
      <w:r>
        <w:rPr>
          <w:color w:val="000000" w:themeColor="text1"/>
          <w:kern w:val="24"/>
          <w:szCs w:val="24"/>
          <w:lang w:val="fr-CH"/>
        </w:rPr>
        <w:t>La</w:t>
      </w:r>
      <w:r w:rsidRPr="00D01FA9">
        <w:rPr>
          <w:lang w:val="fr-CH"/>
        </w:rPr>
        <w:t xml:space="preserve"> Commission de direction du FDTIC</w:t>
      </w:r>
      <w:r>
        <w:rPr>
          <w:lang w:val="fr-CH"/>
        </w:rPr>
        <w:t xml:space="preserve"> </w:t>
      </w:r>
      <w:r>
        <w:rPr>
          <w:color w:val="000000" w:themeColor="text1"/>
          <w:kern w:val="24"/>
          <w:szCs w:val="24"/>
          <w:lang w:val="fr-CH"/>
        </w:rPr>
        <w:t>doit tenir dûment compte des</w:t>
      </w:r>
      <w:r w:rsidRPr="003420E6">
        <w:rPr>
          <w:color w:val="000000" w:themeColor="text1"/>
          <w:kern w:val="24"/>
          <w:szCs w:val="24"/>
          <w:lang w:val="fr-CH"/>
        </w:rPr>
        <w:t xml:space="preserve"> dispositions pertinentes de la </w:t>
      </w:r>
      <w:r w:rsidRPr="00D127FC">
        <w:rPr>
          <w:rFonts w:cstheme="minorHAnsi"/>
          <w:szCs w:val="24"/>
          <w:lang w:val="fr-CH"/>
        </w:rPr>
        <w:t>Résolution 11 (</w:t>
      </w:r>
      <w:proofErr w:type="spellStart"/>
      <w:r w:rsidRPr="00D127FC">
        <w:rPr>
          <w:rFonts w:cstheme="minorHAnsi"/>
          <w:szCs w:val="24"/>
          <w:lang w:val="fr-CH"/>
        </w:rPr>
        <w:t>Rév</w:t>
      </w:r>
      <w:proofErr w:type="spellEnd"/>
      <w:r w:rsidRPr="00D127FC">
        <w:rPr>
          <w:rFonts w:cstheme="minorHAnsi"/>
          <w:szCs w:val="24"/>
          <w:lang w:val="fr-CH"/>
        </w:rPr>
        <w:t xml:space="preserve">. </w:t>
      </w:r>
      <w:r w:rsidRPr="003420E6">
        <w:rPr>
          <w:rFonts w:cstheme="minorHAnsi"/>
          <w:szCs w:val="24"/>
          <w:lang w:val="fr-CH"/>
        </w:rPr>
        <w:t>Dubaï, 2018) de la Conférence de plénipotentiaires</w:t>
      </w:r>
      <w:r w:rsidRPr="003420E6">
        <w:rPr>
          <w:color w:val="000000" w:themeColor="text1"/>
          <w:kern w:val="24"/>
          <w:szCs w:val="24"/>
          <w:lang w:val="fr-CH"/>
        </w:rPr>
        <w:t xml:space="preserve"> dont il est fait mention au paragraphe 4.3 ci-avant, </w:t>
      </w:r>
      <w:r>
        <w:rPr>
          <w:color w:val="000000" w:themeColor="text1"/>
          <w:kern w:val="24"/>
          <w:szCs w:val="24"/>
          <w:lang w:val="fr-CH"/>
        </w:rPr>
        <w:t>avant d'envisager le financement de</w:t>
      </w:r>
      <w:r w:rsidRPr="003420E6">
        <w:rPr>
          <w:color w:val="000000" w:themeColor="text1"/>
          <w:kern w:val="24"/>
          <w:szCs w:val="24"/>
          <w:lang w:val="fr-CH"/>
        </w:rPr>
        <w:t xml:space="preserve"> </w:t>
      </w:r>
      <w:r w:rsidR="00782A43">
        <w:rPr>
          <w:color w:val="000000" w:themeColor="text1"/>
          <w:kern w:val="24"/>
          <w:szCs w:val="24"/>
          <w:lang w:val="fr-CH"/>
        </w:rPr>
        <w:t>nouveaux projets par le </w:t>
      </w:r>
      <w:r>
        <w:rPr>
          <w:color w:val="000000" w:themeColor="text1"/>
          <w:kern w:val="24"/>
          <w:szCs w:val="24"/>
          <w:lang w:val="fr-CH"/>
        </w:rPr>
        <w:t>FDTIC</w:t>
      </w:r>
      <w:r w:rsidRPr="003420E6">
        <w:rPr>
          <w:color w:val="000000" w:themeColor="text1"/>
          <w:kern w:val="24"/>
          <w:szCs w:val="24"/>
          <w:lang w:val="fr-CH"/>
        </w:rPr>
        <w:t>.</w:t>
      </w:r>
    </w:p>
    <w:p w:rsidR="00520F36" w:rsidRDefault="00490962" w:rsidP="00490962">
      <w:pPr>
        <w:rPr>
          <w:szCs w:val="24"/>
          <w:lang w:val="fr-CH"/>
        </w:rPr>
      </w:pPr>
      <w:r w:rsidRPr="006E66B1">
        <w:rPr>
          <w:rFonts w:eastAsiaTheme="minorEastAsia"/>
          <w:szCs w:val="24"/>
          <w:lang w:val="fr-CH" w:eastAsia="zh-CN"/>
        </w:rPr>
        <w:t>5.4</w:t>
      </w:r>
      <w:r w:rsidRPr="006E66B1">
        <w:rPr>
          <w:rFonts w:eastAsiaTheme="minorEastAsia"/>
          <w:szCs w:val="24"/>
          <w:lang w:val="fr-CH" w:eastAsia="zh-CN"/>
        </w:rPr>
        <w:tab/>
      </w:r>
      <w:r w:rsidRPr="00D01FA9">
        <w:rPr>
          <w:rFonts w:eastAsiaTheme="minorEastAsia"/>
          <w:lang w:val="fr-CH" w:eastAsia="zh-CN"/>
        </w:rPr>
        <w:t xml:space="preserve">Le Conseil est invité à </w:t>
      </w:r>
      <w:r w:rsidRPr="00956055">
        <w:rPr>
          <w:rFonts w:eastAsiaTheme="minorEastAsia"/>
          <w:b/>
          <w:bCs/>
          <w:lang w:val="fr-CH" w:eastAsia="zh-CN"/>
        </w:rPr>
        <w:t>prendre note</w:t>
      </w:r>
      <w:r>
        <w:rPr>
          <w:rFonts w:eastAsiaTheme="minorEastAsia"/>
          <w:lang w:val="fr-CH" w:eastAsia="zh-CN"/>
        </w:rPr>
        <w:t xml:space="preserve"> du </w:t>
      </w:r>
      <w:r w:rsidRPr="00490962">
        <w:rPr>
          <w:lang w:val="fr-CH"/>
        </w:rPr>
        <w:t>présent</w:t>
      </w:r>
      <w:r>
        <w:rPr>
          <w:rFonts w:eastAsiaTheme="minorEastAsia"/>
          <w:lang w:val="fr-CH" w:eastAsia="zh-CN"/>
        </w:rPr>
        <w:t xml:space="preserve"> rapport</w:t>
      </w:r>
      <w:r w:rsidRPr="006E66B1">
        <w:rPr>
          <w:szCs w:val="24"/>
          <w:lang w:val="fr-CH"/>
        </w:rPr>
        <w:t xml:space="preserve"> </w:t>
      </w:r>
      <w:r w:rsidRPr="00D01FA9">
        <w:rPr>
          <w:szCs w:val="24"/>
          <w:lang w:val="fr-CH"/>
        </w:rPr>
        <w:t xml:space="preserve">et à </w:t>
      </w:r>
      <w:r w:rsidRPr="0076035B">
        <w:rPr>
          <w:b/>
          <w:bCs/>
          <w:szCs w:val="24"/>
          <w:lang w:val="fr-CH"/>
        </w:rPr>
        <w:t xml:space="preserve">formuler les </w:t>
      </w:r>
      <w:r>
        <w:rPr>
          <w:b/>
          <w:bCs/>
          <w:szCs w:val="24"/>
          <w:lang w:val="fr-CH"/>
        </w:rPr>
        <w:t>avis</w:t>
      </w:r>
      <w:r w:rsidRPr="00D01FA9">
        <w:rPr>
          <w:szCs w:val="24"/>
          <w:lang w:val="fr-CH"/>
        </w:rPr>
        <w:t xml:space="preserve"> qu</w:t>
      </w:r>
      <w:r>
        <w:rPr>
          <w:szCs w:val="24"/>
          <w:lang w:val="fr-CH"/>
        </w:rPr>
        <w:t>'</w:t>
      </w:r>
      <w:r w:rsidRPr="00D01FA9">
        <w:rPr>
          <w:szCs w:val="24"/>
          <w:lang w:val="fr-CH"/>
        </w:rPr>
        <w:t>il jugera utiles.</w:t>
      </w:r>
    </w:p>
    <w:p w:rsidR="005D5AD3" w:rsidRDefault="005D5AD3" w:rsidP="00782A43"/>
    <w:p w:rsidR="005D5AD3" w:rsidRPr="00CA08ED" w:rsidRDefault="005D5AD3" w:rsidP="005D5AD3">
      <w:pPr>
        <w:jc w:val="center"/>
      </w:pPr>
      <w:r>
        <w:t>______________</w:t>
      </w:r>
    </w:p>
    <w:sectPr w:rsidR="005D5AD3" w:rsidRPr="00CA08ED"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62" w:rsidRDefault="00490962">
      <w:r>
        <w:separator/>
      </w:r>
    </w:p>
  </w:endnote>
  <w:endnote w:type="continuationSeparator" w:id="0">
    <w:p w:rsidR="00490962" w:rsidRDefault="004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442EF">
    <w:pPr>
      <w:pStyle w:val="Footer"/>
    </w:pPr>
    <w:fldSimple w:instr=" FILENAME \p \* MERGEFORMAT ">
      <w:r w:rsidR="009837F0">
        <w:t>P:\FRA\SG\CONSEIL\C19\000\034F.docx</w:t>
      </w:r>
    </w:fldSimple>
    <w:r w:rsidR="00732045">
      <w:tab/>
    </w:r>
    <w:r w:rsidR="002F1B76">
      <w:fldChar w:fldCharType="begin"/>
    </w:r>
    <w:r w:rsidR="00732045">
      <w:instrText xml:space="preserve"> savedate \@ dd.MM.yy </w:instrText>
    </w:r>
    <w:r w:rsidR="002F1B76">
      <w:fldChar w:fldCharType="separate"/>
    </w:r>
    <w:r w:rsidR="009B5695">
      <w:t>28.03.19</w:t>
    </w:r>
    <w:r w:rsidR="002F1B76">
      <w:fldChar w:fldCharType="end"/>
    </w:r>
    <w:r w:rsidR="00732045">
      <w:tab/>
    </w:r>
    <w:r w:rsidR="002F1B76">
      <w:fldChar w:fldCharType="begin"/>
    </w:r>
    <w:r w:rsidR="00732045">
      <w:instrText xml:space="preserve"> printdate \@ dd.MM.yy </w:instrText>
    </w:r>
    <w:r w:rsidR="002F1B76">
      <w:fldChar w:fldCharType="separate"/>
    </w:r>
    <w:r w:rsidR="009837F0">
      <w:t>13.03.19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442EF" w:rsidP="00BB4886">
    <w:pPr>
      <w:pStyle w:val="Footer"/>
    </w:pPr>
    <w:fldSimple w:instr=" FILENAME \p \* MERGEFORMAT ">
      <w:r w:rsidR="009837F0">
        <w:t>P:\FRA\SG\CONSEIL\C19\000\034F.docx</w:t>
      </w:r>
    </w:fldSimple>
    <w:r w:rsidR="00BB4886">
      <w:t xml:space="preserve"> (450250)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BB488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62" w:rsidRDefault="00490962">
      <w:r>
        <w:t>____________________</w:t>
      </w:r>
    </w:p>
  </w:footnote>
  <w:footnote w:type="continuationSeparator" w:id="0">
    <w:p w:rsidR="00490962" w:rsidRDefault="00490962">
      <w:r>
        <w:continuationSeparator/>
      </w:r>
    </w:p>
  </w:footnote>
  <w:footnote w:id="1">
    <w:p w:rsidR="00490962" w:rsidRPr="00D107E1" w:rsidRDefault="00490962" w:rsidP="00490962">
      <w:pPr>
        <w:pStyle w:val="FootnoteText"/>
        <w:rPr>
          <w:lang w:val="fr-CH"/>
        </w:rPr>
      </w:pPr>
      <w:r>
        <w:rPr>
          <w:rStyle w:val="FootnoteReference"/>
        </w:rPr>
        <w:footnoteRef/>
      </w:r>
      <w:r>
        <w:rPr>
          <w:lang w:val="fr-CH"/>
        </w:rPr>
        <w:tab/>
        <w:t xml:space="preserve">Ces thèmes ont été adoptés par la </w:t>
      </w:r>
      <w:r w:rsidRPr="00D107E1">
        <w:rPr>
          <w:lang w:val="fr-CH"/>
        </w:rPr>
        <w:t>Conférence mondiale de développement des télécommunications</w:t>
      </w:r>
      <w:r>
        <w:rPr>
          <w:lang w:val="fr-CH"/>
        </w:rPr>
        <w:t>, qui s'est tenue en 2017 (CMDT-17).</w:t>
      </w:r>
    </w:p>
  </w:footnote>
  <w:footnote w:id="2">
    <w:p w:rsidR="00490962" w:rsidRPr="00490962" w:rsidRDefault="00490962" w:rsidP="00490962">
      <w:pPr>
        <w:pStyle w:val="FootnoteText"/>
        <w:rPr>
          <w:lang w:val="fr-CH"/>
        </w:rPr>
      </w:pPr>
      <w:r>
        <w:rPr>
          <w:rStyle w:val="FootnoteReference"/>
        </w:rPr>
        <w:footnoteRef/>
      </w:r>
      <w:r w:rsidRPr="00446CC7">
        <w:rPr>
          <w:lang w:val="fr-CH"/>
        </w:rPr>
        <w:tab/>
      </w:r>
      <w:r w:rsidRPr="00490962">
        <w:rPr>
          <w:lang w:val="fr-CH"/>
        </w:rPr>
        <w:t>La Commission de direction du FDTIC est composée du Secrétaire général de l'UIT, qui la préside, du Vice</w:t>
      </w:r>
      <w:r w:rsidRPr="00490962">
        <w:rPr>
          <w:lang w:val="fr-CH"/>
        </w:rPr>
        <w:noBreakHyphen/>
        <w:t>Secrétaire général de l'UIT et du Directeur du 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B5695">
      <w:rPr>
        <w:noProof/>
      </w:rPr>
      <w:t>6</w:t>
    </w:r>
    <w:r>
      <w:rPr>
        <w:noProof/>
      </w:rPr>
      <w:fldChar w:fldCharType="end"/>
    </w:r>
  </w:p>
  <w:p w:rsidR="00732045" w:rsidRDefault="00732045" w:rsidP="00106B19">
    <w:pPr>
      <w:pStyle w:val="Header"/>
    </w:pPr>
    <w:r>
      <w:t>C1</w:t>
    </w:r>
    <w:r w:rsidR="00106B19">
      <w:t>9</w:t>
    </w:r>
    <w:r w:rsidR="00BB4886">
      <w:t>/34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62"/>
    <w:rsid w:val="000D0D0A"/>
    <w:rsid w:val="00103163"/>
    <w:rsid w:val="00106B19"/>
    <w:rsid w:val="00115D93"/>
    <w:rsid w:val="001247A8"/>
    <w:rsid w:val="001378C0"/>
    <w:rsid w:val="0018694A"/>
    <w:rsid w:val="001A3287"/>
    <w:rsid w:val="001A6508"/>
    <w:rsid w:val="001B5AB7"/>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90962"/>
    <w:rsid w:val="004C37A9"/>
    <w:rsid w:val="004F259E"/>
    <w:rsid w:val="00511F1D"/>
    <w:rsid w:val="00520F36"/>
    <w:rsid w:val="00540615"/>
    <w:rsid w:val="00540A6D"/>
    <w:rsid w:val="00571EEA"/>
    <w:rsid w:val="00575417"/>
    <w:rsid w:val="005768E1"/>
    <w:rsid w:val="005B1938"/>
    <w:rsid w:val="005C0DE1"/>
    <w:rsid w:val="005C3890"/>
    <w:rsid w:val="005D5AD3"/>
    <w:rsid w:val="005F7BFE"/>
    <w:rsid w:val="00600017"/>
    <w:rsid w:val="0060420B"/>
    <w:rsid w:val="006235CA"/>
    <w:rsid w:val="006643AB"/>
    <w:rsid w:val="007210CD"/>
    <w:rsid w:val="00732045"/>
    <w:rsid w:val="00733462"/>
    <w:rsid w:val="007369DB"/>
    <w:rsid w:val="00782A43"/>
    <w:rsid w:val="007956C2"/>
    <w:rsid w:val="007A187E"/>
    <w:rsid w:val="007B0CED"/>
    <w:rsid w:val="007C72C2"/>
    <w:rsid w:val="007D4436"/>
    <w:rsid w:val="007F257A"/>
    <w:rsid w:val="007F3665"/>
    <w:rsid w:val="00800037"/>
    <w:rsid w:val="00861D73"/>
    <w:rsid w:val="008A4E87"/>
    <w:rsid w:val="008D76E6"/>
    <w:rsid w:val="0092392D"/>
    <w:rsid w:val="0093234A"/>
    <w:rsid w:val="009837F0"/>
    <w:rsid w:val="009B5695"/>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B4886"/>
    <w:rsid w:val="00BD5873"/>
    <w:rsid w:val="00BE0DEB"/>
    <w:rsid w:val="00C04BE3"/>
    <w:rsid w:val="00C25D29"/>
    <w:rsid w:val="00C27A7C"/>
    <w:rsid w:val="00CA08ED"/>
    <w:rsid w:val="00CF183B"/>
    <w:rsid w:val="00D375CD"/>
    <w:rsid w:val="00D442EF"/>
    <w:rsid w:val="00D553A2"/>
    <w:rsid w:val="00D55800"/>
    <w:rsid w:val="00D774D3"/>
    <w:rsid w:val="00D904E8"/>
    <w:rsid w:val="00DA08C3"/>
    <w:rsid w:val="00DB5A3E"/>
    <w:rsid w:val="00DC22AA"/>
    <w:rsid w:val="00DF74DD"/>
    <w:rsid w:val="00E25AD0"/>
    <w:rsid w:val="00E81787"/>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7C9414-7D52-4CFA-A999-037DD9F0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rsid w:val="00490962"/>
    <w:rPr>
      <w:rFonts w:ascii="Calibri" w:hAnsi="Calibri"/>
      <w:sz w:val="24"/>
      <w:lang w:val="fr-FR" w:eastAsia="en-US"/>
    </w:rPr>
  </w:style>
  <w:style w:type="paragraph" w:styleId="ListParagraph">
    <w:name w:val="List Paragraph"/>
    <w:basedOn w:val="Normal"/>
    <w:link w:val="ListParagraphChar"/>
    <w:uiPriority w:val="34"/>
    <w:qFormat/>
    <w:rsid w:val="00490962"/>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490962"/>
    <w:rPr>
      <w:rFonts w:ascii="Times New Roman" w:eastAsiaTheme="minorEastAsia" w:hAnsi="Times New Roman" w:cstheme="minorBid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ictdf@itu.int" TargetMode="External"/><Relationship Id="rId18" Type="http://schemas.openxmlformats.org/officeDocument/2006/relationships/hyperlink" Target="https://www.itu.int/en/ITU-D/Partners/Pages/ICT-DF/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1-CL-C-0106/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11-F.pdf" TargetMode="External"/><Relationship Id="rId14" Type="http://schemas.openxmlformats.org/officeDocument/2006/relationships/chart" Target="charts/chart1.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rmierr\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ormierr\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27347801037066"/>
          <c:y val="4.3705990495681432E-3"/>
          <c:w val="0.47098164172281626"/>
          <c:h val="0.80530253101622207"/>
        </c:manualLayout>
      </c:layout>
      <c:pieChart>
        <c:varyColors val="1"/>
        <c:ser>
          <c:idx val="0"/>
          <c:order val="0"/>
          <c:dPt>
            <c:idx val="0"/>
            <c:bubble3D val="0"/>
            <c:spPr>
              <a:solidFill>
                <a:schemeClr val="tx2">
                  <a:lumMod val="60000"/>
                  <a:lumOff val="40000"/>
                </a:schemeClr>
              </a:solidFill>
              <a:ln w="19050">
                <a:solidFill>
                  <a:schemeClr val="lt1"/>
                </a:solidFill>
              </a:ln>
              <a:effectLst/>
            </c:spPr>
          </c:dPt>
          <c:dPt>
            <c:idx val="1"/>
            <c:bubble3D val="0"/>
            <c:spPr>
              <a:solidFill>
                <a:srgbClr val="FF6600"/>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FFCC00"/>
              </a:solidFill>
              <a:ln w="19050">
                <a:solidFill>
                  <a:schemeClr val="lt1"/>
                </a:solidFill>
              </a:ln>
              <a:effectLst/>
            </c:spPr>
          </c:dPt>
          <c:dPt>
            <c:idx val="4"/>
            <c:bubble3D val="0"/>
            <c:spPr>
              <a:solidFill>
                <a:srgbClr val="FF000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Sheet1!$C$7:$C$11</c:f>
              <c:strCache>
                <c:ptCount val="5"/>
                <c:pt idx="0">
                  <c:v>Afrique</c:v>
                </c:pt>
                <c:pt idx="1">
                  <c:v>États arabes</c:v>
                </c:pt>
                <c:pt idx="2">
                  <c:v>Monde</c:v>
                </c:pt>
                <c:pt idx="3">
                  <c:v>Asie et Pacifique</c:v>
                </c:pt>
                <c:pt idx="4">
                  <c:v>Amériques</c:v>
                </c:pt>
              </c:strCache>
            </c:strRef>
          </c:cat>
          <c:val>
            <c:numRef>
              <c:f>Sheet1!$D$7:$D$11</c:f>
              <c:numCache>
                <c:formatCode>General</c:formatCode>
                <c:ptCount val="5"/>
                <c:pt idx="0">
                  <c:v>9</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Sheet1!$D$30</c:f>
              <c:strCache>
                <c:ptCount val="1"/>
                <c:pt idx="0">
                  <c:v>Financement extérieur
en espèces</c:v>
                </c:pt>
              </c:strCache>
            </c:strRef>
          </c:tx>
          <c:spPr>
            <a:solidFill>
              <a:schemeClr val="accent1"/>
            </a:solidFill>
            <a:ln>
              <a:noFill/>
            </a:ln>
            <a:effectLst/>
          </c:spPr>
          <c:invertIfNegative val="0"/>
          <c:dLbls>
            <c:dLbl>
              <c:idx val="4"/>
              <c:layout>
                <c:manualLayout>
                  <c:x val="-1.9444444444444445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Sheet1!$C$31:$C$35</c:f>
              <c:strCache>
                <c:ptCount val="5"/>
                <c:pt idx="0">
                  <c:v>Afrique</c:v>
                </c:pt>
                <c:pt idx="1">
                  <c:v>États arabes</c:v>
                </c:pt>
                <c:pt idx="2">
                  <c:v>Monde</c:v>
                </c:pt>
                <c:pt idx="3">
                  <c:v>Asie et Pacifique</c:v>
                </c:pt>
                <c:pt idx="4">
                  <c:v>Amériques</c:v>
                </c:pt>
              </c:strCache>
            </c:strRef>
          </c:cat>
          <c:val>
            <c:numRef>
              <c:f>Sheet1!$D$31:$D$35</c:f>
              <c:numCache>
                <c:formatCode>#,##0</c:formatCode>
                <c:ptCount val="5"/>
                <c:pt idx="0">
                  <c:v>8029301</c:v>
                </c:pt>
                <c:pt idx="1">
                  <c:v>2895615</c:v>
                </c:pt>
                <c:pt idx="2">
                  <c:v>491346</c:v>
                </c:pt>
                <c:pt idx="3">
                  <c:v>98300</c:v>
                </c:pt>
                <c:pt idx="4">
                  <c:v>132320</c:v>
                </c:pt>
              </c:numCache>
            </c:numRef>
          </c:val>
        </c:ser>
        <c:ser>
          <c:idx val="1"/>
          <c:order val="1"/>
          <c:tx>
            <c:strRef>
              <c:f>Sheet1!$E$30</c:f>
              <c:strCache>
                <c:ptCount val="1"/>
                <c:pt idx="0">
                  <c:v>FDTIC</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Sheet1!$C$31:$C$35</c:f>
              <c:strCache>
                <c:ptCount val="5"/>
                <c:pt idx="0">
                  <c:v>Afrique</c:v>
                </c:pt>
                <c:pt idx="1">
                  <c:v>États arabes</c:v>
                </c:pt>
                <c:pt idx="2">
                  <c:v>Monde</c:v>
                </c:pt>
                <c:pt idx="3">
                  <c:v>Asie et Pacifique</c:v>
                </c:pt>
                <c:pt idx="4">
                  <c:v>Amériques</c:v>
                </c:pt>
              </c:strCache>
            </c:strRef>
          </c:cat>
          <c:val>
            <c:numRef>
              <c:f>Sheet1!$E$31:$E$35</c:f>
              <c:numCache>
                <c:formatCode>#,##0</c:formatCode>
                <c:ptCount val="5"/>
                <c:pt idx="0">
                  <c:v>2283756</c:v>
                </c:pt>
                <c:pt idx="1">
                  <c:v>923433</c:v>
                </c:pt>
                <c:pt idx="2">
                  <c:v>2288178</c:v>
                </c:pt>
                <c:pt idx="3">
                  <c:v>491500</c:v>
                </c:pt>
                <c:pt idx="4">
                  <c:v>123087</c:v>
                </c:pt>
              </c:numCache>
            </c:numRef>
          </c:val>
        </c:ser>
        <c:ser>
          <c:idx val="2"/>
          <c:order val="2"/>
          <c:tx>
            <c:strRef>
              <c:f>Sheet1!$F$30</c:f>
              <c:strCache>
                <c:ptCount val="1"/>
                <c:pt idx="0">
                  <c:v>Financement du Plan opérationnel
en espèces</c:v>
                </c:pt>
              </c:strCache>
            </c:strRef>
          </c:tx>
          <c:spPr>
            <a:solidFill>
              <a:schemeClr val="bg1">
                <a:lumMod val="65000"/>
              </a:schemeClr>
            </a:solidFill>
            <a:ln>
              <a:noFill/>
            </a:ln>
            <a:effectLst/>
          </c:spPr>
          <c:invertIfNegative val="0"/>
          <c:dLbls>
            <c:dLbl>
              <c:idx val="4"/>
              <c:layout>
                <c:manualLayout>
                  <c:x val="8.3333333333332309E-3"/>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Sheet1!$C$31:$C$35</c:f>
              <c:strCache>
                <c:ptCount val="5"/>
                <c:pt idx="0">
                  <c:v>Afrique</c:v>
                </c:pt>
                <c:pt idx="1">
                  <c:v>États arabes</c:v>
                </c:pt>
                <c:pt idx="2">
                  <c:v>Monde</c:v>
                </c:pt>
                <c:pt idx="3">
                  <c:v>Asie et Pacifique</c:v>
                </c:pt>
                <c:pt idx="4">
                  <c:v>Amériques</c:v>
                </c:pt>
              </c:strCache>
            </c:strRef>
          </c:cat>
          <c:val>
            <c:numRef>
              <c:f>Sheet1!$F$31:$F$35</c:f>
              <c:numCache>
                <c:formatCode>#,##0</c:formatCode>
                <c:ptCount val="5"/>
                <c:pt idx="0">
                  <c:v>138500</c:v>
                </c:pt>
                <c:pt idx="1">
                  <c:v>25000</c:v>
                </c:pt>
                <c:pt idx="4">
                  <c:v>123087</c:v>
                </c:pt>
              </c:numCache>
            </c:numRef>
          </c:val>
        </c:ser>
        <c:dLbls>
          <c:showLegendKey val="0"/>
          <c:showVal val="0"/>
          <c:showCatName val="0"/>
          <c:showSerName val="0"/>
          <c:showPercent val="0"/>
          <c:showBubbleSize val="0"/>
        </c:dLbls>
        <c:gapWidth val="219"/>
        <c:overlap val="-27"/>
        <c:axId val="393447480"/>
        <c:axId val="393445128"/>
      </c:barChart>
      <c:catAx>
        <c:axId val="39344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445128"/>
        <c:crosses val="autoZero"/>
        <c:auto val="1"/>
        <c:lblAlgn val="ctr"/>
        <c:lblOffset val="100"/>
        <c:noMultiLvlLbl val="0"/>
      </c:catAx>
      <c:valAx>
        <c:axId val="393445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447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Sheet1!$C$39:$C$43</c:f>
              <c:strCache>
                <c:ptCount val="5"/>
                <c:pt idx="0">
                  <c:v>PMA et PEID</c:v>
                </c:pt>
                <c:pt idx="1">
                  <c:v>Télécommunications d'urgence</c:v>
                </c:pt>
                <c:pt idx="2">
                  <c:v>Inclusion numérique</c:v>
                </c:pt>
                <c:pt idx="3">
                  <c:v>Applications TIC</c:v>
                </c:pt>
                <c:pt idx="4">
                  <c:v>Développement des technologies
et des réseaux</c:v>
                </c:pt>
              </c:strCache>
            </c:strRef>
          </c:cat>
          <c:val>
            <c:numRef>
              <c:f>Sheet1!$D$39:$D$43</c:f>
              <c:numCache>
                <c:formatCode>General</c:formatCode>
                <c:ptCount val="5"/>
                <c:pt idx="0">
                  <c:v>1</c:v>
                </c:pt>
                <c:pt idx="1">
                  <c:v>1</c:v>
                </c:pt>
                <c:pt idx="2">
                  <c:v>2</c:v>
                </c:pt>
                <c:pt idx="3">
                  <c:v>2</c:v>
                </c:pt>
                <c:pt idx="4">
                  <c:v>10</c:v>
                </c:pt>
              </c:numCache>
            </c:numRef>
          </c:val>
        </c:ser>
        <c:dLbls>
          <c:showLegendKey val="0"/>
          <c:showVal val="0"/>
          <c:showCatName val="0"/>
          <c:showSerName val="0"/>
          <c:showPercent val="0"/>
          <c:showBubbleSize val="0"/>
        </c:dLbls>
        <c:gapWidth val="182"/>
        <c:axId val="393446304"/>
        <c:axId val="393445912"/>
      </c:barChart>
      <c:catAx>
        <c:axId val="393446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Low">
              <a:defRPr sz="900" b="0" i="0" u="none" strike="noStrike" kern="1200" baseline="0">
                <a:solidFill>
                  <a:schemeClr val="tx1">
                    <a:lumMod val="65000"/>
                    <a:lumOff val="35000"/>
                  </a:schemeClr>
                </a:solidFill>
                <a:latin typeface="+mn-lt"/>
                <a:ea typeface="+mn-ea"/>
                <a:cs typeface="+mn-cs"/>
              </a:defRPr>
            </a:pPr>
            <a:endParaRPr lang="en-US"/>
          </a:p>
        </c:txPr>
        <c:crossAx val="393445912"/>
        <c:crosses val="autoZero"/>
        <c:auto val="0"/>
        <c:lblAlgn val="ctr"/>
        <c:lblOffset val="100"/>
        <c:noMultiLvlLbl val="0"/>
      </c:catAx>
      <c:valAx>
        <c:axId val="393445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44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62720513594337"/>
          <c:y val="2.7119553207684013E-2"/>
          <c:w val="0.86441809103130396"/>
          <c:h val="0.88557765131841126"/>
        </c:manualLayout>
      </c:layout>
      <c:line3DChart>
        <c:grouping val="standard"/>
        <c:varyColors val="0"/>
        <c:ser>
          <c:idx val="0"/>
          <c:order val="0"/>
          <c:spPr>
            <a:solidFill>
              <a:schemeClr val="accent1"/>
            </a:solidFill>
            <a:ln>
              <a:noFill/>
            </a:ln>
            <a:effectLst/>
            <a:sp3d/>
          </c:spPr>
          <c:dLbls>
            <c:dLbl>
              <c:idx val="0"/>
              <c:layout>
                <c:manualLayout>
                  <c:x val="-5.8333333333333334E-2"/>
                  <c:y val="-7.4074074074074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D-442B-B83B-0AD1A97DB592}"/>
                </c:ext>
                <c:ext xmlns:c15="http://schemas.microsoft.com/office/drawing/2012/chart" uri="{CE6537A1-D6FC-4f65-9D91-7224C49458BB}">
                  <c15:layout/>
                </c:ext>
              </c:extLst>
            </c:dLbl>
            <c:dLbl>
              <c:idx val="1"/>
              <c:layout>
                <c:manualLayout>
                  <c:x val="-5.3491132965320459E-2"/>
                  <c:y val="6.4249514265262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3D-442B-B83B-0AD1A97DB592}"/>
                </c:ext>
                <c:ext xmlns:c15="http://schemas.microsoft.com/office/drawing/2012/chart" uri="{CE6537A1-D6FC-4f65-9D91-7224C49458BB}">
                  <c15:layout/>
                </c:ext>
              </c:extLst>
            </c:dLbl>
            <c:dLbl>
              <c:idx val="2"/>
              <c:layout>
                <c:manualLayout>
                  <c:x val="-4.7362811996968845E-2"/>
                  <c:y val="-6.6510277124450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D-442B-B83B-0AD1A97DB59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Sheet1!$B$20:$B$23</c:f>
              <c:strCache>
                <c:ptCount val="4"/>
                <c:pt idx="0">
                  <c:v>31.12.2015</c:v>
                </c:pt>
                <c:pt idx="1">
                  <c:v>31.12.2016</c:v>
                </c:pt>
                <c:pt idx="2">
                  <c:v>31.12.2017</c:v>
                </c:pt>
                <c:pt idx="3">
                  <c:v>31.12.2018</c:v>
                </c:pt>
              </c:strCache>
            </c:strRef>
          </c:cat>
          <c:val>
            <c:numRef>
              <c:f>Sheet1!$C$20:$C$23</c:f>
              <c:numCache>
                <c:formatCode>_-* #,##0_-;\-* #,##0_-;_-* "-"??_-;_-@_-</c:formatCode>
                <c:ptCount val="4"/>
                <c:pt idx="0">
                  <c:v>2701230</c:v>
                </c:pt>
                <c:pt idx="1">
                  <c:v>2587177</c:v>
                </c:pt>
                <c:pt idx="2">
                  <c:v>4557829</c:v>
                </c:pt>
                <c:pt idx="3">
                  <c:v>4375147</c:v>
                </c:pt>
              </c:numCache>
            </c:numRef>
          </c:val>
          <c:smooth val="0"/>
          <c:extLst xmlns:c16r2="http://schemas.microsoft.com/office/drawing/2015/06/chart">
            <c:ext xmlns:c16="http://schemas.microsoft.com/office/drawing/2014/chart" uri="{C3380CC4-5D6E-409C-BE32-E72D297353CC}">
              <c16:uniqueId val="{00000003-9B3D-442B-B83B-0AD1A97DB592}"/>
            </c:ext>
          </c:extLst>
        </c:ser>
        <c:dLbls>
          <c:showLegendKey val="0"/>
          <c:showVal val="1"/>
          <c:showCatName val="0"/>
          <c:showSerName val="0"/>
          <c:showPercent val="0"/>
          <c:showBubbleSize val="0"/>
        </c:dLbls>
        <c:axId val="390960792"/>
        <c:axId val="390959224"/>
        <c:axId val="688764720"/>
      </c:line3DChart>
      <c:catAx>
        <c:axId val="390960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390959224"/>
        <c:crosses val="autoZero"/>
        <c:auto val="1"/>
        <c:lblAlgn val="ctr"/>
        <c:lblOffset val="100"/>
        <c:noMultiLvlLbl val="0"/>
      </c:catAx>
      <c:valAx>
        <c:axId val="390959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90960792"/>
        <c:crosses val="autoZero"/>
        <c:crossBetween val="between"/>
        <c:majorUnit val="1000000"/>
      </c:valAx>
      <c:serAx>
        <c:axId val="688764720"/>
        <c:scaling>
          <c:orientation val="minMax"/>
        </c:scaling>
        <c:delete val="1"/>
        <c:axPos val="b"/>
        <c:majorTickMark val="out"/>
        <c:minorTickMark val="none"/>
        <c:tickLblPos val="nextTo"/>
        <c:crossAx val="390959224"/>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679F-B708-4098-90C6-C6C25481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6</Pages>
  <Words>1459</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9681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FDTIC</dc:title>
  <dc:subject>Conseil 2018</dc:subject>
  <dc:creator>Cormier-Ribout, Kevin</dc:creator>
  <cp:keywords>C2019, C19</cp:keywords>
  <dc:description/>
  <cp:lastModifiedBy>Brouard, Ricarda</cp:lastModifiedBy>
  <cp:revision>2</cp:revision>
  <cp:lastPrinted>2019-03-13T12:27:00Z</cp:lastPrinted>
  <dcterms:created xsi:type="dcterms:W3CDTF">2019-05-13T08:09:00Z</dcterms:created>
  <dcterms:modified xsi:type="dcterms:W3CDTF">2019-05-13T08:09:00Z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