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E125A">
        <w:trPr>
          <w:cantSplit/>
        </w:trPr>
        <w:tc>
          <w:tcPr>
            <w:tcW w:w="6912" w:type="dxa"/>
          </w:tcPr>
          <w:p w:rsidR="00093EEB" w:rsidRPr="003E125A" w:rsidRDefault="00093EEB" w:rsidP="00C2727F">
            <w:pPr>
              <w:spacing w:before="360"/>
              <w:rPr>
                <w:szCs w:val="24"/>
              </w:rPr>
            </w:pPr>
            <w:bookmarkStart w:id="0" w:name="dc06"/>
            <w:bookmarkStart w:id="1" w:name="dbluepink" w:colFirst="0" w:colLast="0"/>
            <w:bookmarkEnd w:id="0"/>
            <w:r w:rsidRPr="003E125A">
              <w:rPr>
                <w:b/>
                <w:bCs/>
                <w:sz w:val="30"/>
                <w:szCs w:val="30"/>
              </w:rPr>
              <w:t>Consejo 201</w:t>
            </w:r>
            <w:r w:rsidR="00C2727F" w:rsidRPr="003E125A">
              <w:rPr>
                <w:b/>
                <w:bCs/>
                <w:sz w:val="30"/>
                <w:szCs w:val="30"/>
              </w:rPr>
              <w:t>9</w:t>
            </w:r>
            <w:r w:rsidRPr="003E125A">
              <w:rPr>
                <w:b/>
                <w:bCs/>
                <w:sz w:val="26"/>
                <w:szCs w:val="26"/>
              </w:rPr>
              <w:br/>
            </w:r>
            <w:r w:rsidRPr="003E125A">
              <w:rPr>
                <w:b/>
                <w:bCs/>
                <w:szCs w:val="24"/>
              </w:rPr>
              <w:t>Ginebra, 1</w:t>
            </w:r>
            <w:r w:rsidR="00C2727F" w:rsidRPr="003E125A">
              <w:rPr>
                <w:b/>
                <w:bCs/>
                <w:szCs w:val="24"/>
              </w:rPr>
              <w:t>0</w:t>
            </w:r>
            <w:r w:rsidRPr="003E125A">
              <w:rPr>
                <w:b/>
                <w:bCs/>
                <w:szCs w:val="24"/>
              </w:rPr>
              <w:t>-2</w:t>
            </w:r>
            <w:r w:rsidR="00C2727F" w:rsidRPr="003E125A">
              <w:rPr>
                <w:b/>
                <w:bCs/>
                <w:szCs w:val="24"/>
              </w:rPr>
              <w:t>0</w:t>
            </w:r>
            <w:r w:rsidRPr="003E125A">
              <w:rPr>
                <w:b/>
                <w:bCs/>
                <w:szCs w:val="24"/>
              </w:rPr>
              <w:t xml:space="preserve"> de </w:t>
            </w:r>
            <w:r w:rsidR="00C2727F" w:rsidRPr="003E125A">
              <w:rPr>
                <w:b/>
                <w:bCs/>
                <w:szCs w:val="24"/>
              </w:rPr>
              <w:t>junio</w:t>
            </w:r>
            <w:r w:rsidRPr="003E125A">
              <w:rPr>
                <w:b/>
                <w:bCs/>
                <w:szCs w:val="24"/>
              </w:rPr>
              <w:t xml:space="preserve"> de 201</w:t>
            </w:r>
            <w:r w:rsidR="00C2727F" w:rsidRPr="003E125A">
              <w:rPr>
                <w:b/>
                <w:bCs/>
                <w:szCs w:val="24"/>
              </w:rPr>
              <w:t>9</w:t>
            </w:r>
          </w:p>
        </w:tc>
        <w:tc>
          <w:tcPr>
            <w:tcW w:w="3261" w:type="dxa"/>
          </w:tcPr>
          <w:p w:rsidR="00093EEB" w:rsidRPr="003E125A" w:rsidRDefault="00093EEB" w:rsidP="00093EEB">
            <w:pPr>
              <w:spacing w:before="0"/>
              <w:jc w:val="right"/>
              <w:rPr>
                <w:szCs w:val="24"/>
              </w:rPr>
            </w:pPr>
            <w:bookmarkStart w:id="2" w:name="ditulogo"/>
            <w:bookmarkEnd w:id="2"/>
            <w:r w:rsidRPr="003E125A">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E125A">
        <w:trPr>
          <w:cantSplit/>
          <w:trHeight w:val="20"/>
        </w:trPr>
        <w:tc>
          <w:tcPr>
            <w:tcW w:w="10173" w:type="dxa"/>
            <w:gridSpan w:val="2"/>
            <w:tcBorders>
              <w:bottom w:val="single" w:sz="12" w:space="0" w:color="auto"/>
            </w:tcBorders>
          </w:tcPr>
          <w:p w:rsidR="00093EEB" w:rsidRPr="003E125A" w:rsidRDefault="00093EEB">
            <w:pPr>
              <w:spacing w:before="0"/>
              <w:rPr>
                <w:b/>
                <w:bCs/>
                <w:szCs w:val="24"/>
              </w:rPr>
            </w:pPr>
          </w:p>
        </w:tc>
      </w:tr>
      <w:tr w:rsidR="00093EEB" w:rsidRPr="003E125A">
        <w:trPr>
          <w:cantSplit/>
          <w:trHeight w:val="20"/>
        </w:trPr>
        <w:tc>
          <w:tcPr>
            <w:tcW w:w="6912" w:type="dxa"/>
            <w:tcBorders>
              <w:top w:val="single" w:sz="12" w:space="0" w:color="auto"/>
            </w:tcBorders>
          </w:tcPr>
          <w:p w:rsidR="00093EEB" w:rsidRPr="003E125A"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3E125A" w:rsidRDefault="00093EEB">
            <w:pPr>
              <w:spacing w:before="0"/>
              <w:rPr>
                <w:b/>
                <w:bCs/>
                <w:szCs w:val="24"/>
              </w:rPr>
            </w:pPr>
          </w:p>
        </w:tc>
      </w:tr>
      <w:tr w:rsidR="00093EEB" w:rsidRPr="003E125A">
        <w:trPr>
          <w:cantSplit/>
          <w:trHeight w:val="20"/>
        </w:trPr>
        <w:tc>
          <w:tcPr>
            <w:tcW w:w="6912" w:type="dxa"/>
            <w:shd w:val="clear" w:color="auto" w:fill="auto"/>
          </w:tcPr>
          <w:p w:rsidR="00093EEB" w:rsidRPr="003E125A" w:rsidRDefault="001C6465">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3E125A">
              <w:rPr>
                <w:b/>
              </w:rPr>
              <w:t>Punto del orden del día: ADM 10</w:t>
            </w:r>
          </w:p>
        </w:tc>
        <w:tc>
          <w:tcPr>
            <w:tcW w:w="3261" w:type="dxa"/>
          </w:tcPr>
          <w:p w:rsidR="00093EEB" w:rsidRPr="003E125A" w:rsidRDefault="00093EEB" w:rsidP="001C6465">
            <w:pPr>
              <w:spacing w:before="0"/>
              <w:rPr>
                <w:b/>
                <w:bCs/>
                <w:szCs w:val="24"/>
              </w:rPr>
            </w:pPr>
            <w:r w:rsidRPr="003E125A">
              <w:rPr>
                <w:b/>
                <w:bCs/>
                <w:szCs w:val="24"/>
              </w:rPr>
              <w:t>Documento C1</w:t>
            </w:r>
            <w:r w:rsidR="00C2727F" w:rsidRPr="003E125A">
              <w:rPr>
                <w:b/>
                <w:bCs/>
                <w:szCs w:val="24"/>
              </w:rPr>
              <w:t>9</w:t>
            </w:r>
            <w:r w:rsidRPr="003E125A">
              <w:rPr>
                <w:b/>
                <w:bCs/>
                <w:szCs w:val="24"/>
              </w:rPr>
              <w:t>/</w:t>
            </w:r>
            <w:r w:rsidR="001C6465" w:rsidRPr="003E125A">
              <w:rPr>
                <w:b/>
                <w:bCs/>
                <w:szCs w:val="24"/>
              </w:rPr>
              <w:t>34</w:t>
            </w:r>
            <w:r w:rsidRPr="003E125A">
              <w:rPr>
                <w:b/>
                <w:bCs/>
                <w:szCs w:val="24"/>
              </w:rPr>
              <w:t>-S</w:t>
            </w:r>
          </w:p>
        </w:tc>
      </w:tr>
      <w:tr w:rsidR="00093EEB" w:rsidRPr="003E125A">
        <w:trPr>
          <w:cantSplit/>
          <w:trHeight w:val="20"/>
        </w:trPr>
        <w:tc>
          <w:tcPr>
            <w:tcW w:w="6912" w:type="dxa"/>
            <w:shd w:val="clear" w:color="auto" w:fill="auto"/>
          </w:tcPr>
          <w:p w:rsidR="00093EEB" w:rsidRPr="003E125A"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3E125A" w:rsidRDefault="001C6465" w:rsidP="00C2727F">
            <w:pPr>
              <w:spacing w:before="0"/>
              <w:rPr>
                <w:b/>
                <w:bCs/>
                <w:szCs w:val="24"/>
              </w:rPr>
            </w:pPr>
            <w:r w:rsidRPr="003E125A">
              <w:rPr>
                <w:b/>
                <w:bCs/>
                <w:szCs w:val="24"/>
              </w:rPr>
              <w:t>13 de febrero de 2019</w:t>
            </w:r>
          </w:p>
        </w:tc>
      </w:tr>
      <w:tr w:rsidR="00093EEB" w:rsidRPr="003E125A">
        <w:trPr>
          <w:cantSplit/>
          <w:trHeight w:val="20"/>
        </w:trPr>
        <w:tc>
          <w:tcPr>
            <w:tcW w:w="6912" w:type="dxa"/>
            <w:shd w:val="clear" w:color="auto" w:fill="auto"/>
          </w:tcPr>
          <w:p w:rsidR="00093EEB" w:rsidRPr="003E125A" w:rsidRDefault="00093EEB">
            <w:pPr>
              <w:shd w:val="solid" w:color="FFFFFF" w:fill="FFFFFF"/>
              <w:spacing w:before="0"/>
              <w:rPr>
                <w:smallCaps/>
                <w:szCs w:val="24"/>
              </w:rPr>
            </w:pPr>
            <w:bookmarkStart w:id="6" w:name="dorlang" w:colFirst="1" w:colLast="1"/>
            <w:bookmarkEnd w:id="5"/>
          </w:p>
        </w:tc>
        <w:tc>
          <w:tcPr>
            <w:tcW w:w="3261" w:type="dxa"/>
          </w:tcPr>
          <w:p w:rsidR="00093EEB" w:rsidRPr="003E125A" w:rsidRDefault="00093EEB" w:rsidP="00093EEB">
            <w:pPr>
              <w:spacing w:before="0"/>
              <w:rPr>
                <w:b/>
                <w:bCs/>
                <w:szCs w:val="24"/>
              </w:rPr>
            </w:pPr>
            <w:r w:rsidRPr="003E125A">
              <w:rPr>
                <w:b/>
                <w:bCs/>
                <w:szCs w:val="24"/>
              </w:rPr>
              <w:t>Original: inglés</w:t>
            </w:r>
          </w:p>
        </w:tc>
      </w:tr>
      <w:tr w:rsidR="00093EEB" w:rsidRPr="003E125A">
        <w:trPr>
          <w:cantSplit/>
        </w:trPr>
        <w:tc>
          <w:tcPr>
            <w:tcW w:w="10173" w:type="dxa"/>
            <w:gridSpan w:val="2"/>
          </w:tcPr>
          <w:p w:rsidR="00093EEB" w:rsidRPr="003E125A" w:rsidRDefault="001C6465">
            <w:pPr>
              <w:pStyle w:val="Source"/>
            </w:pPr>
            <w:bookmarkStart w:id="7" w:name="dsource" w:colFirst="0" w:colLast="0"/>
            <w:bookmarkEnd w:id="1"/>
            <w:bookmarkEnd w:id="6"/>
            <w:r w:rsidRPr="003E125A">
              <w:t>Informe del Secretario General</w:t>
            </w:r>
          </w:p>
        </w:tc>
      </w:tr>
      <w:tr w:rsidR="00093EEB" w:rsidRPr="003E125A">
        <w:trPr>
          <w:cantSplit/>
        </w:trPr>
        <w:tc>
          <w:tcPr>
            <w:tcW w:w="10173" w:type="dxa"/>
            <w:gridSpan w:val="2"/>
          </w:tcPr>
          <w:p w:rsidR="00093EEB" w:rsidRPr="003E125A" w:rsidRDefault="001C6465" w:rsidP="001C6465">
            <w:pPr>
              <w:pStyle w:val="Title1"/>
            </w:pPr>
            <w:bookmarkStart w:id="8" w:name="dtitle1" w:colFirst="0" w:colLast="0"/>
            <w:bookmarkEnd w:id="7"/>
            <w:r w:rsidRPr="003E125A">
              <w:t xml:space="preserve">FONDO PARA EL DESARROLLO DE LAS TECNOLOGÍAS DE </w:t>
            </w:r>
            <w:r w:rsidRPr="003E125A">
              <w:br/>
              <w:t>LA INFORMACIÓN Y LA COMUNICACIÓN (FD-TIC)</w:t>
            </w:r>
          </w:p>
        </w:tc>
      </w:tr>
      <w:bookmarkEnd w:id="8"/>
    </w:tbl>
    <w:p w:rsidR="00093EEB" w:rsidRPr="003E125A"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E125A">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3E125A" w:rsidRDefault="00093EEB">
            <w:pPr>
              <w:pStyle w:val="Headingb"/>
            </w:pPr>
            <w:r w:rsidRPr="003E125A">
              <w:t>Resumen</w:t>
            </w:r>
          </w:p>
          <w:p w:rsidR="00093EEB" w:rsidRPr="003E125A" w:rsidRDefault="001C6465">
            <w:r w:rsidRPr="003E125A">
              <w:t>El presente documento tiene por objeto informar sobre la situación del Fondo para el Desarrollo de las Tecnologías de la In</w:t>
            </w:r>
            <w:r w:rsidR="00421D43" w:rsidRPr="003E125A">
              <w:t>formación y la Comunicación (FD</w:t>
            </w:r>
            <w:r w:rsidR="00421D43" w:rsidRPr="003E125A">
              <w:noBreakHyphen/>
            </w:r>
            <w:r w:rsidRPr="003E125A">
              <w:t>TIC) en lo que atañe a su utilización para la ejecución de proyectos de desarrollo.</w:t>
            </w:r>
          </w:p>
          <w:p w:rsidR="00093EEB" w:rsidRPr="003E125A" w:rsidRDefault="00093EEB">
            <w:pPr>
              <w:pStyle w:val="Headingb"/>
            </w:pPr>
            <w:r w:rsidRPr="003E125A">
              <w:t>Acción solicitada</w:t>
            </w:r>
          </w:p>
          <w:p w:rsidR="00093EEB" w:rsidRPr="003E125A" w:rsidRDefault="001C6465">
            <w:r w:rsidRPr="003E125A">
              <w:t xml:space="preserve">Se invita al Consejo a </w:t>
            </w:r>
            <w:r w:rsidRPr="003E125A">
              <w:rPr>
                <w:b/>
                <w:bCs/>
              </w:rPr>
              <w:t xml:space="preserve">tomar nota </w:t>
            </w:r>
            <w:r w:rsidRPr="003E125A">
              <w:t xml:space="preserve">del </w:t>
            </w:r>
            <w:r w:rsidR="00093CE3" w:rsidRPr="003E125A">
              <w:t xml:space="preserve">Informe </w:t>
            </w:r>
            <w:r w:rsidRPr="003E125A">
              <w:t xml:space="preserve">y a </w:t>
            </w:r>
            <w:r w:rsidRPr="003E125A">
              <w:rPr>
                <w:b/>
                <w:bCs/>
              </w:rPr>
              <w:t>facilitar las orientaciones</w:t>
            </w:r>
            <w:r w:rsidRPr="003E125A">
              <w:t xml:space="preserve"> que estime oportunas.</w:t>
            </w:r>
          </w:p>
          <w:p w:rsidR="00093EEB" w:rsidRPr="003E125A" w:rsidRDefault="00093EEB">
            <w:pPr>
              <w:pStyle w:val="Table"/>
              <w:keepNext w:val="0"/>
              <w:spacing w:before="0" w:after="0"/>
              <w:rPr>
                <w:caps w:val="0"/>
                <w:sz w:val="22"/>
                <w:lang w:val="es-ES_tradnl"/>
              </w:rPr>
            </w:pPr>
            <w:r w:rsidRPr="003E125A">
              <w:rPr>
                <w:caps w:val="0"/>
                <w:sz w:val="22"/>
                <w:lang w:val="es-ES_tradnl"/>
              </w:rPr>
              <w:t>____________</w:t>
            </w:r>
          </w:p>
          <w:p w:rsidR="00093EEB" w:rsidRPr="003E125A" w:rsidRDefault="00093EEB">
            <w:pPr>
              <w:pStyle w:val="Headingb"/>
            </w:pPr>
            <w:r w:rsidRPr="003E125A">
              <w:t>Referencia</w:t>
            </w:r>
            <w:r w:rsidR="006B6D00" w:rsidRPr="003E125A">
              <w:t>s</w:t>
            </w:r>
          </w:p>
          <w:p w:rsidR="00093EEB" w:rsidRPr="003E125A" w:rsidRDefault="000636EC" w:rsidP="001C6465">
            <w:pPr>
              <w:spacing w:after="120"/>
              <w:rPr>
                <w:i/>
                <w:iCs/>
              </w:rPr>
            </w:pPr>
            <w:hyperlink r:id="rId9" w:history="1">
              <w:r w:rsidR="001C6465" w:rsidRPr="003E125A">
                <w:rPr>
                  <w:rStyle w:val="Hyperlink"/>
                  <w:i/>
                  <w:szCs w:val="24"/>
                </w:rPr>
                <w:t>Resolución 11 (Rev. Dubái, 2018)</w:t>
              </w:r>
            </w:hyperlink>
            <w:bookmarkStart w:id="9" w:name="_GoBack"/>
            <w:bookmarkEnd w:id="9"/>
            <w:r w:rsidR="001C6465" w:rsidRPr="003E125A">
              <w:rPr>
                <w:i/>
                <w:szCs w:val="24"/>
              </w:rPr>
              <w:t xml:space="preserve"> de la PP; Resoluciones </w:t>
            </w:r>
            <w:hyperlink r:id="rId10" w:history="1">
              <w:r w:rsidR="001C6465" w:rsidRPr="003E125A">
                <w:rPr>
                  <w:rStyle w:val="Hyperlink"/>
                  <w:i/>
                  <w:szCs w:val="24"/>
                </w:rPr>
                <w:t>1111</w:t>
              </w:r>
            </w:hyperlink>
            <w:r w:rsidR="001C6465" w:rsidRPr="003E125A">
              <w:rPr>
                <w:i/>
                <w:szCs w:val="24"/>
              </w:rPr>
              <w:t xml:space="preserve"> y </w:t>
            </w:r>
            <w:hyperlink r:id="rId11" w:history="1">
              <w:r w:rsidR="001C6465" w:rsidRPr="003E125A">
                <w:rPr>
                  <w:rStyle w:val="Hyperlink"/>
                  <w:i/>
                  <w:szCs w:val="24"/>
                </w:rPr>
                <w:t>1338</w:t>
              </w:r>
            </w:hyperlink>
            <w:r w:rsidR="001C6465" w:rsidRPr="003E125A">
              <w:rPr>
                <w:i/>
                <w:szCs w:val="24"/>
              </w:rPr>
              <w:t xml:space="preserve"> del Consejo</w:t>
            </w:r>
          </w:p>
        </w:tc>
      </w:tr>
    </w:tbl>
    <w:p w:rsidR="001C6465" w:rsidRPr="003E125A" w:rsidRDefault="001C6465" w:rsidP="001C6465">
      <w:pPr>
        <w:pStyle w:val="Heading1"/>
      </w:pPr>
      <w:r w:rsidRPr="003E125A">
        <w:t>1</w:t>
      </w:r>
      <w:r w:rsidRPr="003E125A">
        <w:tab/>
        <w:t>Introducción</w:t>
      </w:r>
    </w:p>
    <w:p w:rsidR="001C6465" w:rsidRPr="003E125A" w:rsidRDefault="001C6465" w:rsidP="001C6465">
      <w:r w:rsidRPr="003E125A">
        <w:t>1.1</w:t>
      </w:r>
      <w:r w:rsidRPr="003E125A">
        <w:tab/>
        <w:t>Según se estipula en la Constitución de la UIT, una de las funciones del Sector de Desarrollo de las Telecomunicaciones de la UIT (UIT-D) consiste en desempeñar, en el marco de sus competencias específicas, el doble cometido de la Unión como organismo especializado de las Naciones Unidas y como organismo ejecutor de proyectos de desarrollo.</w:t>
      </w:r>
    </w:p>
    <w:p w:rsidR="001C6465" w:rsidRPr="003E125A" w:rsidRDefault="001C6465" w:rsidP="001C6465">
      <w:r w:rsidRPr="003E125A">
        <w:rPr>
          <w:rFonts w:cstheme="minorHAnsi"/>
        </w:rPr>
        <w:t>1.2</w:t>
      </w:r>
      <w:r w:rsidRPr="003E125A">
        <w:rPr>
          <w:rFonts w:cstheme="minorHAnsi"/>
        </w:rPr>
        <w:tab/>
      </w:r>
      <w:r w:rsidRPr="003E125A">
        <w:t>El Fondo para el Desarrollo de las Tecnologías de la Información y la Comunicación (</w:t>
      </w:r>
      <w:hyperlink r:id="rId12" w:history="1">
        <w:r w:rsidRPr="003E125A">
          <w:rPr>
            <w:rStyle w:val="Hyperlink"/>
            <w:rFonts w:cstheme="minorHAnsi"/>
            <w:szCs w:val="24"/>
          </w:rPr>
          <w:t>FD-TIC</w:t>
        </w:r>
      </w:hyperlink>
      <w:r w:rsidRPr="003E125A">
        <w:t xml:space="preserve">) es una iniciativa especial lanzada en 1997 con objeto facilitar la ejecución de proyectos de desarrollo que generen un desarrollo sostenible a partir de asociaciones </w:t>
      </w:r>
      <w:proofErr w:type="spellStart"/>
      <w:r w:rsidRPr="003E125A">
        <w:t>multipartitas</w:t>
      </w:r>
      <w:proofErr w:type="spellEnd"/>
      <w:r w:rsidRPr="003E125A">
        <w:t xml:space="preserve"> forjadas por Estados Miembros de la UIT, Miembros de Sector, miembros de los sectores público y privado, organizaciones multilaterales, fundaciones, instituciones financieras y organismos de desarrollo</w:t>
      </w:r>
      <w:r w:rsidR="00105E3F" w:rsidRPr="003E125A">
        <w:t>.</w:t>
      </w:r>
    </w:p>
    <w:p w:rsidR="003528FE" w:rsidRPr="003E125A" w:rsidRDefault="003528FE" w:rsidP="003528FE">
      <w:r w:rsidRPr="003E125A">
        <w:br w:type="page"/>
      </w:r>
    </w:p>
    <w:p w:rsidR="001C6465" w:rsidRPr="003E125A" w:rsidRDefault="001C6465" w:rsidP="001C6465">
      <w:pPr>
        <w:pStyle w:val="Heading1"/>
      </w:pPr>
      <w:r w:rsidRPr="003E125A">
        <w:lastRenderedPageBreak/>
        <w:t>2</w:t>
      </w:r>
      <w:r w:rsidRPr="003E125A">
        <w:tab/>
        <w:t>Principales reglas y procedimientos del FD-TIC</w:t>
      </w:r>
    </w:p>
    <w:p w:rsidR="001C6465" w:rsidRPr="003E125A" w:rsidRDefault="001C6465" w:rsidP="001C6465">
      <w:r w:rsidRPr="003E125A">
        <w:t>2.1</w:t>
      </w:r>
      <w:r w:rsidRPr="003E125A">
        <w:tab/>
        <w:t>El FD-TIC se utiliza en principio para proporcionar financiación inicial, normalmente hasta el 25 por ciento del coste total de un proyecto de desarrollo. La financiación inicial tiene por objeto captar fondos extrapresupuestarios recaudados mediante la movilización de recursos en metálico y, en algunos casos, contribuciones en especie para financiar proyectos en los planos naci</w:t>
      </w:r>
      <w:r w:rsidR="00836D7F" w:rsidRPr="003E125A">
        <w:t>onal, regional e internacional.</w:t>
      </w:r>
    </w:p>
    <w:p w:rsidR="001C6465" w:rsidRPr="003E125A" w:rsidRDefault="001C6465" w:rsidP="001C6465">
      <w:r w:rsidRPr="003E125A">
        <w:t>2.2</w:t>
      </w:r>
      <w:r w:rsidRPr="003E125A">
        <w:tab/>
        <w:t xml:space="preserve">De acuerdo con este procedimiento, las propuestas de proyectos de desarrollo que incluyen contribuciones en metálico y en especie conexas pueden presentarse al FD-TIC a través de la dirección </w:t>
      </w:r>
      <w:hyperlink r:id="rId13" w:history="1">
        <w:r w:rsidRPr="003E125A">
          <w:rPr>
            <w:rStyle w:val="Hyperlink"/>
          </w:rPr>
          <w:t>bdtictdf@itu.int</w:t>
        </w:r>
      </w:hyperlink>
      <w:r w:rsidRPr="003E125A">
        <w:rPr>
          <w:rStyle w:val="Hyperlink"/>
          <w:color w:val="auto"/>
          <w:u w:val="none"/>
        </w:rPr>
        <w:t>,</w:t>
      </w:r>
      <w:r w:rsidRPr="003E125A">
        <w:t xml:space="preserve"> para su examen a efectos de la financiación por dicho Fondo.</w:t>
      </w:r>
    </w:p>
    <w:p w:rsidR="001C6465" w:rsidRPr="003E125A" w:rsidRDefault="001C6465" w:rsidP="001C6465">
      <w:r w:rsidRPr="003E125A">
        <w:t>2.3</w:t>
      </w:r>
      <w:r w:rsidRPr="003E125A">
        <w:tab/>
        <w:t>Los proyectos de desarrollo propuestos se administran con arreglo a los siguientes criterios de selección y admisibilidad, entre otros:</w:t>
      </w:r>
    </w:p>
    <w:p w:rsidR="001C6465" w:rsidRPr="003E125A" w:rsidRDefault="001616CC" w:rsidP="001C6465">
      <w:pPr>
        <w:pStyle w:val="enumlev1"/>
        <w:rPr>
          <w:rFonts w:eastAsia="SimSun"/>
          <w:lang w:eastAsia="zh-CN"/>
        </w:rPr>
      </w:pPr>
      <w:r w:rsidRPr="003E125A">
        <w:rPr>
          <w:rFonts w:eastAsia="SimSun"/>
          <w:lang w:eastAsia="zh-CN"/>
        </w:rPr>
        <w:t>–</w:t>
      </w:r>
      <w:r w:rsidRPr="003E125A">
        <w:rPr>
          <w:rFonts w:eastAsia="SimSun"/>
          <w:lang w:eastAsia="zh-CN"/>
        </w:rPr>
        <w:tab/>
      </w:r>
      <w:r w:rsidR="001C6465" w:rsidRPr="003E125A">
        <w:rPr>
          <w:rFonts w:eastAsia="SimSun"/>
          <w:lang w:eastAsia="zh-CN"/>
        </w:rPr>
        <w:t xml:space="preserve">Entre los beneficiarios del proyecto deberá figurar al menos uno o más países menos adelantados (PMA), pequeños </w:t>
      </w:r>
      <w:r w:rsidRPr="003E125A">
        <w:rPr>
          <w:rFonts w:eastAsia="SimSun"/>
          <w:lang w:eastAsia="zh-CN"/>
        </w:rPr>
        <w:t xml:space="preserve">Estados </w:t>
      </w:r>
      <w:r w:rsidR="001C6465" w:rsidRPr="003E125A">
        <w:rPr>
          <w:rFonts w:eastAsia="SimSun"/>
          <w:lang w:eastAsia="zh-CN"/>
        </w:rPr>
        <w:t>insulares en desarrollo (PEID), países en desarrollo sin litoral (PDSL), países con economías en transición y países con necesidades especiales.</w:t>
      </w:r>
    </w:p>
    <w:p w:rsidR="001C6465" w:rsidRPr="003E125A" w:rsidRDefault="00E15A34" w:rsidP="00E15A34">
      <w:pPr>
        <w:pStyle w:val="enumlev1"/>
        <w:rPr>
          <w:rFonts w:eastAsia="SimSun"/>
          <w:lang w:eastAsia="zh-CN"/>
        </w:rPr>
      </w:pPr>
      <w:r w:rsidRPr="003E125A">
        <w:rPr>
          <w:rFonts w:eastAsia="SimSun"/>
          <w:lang w:eastAsia="zh-CN"/>
        </w:rPr>
        <w:t>–</w:t>
      </w:r>
      <w:r w:rsidRPr="003E125A">
        <w:rPr>
          <w:rFonts w:eastAsia="SimSun"/>
          <w:lang w:eastAsia="zh-CN"/>
        </w:rPr>
        <w:tab/>
      </w:r>
      <w:r w:rsidR="001C6465" w:rsidRPr="003E125A">
        <w:rPr>
          <w:rFonts w:eastAsia="SimSun"/>
          <w:lang w:eastAsia="zh-CN"/>
        </w:rPr>
        <w:t>El proyecto deberá corresponder a una de las siguientes categorías/temas</w:t>
      </w:r>
      <w:r w:rsidR="00465F51" w:rsidRPr="003E125A">
        <w:rPr>
          <w:rStyle w:val="FootnoteReference"/>
          <w:rFonts w:eastAsia="SimSun"/>
        </w:rPr>
        <w:footnoteReference w:customMarkFollows="1" w:id="1"/>
        <w:t>1</w:t>
      </w:r>
      <w:r w:rsidR="00465F51" w:rsidRPr="003E125A">
        <w:rPr>
          <w:rFonts w:eastAsia="SimSun"/>
          <w:lang w:eastAsia="zh-CN"/>
        </w:rPr>
        <w:t>:</w:t>
      </w:r>
    </w:p>
    <w:p w:rsidR="001C6465" w:rsidRPr="003E125A" w:rsidRDefault="009975C8" w:rsidP="001C6465">
      <w:pPr>
        <w:pStyle w:val="enumlev2"/>
      </w:pPr>
      <w:r w:rsidRPr="003E125A">
        <w:t>•</w:t>
      </w:r>
      <w:r w:rsidRPr="003E125A">
        <w:tab/>
      </w:r>
      <w:r w:rsidR="001C6465" w:rsidRPr="003E125A">
        <w:t>Capacitación</w:t>
      </w:r>
    </w:p>
    <w:p w:rsidR="001C6465" w:rsidRPr="003E125A" w:rsidRDefault="009975C8" w:rsidP="001C6465">
      <w:pPr>
        <w:pStyle w:val="enumlev2"/>
      </w:pPr>
      <w:r w:rsidRPr="003E125A">
        <w:t>•</w:t>
      </w:r>
      <w:r w:rsidRPr="003E125A">
        <w:tab/>
      </w:r>
      <w:r w:rsidR="001C6465" w:rsidRPr="003E125A">
        <w:t>Cambio climático</w:t>
      </w:r>
    </w:p>
    <w:p w:rsidR="001C6465" w:rsidRPr="003E125A" w:rsidRDefault="009975C8" w:rsidP="001C6465">
      <w:pPr>
        <w:pStyle w:val="enumlev2"/>
      </w:pPr>
      <w:r w:rsidRPr="003E125A">
        <w:t>•</w:t>
      </w:r>
      <w:r w:rsidRPr="003E125A">
        <w:tab/>
      </w:r>
      <w:proofErr w:type="spellStart"/>
      <w:r w:rsidR="001C6465" w:rsidRPr="003E125A">
        <w:t>Ciberseguridad</w:t>
      </w:r>
      <w:proofErr w:type="spellEnd"/>
    </w:p>
    <w:p w:rsidR="001C6465" w:rsidRPr="003E125A" w:rsidRDefault="009975C8" w:rsidP="001C6465">
      <w:pPr>
        <w:pStyle w:val="enumlev2"/>
      </w:pPr>
      <w:r w:rsidRPr="003E125A">
        <w:t>•</w:t>
      </w:r>
      <w:r w:rsidRPr="003E125A">
        <w:tab/>
      </w:r>
      <w:r w:rsidR="001C6465" w:rsidRPr="003E125A">
        <w:t xml:space="preserve">Inclusión digital </w:t>
      </w:r>
    </w:p>
    <w:p w:rsidR="001C6465" w:rsidRPr="003E125A" w:rsidRDefault="009975C8" w:rsidP="001C6465">
      <w:pPr>
        <w:pStyle w:val="enumlev2"/>
      </w:pPr>
      <w:r w:rsidRPr="003E125A">
        <w:t>•</w:t>
      </w:r>
      <w:r w:rsidRPr="003E125A">
        <w:tab/>
      </w:r>
      <w:r w:rsidR="001C6465" w:rsidRPr="003E125A">
        <w:t>Telecomunicaciones de emergencia</w:t>
      </w:r>
    </w:p>
    <w:p w:rsidR="001C6465" w:rsidRPr="003E125A" w:rsidRDefault="009975C8" w:rsidP="001C6465">
      <w:pPr>
        <w:pStyle w:val="enumlev2"/>
      </w:pPr>
      <w:r w:rsidRPr="003E125A">
        <w:t>•</w:t>
      </w:r>
      <w:r w:rsidRPr="003E125A">
        <w:tab/>
      </w:r>
      <w:r w:rsidR="001C6465" w:rsidRPr="003E125A">
        <w:t>Aplicaciones de TIC</w:t>
      </w:r>
    </w:p>
    <w:p w:rsidR="001C6465" w:rsidRPr="003E125A" w:rsidRDefault="009975C8" w:rsidP="001C6465">
      <w:pPr>
        <w:pStyle w:val="enumlev2"/>
      </w:pPr>
      <w:r w:rsidRPr="003E125A">
        <w:t>•</w:t>
      </w:r>
      <w:r w:rsidRPr="003E125A">
        <w:tab/>
      </w:r>
      <w:r w:rsidR="001C6465" w:rsidRPr="003E125A">
        <w:t>Innovación</w:t>
      </w:r>
    </w:p>
    <w:p w:rsidR="001C6465" w:rsidRPr="003E125A" w:rsidRDefault="009975C8" w:rsidP="001C6465">
      <w:pPr>
        <w:pStyle w:val="enumlev2"/>
      </w:pPr>
      <w:r w:rsidRPr="003E125A">
        <w:t>•</w:t>
      </w:r>
      <w:r w:rsidRPr="003E125A">
        <w:tab/>
      </w:r>
      <w:r w:rsidR="001C6465" w:rsidRPr="003E125A">
        <w:t>Entorno reglamentario y de mercado</w:t>
      </w:r>
    </w:p>
    <w:p w:rsidR="001C6465" w:rsidRPr="003E125A" w:rsidRDefault="009975C8" w:rsidP="001C6465">
      <w:pPr>
        <w:pStyle w:val="enumlev2"/>
      </w:pPr>
      <w:r w:rsidRPr="003E125A">
        <w:t>•</w:t>
      </w:r>
      <w:r w:rsidRPr="003E125A">
        <w:tab/>
      </w:r>
      <w:r w:rsidR="001C6465" w:rsidRPr="003E125A">
        <w:t xml:space="preserve">Estadísticas e indicadores </w:t>
      </w:r>
    </w:p>
    <w:p w:rsidR="001C6465" w:rsidRPr="003E125A" w:rsidRDefault="009975C8" w:rsidP="001C6465">
      <w:pPr>
        <w:pStyle w:val="enumlev2"/>
      </w:pPr>
      <w:r w:rsidRPr="003E125A">
        <w:t>•</w:t>
      </w:r>
      <w:r w:rsidRPr="003E125A">
        <w:tab/>
      </w:r>
      <w:r w:rsidR="001C6465" w:rsidRPr="003E125A">
        <w:t>Gesti</w:t>
      </w:r>
      <w:r w:rsidRPr="003E125A">
        <w:t>ón del espectro y radiodifusión</w:t>
      </w:r>
    </w:p>
    <w:p w:rsidR="001C6465" w:rsidRPr="003E125A" w:rsidRDefault="009975C8" w:rsidP="001C6465">
      <w:pPr>
        <w:pStyle w:val="enumlev2"/>
      </w:pPr>
      <w:r w:rsidRPr="003E125A">
        <w:t>•</w:t>
      </w:r>
      <w:r w:rsidRPr="003E125A">
        <w:tab/>
      </w:r>
      <w:r w:rsidR="001C6465" w:rsidRPr="003E125A">
        <w:t>Asistencia a países con necesidades especiales</w:t>
      </w:r>
    </w:p>
    <w:p w:rsidR="001C6465" w:rsidRPr="003E125A" w:rsidRDefault="009975C8" w:rsidP="00806A1C">
      <w:pPr>
        <w:pStyle w:val="enumlev2"/>
        <w:rPr>
          <w:rFonts w:eastAsia="SimSun"/>
          <w:lang w:eastAsia="zh-CN"/>
        </w:rPr>
      </w:pPr>
      <w:r w:rsidRPr="003E125A">
        <w:t>•</w:t>
      </w:r>
      <w:r w:rsidRPr="003E125A">
        <w:tab/>
      </w:r>
      <w:r w:rsidR="001C6465" w:rsidRPr="003E125A">
        <w:rPr>
          <w:rFonts w:eastAsia="SimSun"/>
          <w:lang w:eastAsia="zh-CN"/>
        </w:rPr>
        <w:t>Cualquier otro tema que considere importante el Com</w:t>
      </w:r>
      <w:r w:rsidRPr="003E125A">
        <w:rPr>
          <w:rFonts w:eastAsia="SimSun"/>
          <w:lang w:eastAsia="zh-CN"/>
        </w:rPr>
        <w:t>ité de Dirección del FD-TIC (CD </w:t>
      </w:r>
      <w:r w:rsidR="001C6465" w:rsidRPr="003E125A">
        <w:rPr>
          <w:rFonts w:eastAsia="SimSun"/>
          <w:lang w:eastAsia="zh-CN"/>
        </w:rPr>
        <w:t>FD-TIC)</w:t>
      </w:r>
      <w:r w:rsidR="00806A1C" w:rsidRPr="003E125A">
        <w:rPr>
          <w:rStyle w:val="FootnoteReference"/>
          <w:rFonts w:eastAsia="SimSun"/>
          <w:lang w:eastAsia="zh-CN"/>
        </w:rPr>
        <w:footnoteReference w:customMarkFollows="1" w:id="2"/>
        <w:t>2</w:t>
      </w:r>
      <w:r w:rsidR="001C6465" w:rsidRPr="003E125A">
        <w:rPr>
          <w:rFonts w:eastAsia="SimSun"/>
          <w:lang w:eastAsia="zh-CN"/>
        </w:rPr>
        <w:t>.</w:t>
      </w:r>
    </w:p>
    <w:p w:rsidR="001C6465" w:rsidRPr="003E125A" w:rsidRDefault="001C6465" w:rsidP="001C6465">
      <w:r w:rsidRPr="003E125A">
        <w:t>2.4</w:t>
      </w:r>
      <w:r w:rsidRPr="003E125A">
        <w:tab/>
        <w:t>Se realizan periódicamente estudios y evaluaciones de los proyectos propuestos a fin de velar por que estos cumplan los criterios de selección/elegibilidad, en espera de su presentación al CD FD-TIC</w:t>
      </w:r>
      <w:r w:rsidR="001454D9" w:rsidRPr="003E125A">
        <w:t>.</w:t>
      </w:r>
    </w:p>
    <w:p w:rsidR="001C6465" w:rsidRPr="003E125A" w:rsidRDefault="001C6465" w:rsidP="001C6465">
      <w:r w:rsidRPr="003E125A">
        <w:t>2.5</w:t>
      </w:r>
      <w:r w:rsidRPr="003E125A">
        <w:tab/>
        <w:t>El CD FD-TIC: a) examina y aprueba los proyectos sometidos para su financiación; b) aprueba el importe de financiación que habrá de atribuir a los proyectos aprobados el propio Comité</w:t>
      </w:r>
      <w:r w:rsidR="003502DC" w:rsidRPr="003E125A">
        <w:t>; y c) </w:t>
      </w:r>
      <w:r w:rsidRPr="003E125A">
        <w:t>supervisa la implementación y los resultados presupuestarios de los proyectos que c</w:t>
      </w:r>
      <w:r w:rsidR="003502DC" w:rsidRPr="003E125A">
        <w:t>uentan con el apoyo del FD-TIC.</w:t>
      </w:r>
    </w:p>
    <w:p w:rsidR="001C6465" w:rsidRPr="003E125A" w:rsidRDefault="001C6465" w:rsidP="001C6465">
      <w:r w:rsidRPr="003E125A">
        <w:lastRenderedPageBreak/>
        <w:t>2.6</w:t>
      </w:r>
      <w:r w:rsidRPr="003E125A">
        <w:tab/>
        <w:t>Se presenta al Consejo de la UIT un informe anual acerca de la situación del FD-TIC y de los proyectos aprobados por el CD FD-TIC, para asesoramiento y/o aprobación, según proceda.</w:t>
      </w:r>
    </w:p>
    <w:p w:rsidR="001C6465" w:rsidRPr="003E125A" w:rsidRDefault="001C6465" w:rsidP="001C6465">
      <w:pPr>
        <w:pStyle w:val="Heading1"/>
      </w:pPr>
      <w:r w:rsidRPr="003E125A">
        <w:t>3</w:t>
      </w:r>
      <w:r w:rsidRPr="003E125A">
        <w:tab/>
        <w:t>Principales actividades y evolución del FD-TIC</w:t>
      </w:r>
    </w:p>
    <w:p w:rsidR="001C6465" w:rsidRPr="003E125A" w:rsidRDefault="001C6465" w:rsidP="001C6465">
      <w:pPr>
        <w:rPr>
          <w:bCs/>
        </w:rPr>
      </w:pPr>
      <w:r w:rsidRPr="003E125A">
        <w:t>3.1</w:t>
      </w:r>
      <w:r w:rsidRPr="003E125A">
        <w:tab/>
        <w:t>En su 52ª reunión, celebrada el 12 de diciembre de 2017, el CD FD-TIC examinó la situación de tres proyectos aprobados en su 51ª reunión y evaluó 14 proyectos en curso financiados por el FD</w:t>
      </w:r>
      <w:r w:rsidRPr="003E125A">
        <w:noBreakHyphen/>
        <w:t>TIC. La próxima reunión del CD FD-TIC se celebrará una vez recibidas nuevas propuestas de proyectos que cumplan los criterios de selección.</w:t>
      </w:r>
    </w:p>
    <w:p w:rsidR="001C6465" w:rsidRPr="003E125A" w:rsidRDefault="001C6465" w:rsidP="00E87617">
      <w:pPr>
        <w:pStyle w:val="Headingi"/>
        <w:rPr>
          <w:b/>
          <w:bCs/>
        </w:rPr>
      </w:pPr>
      <w:r w:rsidRPr="003E125A">
        <w:rPr>
          <w:b/>
          <w:bCs/>
        </w:rPr>
        <w:t>Situación de los proyectos del FD-TIC</w:t>
      </w:r>
    </w:p>
    <w:p w:rsidR="001C6465" w:rsidRPr="003E125A" w:rsidRDefault="001C6465" w:rsidP="00B11771">
      <w:r w:rsidRPr="003E125A">
        <w:rPr>
          <w:rFonts w:cstheme="minorHAnsi"/>
          <w:szCs w:val="24"/>
        </w:rPr>
        <w:t>3.2</w:t>
      </w:r>
      <w:r w:rsidRPr="003E125A">
        <w:rPr>
          <w:rFonts w:cstheme="minorHAnsi"/>
          <w:szCs w:val="24"/>
        </w:rPr>
        <w:tab/>
      </w:r>
      <w:r w:rsidRPr="003E125A">
        <w:t>Al mes de diciembre de 2018, el FD-TIC contaba 16 proyectos en curso, por un valor total de 18</w:t>
      </w:r>
      <w:r w:rsidR="00B11771" w:rsidRPr="003E125A">
        <w:t> </w:t>
      </w:r>
      <w:r w:rsidRPr="003E125A">
        <w:t>043</w:t>
      </w:r>
      <w:r w:rsidR="00B11771" w:rsidRPr="003E125A">
        <w:t> </w:t>
      </w:r>
      <w:r w:rsidRPr="003E125A">
        <w:t>423 francos suizos (CHF) (65% de efectivo externo, 33% del F</w:t>
      </w:r>
      <w:r w:rsidR="00241F2E" w:rsidRPr="003E125A">
        <w:t>D-TIC y 2% de efectivo del Plan </w:t>
      </w:r>
      <w:r w:rsidRPr="003E125A">
        <w:t xml:space="preserve">Operacional). En la Figura 1 </w:t>
      </w:r>
      <w:r w:rsidRPr="003E125A">
        <w:rPr>
          <w:i/>
          <w:iCs/>
        </w:rPr>
        <w:t xml:space="preserve">infra </w:t>
      </w:r>
      <w:r w:rsidRPr="003E125A">
        <w:t xml:space="preserve">se ilustra la distribución regional de estos proyectos, en la Figura 2 se expone el valor de los proyectos emprendidos en cada región y en la Figura 3 se desglosan los proyectos por ámbito temático. Entre los diversos proyectos enmarcados en distintos ámbitos temáticos figuran: el desarrollo de la </w:t>
      </w:r>
      <w:r w:rsidRPr="003E125A">
        <w:rPr>
          <w:i/>
          <w:iCs/>
        </w:rPr>
        <w:t>red de banda ancha inalámbrica</w:t>
      </w:r>
      <w:r w:rsidRPr="003E125A">
        <w:t xml:space="preserve"> en África (Mali, Burkina Faso, </w:t>
      </w:r>
      <w:proofErr w:type="spellStart"/>
      <w:r w:rsidRPr="003E125A">
        <w:t>Rwanda</w:t>
      </w:r>
      <w:proofErr w:type="spellEnd"/>
      <w:r w:rsidRPr="003E125A">
        <w:t xml:space="preserve">, </w:t>
      </w:r>
      <w:r w:rsidRPr="003E125A">
        <w:rPr>
          <w:rFonts w:cstheme="minorHAnsi"/>
          <w:szCs w:val="24"/>
        </w:rPr>
        <w:t>Eswatini</w:t>
      </w:r>
      <w:r w:rsidR="00D2476A" w:rsidRPr="003E125A">
        <w:t>, Madagascar</w:t>
      </w:r>
      <w:r w:rsidRPr="003E125A">
        <w:t xml:space="preserve"> y </w:t>
      </w:r>
      <w:proofErr w:type="spellStart"/>
      <w:r w:rsidRPr="003E125A">
        <w:t>Djibouti</w:t>
      </w:r>
      <w:proofErr w:type="spellEnd"/>
      <w:r w:rsidRPr="003E125A">
        <w:t xml:space="preserve">), </w:t>
      </w:r>
      <w:r w:rsidRPr="003E125A">
        <w:rPr>
          <w:i/>
          <w:iCs/>
        </w:rPr>
        <w:t>Conectar escuelas</w:t>
      </w:r>
      <w:r w:rsidRPr="003E125A">
        <w:t xml:space="preserve"> en Palestina, el </w:t>
      </w:r>
      <w:r w:rsidRPr="003E125A">
        <w:rPr>
          <w:i/>
          <w:iCs/>
        </w:rPr>
        <w:t>desarrollo de las telecomunicaciones rurales</w:t>
      </w:r>
      <w:r w:rsidRPr="003E125A">
        <w:t xml:space="preserve"> en países menos adelantados, la </w:t>
      </w:r>
      <w:r w:rsidRPr="003E125A">
        <w:rPr>
          <w:i/>
          <w:iCs/>
        </w:rPr>
        <w:t xml:space="preserve">telemedicina </w:t>
      </w:r>
      <w:r w:rsidRPr="003E125A">
        <w:t xml:space="preserve">en </w:t>
      </w:r>
      <w:proofErr w:type="spellStart"/>
      <w:r w:rsidRPr="003E125A">
        <w:t>Zimbabwe</w:t>
      </w:r>
      <w:proofErr w:type="spellEnd"/>
      <w:r w:rsidRPr="003E125A">
        <w:t xml:space="preserve">, el </w:t>
      </w:r>
      <w:r w:rsidRPr="003E125A">
        <w:rPr>
          <w:i/>
          <w:iCs/>
        </w:rPr>
        <w:t>Centro</w:t>
      </w:r>
      <w:r w:rsidRPr="003E125A">
        <w:t xml:space="preserve"> </w:t>
      </w:r>
      <w:r w:rsidRPr="003E125A">
        <w:rPr>
          <w:i/>
          <w:iCs/>
        </w:rPr>
        <w:t>regional de accesibilidad a las TIC para personas con discapacidad, el desarrollo de la capacidad de comunicaciones por satélite,</w:t>
      </w:r>
      <w:r w:rsidRPr="003E125A">
        <w:t xml:space="preserve"> la </w:t>
      </w:r>
      <w:r w:rsidRPr="003E125A">
        <w:rPr>
          <w:i/>
          <w:iCs/>
        </w:rPr>
        <w:t xml:space="preserve">comprobación técnica del espectro radioeléctrico </w:t>
      </w:r>
      <w:r w:rsidRPr="003E125A">
        <w:t>en Cuba</w:t>
      </w:r>
      <w:r w:rsidRPr="003E125A">
        <w:rPr>
          <w:i/>
          <w:iCs/>
        </w:rPr>
        <w:t xml:space="preserve">, </w:t>
      </w:r>
      <w:r w:rsidRPr="003E125A">
        <w:t xml:space="preserve">las </w:t>
      </w:r>
      <w:r w:rsidRPr="003E125A">
        <w:rPr>
          <w:i/>
          <w:iCs/>
        </w:rPr>
        <w:t xml:space="preserve">soluciones de comunicaciones de emergencia </w:t>
      </w:r>
      <w:r w:rsidRPr="003E125A">
        <w:t xml:space="preserve">para las Islas del Pacífico, el </w:t>
      </w:r>
      <w:r w:rsidRPr="003E125A">
        <w:rPr>
          <w:i/>
          <w:iCs/>
        </w:rPr>
        <w:t>aumento de la tasa de penetración de la banda ancha inalámbrica mediante una utilización y una reglamentación del espectro mejoradas y armonizadas</w:t>
      </w:r>
      <w:r w:rsidRPr="003E125A">
        <w:t xml:space="preserve"> (PRIDA) en África y la </w:t>
      </w:r>
      <w:r w:rsidRPr="003E125A">
        <w:rPr>
          <w:i/>
          <w:iCs/>
        </w:rPr>
        <w:t xml:space="preserve">creación de un Centro especializado en IPv6 e </w:t>
      </w:r>
      <w:proofErr w:type="spellStart"/>
      <w:r w:rsidRPr="003E125A">
        <w:rPr>
          <w:i/>
          <w:iCs/>
        </w:rPr>
        <w:t>IoT</w:t>
      </w:r>
      <w:proofErr w:type="spellEnd"/>
      <w:r w:rsidRPr="003E125A">
        <w:rPr>
          <w:i/>
          <w:iCs/>
        </w:rPr>
        <w:t>,</w:t>
      </w:r>
      <w:r w:rsidRPr="003E125A">
        <w:t xml:space="preserve"> como proyecto mundial.</w:t>
      </w:r>
    </w:p>
    <w:p w:rsidR="00E04BCD" w:rsidRPr="003E125A" w:rsidRDefault="00E04BCD" w:rsidP="009C03A4">
      <w:pPr>
        <w:pStyle w:val="Figuretitle"/>
        <w:keepNext w:val="0"/>
        <w:spacing w:after="240"/>
      </w:pPr>
      <w:r w:rsidRPr="003E125A">
        <w:t xml:space="preserve">Figura 1 – </w:t>
      </w:r>
      <w:r w:rsidR="00F4700D" w:rsidRPr="003E125A">
        <w:t>Número de proyectos del FD-TIC en curso por región (diciembre de 2018)</w:t>
      </w:r>
    </w:p>
    <w:p w:rsidR="004D1F42" w:rsidRPr="003E125A" w:rsidRDefault="004D1F42" w:rsidP="006A25BF">
      <w:pPr>
        <w:pStyle w:val="Figuretitle"/>
        <w:keepNext w:val="0"/>
      </w:pPr>
      <w:r w:rsidRPr="003E125A">
        <w:rPr>
          <w:noProof/>
          <w:lang w:val="en-GB" w:eastAsia="zh-CN"/>
        </w:rPr>
        <w:drawing>
          <wp:inline distT="0" distB="0" distL="0" distR="0">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92FE7" w:rsidRPr="003E125A" w:rsidRDefault="00892FE7" w:rsidP="009C03A4">
      <w:pPr>
        <w:pStyle w:val="Figuretitle"/>
        <w:spacing w:after="240"/>
      </w:pPr>
      <w:r w:rsidRPr="003E125A">
        <w:lastRenderedPageBreak/>
        <w:t>Figura 2 – Valor de los proyectos del FD-TIC en curso por región (diciembre de 2018)</w:t>
      </w:r>
    </w:p>
    <w:p w:rsidR="006A25BF" w:rsidRPr="003E125A" w:rsidRDefault="006A25BF" w:rsidP="00411D17">
      <w:pPr>
        <w:pStyle w:val="Normalaftertitle"/>
        <w:jc w:val="center"/>
      </w:pPr>
      <w:r w:rsidRPr="003E125A">
        <w:rPr>
          <w:noProof/>
          <w:lang w:val="en-GB" w:eastAsia="zh-CN"/>
        </w:rPr>
        <w:drawing>
          <wp:inline distT="0" distB="0" distL="0" distR="0">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11D17" w:rsidRPr="003E125A" w:rsidRDefault="00411D17" w:rsidP="009C03A4">
      <w:pPr>
        <w:pStyle w:val="Figuretitle"/>
        <w:spacing w:after="240"/>
      </w:pPr>
      <w:r w:rsidRPr="003E125A">
        <w:t>Figura 3 – Proyectos del FD-TIC por ámbito temático (diciembre de 2018)</w:t>
      </w:r>
    </w:p>
    <w:p w:rsidR="00645F3F" w:rsidRPr="003E125A" w:rsidRDefault="00645F3F" w:rsidP="00645F3F">
      <w:pPr>
        <w:pStyle w:val="Normalaftertitle"/>
        <w:jc w:val="center"/>
      </w:pPr>
      <w:r w:rsidRPr="003E125A">
        <w:rPr>
          <w:noProof/>
          <w:lang w:val="en-GB" w:eastAsia="zh-CN"/>
        </w:rPr>
        <w:drawing>
          <wp:inline distT="0" distB="0" distL="0" distR="0">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C6465" w:rsidRPr="003E125A" w:rsidRDefault="001C6465" w:rsidP="00645F3F">
      <w:pPr>
        <w:pStyle w:val="Normalaftertitle"/>
      </w:pPr>
      <w:r w:rsidRPr="003E125A">
        <w:rPr>
          <w:szCs w:val="24"/>
        </w:rPr>
        <w:t>3.3</w:t>
      </w:r>
      <w:r w:rsidRPr="003E125A">
        <w:rPr>
          <w:szCs w:val="24"/>
        </w:rPr>
        <w:tab/>
      </w:r>
      <w:r w:rsidRPr="003E125A">
        <w:t>En su 52ª reunión, el CD FD-TIC aconsejó cerrar el o los proyectos, cuando correspondiera, teniendo en cuenta la situación y duración de la implementación del proyecto, y solicitó a la BDT que siguiera con la supervisión de los avances, en pro de la rápida implementación de estos proyectos. El Comité de Dirección seguirá examinando las propuestas de proyecto y apoyará los proyectos seleccionados en los distintos ámbitos de acción, con especial atención a las iniciativas regionales aprobadas por la CMDT-17, teniendo en cuenta las reglas y criterios establecidos en las reglas y procedimientos del FD-TIC y dentro de los límites de la Cuenta de Capital del FD-TIC.</w:t>
      </w:r>
    </w:p>
    <w:p w:rsidR="001C6465" w:rsidRPr="003E125A" w:rsidRDefault="001C6465" w:rsidP="001C6465">
      <w:pPr>
        <w:pStyle w:val="Heading1"/>
      </w:pPr>
      <w:r w:rsidRPr="003E125A">
        <w:lastRenderedPageBreak/>
        <w:t>4</w:t>
      </w:r>
      <w:r w:rsidRPr="003E125A">
        <w:tab/>
        <w:t xml:space="preserve">Evolución de </w:t>
      </w:r>
      <w:r w:rsidR="009E6926" w:rsidRPr="003E125A">
        <w:t>la Cuenta de Capital del FD-TIC</w:t>
      </w:r>
    </w:p>
    <w:p w:rsidR="001C6465" w:rsidRPr="003E125A" w:rsidRDefault="001C6465" w:rsidP="001C6465">
      <w:pPr>
        <w:rPr>
          <w:highlight w:val="cyan"/>
        </w:rPr>
      </w:pPr>
      <w:r w:rsidRPr="003E125A">
        <w:t>4.1</w:t>
      </w:r>
      <w:r w:rsidRPr="003E125A">
        <w:tab/>
        <w:t>Los ingresos totales en concepto de intereses de la Cuenta de Capital del FD-TIC en 2018 ascendieron a 72 468 dólares de los Estados Unidos (USD)</w:t>
      </w:r>
      <w:r w:rsidR="009E6926" w:rsidRPr="003E125A">
        <w:t>.</w:t>
      </w:r>
    </w:p>
    <w:p w:rsidR="001C6465" w:rsidRPr="003E125A" w:rsidRDefault="0050616C" w:rsidP="001C6465">
      <w:r w:rsidRPr="003E125A">
        <w:t>4.2</w:t>
      </w:r>
      <w:r w:rsidR="001C6465" w:rsidRPr="003E125A">
        <w:tab/>
        <w:t>Al 31 de diciembre de 2018, el saldo disponible en la Cuenta de Capital del FD-TIC</w:t>
      </w:r>
      <w:r w:rsidR="00F94CDA" w:rsidRPr="003E125A">
        <w:t xml:space="preserve"> ascendía a 4 375 </w:t>
      </w:r>
      <w:r w:rsidR="001C6465" w:rsidRPr="003E125A">
        <w:t>147</w:t>
      </w:r>
      <w:r w:rsidR="00F94CDA" w:rsidRPr="003E125A">
        <w:t> </w:t>
      </w:r>
      <w:r w:rsidR="001C6465" w:rsidRPr="003E125A">
        <w:t>USD, mientras que el Fondo de Operaciones de las Exposiciones (FOEX) ascendía a</w:t>
      </w:r>
      <w:r w:rsidR="00F94CDA" w:rsidRPr="003E125A">
        <w:t xml:space="preserve"> 8 377 </w:t>
      </w:r>
      <w:r w:rsidR="001C6465" w:rsidRPr="003E125A">
        <w:t>576 CHF.</w:t>
      </w:r>
    </w:p>
    <w:p w:rsidR="00C46404" w:rsidRPr="003E125A" w:rsidRDefault="00C46404" w:rsidP="009C03A4">
      <w:pPr>
        <w:pStyle w:val="Figuretitle"/>
        <w:spacing w:after="240"/>
      </w:pPr>
      <w:r w:rsidRPr="003E125A">
        <w:t>Figura 4 – Evolución de la Cuenta de Capital del FD-TIC (USD)</w:t>
      </w:r>
    </w:p>
    <w:p w:rsidR="001C6465" w:rsidRPr="003E125A" w:rsidRDefault="001C6465" w:rsidP="00BA7964">
      <w:pPr>
        <w:tabs>
          <w:tab w:val="clear" w:pos="567"/>
          <w:tab w:val="left" w:pos="720"/>
        </w:tabs>
        <w:snapToGrid w:val="0"/>
        <w:jc w:val="center"/>
        <w:rPr>
          <w:szCs w:val="24"/>
        </w:rPr>
      </w:pPr>
      <w:r w:rsidRPr="003E125A">
        <w:rPr>
          <w:noProof/>
          <w:lang w:val="en-GB" w:eastAsia="zh-CN"/>
        </w:rPr>
        <w:drawing>
          <wp:inline distT="0" distB="0" distL="0" distR="0" wp14:anchorId="7B056653" wp14:editId="19337A29">
            <wp:extent cx="5848350" cy="28479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6465" w:rsidRPr="003E125A" w:rsidRDefault="001C6465" w:rsidP="00B26A98">
      <w:pPr>
        <w:pStyle w:val="Normalaftertitle"/>
      </w:pPr>
      <w:r w:rsidRPr="003E125A">
        <w:t>4.3</w:t>
      </w:r>
      <w:r w:rsidRPr="003E125A">
        <w:tab/>
        <w:t>Cabe señalar que las siguientes disposiciones de la Resolución 11 (Rev. Dubái, 201</w:t>
      </w:r>
      <w:r w:rsidR="00B26A98" w:rsidRPr="003E125A">
        <w:t>8) de la PP</w:t>
      </w:r>
      <w:r w:rsidR="00B26A98" w:rsidRPr="003E125A">
        <w:noBreakHyphen/>
      </w:r>
      <w:r w:rsidRPr="003E125A">
        <w:t>18 de la UIT pueden repercutir en el FOEX y, a su vez, en el FD-TIC:</w:t>
      </w:r>
    </w:p>
    <w:p w:rsidR="001C6465" w:rsidRPr="003E125A" w:rsidRDefault="00567B0F" w:rsidP="00567B0F">
      <w:pPr>
        <w:pStyle w:val="enumlev1"/>
      </w:pPr>
      <w:r w:rsidRPr="003E125A">
        <w:t>–</w:t>
      </w:r>
      <w:r w:rsidRPr="003E125A">
        <w:tab/>
      </w:r>
      <w:r w:rsidRPr="003E125A">
        <w:rPr>
          <w:b/>
          <w:bCs/>
          <w:i/>
          <w:iCs/>
        </w:rPr>
        <w:t>resuelve</w:t>
      </w:r>
      <w:r w:rsidRPr="003E125A">
        <w:rPr>
          <w:b/>
          <w:bCs/>
        </w:rPr>
        <w:t xml:space="preserve"> </w:t>
      </w:r>
      <w:r w:rsidR="001C6465" w:rsidRPr="003E125A">
        <w:rPr>
          <w:b/>
          <w:bCs/>
        </w:rPr>
        <w:t>4</w:t>
      </w:r>
      <w:r w:rsidR="001C6465" w:rsidRPr="003E125A">
        <w:t xml:space="preserve">: </w:t>
      </w:r>
      <w:r w:rsidR="001C6465" w:rsidRPr="003E125A">
        <w:rPr>
          <w:i/>
          <w:iCs/>
        </w:rPr>
        <w:t xml:space="preserve">que, de acuerdo con las contribuciones presentadas por los </w:t>
      </w:r>
      <w:r w:rsidRPr="003E125A">
        <w:rPr>
          <w:i/>
          <w:iCs/>
        </w:rPr>
        <w:t xml:space="preserve">miembros </w:t>
      </w:r>
      <w:r w:rsidR="001C6465" w:rsidRPr="003E125A">
        <w:rPr>
          <w:i/>
          <w:iCs/>
        </w:rPr>
        <w:t>de la UIT, se presente el mandato relativo a la contratación del consultor en gestión externo independiente al Grupo de Trabajo del Consejo sobre Recursos Humanos y Financieros para su aprobación y que los gastos que entrañe dicha contratación corran a cargo del Fondo de Operaci</w:t>
      </w:r>
      <w:r w:rsidRPr="003E125A">
        <w:rPr>
          <w:i/>
          <w:iCs/>
        </w:rPr>
        <w:t>ones de las Exposiciones (FOEX)</w:t>
      </w:r>
      <w:r w:rsidRPr="003E125A">
        <w:t>;</w:t>
      </w:r>
    </w:p>
    <w:p w:rsidR="001C6465" w:rsidRPr="003E125A" w:rsidRDefault="00567B0F" w:rsidP="00567B0F">
      <w:pPr>
        <w:pStyle w:val="enumlev1"/>
        <w:rPr>
          <w:szCs w:val="24"/>
        </w:rPr>
      </w:pPr>
      <w:r w:rsidRPr="003E125A">
        <w:t>–</w:t>
      </w:r>
      <w:r w:rsidRPr="003E125A">
        <w:tab/>
      </w:r>
      <w:r w:rsidRPr="003E125A">
        <w:rPr>
          <w:rFonts w:asciiTheme="minorHAnsi" w:hAnsiTheme="minorHAnsi" w:cstheme="minorHAnsi"/>
          <w:b/>
          <w:bCs/>
          <w:i/>
          <w:iCs/>
          <w:szCs w:val="24"/>
        </w:rPr>
        <w:t>resuelve</w:t>
      </w:r>
      <w:r w:rsidRPr="003E125A">
        <w:rPr>
          <w:rFonts w:asciiTheme="minorHAnsi" w:hAnsiTheme="minorHAnsi" w:cstheme="minorHAnsi"/>
          <w:b/>
          <w:bCs/>
          <w:szCs w:val="24"/>
        </w:rPr>
        <w:t xml:space="preserve"> </w:t>
      </w:r>
      <w:r w:rsidR="001C6465" w:rsidRPr="003E125A">
        <w:rPr>
          <w:rFonts w:asciiTheme="minorHAnsi" w:hAnsiTheme="minorHAnsi" w:cstheme="minorHAnsi"/>
          <w:b/>
          <w:bCs/>
          <w:szCs w:val="24"/>
        </w:rPr>
        <w:t>10</w:t>
      </w:r>
      <w:r w:rsidR="001C6465" w:rsidRPr="003E125A">
        <w:rPr>
          <w:rFonts w:asciiTheme="minorHAnsi" w:hAnsiTheme="minorHAnsi" w:cstheme="minorHAnsi"/>
          <w:szCs w:val="24"/>
        </w:rPr>
        <w:t>:</w:t>
      </w:r>
      <w:r w:rsidR="001C6465" w:rsidRPr="003E125A">
        <w:rPr>
          <w:rFonts w:asciiTheme="minorHAnsi" w:hAnsiTheme="minorHAnsi" w:cstheme="minorHAnsi"/>
          <w:i/>
          <w:iCs/>
          <w:szCs w:val="24"/>
        </w:rPr>
        <w:t xml:space="preserve"> </w:t>
      </w:r>
      <w:r w:rsidR="001C6465" w:rsidRPr="003E125A">
        <w:rPr>
          <w:i/>
          <w:iCs/>
        </w:rPr>
        <w:t>que</w:t>
      </w:r>
      <w:r w:rsidR="001C6465" w:rsidRPr="003E125A">
        <w:rPr>
          <w:rFonts w:asciiTheme="minorHAnsi" w:hAnsiTheme="minorHAnsi" w:cstheme="minorHAnsi"/>
          <w:i/>
          <w:iCs/>
          <w:szCs w:val="24"/>
        </w:rPr>
        <w:t xml:space="preserve"> el FOEX proporcione una reserva mínima de </w:t>
      </w:r>
      <w:r w:rsidRPr="003E125A">
        <w:rPr>
          <w:rFonts w:asciiTheme="minorHAnsi" w:hAnsiTheme="minorHAnsi" w:cstheme="minorHAnsi"/>
          <w:i/>
          <w:iCs/>
          <w:szCs w:val="24"/>
        </w:rPr>
        <w:t>5 millones de francos suizos (5 </w:t>
      </w:r>
      <w:r w:rsidR="001C6465" w:rsidRPr="003E125A">
        <w:rPr>
          <w:rFonts w:asciiTheme="minorHAnsi" w:hAnsiTheme="minorHAnsi" w:cstheme="minorHAnsi"/>
          <w:i/>
          <w:iCs/>
          <w:szCs w:val="24"/>
        </w:rPr>
        <w:t>000 000 CHF).</w:t>
      </w:r>
    </w:p>
    <w:p w:rsidR="001C6465" w:rsidRPr="003E125A" w:rsidRDefault="001C6465" w:rsidP="001C6465">
      <w:pPr>
        <w:pStyle w:val="Heading1"/>
      </w:pPr>
      <w:r w:rsidRPr="003E125A">
        <w:t>5</w:t>
      </w:r>
      <w:r w:rsidRPr="003E125A">
        <w:tab/>
        <w:t>Perspectivas de</w:t>
      </w:r>
      <w:r w:rsidR="00742832" w:rsidRPr="003E125A">
        <w:t xml:space="preserve"> futuro</w:t>
      </w:r>
    </w:p>
    <w:p w:rsidR="001C6465" w:rsidRPr="003E125A" w:rsidRDefault="001C6465" w:rsidP="001C6465">
      <w:pPr>
        <w:rPr>
          <w:color w:val="0D0D0D" w:themeColor="text1" w:themeTint="F2"/>
        </w:rPr>
      </w:pPr>
      <w:r w:rsidRPr="003E125A">
        <w:t>5.1</w:t>
      </w:r>
      <w:r w:rsidRPr="003E125A">
        <w:tab/>
        <w:t xml:space="preserve">Se analizarán y actualizarán periódicamente los avances en la ejecución de los proyectos financiados por el FD-TIC en la dirección </w:t>
      </w:r>
      <w:hyperlink r:id="rId18" w:history="1">
        <w:r w:rsidRPr="003E125A">
          <w:rPr>
            <w:rStyle w:val="Hyperlink"/>
            <w:kern w:val="24"/>
            <w:szCs w:val="24"/>
          </w:rPr>
          <w:t>https://www.itu.int/en/ITU-D/Partners/Pages/ICT-DF/default.aspx</w:t>
        </w:r>
      </w:hyperlink>
      <w:r w:rsidRPr="003E125A">
        <w:t>.</w:t>
      </w:r>
    </w:p>
    <w:p w:rsidR="001315CA" w:rsidRPr="003E125A" w:rsidRDefault="001315CA" w:rsidP="001C6465">
      <w:r w:rsidRPr="003E125A">
        <w:br w:type="page"/>
      </w:r>
    </w:p>
    <w:p w:rsidR="001C6465" w:rsidRPr="003E125A" w:rsidRDefault="001C6465" w:rsidP="001C6465">
      <w:r w:rsidRPr="003E125A">
        <w:lastRenderedPageBreak/>
        <w:t>5.2</w:t>
      </w:r>
      <w:r w:rsidRPr="003E125A">
        <w:tab/>
        <w:t xml:space="preserve">Teniendo en cuenta que el FD-TIC se rige por la demanda y proporciona un tipo de financiación inicial por naturaleza y principio, el CD FD-TIC seguirá estudiando propuestas de proyecto sobre la base de las reglas y criterios, manteniéndose </w:t>
      </w:r>
      <w:r w:rsidR="003E125A" w:rsidRPr="003E125A">
        <w:t>al</w:t>
      </w:r>
      <w:r w:rsidRPr="003E125A">
        <w:t xml:space="preserve"> mismo tiempo dentro de los límites de la Cuenta de Capital del FD-TIC, para apoyar el desarrollo de las telecomunicaciones/TIC en los Estados Miembros de la UIT y contribuir al logro de los Objetivos de Desarrollo Sostenible.</w:t>
      </w:r>
    </w:p>
    <w:p w:rsidR="001C6465" w:rsidRPr="003E125A" w:rsidRDefault="001C6465" w:rsidP="001C6465">
      <w:r w:rsidRPr="003E125A">
        <w:t>5.3</w:t>
      </w:r>
      <w:r w:rsidRPr="003E125A">
        <w:tab/>
        <w:t xml:space="preserve">Habida cuenta de las disposiciones de la Resolución 11 (Rev. Dubái, 2018) de la PP-18 a que se alude en el párrafo 4.3 </w:t>
      </w:r>
      <w:r w:rsidRPr="003E125A">
        <w:rPr>
          <w:i/>
          <w:iCs/>
        </w:rPr>
        <w:t>supra</w:t>
      </w:r>
      <w:r w:rsidRPr="003E125A">
        <w:t>, el CD FD-TIC debe prestar la debida atención a los factores pertinentes antes de considerar la posibilidad de financiar nuevos proyectos con cargo al FD-TIC.</w:t>
      </w:r>
    </w:p>
    <w:p w:rsidR="001C6465" w:rsidRPr="003E125A" w:rsidRDefault="001C6465" w:rsidP="001C6465">
      <w:r w:rsidRPr="003E125A">
        <w:t>5.4</w:t>
      </w:r>
      <w:r w:rsidRPr="003E125A">
        <w:tab/>
        <w:t xml:space="preserve">Se invita al Consejo a </w:t>
      </w:r>
      <w:r w:rsidRPr="003E125A">
        <w:rPr>
          <w:b/>
          <w:bCs/>
        </w:rPr>
        <w:t>tomar nota</w:t>
      </w:r>
      <w:r w:rsidRPr="003E125A">
        <w:t xml:space="preserve"> del presente </w:t>
      </w:r>
      <w:r w:rsidR="00C36727" w:rsidRPr="003E125A">
        <w:t xml:space="preserve">Informe </w:t>
      </w:r>
      <w:r w:rsidRPr="003E125A">
        <w:t>y a facilitar las orientaciones que estime oportunas</w:t>
      </w:r>
      <w:r w:rsidR="00C36727" w:rsidRPr="003E125A">
        <w:t>.</w:t>
      </w:r>
    </w:p>
    <w:p w:rsidR="001C6465" w:rsidRPr="003E125A" w:rsidRDefault="001C6465">
      <w:pPr>
        <w:jc w:val="center"/>
      </w:pPr>
      <w:r w:rsidRPr="003E125A">
        <w:t>______________</w:t>
      </w:r>
    </w:p>
    <w:sectPr w:rsidR="001C6465" w:rsidRPr="003E125A" w:rsidSect="006710F6">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465" w:rsidRDefault="001C6465">
      <w:r>
        <w:separator/>
      </w:r>
    </w:p>
  </w:endnote>
  <w:endnote w:type="continuationSeparator" w:id="0">
    <w:p w:rsidR="001C6465" w:rsidRDefault="001C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BA" w:rsidRPr="00CD584C" w:rsidRDefault="00B60CBA" w:rsidP="00B60CBA">
    <w:pPr>
      <w:pStyle w:val="Footer"/>
      <w:rPr>
        <w:lang w:val="fr-CH"/>
      </w:rPr>
    </w:pPr>
    <w:r>
      <w:rPr>
        <w:lang w:val="en-US"/>
      </w:rPr>
      <w:fldChar w:fldCharType="begin"/>
    </w:r>
    <w:r w:rsidRPr="00CD584C">
      <w:rPr>
        <w:lang w:val="fr-CH"/>
      </w:rPr>
      <w:instrText xml:space="preserve"> FILENAME \p \* MERGEFORMAT </w:instrText>
    </w:r>
    <w:r>
      <w:rPr>
        <w:lang w:val="en-US"/>
      </w:rPr>
      <w:fldChar w:fldCharType="separate"/>
    </w:r>
    <w:r w:rsidR="00892FE7" w:rsidRPr="00CD584C">
      <w:rPr>
        <w:lang w:val="fr-CH"/>
      </w:rPr>
      <w:t>P:\ESP\SG\CONSEIL\C19\000\034S.docx</w:t>
    </w:r>
    <w:r>
      <w:rPr>
        <w:lang w:val="en-US"/>
      </w:rPr>
      <w:fldChar w:fldCharType="end"/>
    </w:r>
    <w:r w:rsidRPr="00CD584C">
      <w:rPr>
        <w:lang w:val="fr-CH"/>
      </w:rPr>
      <w:t xml:space="preserve"> (450250)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465" w:rsidRDefault="001C6465">
      <w:r>
        <w:t>____________________</w:t>
      </w:r>
    </w:p>
  </w:footnote>
  <w:footnote w:type="continuationSeparator" w:id="0">
    <w:p w:rsidR="001C6465" w:rsidRDefault="001C6465">
      <w:r>
        <w:continuationSeparator/>
      </w:r>
    </w:p>
  </w:footnote>
  <w:footnote w:id="1">
    <w:p w:rsidR="00465F51" w:rsidRPr="001F2245" w:rsidRDefault="00465F51" w:rsidP="001F2245">
      <w:pPr>
        <w:pStyle w:val="FootnoteText"/>
        <w:tabs>
          <w:tab w:val="clear" w:pos="256"/>
        </w:tabs>
        <w:ind w:left="284" w:hanging="284"/>
      </w:pPr>
      <w:r>
        <w:rPr>
          <w:rStyle w:val="FootnoteReference"/>
        </w:rPr>
        <w:t>1</w:t>
      </w:r>
      <w:r w:rsidR="00FF58A6">
        <w:rPr>
          <w:lang w:val="es-ES"/>
        </w:rPr>
        <w:tab/>
      </w:r>
      <w:r w:rsidRPr="00FF58A6">
        <w:t>Estos temas fueron adoptados por la Conferencia Mundial de Desarrollo de las Telecomunicaciones de 2017 (CMDT-17).</w:t>
      </w:r>
    </w:p>
  </w:footnote>
  <w:footnote w:id="2">
    <w:p w:rsidR="00806A1C" w:rsidRPr="00FF58A6" w:rsidRDefault="00806A1C" w:rsidP="00806A1C">
      <w:pPr>
        <w:pStyle w:val="FootnoteText"/>
        <w:tabs>
          <w:tab w:val="clear" w:pos="256"/>
        </w:tabs>
        <w:spacing w:before="40"/>
        <w:ind w:left="284" w:hanging="284"/>
      </w:pPr>
      <w:r>
        <w:rPr>
          <w:rStyle w:val="FootnoteReference"/>
        </w:rPr>
        <w:t>2</w:t>
      </w:r>
      <w:r>
        <w:tab/>
      </w:r>
      <w:r w:rsidRPr="00FF58A6">
        <w:t xml:space="preserve">El CD FD-TIC está integrado por el Secretario General de la UIT (Presidente), el Vicesecretario General de </w:t>
      </w:r>
      <w:r>
        <w:t>la UIT y el Director de la BDT.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0636EC">
      <w:rPr>
        <w:noProof/>
      </w:rPr>
      <w:t>6</w:t>
    </w:r>
    <w:r>
      <w:rPr>
        <w:noProof/>
      </w:rPr>
      <w:fldChar w:fldCharType="end"/>
    </w:r>
  </w:p>
  <w:p w:rsidR="00760F1C" w:rsidRDefault="00760F1C" w:rsidP="001C6465">
    <w:pPr>
      <w:pStyle w:val="Header"/>
    </w:pPr>
    <w:r>
      <w:t>C</w:t>
    </w:r>
    <w:r w:rsidR="007F350B">
      <w:t>1</w:t>
    </w:r>
    <w:r w:rsidR="00C2727F">
      <w:t>9</w:t>
    </w:r>
    <w:r>
      <w:t>/</w:t>
    </w:r>
    <w:r w:rsidR="001C6465">
      <w:t>34</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1A67D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E29F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402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04D3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CC0C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66CC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7A1C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FE37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425D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1E44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65"/>
    <w:rsid w:val="000047B7"/>
    <w:rsid w:val="00010330"/>
    <w:rsid w:val="00052F03"/>
    <w:rsid w:val="000541B3"/>
    <w:rsid w:val="000636EC"/>
    <w:rsid w:val="00093CE3"/>
    <w:rsid w:val="00093EEB"/>
    <w:rsid w:val="000B0D00"/>
    <w:rsid w:val="000B7C15"/>
    <w:rsid w:val="000D1D0F"/>
    <w:rsid w:val="000F5290"/>
    <w:rsid w:val="0010165C"/>
    <w:rsid w:val="00105E3F"/>
    <w:rsid w:val="001315CA"/>
    <w:rsid w:val="0013651A"/>
    <w:rsid w:val="001454D9"/>
    <w:rsid w:val="00146BFB"/>
    <w:rsid w:val="001616CC"/>
    <w:rsid w:val="001616D1"/>
    <w:rsid w:val="001C6465"/>
    <w:rsid w:val="001F14A2"/>
    <w:rsid w:val="001F2245"/>
    <w:rsid w:val="00241F2E"/>
    <w:rsid w:val="002801AA"/>
    <w:rsid w:val="002C4676"/>
    <w:rsid w:val="002C70B0"/>
    <w:rsid w:val="002F3CC4"/>
    <w:rsid w:val="003502DC"/>
    <w:rsid w:val="003528FE"/>
    <w:rsid w:val="003E125A"/>
    <w:rsid w:val="00411D17"/>
    <w:rsid w:val="00421D43"/>
    <w:rsid w:val="00465F51"/>
    <w:rsid w:val="0047508D"/>
    <w:rsid w:val="004D1F42"/>
    <w:rsid w:val="0050616C"/>
    <w:rsid w:val="00513630"/>
    <w:rsid w:val="00560125"/>
    <w:rsid w:val="00567B0F"/>
    <w:rsid w:val="00585553"/>
    <w:rsid w:val="005B34D9"/>
    <w:rsid w:val="005C79EB"/>
    <w:rsid w:val="005D0CCF"/>
    <w:rsid w:val="005E4B0E"/>
    <w:rsid w:val="005F3BCB"/>
    <w:rsid w:val="005F410F"/>
    <w:rsid w:val="0060149A"/>
    <w:rsid w:val="00601924"/>
    <w:rsid w:val="006447EA"/>
    <w:rsid w:val="00645F3F"/>
    <w:rsid w:val="0064731F"/>
    <w:rsid w:val="006710F6"/>
    <w:rsid w:val="006A25BF"/>
    <w:rsid w:val="006B6D00"/>
    <w:rsid w:val="006C1B56"/>
    <w:rsid w:val="006D4761"/>
    <w:rsid w:val="0071602F"/>
    <w:rsid w:val="00726872"/>
    <w:rsid w:val="00742832"/>
    <w:rsid w:val="00760F1C"/>
    <w:rsid w:val="007657F0"/>
    <w:rsid w:val="0077252D"/>
    <w:rsid w:val="007E5DD3"/>
    <w:rsid w:val="007F0733"/>
    <w:rsid w:val="007F350B"/>
    <w:rsid w:val="00806A1C"/>
    <w:rsid w:val="00820BE4"/>
    <w:rsid w:val="00836D7F"/>
    <w:rsid w:val="008451E8"/>
    <w:rsid w:val="00880738"/>
    <w:rsid w:val="00892FE7"/>
    <w:rsid w:val="00913B9C"/>
    <w:rsid w:val="0092387E"/>
    <w:rsid w:val="00956E77"/>
    <w:rsid w:val="00984AB7"/>
    <w:rsid w:val="009975C8"/>
    <w:rsid w:val="009A474B"/>
    <w:rsid w:val="009C03A4"/>
    <w:rsid w:val="009E6926"/>
    <w:rsid w:val="009F4811"/>
    <w:rsid w:val="00A55D3E"/>
    <w:rsid w:val="00AA390C"/>
    <w:rsid w:val="00B0200A"/>
    <w:rsid w:val="00B11771"/>
    <w:rsid w:val="00B26A98"/>
    <w:rsid w:val="00B574DB"/>
    <w:rsid w:val="00B60CBA"/>
    <w:rsid w:val="00B67396"/>
    <w:rsid w:val="00B67C62"/>
    <w:rsid w:val="00B826C2"/>
    <w:rsid w:val="00B8298E"/>
    <w:rsid w:val="00BA214D"/>
    <w:rsid w:val="00BA7964"/>
    <w:rsid w:val="00BD0723"/>
    <w:rsid w:val="00BD2518"/>
    <w:rsid w:val="00BD6E6D"/>
    <w:rsid w:val="00BF1D1C"/>
    <w:rsid w:val="00C20C59"/>
    <w:rsid w:val="00C2727F"/>
    <w:rsid w:val="00C36727"/>
    <w:rsid w:val="00C46404"/>
    <w:rsid w:val="00C55B1F"/>
    <w:rsid w:val="00C63EE2"/>
    <w:rsid w:val="00C76E14"/>
    <w:rsid w:val="00CC0F42"/>
    <w:rsid w:val="00CD584C"/>
    <w:rsid w:val="00CF1A67"/>
    <w:rsid w:val="00D13C9A"/>
    <w:rsid w:val="00D2476A"/>
    <w:rsid w:val="00D2750E"/>
    <w:rsid w:val="00D62446"/>
    <w:rsid w:val="00DA4EA2"/>
    <w:rsid w:val="00DC3D3E"/>
    <w:rsid w:val="00DE2C90"/>
    <w:rsid w:val="00DE3663"/>
    <w:rsid w:val="00DE3B24"/>
    <w:rsid w:val="00E04BCD"/>
    <w:rsid w:val="00E06947"/>
    <w:rsid w:val="00E15A34"/>
    <w:rsid w:val="00E3592D"/>
    <w:rsid w:val="00E87617"/>
    <w:rsid w:val="00E92DE8"/>
    <w:rsid w:val="00EB1212"/>
    <w:rsid w:val="00ED65AB"/>
    <w:rsid w:val="00F12850"/>
    <w:rsid w:val="00F33BF4"/>
    <w:rsid w:val="00F4700D"/>
    <w:rsid w:val="00F67CFD"/>
    <w:rsid w:val="00F7105E"/>
    <w:rsid w:val="00F75F57"/>
    <w:rsid w:val="00F82FEE"/>
    <w:rsid w:val="00F94CDA"/>
    <w:rsid w:val="00FC2158"/>
    <w:rsid w:val="00FD57D3"/>
    <w:rsid w:val="00FE4004"/>
    <w:rsid w:val="00FF11BD"/>
    <w:rsid w:val="00FF58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EA3368B-61E2-46C2-ABB9-C945F3CC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basedOn w:val="DefaultParagraphFont"/>
    <w:link w:val="FootnoteText"/>
    <w:rsid w:val="001C6465"/>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dtictdf@itu.int" TargetMode="External"/><Relationship Id="rId18" Type="http://schemas.openxmlformats.org/officeDocument/2006/relationships/hyperlink" Target="https://www.itu.int/en/ITU-D/Partners/Pages/ICT-DF/default.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D/Partners/Pages/ICT-DF/default.aspx"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1-CL-C-0106/es"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http://www.itu.int/council/index97/1997/131/13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11-S.pdf" TargetMode="External"/><Relationship Id="rId14" Type="http://schemas.openxmlformats.org/officeDocument/2006/relationships/chart" Target="charts/chart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6"/>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rgbClr val="FFFF00"/>
              </a:solidFill>
              <a:ln w="19050">
                <a:solidFill>
                  <a:schemeClr val="lt1"/>
                </a:solidFill>
              </a:ln>
              <a:effectLst/>
            </c:spPr>
          </c:dPt>
          <c:dPt>
            <c:idx val="4"/>
            <c:bubble3D val="0"/>
            <c:spPr>
              <a:solidFill>
                <a:srgbClr val="FF0000"/>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África</c:v>
                </c:pt>
                <c:pt idx="1">
                  <c:v>Estados Árabes</c:v>
                </c:pt>
                <c:pt idx="2">
                  <c:v>Mundial</c:v>
                </c:pt>
                <c:pt idx="3">
                  <c:v>Asia-Pacífico</c:v>
                </c:pt>
                <c:pt idx="4">
                  <c:v>Américas</c:v>
                </c:pt>
              </c:strCache>
            </c:strRef>
          </c:cat>
          <c:val>
            <c:numRef>
              <c:f>Sheet1!$B$2:$B$6</c:f>
              <c:numCache>
                <c:formatCode>General</c:formatCode>
                <c:ptCount val="5"/>
                <c:pt idx="0">
                  <c:v>9</c:v>
                </c:pt>
                <c:pt idx="1">
                  <c:v>3</c:v>
                </c:pt>
                <c:pt idx="2">
                  <c:v>2</c:v>
                </c:pt>
                <c:pt idx="3">
                  <c:v>1</c:v>
                </c:pt>
                <c:pt idx="4">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Efectivo externo</c:v>
                </c:pt>
              </c:strCache>
            </c:strRef>
          </c:tx>
          <c:spPr>
            <a:solidFill>
              <a:schemeClr val="accent1"/>
            </a:solidFill>
            <a:ln>
              <a:noFill/>
            </a:ln>
            <a:effectLst/>
          </c:spPr>
          <c:invertIfNegative val="0"/>
          <c:dLbls>
            <c:dLbl>
              <c:idx val="2"/>
              <c:layout>
                <c:manualLayout>
                  <c:x val="-1.6203703703703703E-2"/>
                  <c:y val="-1.984126984126984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1574074074074243E-2"/>
                  <c:y val="-7.9365079365080818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2407407407407406E-2"/>
                  <c:y val="-6.3492063492063489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África</c:v>
                </c:pt>
                <c:pt idx="1">
                  <c:v>Estados Árabes</c:v>
                </c:pt>
                <c:pt idx="2">
                  <c:v>Mundial</c:v>
                </c:pt>
                <c:pt idx="3">
                  <c:v>Asia-Pacífico</c:v>
                </c:pt>
                <c:pt idx="4">
                  <c:v>Américas</c:v>
                </c:pt>
              </c:strCache>
            </c:strRef>
          </c:cat>
          <c:val>
            <c:numRef>
              <c:f>Sheet1!$B$2:$B$6</c:f>
              <c:numCache>
                <c:formatCode>General</c:formatCode>
                <c:ptCount val="5"/>
                <c:pt idx="0">
                  <c:v>8029301</c:v>
                </c:pt>
                <c:pt idx="1">
                  <c:v>2895615</c:v>
                </c:pt>
                <c:pt idx="2">
                  <c:v>491346</c:v>
                </c:pt>
                <c:pt idx="3">
                  <c:v>98300</c:v>
                </c:pt>
                <c:pt idx="4" formatCode="#,##0">
                  <c:v>132320</c:v>
                </c:pt>
              </c:numCache>
            </c:numRef>
          </c:val>
        </c:ser>
        <c:ser>
          <c:idx val="1"/>
          <c:order val="1"/>
          <c:tx>
            <c:strRef>
              <c:f>Sheet1!$C$1</c:f>
              <c:strCache>
                <c:ptCount val="1"/>
                <c:pt idx="0">
                  <c:v>FD-TIC</c:v>
                </c:pt>
              </c:strCache>
            </c:strRef>
          </c:tx>
          <c:spPr>
            <a:solidFill>
              <a:schemeClr val="accent2"/>
            </a:solidFill>
            <a:ln>
              <a:noFill/>
            </a:ln>
            <a:effectLst/>
          </c:spPr>
          <c:invertIfNegative val="0"/>
          <c:dPt>
            <c:idx val="0"/>
            <c:invertIfNegative val="0"/>
            <c:bubble3D val="0"/>
            <c:spPr>
              <a:solidFill>
                <a:schemeClr val="accent6"/>
              </a:solidFill>
              <a:ln>
                <a:noFill/>
              </a:ln>
              <a:effectLst/>
            </c:spPr>
          </c:dPt>
          <c:dPt>
            <c:idx val="1"/>
            <c:invertIfNegative val="0"/>
            <c:bubble3D val="0"/>
            <c:spPr>
              <a:solidFill>
                <a:schemeClr val="accent6"/>
              </a:solidFill>
              <a:ln>
                <a:noFill/>
              </a:ln>
              <a:effectLst/>
            </c:spPr>
          </c:dPt>
          <c:dPt>
            <c:idx val="2"/>
            <c:invertIfNegative val="0"/>
            <c:bubble3D val="0"/>
            <c:spPr>
              <a:solidFill>
                <a:schemeClr val="accent6"/>
              </a:solidFill>
              <a:ln>
                <a:noFill/>
              </a:ln>
              <a:effectLst/>
            </c:spPr>
          </c:dPt>
          <c:dPt>
            <c:idx val="3"/>
            <c:invertIfNegative val="0"/>
            <c:bubble3D val="0"/>
            <c:spPr>
              <a:solidFill>
                <a:schemeClr val="accent6"/>
              </a:solidFill>
              <a:ln>
                <a:noFill/>
              </a:ln>
              <a:effectLst/>
            </c:spPr>
          </c:dPt>
          <c:dPt>
            <c:idx val="4"/>
            <c:invertIfNegative val="0"/>
            <c:bubble3D val="0"/>
            <c:spPr>
              <a:solidFill>
                <a:schemeClr val="accent6"/>
              </a:solidFill>
              <a:ln>
                <a:noFill/>
              </a:ln>
              <a:effectLst/>
            </c:spPr>
          </c:dPt>
          <c:dLbls>
            <c:dLbl>
              <c:idx val="0"/>
              <c:layout>
                <c:manualLayout>
                  <c:x val="3.2407407407407406E-2"/>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8518518518518563E-2"/>
                  <c:y val="-1.587301587301594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5.1587301587301584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África</c:v>
                </c:pt>
                <c:pt idx="1">
                  <c:v>Estados Árabes</c:v>
                </c:pt>
                <c:pt idx="2">
                  <c:v>Mundial</c:v>
                </c:pt>
                <c:pt idx="3">
                  <c:v>Asia-Pacífico</c:v>
                </c:pt>
                <c:pt idx="4">
                  <c:v>Américas</c:v>
                </c:pt>
              </c:strCache>
            </c:strRef>
          </c:cat>
          <c:val>
            <c:numRef>
              <c:f>Sheet1!$C$2:$C$6</c:f>
              <c:numCache>
                <c:formatCode>General</c:formatCode>
                <c:ptCount val="5"/>
                <c:pt idx="0">
                  <c:v>2283756</c:v>
                </c:pt>
                <c:pt idx="1">
                  <c:v>923433</c:v>
                </c:pt>
                <c:pt idx="2">
                  <c:v>2288178</c:v>
                </c:pt>
                <c:pt idx="3">
                  <c:v>491500</c:v>
                </c:pt>
                <c:pt idx="4">
                  <c:v>123087</c:v>
                </c:pt>
              </c:numCache>
            </c:numRef>
          </c:val>
        </c:ser>
        <c:ser>
          <c:idx val="2"/>
          <c:order val="2"/>
          <c:tx>
            <c:strRef>
              <c:f>Sheet1!$D$1</c:f>
              <c:strCache>
                <c:ptCount val="1"/>
                <c:pt idx="0">
                  <c:v>Efectivo del PO</c:v>
                </c:pt>
              </c:strCache>
            </c:strRef>
          </c:tx>
          <c:spPr>
            <a:solidFill>
              <a:schemeClr val="bg1">
                <a:lumMod val="75000"/>
              </a:schemeClr>
            </a:solidFill>
            <a:ln>
              <a:noFill/>
            </a:ln>
            <a:effectLst/>
          </c:spPr>
          <c:invertIfNegative val="0"/>
          <c:dLbls>
            <c:dLbl>
              <c:idx val="4"/>
              <c:layout>
                <c:manualLayout>
                  <c:x val="2.3148148148148147E-2"/>
                  <c:y val="-6.3492063492063489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África</c:v>
                </c:pt>
                <c:pt idx="1">
                  <c:v>Estados Árabes</c:v>
                </c:pt>
                <c:pt idx="2">
                  <c:v>Mundial</c:v>
                </c:pt>
                <c:pt idx="3">
                  <c:v>Asia-Pacífico</c:v>
                </c:pt>
                <c:pt idx="4">
                  <c:v>Américas</c:v>
                </c:pt>
              </c:strCache>
            </c:strRef>
          </c:cat>
          <c:val>
            <c:numRef>
              <c:f>Sheet1!$D$2:$D$6</c:f>
              <c:numCache>
                <c:formatCode>General</c:formatCode>
                <c:ptCount val="5"/>
                <c:pt idx="0">
                  <c:v>138500</c:v>
                </c:pt>
                <c:pt idx="1">
                  <c:v>25000</c:v>
                </c:pt>
                <c:pt idx="4">
                  <c:v>123087</c:v>
                </c:pt>
              </c:numCache>
            </c:numRef>
          </c:val>
        </c:ser>
        <c:dLbls>
          <c:dLblPos val="outEnd"/>
          <c:showLegendKey val="0"/>
          <c:showVal val="1"/>
          <c:showCatName val="0"/>
          <c:showSerName val="0"/>
          <c:showPercent val="0"/>
          <c:showBubbleSize val="0"/>
        </c:dLbls>
        <c:gapWidth val="219"/>
        <c:overlap val="-27"/>
        <c:axId val="390959224"/>
        <c:axId val="390961184"/>
      </c:barChart>
      <c:catAx>
        <c:axId val="390959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961184"/>
        <c:crosses val="autoZero"/>
        <c:auto val="1"/>
        <c:lblAlgn val="ctr"/>
        <c:lblOffset val="100"/>
        <c:noMultiLvlLbl val="0"/>
      </c:catAx>
      <c:valAx>
        <c:axId val="390961184"/>
        <c:scaling>
          <c:orientation val="minMax"/>
          <c:max val="900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959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5"/>
                <c:pt idx="0">
                  <c:v>PMA y PEID</c:v>
                </c:pt>
                <c:pt idx="1">
                  <c:v>Telecomunicaciones de emergencia</c:v>
                </c:pt>
                <c:pt idx="2">
                  <c:v>Inclusión digital</c:v>
                </c:pt>
                <c:pt idx="3">
                  <c:v>Aplicaciones TIC</c:v>
                </c:pt>
                <c:pt idx="4">
                  <c:v>Desarrollo tecnológico y de redes</c:v>
                </c:pt>
              </c:strCache>
            </c:strRef>
          </c:cat>
          <c:val>
            <c:numRef>
              <c:f>Sheet1!$B$2:$B$6</c:f>
              <c:numCache>
                <c:formatCode>General</c:formatCode>
                <c:ptCount val="5"/>
                <c:pt idx="0">
                  <c:v>1</c:v>
                </c:pt>
                <c:pt idx="1">
                  <c:v>1</c:v>
                </c:pt>
                <c:pt idx="2">
                  <c:v>2</c:v>
                </c:pt>
                <c:pt idx="3">
                  <c:v>2</c:v>
                </c:pt>
                <c:pt idx="4">
                  <c:v>10</c:v>
                </c:pt>
              </c:numCache>
            </c:numRef>
          </c:val>
        </c:ser>
        <c:ser>
          <c:idx val="1"/>
          <c:order val="1"/>
          <c:tx>
            <c:strRef>
              <c:f>Sheet1!$C$1</c:f>
              <c:strCache>
                <c:ptCount val="1"/>
                <c:pt idx="0">
                  <c:v>Series 2</c:v>
                </c:pt>
              </c:strCache>
            </c:strRef>
          </c:tx>
          <c:spPr>
            <a:solidFill>
              <a:schemeClr val="accent2"/>
            </a:solidFill>
            <a:ln>
              <a:noFill/>
            </a:ln>
            <a:effectLst/>
          </c:spPr>
          <c:invertIfNegative val="0"/>
          <c:cat>
            <c:strRef>
              <c:f>Sheet1!$A$2:$A$6</c:f>
              <c:strCache>
                <c:ptCount val="5"/>
                <c:pt idx="0">
                  <c:v>PMA y PEID</c:v>
                </c:pt>
                <c:pt idx="1">
                  <c:v>Telecomunicaciones de emergencia</c:v>
                </c:pt>
                <c:pt idx="2">
                  <c:v>Inclusión digital</c:v>
                </c:pt>
                <c:pt idx="3">
                  <c:v>Aplicaciones TIC</c:v>
                </c:pt>
                <c:pt idx="4">
                  <c:v>Desarrollo tecnológico y de redes</c:v>
                </c:pt>
              </c:strCache>
            </c:strRef>
          </c:cat>
          <c:val>
            <c:numRef>
              <c:f>Sheet1!$C$2:$C$6</c:f>
              <c:numCache>
                <c:formatCode>General</c:formatCode>
                <c:ptCount val="5"/>
              </c:numCache>
            </c:numRef>
          </c:val>
        </c:ser>
        <c:ser>
          <c:idx val="2"/>
          <c:order val="2"/>
          <c:tx>
            <c:strRef>
              <c:f>Sheet1!$D$1</c:f>
              <c:strCache>
                <c:ptCount val="1"/>
                <c:pt idx="0">
                  <c:v>Series 3</c:v>
                </c:pt>
              </c:strCache>
            </c:strRef>
          </c:tx>
          <c:spPr>
            <a:solidFill>
              <a:schemeClr val="accent3"/>
            </a:solidFill>
            <a:ln>
              <a:noFill/>
            </a:ln>
            <a:effectLst/>
          </c:spPr>
          <c:invertIfNegative val="0"/>
          <c:cat>
            <c:strRef>
              <c:f>Sheet1!$A$2:$A$6</c:f>
              <c:strCache>
                <c:ptCount val="5"/>
                <c:pt idx="0">
                  <c:v>PMA y PEID</c:v>
                </c:pt>
                <c:pt idx="1">
                  <c:v>Telecomunicaciones de emergencia</c:v>
                </c:pt>
                <c:pt idx="2">
                  <c:v>Inclusión digital</c:v>
                </c:pt>
                <c:pt idx="3">
                  <c:v>Aplicaciones TIC</c:v>
                </c:pt>
                <c:pt idx="4">
                  <c:v>Desarrollo tecnológico y de redes</c:v>
                </c:pt>
              </c:strCache>
            </c:strRef>
          </c:cat>
          <c:val>
            <c:numRef>
              <c:f>Sheet1!$D$2:$D$6</c:f>
              <c:numCache>
                <c:formatCode>General</c:formatCode>
                <c:ptCount val="5"/>
              </c:numCache>
            </c:numRef>
          </c:val>
        </c:ser>
        <c:dLbls>
          <c:showLegendKey val="0"/>
          <c:showVal val="0"/>
          <c:showCatName val="0"/>
          <c:showSerName val="0"/>
          <c:showPercent val="0"/>
          <c:showBubbleSize val="0"/>
        </c:dLbls>
        <c:gapWidth val="182"/>
        <c:axId val="390959616"/>
        <c:axId val="390960008"/>
      </c:barChart>
      <c:catAx>
        <c:axId val="390959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960008"/>
        <c:crosses val="autoZero"/>
        <c:auto val="1"/>
        <c:lblAlgn val="ctr"/>
        <c:lblOffset val="100"/>
        <c:noMultiLvlLbl val="0"/>
      </c:catAx>
      <c:valAx>
        <c:axId val="390960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959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162720513594337"/>
          <c:y val="0.15508374616654871"/>
          <c:w val="0.86441809103130396"/>
          <c:h val="0.7634010810238866"/>
        </c:manualLayout>
      </c:layout>
      <c:line3DChart>
        <c:grouping val="standard"/>
        <c:varyColors val="0"/>
        <c:ser>
          <c:idx val="0"/>
          <c:order val="0"/>
          <c:spPr>
            <a:solidFill>
              <a:schemeClr val="accent1"/>
            </a:solidFill>
            <a:ln>
              <a:noFill/>
            </a:ln>
            <a:effectLst/>
            <a:sp3d/>
          </c:spPr>
          <c:dLbls>
            <c:dLbl>
              <c:idx val="0"/>
              <c:layout>
                <c:manualLayout>
                  <c:x val="-5.8333333333333334E-2"/>
                  <c:y val="-7.4074074074074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3D-442B-B83B-0AD1A97DB592}"/>
                </c:ext>
                <c:ext xmlns:c15="http://schemas.microsoft.com/office/drawing/2012/chart" uri="{CE6537A1-D6FC-4f65-9D91-7224C49458BB}">
                  <c15:layout/>
                </c:ext>
              </c:extLst>
            </c:dLbl>
            <c:dLbl>
              <c:idx val="1"/>
              <c:layout>
                <c:manualLayout>
                  <c:x val="-5.3491132965320459E-2"/>
                  <c:y val="6.4249514265262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3D-442B-B83B-0AD1A97DB592}"/>
                </c:ext>
                <c:ext xmlns:c15="http://schemas.microsoft.com/office/drawing/2012/chart" uri="{CE6537A1-D6FC-4f65-9D91-7224C49458BB}">
                  <c15:layout/>
                </c:ext>
              </c:extLst>
            </c:dLbl>
            <c:dLbl>
              <c:idx val="2"/>
              <c:layout>
                <c:manualLayout>
                  <c:x val="-4.7362811996968845E-2"/>
                  <c:y val="-6.65102771244503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B3D-442B-B83B-0AD1A97DB592}"/>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Sheet1!$B$20:$B$23</c:f>
              <c:strCache>
                <c:ptCount val="4"/>
                <c:pt idx="0">
                  <c:v>31.12.2015</c:v>
                </c:pt>
                <c:pt idx="1">
                  <c:v>31.12.2016</c:v>
                </c:pt>
                <c:pt idx="2">
                  <c:v>31.12.2017</c:v>
                </c:pt>
                <c:pt idx="3">
                  <c:v>31.12.2018</c:v>
                </c:pt>
              </c:strCache>
            </c:strRef>
          </c:cat>
          <c:val>
            <c:numRef>
              <c:f>Sheet1!$C$20:$C$23</c:f>
              <c:numCache>
                <c:formatCode>_-* #,##0_-;\-* #,##0_-;_-* "-"??_-;_-@_-</c:formatCode>
                <c:ptCount val="4"/>
                <c:pt idx="0">
                  <c:v>2701230</c:v>
                </c:pt>
                <c:pt idx="1">
                  <c:v>2587177</c:v>
                </c:pt>
                <c:pt idx="2">
                  <c:v>4557829</c:v>
                </c:pt>
                <c:pt idx="3">
                  <c:v>4375147</c:v>
                </c:pt>
              </c:numCache>
            </c:numRef>
          </c:val>
          <c:smooth val="0"/>
          <c:extLst xmlns:c16r2="http://schemas.microsoft.com/office/drawing/2015/06/chart">
            <c:ext xmlns:c16="http://schemas.microsoft.com/office/drawing/2014/chart" uri="{C3380CC4-5D6E-409C-BE32-E72D297353CC}">
              <c16:uniqueId val="{00000003-9B3D-442B-B83B-0AD1A97DB592}"/>
            </c:ext>
          </c:extLst>
        </c:ser>
        <c:dLbls>
          <c:showLegendKey val="0"/>
          <c:showVal val="1"/>
          <c:showCatName val="0"/>
          <c:showSerName val="0"/>
          <c:showPercent val="0"/>
          <c:showBubbleSize val="0"/>
        </c:dLbls>
        <c:axId val="393080888"/>
        <c:axId val="393081280"/>
        <c:axId val="437352504"/>
      </c:line3DChart>
      <c:catAx>
        <c:axId val="3930808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n-US"/>
          </a:p>
        </c:txPr>
        <c:crossAx val="393081280"/>
        <c:crosses val="autoZero"/>
        <c:auto val="1"/>
        <c:lblAlgn val="ctr"/>
        <c:lblOffset val="100"/>
        <c:noMultiLvlLbl val="0"/>
      </c:catAx>
      <c:valAx>
        <c:axId val="393081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93080888"/>
        <c:crosses val="autoZero"/>
        <c:crossBetween val="between"/>
        <c:majorUnit val="1000000"/>
      </c:valAx>
      <c:serAx>
        <c:axId val="437352504"/>
        <c:scaling>
          <c:orientation val="minMax"/>
        </c:scaling>
        <c:delete val="1"/>
        <c:axPos val="b"/>
        <c:majorTickMark val="out"/>
        <c:minorTickMark val="none"/>
        <c:tickLblPos val="nextTo"/>
        <c:crossAx val="393081280"/>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B4A30-72E2-4C53-8970-E61D083F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1</TotalTime>
  <Pages>6</Pages>
  <Words>1376</Words>
  <Characters>7813</Characters>
  <Application>Microsoft Office Word</Application>
  <DocSecurity>0</DocSecurity>
  <Lines>65</Lines>
  <Paragraphs>18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9171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FD-TIC</dc:title>
  <dc:subject>Consejo 2018</dc:subject>
  <dc:creator>Spanish</dc:creator>
  <cp:keywords>C2019, C19</cp:keywords>
  <dc:description/>
  <cp:lastModifiedBy>Brouard, Ricarda</cp:lastModifiedBy>
  <cp:revision>2</cp:revision>
  <cp:lastPrinted>2006-03-24T09:51:00Z</cp:lastPrinted>
  <dcterms:created xsi:type="dcterms:W3CDTF">2019-05-13T08:08:00Z</dcterms:created>
  <dcterms:modified xsi:type="dcterms:W3CDTF">2019-05-13T08:08:00Z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