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4A51A6C7" w14:textId="77777777">
        <w:trPr>
          <w:cantSplit/>
        </w:trPr>
        <w:tc>
          <w:tcPr>
            <w:tcW w:w="6911" w:type="dxa"/>
          </w:tcPr>
          <w:p w14:paraId="29F75E0B" w14:textId="77777777" w:rsidR="00164F67" w:rsidRPr="00813E5E" w:rsidRDefault="00164F67" w:rsidP="0034418D">
            <w:pPr>
              <w:spacing w:before="360" w:after="48" w:line="240" w:lineRule="atLeast"/>
              <w:rPr>
                <w:position w:val="6"/>
              </w:rPr>
            </w:pPr>
            <w:bookmarkStart w:id="0" w:name="dc06"/>
            <w:bookmarkEnd w:id="0"/>
            <w:r w:rsidRPr="00164F67">
              <w:rPr>
                <w:b/>
                <w:bCs/>
                <w:position w:val="6"/>
                <w:sz w:val="30"/>
                <w:szCs w:val="30"/>
                <w:lang w:val="fr-CH"/>
              </w:rPr>
              <w:t>Council 201</w:t>
            </w:r>
            <w:r w:rsidR="0034418D">
              <w:rPr>
                <w:b/>
                <w:bCs/>
                <w:position w:val="6"/>
                <w:sz w:val="30"/>
                <w:szCs w:val="30"/>
                <w:lang w:val="fr-CH"/>
              </w:rPr>
              <w:t>9</w:t>
            </w:r>
            <w:r w:rsidRPr="00164F67">
              <w:rPr>
                <w:rFonts w:cs="Times"/>
                <w:b/>
                <w:position w:val="6"/>
                <w:sz w:val="26"/>
                <w:szCs w:val="26"/>
                <w:lang w:val="en-US"/>
              </w:rPr>
              <w:br/>
            </w:r>
            <w:r w:rsidRPr="00164F67">
              <w:rPr>
                <w:b/>
                <w:bCs/>
                <w:position w:val="6"/>
                <w:szCs w:val="24"/>
                <w:lang w:val="fr-CH"/>
              </w:rPr>
              <w:t xml:space="preserve">Geneva, </w:t>
            </w:r>
            <w:r w:rsidR="00216828" w:rsidRPr="00552EE1">
              <w:rPr>
                <w:b/>
                <w:bCs/>
                <w:position w:val="6"/>
                <w:szCs w:val="24"/>
              </w:rPr>
              <w:t>1</w:t>
            </w:r>
            <w:r w:rsidR="0034418D">
              <w:rPr>
                <w:b/>
                <w:bCs/>
                <w:position w:val="6"/>
                <w:szCs w:val="24"/>
              </w:rPr>
              <w:t>0</w:t>
            </w:r>
            <w:r w:rsidR="00216828" w:rsidRPr="00552EE1">
              <w:rPr>
                <w:b/>
                <w:bCs/>
                <w:position w:val="6"/>
                <w:szCs w:val="24"/>
              </w:rPr>
              <w:t>-2</w:t>
            </w:r>
            <w:r w:rsidR="0034418D">
              <w:rPr>
                <w:b/>
                <w:bCs/>
                <w:position w:val="6"/>
                <w:szCs w:val="24"/>
              </w:rPr>
              <w:t>0</w:t>
            </w:r>
            <w:r w:rsidR="00216828" w:rsidRPr="00552EE1">
              <w:rPr>
                <w:b/>
                <w:bCs/>
                <w:position w:val="6"/>
                <w:szCs w:val="24"/>
              </w:rPr>
              <w:t xml:space="preserve"> </w:t>
            </w:r>
            <w:r w:rsidR="0034418D">
              <w:rPr>
                <w:b/>
                <w:bCs/>
                <w:position w:val="6"/>
                <w:szCs w:val="24"/>
              </w:rPr>
              <w:t>June 2019</w:t>
            </w:r>
          </w:p>
        </w:tc>
        <w:tc>
          <w:tcPr>
            <w:tcW w:w="3120" w:type="dxa"/>
          </w:tcPr>
          <w:p w14:paraId="11DF9B3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766E413E" wp14:editId="7EC9D0D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3C2C5603" w14:textId="77777777">
        <w:trPr>
          <w:cantSplit/>
        </w:trPr>
        <w:tc>
          <w:tcPr>
            <w:tcW w:w="6911" w:type="dxa"/>
            <w:tcBorders>
              <w:bottom w:val="single" w:sz="12" w:space="0" w:color="auto"/>
            </w:tcBorders>
          </w:tcPr>
          <w:p w14:paraId="3978036C"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4C282BFD" w14:textId="77777777" w:rsidR="00164F67" w:rsidRPr="00813E5E" w:rsidRDefault="00164F67">
            <w:pPr>
              <w:spacing w:before="0" w:line="240" w:lineRule="atLeast"/>
              <w:rPr>
                <w:szCs w:val="24"/>
              </w:rPr>
            </w:pPr>
          </w:p>
        </w:tc>
      </w:tr>
      <w:tr w:rsidR="00164F67" w:rsidRPr="00813E5E" w14:paraId="63C3E6E1" w14:textId="77777777">
        <w:trPr>
          <w:cantSplit/>
        </w:trPr>
        <w:tc>
          <w:tcPr>
            <w:tcW w:w="6911" w:type="dxa"/>
            <w:tcBorders>
              <w:top w:val="single" w:sz="12" w:space="0" w:color="auto"/>
            </w:tcBorders>
          </w:tcPr>
          <w:p w14:paraId="0BEC8769" w14:textId="77777777" w:rsidR="00164F67" w:rsidRPr="00813E5E" w:rsidRDefault="00164F67" w:rsidP="006F3490">
            <w:pPr>
              <w:spacing w:before="0" w:line="240" w:lineRule="atLeast"/>
              <w:rPr>
                <w:b/>
                <w:smallCaps/>
                <w:szCs w:val="24"/>
              </w:rPr>
            </w:pPr>
          </w:p>
        </w:tc>
        <w:tc>
          <w:tcPr>
            <w:tcW w:w="3120" w:type="dxa"/>
            <w:tcBorders>
              <w:top w:val="single" w:sz="12" w:space="0" w:color="auto"/>
            </w:tcBorders>
          </w:tcPr>
          <w:p w14:paraId="0C138437" w14:textId="77777777" w:rsidR="00164F67" w:rsidRPr="00813E5E" w:rsidRDefault="00164F67" w:rsidP="006F3490">
            <w:pPr>
              <w:spacing w:before="0" w:line="240" w:lineRule="atLeast"/>
              <w:rPr>
                <w:szCs w:val="24"/>
              </w:rPr>
            </w:pPr>
          </w:p>
        </w:tc>
      </w:tr>
      <w:tr w:rsidR="00164F67" w:rsidRPr="00813E5E" w14:paraId="2E5D12BD" w14:textId="77777777">
        <w:trPr>
          <w:cantSplit/>
          <w:trHeight w:val="23"/>
        </w:trPr>
        <w:tc>
          <w:tcPr>
            <w:tcW w:w="6911" w:type="dxa"/>
            <w:vMerge w:val="restart"/>
          </w:tcPr>
          <w:p w14:paraId="6D7D28B7" w14:textId="77777777" w:rsidR="00164F67" w:rsidRPr="00164F67" w:rsidRDefault="00164F67" w:rsidP="006F3490">
            <w:pPr>
              <w:tabs>
                <w:tab w:val="left" w:pos="851"/>
              </w:tabs>
              <w:spacing w:before="0" w:line="240" w:lineRule="atLeast"/>
              <w:rPr>
                <w:b/>
              </w:rPr>
            </w:pPr>
            <w:bookmarkStart w:id="2" w:name="dmeeting" w:colFirst="0" w:colLast="0"/>
            <w:bookmarkStart w:id="3" w:name="dnum" w:colFirst="1" w:colLast="1"/>
            <w:r>
              <w:rPr>
                <w:b/>
              </w:rPr>
              <w:t xml:space="preserve">Agenda item: ADM </w:t>
            </w:r>
            <w:r w:rsidR="006F3490">
              <w:rPr>
                <w:b/>
              </w:rPr>
              <w:t>17</w:t>
            </w:r>
            <w:r>
              <w:rPr>
                <w:b/>
              </w:rPr>
              <w:t xml:space="preserve"> </w:t>
            </w:r>
          </w:p>
        </w:tc>
        <w:tc>
          <w:tcPr>
            <w:tcW w:w="3120" w:type="dxa"/>
          </w:tcPr>
          <w:p w14:paraId="758FF2A8" w14:textId="77777777" w:rsidR="00164F67" w:rsidRPr="00164F67" w:rsidRDefault="00B42C15" w:rsidP="0034418D">
            <w:pPr>
              <w:tabs>
                <w:tab w:val="left" w:pos="851"/>
              </w:tabs>
              <w:spacing w:before="0" w:line="240" w:lineRule="atLeast"/>
              <w:rPr>
                <w:b/>
              </w:rPr>
            </w:pPr>
            <w:r>
              <w:rPr>
                <w:b/>
              </w:rPr>
              <w:t xml:space="preserve">Revision 1 to </w:t>
            </w:r>
            <w:r>
              <w:rPr>
                <w:b/>
              </w:rPr>
              <w:br/>
            </w:r>
            <w:r w:rsidR="00164F67">
              <w:rPr>
                <w:b/>
              </w:rPr>
              <w:t>Document C1</w:t>
            </w:r>
            <w:r w:rsidR="0034418D">
              <w:rPr>
                <w:b/>
              </w:rPr>
              <w:t>9</w:t>
            </w:r>
            <w:r w:rsidR="00164F67">
              <w:rPr>
                <w:b/>
              </w:rPr>
              <w:t>/</w:t>
            </w:r>
            <w:r w:rsidR="00613B78">
              <w:rPr>
                <w:b/>
              </w:rPr>
              <w:t>38</w:t>
            </w:r>
            <w:r w:rsidR="00164F67">
              <w:rPr>
                <w:b/>
              </w:rPr>
              <w:t>-E</w:t>
            </w:r>
          </w:p>
        </w:tc>
      </w:tr>
      <w:tr w:rsidR="00164F67" w:rsidRPr="00813E5E" w14:paraId="16FD2D80" w14:textId="77777777">
        <w:trPr>
          <w:cantSplit/>
          <w:trHeight w:val="23"/>
        </w:trPr>
        <w:tc>
          <w:tcPr>
            <w:tcW w:w="6911" w:type="dxa"/>
            <w:vMerge/>
          </w:tcPr>
          <w:p w14:paraId="43A4B24E" w14:textId="77777777" w:rsidR="00164F67" w:rsidRPr="00813E5E" w:rsidRDefault="00164F67">
            <w:pPr>
              <w:tabs>
                <w:tab w:val="left" w:pos="851"/>
              </w:tabs>
              <w:spacing w:line="240" w:lineRule="atLeast"/>
              <w:rPr>
                <w:b/>
              </w:rPr>
            </w:pPr>
            <w:bookmarkStart w:id="4" w:name="ddate" w:colFirst="1" w:colLast="1"/>
            <w:bookmarkEnd w:id="2"/>
            <w:bookmarkEnd w:id="3"/>
          </w:p>
        </w:tc>
        <w:tc>
          <w:tcPr>
            <w:tcW w:w="3120" w:type="dxa"/>
          </w:tcPr>
          <w:p w14:paraId="2059256B" w14:textId="39A24A95" w:rsidR="00164F67" w:rsidRPr="00164F67" w:rsidRDefault="00490F02" w:rsidP="00490F02">
            <w:pPr>
              <w:tabs>
                <w:tab w:val="left" w:pos="993"/>
              </w:tabs>
              <w:spacing w:before="0"/>
              <w:rPr>
                <w:b/>
              </w:rPr>
            </w:pPr>
            <w:r>
              <w:rPr>
                <w:b/>
              </w:rPr>
              <w:t xml:space="preserve">18 </w:t>
            </w:r>
            <w:r w:rsidR="009C47D1">
              <w:rPr>
                <w:b/>
              </w:rPr>
              <w:t>April</w:t>
            </w:r>
            <w:r w:rsidR="00A66987">
              <w:rPr>
                <w:b/>
              </w:rPr>
              <w:t xml:space="preserve"> </w:t>
            </w:r>
            <w:r w:rsidR="00613B78">
              <w:rPr>
                <w:b/>
              </w:rPr>
              <w:t>201</w:t>
            </w:r>
            <w:r w:rsidR="009C47D1">
              <w:rPr>
                <w:b/>
              </w:rPr>
              <w:t>9</w:t>
            </w:r>
          </w:p>
        </w:tc>
      </w:tr>
      <w:tr w:rsidR="00164F67" w:rsidRPr="00813E5E" w14:paraId="278046BF" w14:textId="77777777">
        <w:trPr>
          <w:cantSplit/>
          <w:trHeight w:val="23"/>
        </w:trPr>
        <w:tc>
          <w:tcPr>
            <w:tcW w:w="6911" w:type="dxa"/>
            <w:vMerge/>
          </w:tcPr>
          <w:p w14:paraId="09C740C0" w14:textId="77777777" w:rsidR="00164F67" w:rsidRPr="00813E5E" w:rsidRDefault="00164F67">
            <w:pPr>
              <w:tabs>
                <w:tab w:val="left" w:pos="851"/>
              </w:tabs>
              <w:spacing w:line="240" w:lineRule="atLeast"/>
              <w:rPr>
                <w:b/>
              </w:rPr>
            </w:pPr>
            <w:bookmarkStart w:id="5" w:name="dorlang" w:colFirst="1" w:colLast="1"/>
            <w:bookmarkEnd w:id="4"/>
          </w:p>
        </w:tc>
        <w:tc>
          <w:tcPr>
            <w:tcW w:w="3120" w:type="dxa"/>
          </w:tcPr>
          <w:p w14:paraId="3C0BB089" w14:textId="77777777" w:rsidR="00164F67" w:rsidRPr="00164F67" w:rsidRDefault="00164F67" w:rsidP="00164F67">
            <w:pPr>
              <w:tabs>
                <w:tab w:val="left" w:pos="993"/>
              </w:tabs>
              <w:spacing w:before="0"/>
              <w:rPr>
                <w:b/>
              </w:rPr>
            </w:pPr>
            <w:r>
              <w:rPr>
                <w:b/>
              </w:rPr>
              <w:t>Original: English</w:t>
            </w:r>
          </w:p>
        </w:tc>
      </w:tr>
      <w:tr w:rsidR="00164F67" w:rsidRPr="00813E5E" w14:paraId="0F56D237" w14:textId="77777777">
        <w:trPr>
          <w:cantSplit/>
        </w:trPr>
        <w:tc>
          <w:tcPr>
            <w:tcW w:w="10031" w:type="dxa"/>
            <w:gridSpan w:val="2"/>
          </w:tcPr>
          <w:p w14:paraId="7F26D218" w14:textId="77777777" w:rsidR="00164F67" w:rsidRPr="00813E5E" w:rsidRDefault="00164F67" w:rsidP="00164F67">
            <w:pPr>
              <w:pStyle w:val="Source"/>
              <w:framePr w:hSpace="0" w:wrap="auto" w:hAnchor="text" w:yAlign="inline"/>
            </w:pPr>
            <w:bookmarkStart w:id="6" w:name="dsource" w:colFirst="0" w:colLast="0"/>
            <w:bookmarkEnd w:id="5"/>
            <w:r>
              <w:t>Report by the Secretary-General</w:t>
            </w:r>
          </w:p>
        </w:tc>
      </w:tr>
      <w:tr w:rsidR="00164F67" w:rsidRPr="00813E5E" w14:paraId="6152B68D" w14:textId="77777777">
        <w:trPr>
          <w:cantSplit/>
        </w:trPr>
        <w:tc>
          <w:tcPr>
            <w:tcW w:w="10031" w:type="dxa"/>
            <w:gridSpan w:val="2"/>
          </w:tcPr>
          <w:p w14:paraId="10CB4640" w14:textId="77777777" w:rsidR="00164F67" w:rsidRPr="00813E5E" w:rsidRDefault="00164F67" w:rsidP="009C47D1">
            <w:pPr>
              <w:pStyle w:val="Title1"/>
              <w:framePr w:hSpace="0" w:wrap="auto" w:hAnchor="text" w:yAlign="inline"/>
            </w:pPr>
            <w:bookmarkStart w:id="7" w:name="dtitle1" w:colFirst="0" w:colLast="0"/>
            <w:bookmarkEnd w:id="6"/>
            <w:r>
              <w:t>REPORT ON THE IMPLEMENTATION OF RESOLUTION 191 (</w:t>
            </w:r>
            <w:r w:rsidR="009C47D1">
              <w:t>Rev. Dubai</w:t>
            </w:r>
            <w:r>
              <w:t>, 201</w:t>
            </w:r>
            <w:r w:rsidR="009C47D1">
              <w:t>8</w:t>
            </w:r>
            <w:r>
              <w:t>)</w:t>
            </w:r>
            <w:r>
              <w:br/>
              <w:t xml:space="preserve">“STRATEGY FOR THE COORDINATION OF EFFORTS AMONG </w:t>
            </w:r>
            <w:r>
              <w:br/>
              <w:t>THE THREE SECTORS OF THE UNION”</w:t>
            </w:r>
          </w:p>
        </w:tc>
      </w:tr>
      <w:bookmarkEnd w:id="7"/>
    </w:tbl>
    <w:p w14:paraId="3D322CFE" w14:textId="77777777" w:rsidR="00164F67" w:rsidRPr="00813E5E" w:rsidRDefault="00164F6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64F67" w:rsidRPr="00813E5E" w14:paraId="1C1FC5B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8F4EA15" w14:textId="77777777" w:rsidR="00164F67" w:rsidRPr="00813E5E" w:rsidRDefault="00164F67">
            <w:pPr>
              <w:pStyle w:val="Headingb"/>
            </w:pPr>
            <w:r w:rsidRPr="00813E5E">
              <w:t>Summary</w:t>
            </w:r>
          </w:p>
          <w:p w14:paraId="76C5115A" w14:textId="77777777" w:rsidR="00164F67" w:rsidRPr="00813E5E" w:rsidRDefault="00164F67" w:rsidP="009C47D1">
            <w:pPr>
              <w:jc w:val="both"/>
            </w:pPr>
            <w:r w:rsidRPr="00164F67">
              <w:t>This document presents a report on the implementation of Resolution 191 (</w:t>
            </w:r>
            <w:r w:rsidR="00B069D7">
              <w:t>R</w:t>
            </w:r>
            <w:r w:rsidR="009C47D1">
              <w:t>ev. Dubai</w:t>
            </w:r>
            <w:r w:rsidRPr="00164F67">
              <w:t>, 201</w:t>
            </w:r>
            <w:r w:rsidR="009C47D1">
              <w:t>8</w:t>
            </w:r>
            <w:r w:rsidRPr="00164F67">
              <w:t>) on the strategy for the</w:t>
            </w:r>
            <w:bookmarkStart w:id="8" w:name="_GoBack"/>
            <w:bookmarkEnd w:id="8"/>
            <w:r w:rsidRPr="00164F67">
              <w:t xml:space="preserve"> coordination of efforts among the three Sectors of the Union.</w:t>
            </w:r>
          </w:p>
          <w:p w14:paraId="01378EDA" w14:textId="77777777" w:rsidR="00164F67" w:rsidRPr="00813E5E" w:rsidRDefault="00164F67" w:rsidP="0014541C">
            <w:pPr>
              <w:pStyle w:val="Headingb"/>
              <w:jc w:val="both"/>
            </w:pPr>
            <w:r w:rsidRPr="00813E5E">
              <w:t>Action required</w:t>
            </w:r>
          </w:p>
          <w:p w14:paraId="4B6FFD10" w14:textId="77777777" w:rsidR="00164F67" w:rsidRPr="00813E5E" w:rsidRDefault="00164F67" w:rsidP="0014541C">
            <w:pPr>
              <w:jc w:val="both"/>
            </w:pPr>
            <w:r w:rsidRPr="00164F67">
              <w:t xml:space="preserve">The Council is invited </w:t>
            </w:r>
            <w:r w:rsidRPr="00164F67">
              <w:rPr>
                <w:b/>
                <w:bCs/>
              </w:rPr>
              <w:t>to note</w:t>
            </w:r>
            <w:r w:rsidRPr="00164F67">
              <w:t xml:space="preserve"> the report.</w:t>
            </w:r>
          </w:p>
          <w:p w14:paraId="224C2DAD" w14:textId="77777777" w:rsidR="00164F67" w:rsidRPr="00813E5E" w:rsidRDefault="00164F67">
            <w:pPr>
              <w:pStyle w:val="Table"/>
              <w:keepNext w:val="0"/>
              <w:spacing w:before="0" w:after="0"/>
              <w:rPr>
                <w:rFonts w:ascii="Calibri" w:hAnsi="Calibri"/>
                <w:caps w:val="0"/>
                <w:sz w:val="22"/>
              </w:rPr>
            </w:pPr>
            <w:r w:rsidRPr="00813E5E">
              <w:rPr>
                <w:rFonts w:ascii="Calibri" w:hAnsi="Calibri"/>
                <w:caps w:val="0"/>
                <w:sz w:val="22"/>
              </w:rPr>
              <w:t>____________</w:t>
            </w:r>
          </w:p>
          <w:p w14:paraId="5F810323" w14:textId="77777777" w:rsidR="00164F67" w:rsidRPr="00813E5E" w:rsidRDefault="00164F67">
            <w:pPr>
              <w:pStyle w:val="Headingb"/>
            </w:pPr>
            <w:r w:rsidRPr="00813E5E">
              <w:t>References</w:t>
            </w:r>
          </w:p>
          <w:p w14:paraId="736245E1" w14:textId="068F05F1" w:rsidR="00164F67" w:rsidRPr="00813E5E" w:rsidRDefault="00A63B4F" w:rsidP="00D614CD">
            <w:pPr>
              <w:spacing w:after="120"/>
              <w:rPr>
                <w:i/>
                <w:iCs/>
              </w:rPr>
            </w:pPr>
            <w:hyperlink r:id="rId12" w:history="1">
              <w:r w:rsidR="00164F67">
                <w:rPr>
                  <w:rStyle w:val="Hyperlink"/>
                  <w:rFonts w:cstheme="minorHAnsi"/>
                  <w:i/>
                  <w:iCs/>
                  <w:szCs w:val="24"/>
                </w:rPr>
                <w:t>Resolution 19</w:t>
              </w:r>
              <w:r w:rsidR="00164F67" w:rsidRPr="00DF2F14">
                <w:rPr>
                  <w:rStyle w:val="Hyperlink"/>
                  <w:rFonts w:cstheme="minorHAnsi"/>
                  <w:i/>
                  <w:iCs/>
                  <w:szCs w:val="24"/>
                </w:rPr>
                <w:t>1 (Rev.</w:t>
              </w:r>
              <w:r w:rsidR="00164F67">
                <w:rPr>
                  <w:rStyle w:val="Hyperlink"/>
                  <w:rFonts w:cstheme="minorHAnsi"/>
                  <w:i/>
                  <w:iCs/>
                  <w:szCs w:val="24"/>
                </w:rPr>
                <w:t xml:space="preserve"> </w:t>
              </w:r>
              <w:r w:rsidR="00D614CD">
                <w:rPr>
                  <w:rStyle w:val="Hyperlink"/>
                  <w:rFonts w:cstheme="minorHAnsi"/>
                  <w:i/>
                  <w:iCs/>
                  <w:szCs w:val="24"/>
                </w:rPr>
                <w:t>Dubai</w:t>
              </w:r>
              <w:r w:rsidR="00164F67">
                <w:rPr>
                  <w:rStyle w:val="Hyperlink"/>
                  <w:rFonts w:cstheme="minorHAnsi"/>
                  <w:i/>
                  <w:iCs/>
                  <w:szCs w:val="24"/>
                </w:rPr>
                <w:t>, 201</w:t>
              </w:r>
              <w:r w:rsidR="00D614CD">
                <w:rPr>
                  <w:rStyle w:val="Hyperlink"/>
                  <w:rFonts w:cstheme="minorHAnsi"/>
                  <w:i/>
                  <w:iCs/>
                  <w:szCs w:val="24"/>
                </w:rPr>
                <w:t>8</w:t>
              </w:r>
              <w:r w:rsidR="00164F67" w:rsidRPr="00DF2F14">
                <w:rPr>
                  <w:rStyle w:val="Hyperlink"/>
                  <w:rFonts w:cstheme="minorHAnsi"/>
                  <w:i/>
                  <w:iCs/>
                  <w:szCs w:val="24"/>
                </w:rPr>
                <w:t>)</w:t>
              </w:r>
            </w:hyperlink>
          </w:p>
        </w:tc>
      </w:tr>
    </w:tbl>
    <w:p w14:paraId="09F0FCCA" w14:textId="77777777" w:rsidR="00164F67" w:rsidRDefault="00164F67" w:rsidP="00164F67">
      <w:pPr>
        <w:pStyle w:val="Heading2"/>
        <w:keepNext w:val="0"/>
        <w:keepLines w:val="0"/>
        <w:tabs>
          <w:tab w:val="clear" w:pos="567"/>
          <w:tab w:val="clear" w:pos="1134"/>
          <w:tab w:val="clear" w:pos="1701"/>
          <w:tab w:val="clear" w:pos="2268"/>
          <w:tab w:val="clear" w:pos="2835"/>
        </w:tabs>
        <w:snapToGrid w:val="0"/>
        <w:spacing w:before="600" w:after="120"/>
        <w:ind w:left="0" w:firstLine="0"/>
      </w:pPr>
      <w:bookmarkStart w:id="9" w:name="dstart"/>
      <w:bookmarkStart w:id="10" w:name="dbreak"/>
      <w:bookmarkEnd w:id="9"/>
      <w:bookmarkEnd w:id="10"/>
      <w:r>
        <w:t>1</w:t>
      </w:r>
      <w:r>
        <w:tab/>
        <w:t>Background</w:t>
      </w:r>
    </w:p>
    <w:p w14:paraId="7D1E75CB" w14:textId="77777777" w:rsidR="00164F67" w:rsidRDefault="00164F67" w:rsidP="009C47D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201</w:t>
      </w:r>
      <w:r w:rsidR="009C47D1">
        <w:t>8</w:t>
      </w:r>
      <w:r>
        <w:t xml:space="preserve"> Plenipotentiary Conference (PP-1</w:t>
      </w:r>
      <w:r w:rsidR="009C47D1">
        <w:t>8</w:t>
      </w:r>
      <w:r>
        <w:t xml:space="preserve">) </w:t>
      </w:r>
      <w:r w:rsidR="009C47D1">
        <w:t xml:space="preserve">revised </w:t>
      </w:r>
      <w:r>
        <w:t>Resolution 191 (</w:t>
      </w:r>
      <w:r w:rsidR="00B069D7">
        <w:t>R</w:t>
      </w:r>
      <w:r w:rsidR="009C47D1">
        <w:t>ev. Dubai</w:t>
      </w:r>
      <w:r>
        <w:t>, 201</w:t>
      </w:r>
      <w:r w:rsidR="009C47D1">
        <w:t>8</w:t>
      </w:r>
      <w:r>
        <w:t xml:space="preserve">) on </w:t>
      </w:r>
      <w:r w:rsidR="00C96FF0">
        <w:t xml:space="preserve">the </w:t>
      </w:r>
      <w:r>
        <w:t>“Strategy for the coordination of efforts among the three Sectors of the Union”.</w:t>
      </w:r>
    </w:p>
    <w:p w14:paraId="5443AD60" w14:textId="7FA5F168" w:rsidR="00C71D7B" w:rsidRDefault="00164F67" w:rsidP="002A12DE">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Resolution </w:t>
      </w:r>
      <w:r w:rsidRPr="00C873E8">
        <w:rPr>
          <w:i/>
          <w:iCs/>
        </w:rPr>
        <w:t>instructs</w:t>
      </w:r>
      <w:r>
        <w:t xml:space="preserve"> the Secretary-General</w:t>
      </w:r>
      <w:r w:rsidR="002A12DE">
        <w:t xml:space="preserve"> </w:t>
      </w:r>
      <w:proofErr w:type="spellStart"/>
      <w:r w:rsidR="002A12DE" w:rsidRPr="002A12DE">
        <w:rPr>
          <w:i/>
          <w:iCs/>
        </w:rPr>
        <w:t>i</w:t>
      </w:r>
      <w:proofErr w:type="spellEnd"/>
      <w:r w:rsidR="002A12DE" w:rsidRPr="002A12DE">
        <w:rPr>
          <w:i/>
          <w:iCs/>
        </w:rPr>
        <w:t>)</w:t>
      </w:r>
      <w:r>
        <w:t xml:space="preserve"> to </w:t>
      </w:r>
      <w:r w:rsidR="009C56A7">
        <w:t xml:space="preserve">continue enhancing a coordination and cooperation strategy for </w:t>
      </w:r>
      <w:r>
        <w:t>effective and efficient efforts in areas of mutual interest to the three ITU Sectors</w:t>
      </w:r>
      <w:r w:rsidR="009C56A7">
        <w:t xml:space="preserve"> and the General Secretariat</w:t>
      </w:r>
      <w:r>
        <w:t>, in order to avoid duplication of effort and optimize the use of resources</w:t>
      </w:r>
      <w:r w:rsidR="009C56A7">
        <w:t xml:space="preserve"> of the Union</w:t>
      </w:r>
      <w:r w:rsidR="00C873E8">
        <w:t xml:space="preserve">; </w:t>
      </w:r>
      <w:r w:rsidR="00C873E8" w:rsidRPr="00C873E8">
        <w:rPr>
          <w:i/>
          <w:iCs/>
        </w:rPr>
        <w:t>ii)</w:t>
      </w:r>
      <w:r w:rsidR="00C873E8">
        <w:t xml:space="preserve"> </w:t>
      </w:r>
      <w:r w:rsidR="00C873E8" w:rsidRPr="00C873E8">
        <w:t>to identify all forms and examples of overlapping functions and activities among ITU Sectors as well as the General Secretariat, and propose so</w:t>
      </w:r>
      <w:r w:rsidR="00C873E8" w:rsidRPr="00C873E8">
        <w:lastRenderedPageBreak/>
        <w:t xml:space="preserve">lutions to address them; and </w:t>
      </w:r>
      <w:r w:rsidR="00C873E8" w:rsidRPr="00C873E8">
        <w:rPr>
          <w:i/>
          <w:iCs/>
        </w:rPr>
        <w:t>iii)</w:t>
      </w:r>
      <w:r w:rsidR="00C873E8">
        <w:t xml:space="preserve"> </w:t>
      </w:r>
      <w:r w:rsidR="00C873E8" w:rsidRPr="00C873E8">
        <w:t>to update the list containing the areas of mutual interest to the three Sectors and the General Secretariat pursuant to the mandates of each ITU assembly and conference</w:t>
      </w:r>
      <w:r w:rsidR="009C56A7">
        <w:t>.</w:t>
      </w:r>
    </w:p>
    <w:p w14:paraId="71BC25A8" w14:textId="3D62704A" w:rsidR="00A476D7" w:rsidRDefault="00277F61" w:rsidP="00436B8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More information on this </w:t>
      </w:r>
      <w:r w:rsidR="001F67AC" w:rsidRPr="001F67AC">
        <w:t xml:space="preserve">can be found in </w:t>
      </w:r>
      <w:hyperlink r:id="rId13" w:history="1">
        <w:r w:rsidR="00C24419" w:rsidRPr="00490F02">
          <w:rPr>
            <w:rStyle w:val="Hyperlink"/>
          </w:rPr>
          <w:t xml:space="preserve">Information Document </w:t>
        </w:r>
        <w:r w:rsidR="00C71D7B" w:rsidRPr="00490F02">
          <w:rPr>
            <w:rStyle w:val="Hyperlink"/>
          </w:rPr>
          <w:t>C19/INF/</w:t>
        </w:r>
        <w:r w:rsidR="00490F02" w:rsidRPr="00490F02">
          <w:rPr>
            <w:rStyle w:val="Hyperlink"/>
          </w:rPr>
          <w:t>6</w:t>
        </w:r>
      </w:hyperlink>
      <w:r w:rsidR="001F67AC" w:rsidRPr="00490F02">
        <w:t>,</w:t>
      </w:r>
      <w:r w:rsidR="001F67AC">
        <w:t xml:space="preserve"> which</w:t>
      </w:r>
      <w:r w:rsidR="001E54C3">
        <w:t xml:space="preserve"> presents</w:t>
      </w:r>
      <w:r w:rsidR="00D93511">
        <w:t>:</w:t>
      </w:r>
      <w:r w:rsidR="001F67AC">
        <w:t xml:space="preserve"> </w:t>
      </w:r>
      <w:r w:rsidR="00D93511" w:rsidRPr="00093E97">
        <w:rPr>
          <w:i/>
          <w:iCs/>
        </w:rPr>
        <w:t>a)</w:t>
      </w:r>
      <w:r w:rsidR="00D93511">
        <w:t xml:space="preserve"> </w:t>
      </w:r>
      <w:r w:rsidR="00C24419">
        <w:t xml:space="preserve">a list of possible areas of mutual </w:t>
      </w:r>
      <w:r w:rsidR="00C71D7B">
        <w:t>interest</w:t>
      </w:r>
      <w:r w:rsidR="00D93511">
        <w:t xml:space="preserve">; </w:t>
      </w:r>
      <w:r w:rsidR="00D93511" w:rsidRPr="00093E97">
        <w:rPr>
          <w:i/>
          <w:iCs/>
        </w:rPr>
        <w:t>b)</w:t>
      </w:r>
      <w:r w:rsidR="00C71D7B">
        <w:t xml:space="preserve"> a mapping of </w:t>
      </w:r>
      <w:r w:rsidR="00C71D7B" w:rsidRPr="00C71D7B">
        <w:t xml:space="preserve">the ITU </w:t>
      </w:r>
      <w:r w:rsidR="00DD0653">
        <w:t>PP, RA</w:t>
      </w:r>
      <w:r w:rsidR="00BF494A">
        <w:t>/WRC</w:t>
      </w:r>
      <w:r w:rsidR="00DD0653">
        <w:t>, WTSA and WTDC Resolutions</w:t>
      </w:r>
      <w:r w:rsidR="00D93511">
        <w:t xml:space="preserve">; and </w:t>
      </w:r>
      <w:r w:rsidR="00D93511" w:rsidRPr="00093E97">
        <w:rPr>
          <w:i/>
          <w:iCs/>
        </w:rPr>
        <w:t>c)</w:t>
      </w:r>
      <w:r w:rsidR="00D93511">
        <w:t xml:space="preserve"> </w:t>
      </w:r>
      <w:r w:rsidR="00DD0653">
        <w:t>mapping</w:t>
      </w:r>
      <w:r w:rsidR="00D93511">
        <w:t>s</w:t>
      </w:r>
      <w:r w:rsidR="00DD0653">
        <w:t xml:space="preserve"> of </w:t>
      </w:r>
      <w:r w:rsidR="001F67AC" w:rsidRPr="001F67AC">
        <w:t xml:space="preserve">common interest areas of work </w:t>
      </w:r>
      <w:r w:rsidR="00D93511">
        <w:t xml:space="preserve">among </w:t>
      </w:r>
      <w:r w:rsidR="001F67AC">
        <w:t>the ITU</w:t>
      </w:r>
      <w:r w:rsidR="001E54C3">
        <w:t xml:space="preserve"> s</w:t>
      </w:r>
      <w:r w:rsidR="001F67AC" w:rsidRPr="001F67AC">
        <w:t xml:space="preserve">tudy </w:t>
      </w:r>
      <w:r w:rsidR="001E54C3">
        <w:t>g</w:t>
      </w:r>
      <w:r w:rsidR="001F67AC" w:rsidRPr="001F67AC">
        <w:t>roups</w:t>
      </w:r>
      <w:r w:rsidR="001F67AC">
        <w:t>.</w:t>
      </w:r>
      <w:r w:rsidR="00D93511">
        <w:t xml:space="preserve"> This information document was compiled based on information submitted by the </w:t>
      </w:r>
      <w:r w:rsidR="002A12DE">
        <w:t>s</w:t>
      </w:r>
      <w:r w:rsidR="00D93511">
        <w:t>ecretariat</w:t>
      </w:r>
      <w:r w:rsidR="002F446E">
        <w:t>,</w:t>
      </w:r>
      <w:r w:rsidR="00D93511">
        <w:t xml:space="preserve"> the Sector advisory groups</w:t>
      </w:r>
      <w:r w:rsidR="002F446E">
        <w:t xml:space="preserve"> and ISCG</w:t>
      </w:r>
      <w:r w:rsidR="00D93511">
        <w:t>.</w:t>
      </w:r>
    </w:p>
    <w:p w14:paraId="59FD9B03" w14:textId="74682946" w:rsidR="009C56A7" w:rsidRDefault="00164F67" w:rsidP="00C71D7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Furthermore, </w:t>
      </w:r>
      <w:r w:rsidR="00C71D7B">
        <w:t xml:space="preserve">Resolution 191 </w:t>
      </w:r>
      <w:r w:rsidRPr="00E06F97">
        <w:rPr>
          <w:i/>
          <w:iCs/>
        </w:rPr>
        <w:t>instructs</w:t>
      </w:r>
      <w:r>
        <w:t xml:space="preserve"> the </w:t>
      </w:r>
      <w:r w:rsidR="009C56A7">
        <w:t xml:space="preserve">Secretary-General and the </w:t>
      </w:r>
      <w:r>
        <w:t xml:space="preserve">Directors of the </w:t>
      </w:r>
      <w:r w:rsidR="009C56A7">
        <w:t xml:space="preserve">three </w:t>
      </w:r>
      <w:r>
        <w:t xml:space="preserve">Bureaux to </w:t>
      </w:r>
      <w:r w:rsidR="009C56A7">
        <w:t xml:space="preserve">ensure reporting to the Council of the coordination activities carried out among the different Sectors in each area identified as being of mutual interest, </w:t>
      </w:r>
      <w:r w:rsidR="00437B08">
        <w:t>as well as the results obtained.</w:t>
      </w:r>
    </w:p>
    <w:p w14:paraId="71309B07" w14:textId="77777777" w:rsidR="00164F67" w:rsidRDefault="00437B08" w:rsidP="00437B08">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It also </w:t>
      </w:r>
      <w:r w:rsidRPr="00437B08">
        <w:rPr>
          <w:i/>
          <w:iCs/>
        </w:rPr>
        <w:t>instructs</w:t>
      </w:r>
      <w:r>
        <w:t xml:space="preserve"> the Secretary-General and the Directors of the three Bureaux to identify all forms and examples of overlapping functions and activities between ITU Sectors as well as the General Secretariat, and propose solutions to address them.</w:t>
      </w:r>
    </w:p>
    <w:p w14:paraId="70B84CAF" w14:textId="77777777"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jc w:val="both"/>
      </w:pPr>
      <w:r>
        <w:t>Coordination within the secretariat</w:t>
      </w:r>
    </w:p>
    <w:p w14:paraId="6962BA33" w14:textId="77777777" w:rsidR="00164F67" w:rsidRPr="008F00D6" w:rsidRDefault="00164F67" w:rsidP="00164F67">
      <w:pPr>
        <w:tabs>
          <w:tab w:val="clear" w:pos="567"/>
          <w:tab w:val="clear" w:pos="1134"/>
          <w:tab w:val="clear" w:pos="1701"/>
          <w:tab w:val="clear" w:pos="2268"/>
          <w:tab w:val="clear" w:pos="2835"/>
        </w:tabs>
        <w:snapToGrid w:val="0"/>
        <w:spacing w:after="120"/>
        <w:jc w:val="both"/>
        <w:rPr>
          <w:b/>
          <w:bCs/>
        </w:rPr>
      </w:pPr>
      <w:r w:rsidRPr="008F00D6">
        <w:rPr>
          <w:b/>
          <w:bCs/>
        </w:rPr>
        <w:t>Inter-Sector Coordination Task Force (ISC-TF)</w:t>
      </w:r>
    </w:p>
    <w:p w14:paraId="0B8E34A3" w14:textId="77777777" w:rsidR="00164F67" w:rsidRDefault="00487697" w:rsidP="0048769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w:t>
      </w:r>
      <w:r w:rsidR="00164F67" w:rsidRPr="00DA3FF0">
        <w:t>he</w:t>
      </w:r>
      <w:r w:rsidR="00164F67">
        <w:t xml:space="preserve"> Inter-Sector Coordination Task Force (</w:t>
      </w:r>
      <w:r w:rsidR="00164F67" w:rsidRPr="00DA3FF0">
        <w:t>ISC-TF</w:t>
      </w:r>
      <w:r w:rsidR="00164F67">
        <w:t xml:space="preserve">) was established </w:t>
      </w:r>
      <w:r w:rsidR="00164F67" w:rsidRPr="004644E2">
        <w:t xml:space="preserve">to </w:t>
      </w:r>
      <w:r w:rsidR="00164F67">
        <w:t>enhance the coordination and collaboration among the three Bureaux and the General Secretariat, with a view to avoid internal duplication of effort and optimize the use of resources. The Terms of</w:t>
      </w:r>
      <w:r w:rsidR="005E0852">
        <w:t xml:space="preserve"> Reference of the </w:t>
      </w:r>
      <w:r w:rsidR="00164F67">
        <w:t xml:space="preserve">ISC-TF were specified in </w:t>
      </w:r>
      <w:hyperlink r:id="rId14" w:history="1">
        <w:r w:rsidR="00164F67" w:rsidRPr="00AC7E2D">
          <w:rPr>
            <w:rStyle w:val="Hyperlink"/>
          </w:rPr>
          <w:t>Service Order No.</w:t>
        </w:r>
        <w:r w:rsidR="00C96FF0">
          <w:rPr>
            <w:rStyle w:val="Hyperlink"/>
          </w:rPr>
          <w:t xml:space="preserve"> </w:t>
        </w:r>
        <w:r w:rsidR="00164F67" w:rsidRPr="00AC7E2D">
          <w:rPr>
            <w:rStyle w:val="Hyperlink"/>
          </w:rPr>
          <w:t>16/13</w:t>
        </w:r>
      </w:hyperlink>
      <w:r w:rsidR="00164F67">
        <w:t>.</w:t>
      </w:r>
    </w:p>
    <w:p w14:paraId="6985F939" w14:textId="77777777" w:rsidR="00164F67" w:rsidRDefault="00164F67" w:rsidP="005E0852">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r w:rsidRPr="000B50C2">
        <w:t>ISC-TF</w:t>
      </w:r>
      <w:r w:rsidR="00022692">
        <w:t xml:space="preserve"> </w:t>
      </w:r>
      <w:r w:rsidR="00613B78" w:rsidRPr="008525F4">
        <w:t xml:space="preserve">held </w:t>
      </w:r>
      <w:r w:rsidR="00C96FF0">
        <w:t>six</w:t>
      </w:r>
      <w:r w:rsidR="00613B78" w:rsidRPr="008525F4">
        <w:t xml:space="preserve"> meetings</w:t>
      </w:r>
      <w:r w:rsidR="005E0852" w:rsidRPr="008525F4">
        <w:t xml:space="preserve"> (plus </w:t>
      </w:r>
      <w:r w:rsidR="00C96FF0">
        <w:t>one</w:t>
      </w:r>
      <w:r w:rsidR="005E0852" w:rsidRPr="008525F4">
        <w:t xml:space="preserve"> to be held in May)</w:t>
      </w:r>
      <w:r w:rsidR="00613B78" w:rsidRPr="008525F4">
        <w:t xml:space="preserve"> </w:t>
      </w:r>
      <w:r w:rsidR="00487697" w:rsidRPr="008525F4">
        <w:t>since</w:t>
      </w:r>
      <w:r w:rsidR="00487697">
        <w:t xml:space="preserve"> </w:t>
      </w:r>
      <w:r w:rsidR="005E0852">
        <w:t>its previous report to</w:t>
      </w:r>
      <w:r w:rsidR="00C96FF0">
        <w:t xml:space="preserve"> the</w:t>
      </w:r>
      <w:r w:rsidR="005E0852">
        <w:t xml:space="preserve"> </w:t>
      </w:r>
      <w:r w:rsidR="00487697">
        <w:t xml:space="preserve">Council in April </w:t>
      </w:r>
      <w:r w:rsidR="00613B78" w:rsidRPr="00613B78">
        <w:t>201</w:t>
      </w:r>
      <w:r w:rsidR="00487697">
        <w:t xml:space="preserve">8, </w:t>
      </w:r>
      <w:r w:rsidR="00613B78" w:rsidRPr="00613B78">
        <w:t xml:space="preserve">and </w:t>
      </w:r>
      <w:r w:rsidR="00C96FF0" w:rsidRPr="00613B78">
        <w:t>2</w:t>
      </w:r>
      <w:r w:rsidR="00C96FF0">
        <w:t>9</w:t>
      </w:r>
      <w:r w:rsidR="00C96FF0" w:rsidRPr="00613B78">
        <w:t xml:space="preserve"> </w:t>
      </w:r>
      <w:r w:rsidR="00487697">
        <w:t xml:space="preserve">in total </w:t>
      </w:r>
      <w:r w:rsidR="00613B78" w:rsidRPr="00613B78">
        <w:t>since its inception in March 2015</w:t>
      </w:r>
      <w:r w:rsidR="00487697">
        <w:t xml:space="preserve">. </w:t>
      </w:r>
      <w:r w:rsidR="004F1ACA">
        <w:t xml:space="preserve">The </w:t>
      </w:r>
      <w:r w:rsidR="00487697">
        <w:t xml:space="preserve">ISC-TF </w:t>
      </w:r>
      <w:r w:rsidR="00022692">
        <w:t xml:space="preserve">is chaired </w:t>
      </w:r>
      <w:r w:rsidR="00022692" w:rsidRPr="00022692">
        <w:t>by the Deputy Secretary-General</w:t>
      </w:r>
      <w:r w:rsidR="005E0852">
        <w:t xml:space="preserve">, </w:t>
      </w:r>
      <w:r w:rsidR="004F1ACA">
        <w:t xml:space="preserve">with </w:t>
      </w:r>
      <w:r w:rsidRPr="000B50C2">
        <w:t xml:space="preserve">the participation of: </w:t>
      </w:r>
      <w:r w:rsidRPr="004F1ACA">
        <w:rPr>
          <w:i/>
          <w:iCs/>
        </w:rPr>
        <w:t>a)</w:t>
      </w:r>
      <w:r w:rsidRPr="000B50C2">
        <w:t xml:space="preserve"> the Deputies to the Directors of the three Bureaux and the Chief of the Strategic Planning and Membership Department</w:t>
      </w:r>
      <w:r w:rsidR="0037741A">
        <w:t>;</w:t>
      </w:r>
      <w:r w:rsidRPr="000B50C2">
        <w:t xml:space="preserve"> </w:t>
      </w:r>
      <w:r w:rsidRPr="004F1ACA">
        <w:rPr>
          <w:i/>
          <w:iCs/>
        </w:rPr>
        <w:t>b)</w:t>
      </w:r>
      <w:r w:rsidRPr="000B50C2">
        <w:t xml:space="preserve"> the Inter</w:t>
      </w:r>
      <w:r w:rsidR="004F1ACA">
        <w:t>-</w:t>
      </w:r>
      <w:r w:rsidRPr="000B50C2">
        <w:t>sec</w:t>
      </w:r>
      <w:r w:rsidRPr="000B50C2">
        <w:lastRenderedPageBreak/>
        <w:t>toral Focal Points responsible for specific thematic areas</w:t>
      </w:r>
      <w:r w:rsidR="0037741A">
        <w:t>;</w:t>
      </w:r>
      <w:r w:rsidRPr="000B50C2">
        <w:t xml:space="preserve"> </w:t>
      </w:r>
      <w:r w:rsidRPr="004F1ACA">
        <w:rPr>
          <w:i/>
          <w:iCs/>
        </w:rPr>
        <w:t>c)</w:t>
      </w:r>
      <w:r w:rsidRPr="000B50C2">
        <w:t xml:space="preserve"> the Regional Directors</w:t>
      </w:r>
      <w:r w:rsidR="0037741A">
        <w:t>;</w:t>
      </w:r>
      <w:r w:rsidRPr="000B50C2">
        <w:t xml:space="preserve"> </w:t>
      </w:r>
      <w:r w:rsidRPr="004F1ACA">
        <w:rPr>
          <w:i/>
          <w:iCs/>
        </w:rPr>
        <w:t>d)</w:t>
      </w:r>
      <w:r w:rsidRPr="000B50C2">
        <w:t xml:space="preserve"> the Chiefs of Departments of the General Secretariat</w:t>
      </w:r>
      <w:r w:rsidR="0037741A">
        <w:t>;</w:t>
      </w:r>
      <w:r w:rsidRPr="000B50C2">
        <w:t xml:space="preserve"> </w:t>
      </w:r>
      <w:r w:rsidRPr="004F1ACA">
        <w:rPr>
          <w:i/>
          <w:iCs/>
        </w:rPr>
        <w:t>e)</w:t>
      </w:r>
      <w:r w:rsidRPr="000B50C2">
        <w:t xml:space="preserve"> as an observer, the Head of the Internal Audit Unit, and </w:t>
      </w:r>
      <w:r w:rsidR="00C96FF0">
        <w:rPr>
          <w:i/>
        </w:rPr>
        <w:t xml:space="preserve">f) </w:t>
      </w:r>
      <w:r w:rsidRPr="000B50C2">
        <w:t>at the invitation of the Chairman, the Chiefs of Departments of the Bureaux.</w:t>
      </w:r>
    </w:p>
    <w:p w14:paraId="53B6FFC2" w14:textId="77777777" w:rsidR="004F1ACA" w:rsidRDefault="00164F67" w:rsidP="00C05E7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0B50C2">
        <w:t xml:space="preserve">The areas of inter-sectoral interest coordinated by ISC-TF include the topics </w:t>
      </w:r>
      <w:r w:rsidR="005E0852" w:rsidRPr="000B50C2">
        <w:t>of</w:t>
      </w:r>
      <w:r w:rsidR="004F1ACA">
        <w:t xml:space="preserve"> Accessibility, Artificial Intelligence, Bridging the Standards Gap, Communications and</w:t>
      </w:r>
      <w:r w:rsidR="004F1ACA" w:rsidRPr="004F1ACA">
        <w:t xml:space="preserve"> Web Editorial</w:t>
      </w:r>
      <w:r w:rsidR="004F1ACA">
        <w:t xml:space="preserve">, </w:t>
      </w:r>
      <w:r w:rsidR="004F1ACA" w:rsidRPr="004F1ACA">
        <w:t>Emerging</w:t>
      </w:r>
      <w:r w:rsidR="004F1ACA">
        <w:t xml:space="preserve"> </w:t>
      </w:r>
      <w:r w:rsidR="004F1ACA" w:rsidRPr="004F1ACA">
        <w:t>Trends</w:t>
      </w:r>
      <w:r w:rsidR="004F1ACA">
        <w:t xml:space="preserve">, </w:t>
      </w:r>
      <w:r w:rsidR="004F1ACA" w:rsidRPr="004F1ACA">
        <w:t>Emergency Telecommunications</w:t>
      </w:r>
      <w:r w:rsidR="004F1ACA">
        <w:t xml:space="preserve">, </w:t>
      </w:r>
      <w:r w:rsidR="004F1ACA" w:rsidRPr="004F1ACA">
        <w:t>Environment and Smart Sustainable Cities</w:t>
      </w:r>
      <w:r w:rsidR="004F1ACA">
        <w:t xml:space="preserve">, </w:t>
      </w:r>
      <w:r w:rsidR="004F1ACA" w:rsidRPr="004F1ACA">
        <w:t>Events Coordination</w:t>
      </w:r>
      <w:r w:rsidR="004F1ACA">
        <w:t xml:space="preserve">, </w:t>
      </w:r>
      <w:r w:rsidR="004F1ACA" w:rsidRPr="004F1ACA">
        <w:t>Gender</w:t>
      </w:r>
      <w:r w:rsidR="00C05E70">
        <w:t>,</w:t>
      </w:r>
      <w:r w:rsidR="004F1ACA" w:rsidRPr="004F1ACA">
        <w:t xml:space="preserve"> Me</w:t>
      </w:r>
      <w:r w:rsidR="004F1ACA">
        <w:t>mbership, Resource Mobilization</w:t>
      </w:r>
      <w:r w:rsidR="00C96FF0">
        <w:t>,</w:t>
      </w:r>
      <w:r w:rsidR="004F1ACA">
        <w:t xml:space="preserve"> and</w:t>
      </w:r>
      <w:r w:rsidR="004F1ACA" w:rsidRPr="004F1ACA">
        <w:t xml:space="preserve"> SMEs</w:t>
      </w:r>
      <w:r w:rsidR="00716AF3">
        <w:t xml:space="preserve">. Since the </w:t>
      </w:r>
      <w:r w:rsidR="005E0852">
        <w:t>s</w:t>
      </w:r>
      <w:r w:rsidR="00405392">
        <w:t>ession of Council</w:t>
      </w:r>
      <w:r w:rsidR="005E0852">
        <w:t xml:space="preserve"> in April 2018</w:t>
      </w:r>
      <w:r w:rsidR="00405392">
        <w:t xml:space="preserve">, the </w:t>
      </w:r>
      <w:r w:rsidR="005E0852">
        <w:t>g</w:t>
      </w:r>
      <w:r w:rsidR="00405392">
        <w:t>roup:</w:t>
      </w:r>
    </w:p>
    <w:p w14:paraId="2E7E9F94" w14:textId="77777777" w:rsidR="00164F67" w:rsidRPr="00204FC1" w:rsidRDefault="004B25E6" w:rsidP="005E085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f</w:t>
      </w:r>
      <w:r w:rsidR="00613B78" w:rsidRPr="00613B78">
        <w:t>acilitated the exchange of information among the Sectors and the General Secretariat on th</w:t>
      </w:r>
      <w:r w:rsidR="00405392">
        <w:t>e above</w:t>
      </w:r>
      <w:r w:rsidR="00C96FF0">
        <w:t>-</w:t>
      </w:r>
      <w:r w:rsidR="00405392">
        <w:t>mentioned</w:t>
      </w:r>
      <w:r w:rsidR="00613B78" w:rsidRPr="00613B78">
        <w:t xml:space="preserve"> thematic areas by updating the </w:t>
      </w:r>
      <w:r w:rsidR="005E0852">
        <w:t>members of the g</w:t>
      </w:r>
      <w:r w:rsidR="00613B78" w:rsidRPr="00613B78">
        <w:t xml:space="preserve">roup </w:t>
      </w:r>
      <w:r w:rsidR="005E0852">
        <w:t xml:space="preserve">on the developments </w:t>
      </w:r>
      <w:r w:rsidR="00613B78" w:rsidRPr="00613B78">
        <w:t>and the progress achieved in each area</w:t>
      </w:r>
      <w:r w:rsidR="00164F67" w:rsidRPr="00204FC1">
        <w:t>;</w:t>
      </w:r>
    </w:p>
    <w:p w14:paraId="4ABCAC09" w14:textId="77777777" w:rsidR="00164F67" w:rsidRPr="00204FC1" w:rsidRDefault="004B25E6" w:rsidP="005E085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164F67" w:rsidRPr="00204FC1">
        <w:t>iscussed and proposed solutions for the key iss</w:t>
      </w:r>
      <w:r w:rsidR="005E0852">
        <w:t xml:space="preserve">ues raised by the focal points, escalating the issues if </w:t>
      </w:r>
      <w:r w:rsidR="00164F67" w:rsidRPr="00204FC1">
        <w:t xml:space="preserve">decisions could not be taken </w:t>
      </w:r>
      <w:r w:rsidR="00164F67">
        <w:t>or</w:t>
      </w:r>
      <w:r w:rsidR="00164F67" w:rsidRPr="00204FC1">
        <w:t xml:space="preserve"> resolve</w:t>
      </w:r>
      <w:r w:rsidR="00164F67">
        <w:t>d</w:t>
      </w:r>
      <w:r w:rsidR="00164F67" w:rsidRPr="00204FC1">
        <w:t xml:space="preserve"> at the focal point level;</w:t>
      </w:r>
    </w:p>
    <w:p w14:paraId="4320A2BF" w14:textId="77777777" w:rsidR="00164F67" w:rsidRDefault="004B25E6"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l</w:t>
      </w:r>
      <w:r w:rsidR="00164F67" w:rsidRPr="00204FC1">
        <w:t>everaged the participation and contribution of the Regional Offices, which have been participating through remote participation to the ISC-TF discussions;</w:t>
      </w:r>
    </w:p>
    <w:p w14:paraId="56104C2E" w14:textId="77777777" w:rsidR="00613B78" w:rsidRPr="00204FC1" w:rsidRDefault="004B25E6" w:rsidP="0037741A">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613B78" w:rsidRPr="00613B78">
        <w:t>ontinued the process of publishing and updating information on ITU</w:t>
      </w:r>
      <w:r>
        <w:t>’</w:t>
      </w:r>
      <w:r w:rsidR="00613B78" w:rsidRPr="00613B78">
        <w:t>s work on the thematic areas on the relevant ITU webpages, in an open and transparent way</w:t>
      </w:r>
      <w:r w:rsidR="00613B78">
        <w:t>;</w:t>
      </w:r>
    </w:p>
    <w:p w14:paraId="4A4775E6" w14:textId="77777777" w:rsidR="00164F67" w:rsidRPr="00204FC1" w:rsidRDefault="004B25E6" w:rsidP="00405392">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164F67" w:rsidRPr="00204FC1">
        <w:t>oordinated ITU</w:t>
      </w:r>
      <w:r>
        <w:t>’</w:t>
      </w:r>
      <w:r w:rsidR="00164F67" w:rsidRPr="00204FC1">
        <w:t xml:space="preserve">s participation in conferences and fora </w:t>
      </w:r>
      <w:r w:rsidR="00164F67">
        <w:t xml:space="preserve">with the aim to </w:t>
      </w:r>
      <w:r w:rsidR="00754CE9">
        <w:t xml:space="preserve">rationalize </w:t>
      </w:r>
      <w:r w:rsidR="0014541C">
        <w:t>ITU</w:t>
      </w:r>
      <w:r>
        <w:t>’</w:t>
      </w:r>
      <w:r w:rsidR="00754CE9">
        <w:t xml:space="preserve">s delegation/presence whilst ensuring </w:t>
      </w:r>
      <w:r w:rsidR="00EA34A9">
        <w:t xml:space="preserve">inter-sectoral </w:t>
      </w:r>
      <w:r w:rsidR="00164F67">
        <w:t xml:space="preserve">interests </w:t>
      </w:r>
      <w:r w:rsidR="00EA34A9">
        <w:t xml:space="preserve">are </w:t>
      </w:r>
      <w:r w:rsidR="00164F67">
        <w:t>represented</w:t>
      </w:r>
      <w:r w:rsidR="00164F67" w:rsidRPr="00204FC1">
        <w:t>;</w:t>
      </w:r>
      <w:r w:rsidR="00613B78">
        <w:t xml:space="preserve"> and</w:t>
      </w:r>
    </w:p>
    <w:p w14:paraId="3282D5B1" w14:textId="77777777" w:rsidR="00164F67" w:rsidRPr="00204FC1" w:rsidRDefault="004B25E6"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proofErr w:type="gramStart"/>
      <w:r>
        <w:t>f</w:t>
      </w:r>
      <w:r w:rsidR="00164F67" w:rsidRPr="00204FC1">
        <w:t>acilitated</w:t>
      </w:r>
      <w:proofErr w:type="gramEnd"/>
      <w:r w:rsidR="00164F67" w:rsidRPr="00204FC1">
        <w:t xml:space="preserve"> better coordination of organization of ITU events and meetings, through </w:t>
      </w:r>
      <w:r w:rsidR="00613B78" w:rsidRPr="00545CF8">
        <w:t xml:space="preserve">the work </w:t>
      </w:r>
      <w:r w:rsidR="00613B78">
        <w:t xml:space="preserve">carried out </w:t>
      </w:r>
      <w:r w:rsidR="00613B78" w:rsidRPr="00545CF8">
        <w:t>in that particular area</w:t>
      </w:r>
      <w:r w:rsidR="00613B78">
        <w:t>.</w:t>
      </w:r>
    </w:p>
    <w:p w14:paraId="604CB8AC" w14:textId="77777777" w:rsidR="00164F67" w:rsidRDefault="00164F67" w:rsidP="00DB5DB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In addition, the </w:t>
      </w:r>
      <w:r w:rsidR="00DB5DB1">
        <w:t xml:space="preserve">group achieved the </w:t>
      </w:r>
      <w:r>
        <w:t xml:space="preserve">following specific outcomes </w:t>
      </w:r>
      <w:r w:rsidR="00C61B1A">
        <w:t xml:space="preserve">since the </w:t>
      </w:r>
      <w:r w:rsidR="00DB5DB1">
        <w:t xml:space="preserve">previous </w:t>
      </w:r>
      <w:r w:rsidR="00C61B1A">
        <w:t xml:space="preserve">ordinary </w:t>
      </w:r>
      <w:r w:rsidR="00DB5DB1">
        <w:t>s</w:t>
      </w:r>
      <w:r w:rsidR="00C61B1A">
        <w:t xml:space="preserve">ession of </w:t>
      </w:r>
      <w:r w:rsidR="004B25E6">
        <w:t xml:space="preserve">the </w:t>
      </w:r>
      <w:r w:rsidR="00C61B1A">
        <w:t>Council</w:t>
      </w:r>
      <w:r>
        <w:t>:</w:t>
      </w:r>
    </w:p>
    <w:p w14:paraId="7A55825C" w14:textId="77777777" w:rsidR="005F2D7B" w:rsidRPr="008525F4" w:rsidRDefault="004B25E6" w:rsidP="008525F4">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lastRenderedPageBreak/>
        <w:t>d</w:t>
      </w:r>
      <w:r w:rsidR="005F2D7B">
        <w:t>eveloped a new webpage on inter-sectoral coordination (</w:t>
      </w:r>
      <w:hyperlink r:id="rId15" w:history="1">
        <w:r w:rsidR="005F2D7B" w:rsidRPr="00A41D25">
          <w:rPr>
            <w:rStyle w:val="Hyperlink"/>
          </w:rPr>
          <w:t>www.itu.int/en/general-secretariat/Pages/intersectoral-coordination.aspx</w:t>
        </w:r>
      </w:hyperlink>
      <w:r w:rsidR="005F2D7B">
        <w:t>), in coordination with the Chair of the Inter-</w:t>
      </w:r>
      <w:r w:rsidR="005F2D7B" w:rsidRPr="008525F4">
        <w:t xml:space="preserve">Sectoral Coordination </w:t>
      </w:r>
      <w:r w:rsidR="008525F4" w:rsidRPr="008525F4">
        <w:t>Group</w:t>
      </w:r>
      <w:r w:rsidR="005F2D7B" w:rsidRPr="008525F4">
        <w:t xml:space="preserve"> </w:t>
      </w:r>
      <w:r w:rsidR="00BD4ADD">
        <w:t xml:space="preserve">on Issues of Mutual Interest </w:t>
      </w:r>
      <w:r w:rsidR="005F2D7B" w:rsidRPr="008525F4">
        <w:t>(ISC</w:t>
      </w:r>
      <w:r w:rsidR="008525F4" w:rsidRPr="008525F4">
        <w:t>G</w:t>
      </w:r>
      <w:r w:rsidR="005F2D7B" w:rsidRPr="008525F4">
        <w:t>);</w:t>
      </w:r>
    </w:p>
    <w:p w14:paraId="3D77087F" w14:textId="77777777" w:rsidR="005F2D7B" w:rsidRDefault="004B25E6" w:rsidP="00DB5DB1">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5F2D7B">
        <w:t>iscussed the</w:t>
      </w:r>
      <w:r w:rsidR="00DB5DB1">
        <w:t xml:space="preserve"> proposed </w:t>
      </w:r>
      <w:r w:rsidR="005F2D7B">
        <w:t>ITU sponsorship guidelines and the provisions of the corresponding Service Order;</w:t>
      </w:r>
    </w:p>
    <w:p w14:paraId="1A8DBA65" w14:textId="77777777" w:rsidR="005F2D7B"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d</w:t>
      </w:r>
      <w:r w:rsidR="005F2D7B">
        <w:t>iscussed the issue of gender balance in the ITU statutory committees and coordinated the required follow-up;</w:t>
      </w:r>
    </w:p>
    <w:p w14:paraId="4A346864" w14:textId="77777777" w:rsidR="005F2D7B"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o</w:t>
      </w:r>
      <w:r w:rsidR="002C6467">
        <w:t xml:space="preserve">versaw the implementation of </w:t>
      </w:r>
      <w:r w:rsidR="005F2D7B">
        <w:t xml:space="preserve">the pilot project </w:t>
      </w:r>
      <w:r w:rsidR="002C6467">
        <w:t xml:space="preserve">on the participation of </w:t>
      </w:r>
      <w:r w:rsidR="005F2D7B">
        <w:t>SMEs in the work of the Union</w:t>
      </w:r>
      <w:r w:rsidR="002C6467">
        <w:t xml:space="preserve"> through their participation at the ITU-T and ITU-D Study Groups</w:t>
      </w:r>
      <w:r w:rsidR="005F2D7B">
        <w:t>;</w:t>
      </w:r>
    </w:p>
    <w:p w14:paraId="5795AAE7" w14:textId="77777777" w:rsidR="002C6467" w:rsidRDefault="004B25E6" w:rsidP="002C64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2C6467">
        <w:t>oordinated the participation of the ITU secretariat at the COP-24 conference;</w:t>
      </w:r>
    </w:p>
    <w:p w14:paraId="23CA534F" w14:textId="77777777" w:rsidR="00EE42AD" w:rsidRDefault="004B25E6" w:rsidP="00A915E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r</w:t>
      </w:r>
      <w:r w:rsidR="002C6467">
        <w:t xml:space="preserve">eviewed the </w:t>
      </w:r>
      <w:r w:rsidR="00EE42AD">
        <w:t>d</w:t>
      </w:r>
      <w:r w:rsidR="00EE42AD" w:rsidRPr="00EE42AD">
        <w:t xml:space="preserve">evelopment of </w:t>
      </w:r>
      <w:r w:rsidR="00EE42AD">
        <w:t xml:space="preserve">the </w:t>
      </w:r>
      <w:r w:rsidR="00EE42AD" w:rsidRPr="00EE42AD">
        <w:t>digital content and engagement strategy</w:t>
      </w:r>
      <w:r w:rsidR="00EE42AD">
        <w:t>;</w:t>
      </w:r>
    </w:p>
    <w:p w14:paraId="23EACD0D" w14:textId="77777777" w:rsidR="00164F67"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005802B0">
        <w:t xml:space="preserve">ontinued reviewing the </w:t>
      </w:r>
      <w:r w:rsidR="00164F67" w:rsidRPr="00204FC1">
        <w:t xml:space="preserve">detailed reporting </w:t>
      </w:r>
      <w:r w:rsidR="00164F67" w:rsidRPr="00495B86">
        <w:t xml:space="preserve">on the status of Sector </w:t>
      </w:r>
      <w:r w:rsidR="002C6467">
        <w:t>Membership by Sector and Region</w:t>
      </w:r>
      <w:r w:rsidR="00A15422">
        <w:t>;</w:t>
      </w:r>
    </w:p>
    <w:p w14:paraId="01C92CEA" w14:textId="77777777" w:rsidR="00A15422"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r</w:t>
      </w:r>
      <w:r w:rsidR="00A15422">
        <w:t>eviewed the risk management analysis to be included in the ITU operational plans; and</w:t>
      </w:r>
    </w:p>
    <w:p w14:paraId="1DCCC189" w14:textId="77777777" w:rsidR="00A915EB" w:rsidRDefault="004B25E6"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proofErr w:type="gramStart"/>
      <w:r>
        <w:t>r</w:t>
      </w:r>
      <w:r w:rsidR="00A915EB">
        <w:t>eviewed</w:t>
      </w:r>
      <w:proofErr w:type="gramEnd"/>
      <w:r w:rsidR="00A915EB">
        <w:t xml:space="preserve"> the JIU programme of work for 2019, assigning the respective ITU focal points.</w:t>
      </w:r>
    </w:p>
    <w:p w14:paraId="532964E9" w14:textId="77777777" w:rsidR="00B22F7C" w:rsidRPr="00B22F7C" w:rsidRDefault="002C6467" w:rsidP="006F3490">
      <w:pPr>
        <w:tabs>
          <w:tab w:val="clear" w:pos="567"/>
          <w:tab w:val="clear" w:pos="1134"/>
          <w:tab w:val="clear" w:pos="1701"/>
          <w:tab w:val="clear" w:pos="2268"/>
          <w:tab w:val="clear" w:pos="2835"/>
        </w:tabs>
        <w:snapToGrid w:val="0"/>
        <w:spacing w:before="360" w:after="120"/>
        <w:jc w:val="both"/>
        <w:rPr>
          <w:b/>
          <w:bCs/>
        </w:rPr>
      </w:pPr>
      <w:r>
        <w:rPr>
          <w:b/>
          <w:bCs/>
        </w:rPr>
        <w:t>Process to strengthen</w:t>
      </w:r>
      <w:r w:rsidR="0011595C">
        <w:rPr>
          <w:b/>
          <w:bCs/>
        </w:rPr>
        <w:t xml:space="preserve"> </w:t>
      </w:r>
      <w:r w:rsidR="00BE1A7A">
        <w:rPr>
          <w:b/>
          <w:bCs/>
        </w:rPr>
        <w:t>i</w:t>
      </w:r>
      <w:r w:rsidR="00B22F7C" w:rsidRPr="00B22F7C">
        <w:rPr>
          <w:b/>
          <w:bCs/>
        </w:rPr>
        <w:t>nter-</w:t>
      </w:r>
      <w:r w:rsidR="00BE1A7A">
        <w:rPr>
          <w:b/>
          <w:bCs/>
        </w:rPr>
        <w:t>s</w:t>
      </w:r>
      <w:r w:rsidR="00B22F7C" w:rsidRPr="00B22F7C">
        <w:rPr>
          <w:b/>
          <w:bCs/>
        </w:rPr>
        <w:t>ector</w:t>
      </w:r>
      <w:r w:rsidR="00BE1A7A">
        <w:rPr>
          <w:b/>
          <w:bCs/>
        </w:rPr>
        <w:t>al c</w:t>
      </w:r>
      <w:r w:rsidR="00B22F7C" w:rsidRPr="00B22F7C">
        <w:rPr>
          <w:b/>
          <w:bCs/>
        </w:rPr>
        <w:t xml:space="preserve">oordination </w:t>
      </w:r>
      <w:r w:rsidR="0011595C">
        <w:rPr>
          <w:b/>
          <w:bCs/>
        </w:rPr>
        <w:t>in ITU</w:t>
      </w:r>
    </w:p>
    <w:p w14:paraId="76111BB4" w14:textId="77777777" w:rsidR="0011595C" w:rsidRDefault="00B22F7C" w:rsidP="00BE1A7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In addition</w:t>
      </w:r>
      <w:r w:rsidR="00BE1A7A">
        <w:t>, and as a follow-up to the outcomes of the ITU Plenipotentiary Conference</w:t>
      </w:r>
      <w:r>
        <w:t xml:space="preserve">, the </w:t>
      </w:r>
      <w:r w:rsidR="0011595C">
        <w:t xml:space="preserve">group </w:t>
      </w:r>
      <w:r w:rsidR="00BE1A7A">
        <w:t>initiated a review of</w:t>
      </w:r>
      <w:r w:rsidR="0011595C">
        <w:t xml:space="preserve"> the existing inter-sectoral coordination mechanisms, to ensure the implementation of the new Inter-sectoral Objective I.6, as agreed by membership in the ITU Strategic Plan 2020-2023 (</w:t>
      </w:r>
      <w:r w:rsidR="004B25E6">
        <w:t xml:space="preserve">the </w:t>
      </w:r>
      <w:r w:rsidR="0011595C">
        <w:t>table below presents the objective, the expected outcomes and the outputs to be delivered).</w:t>
      </w:r>
    </w:p>
    <w:p w14:paraId="0960B929" w14:textId="77777777" w:rsidR="00C61B1A" w:rsidRPr="00C61B1A" w:rsidRDefault="00C61B1A" w:rsidP="006F3490">
      <w:pPr>
        <w:pStyle w:val="ListParagraph"/>
        <w:tabs>
          <w:tab w:val="clear" w:pos="567"/>
          <w:tab w:val="clear" w:pos="1134"/>
          <w:tab w:val="clear" w:pos="1701"/>
          <w:tab w:val="clear" w:pos="2268"/>
          <w:tab w:val="clear" w:pos="2835"/>
        </w:tabs>
        <w:overflowPunct/>
        <w:autoSpaceDE/>
        <w:autoSpaceDN/>
        <w:adjustRightInd/>
        <w:snapToGrid w:val="0"/>
        <w:spacing w:before="480" w:after="120"/>
        <w:ind w:left="0"/>
        <w:contextualSpacing w:val="0"/>
        <w:jc w:val="both"/>
        <w:textAlignment w:val="auto"/>
        <w:rPr>
          <w:b/>
          <w:bCs/>
          <w:sz w:val="22"/>
          <w:szCs w:val="18"/>
        </w:rPr>
      </w:pPr>
      <w:r w:rsidRPr="00C61B1A">
        <w:rPr>
          <w:b/>
          <w:bCs/>
          <w:sz w:val="22"/>
          <w:szCs w:val="18"/>
        </w:rPr>
        <w:t>Table 1: New Inter-Sectoral Objective on reducing overlap and duplication</w:t>
      </w:r>
    </w:p>
    <w:tbl>
      <w:tblPr>
        <w:tblStyle w:val="PlainTable2"/>
        <w:tblW w:w="0" w:type="auto"/>
        <w:tblLook w:val="0400" w:firstRow="0" w:lastRow="0" w:firstColumn="0" w:lastColumn="0" w:noHBand="0" w:noVBand="1"/>
      </w:tblPr>
      <w:tblGrid>
        <w:gridCol w:w="3969"/>
        <w:gridCol w:w="5670"/>
      </w:tblGrid>
      <w:tr w:rsidR="00405392" w:rsidRPr="0011595C" w14:paraId="0BABEE9D" w14:textId="77777777" w:rsidTr="0011595C">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EAC1B9B" w14:textId="77777777" w:rsidR="00405392" w:rsidRPr="0011595C" w:rsidRDefault="00405392" w:rsidP="00E26389">
            <w:pPr>
              <w:spacing w:before="60" w:after="60"/>
              <w:rPr>
                <w:b/>
                <w:bCs/>
                <w:sz w:val="22"/>
                <w:szCs w:val="18"/>
              </w:rPr>
            </w:pPr>
            <w:r w:rsidRPr="0011595C">
              <w:rPr>
                <w:b/>
                <w:bCs/>
                <w:sz w:val="22"/>
                <w:szCs w:val="18"/>
              </w:rPr>
              <w:lastRenderedPageBreak/>
              <w:t xml:space="preserve">I.6 (Reducing overlap and duplication) </w:t>
            </w:r>
            <w:r w:rsidRPr="0011595C">
              <w:rPr>
                <w:sz w:val="22"/>
                <w:szCs w:val="18"/>
              </w:rPr>
              <w:t>Reduce the areas of overlap and duplication and foster closer and more transparent coordination among General Secretariat and ITU Sectors, taking into account the Union</w:t>
            </w:r>
            <w:r w:rsidR="004B25E6">
              <w:rPr>
                <w:sz w:val="22"/>
                <w:szCs w:val="18"/>
              </w:rPr>
              <w:t>’</w:t>
            </w:r>
            <w:r w:rsidRPr="0011595C">
              <w:rPr>
                <w:sz w:val="22"/>
                <w:szCs w:val="18"/>
              </w:rPr>
              <w:t>s budgetary provisions and the expertise and mandate of each Sector</w:t>
            </w:r>
          </w:p>
        </w:tc>
      </w:tr>
      <w:tr w:rsidR="00405392" w:rsidRPr="0011595C" w14:paraId="52EC4A5D" w14:textId="77777777" w:rsidTr="0011595C">
        <w:tc>
          <w:tcPr>
            <w:tcW w:w="3969" w:type="dxa"/>
          </w:tcPr>
          <w:p w14:paraId="5DEDC6B0" w14:textId="77777777" w:rsidR="00405392" w:rsidRPr="0011595C" w:rsidRDefault="00405392" w:rsidP="00E26389">
            <w:pPr>
              <w:spacing w:before="60" w:after="60"/>
              <w:rPr>
                <w:i/>
                <w:iCs/>
                <w:sz w:val="22"/>
                <w:szCs w:val="18"/>
              </w:rPr>
            </w:pPr>
            <w:r w:rsidRPr="0011595C">
              <w:rPr>
                <w:i/>
                <w:iCs/>
                <w:sz w:val="22"/>
                <w:szCs w:val="18"/>
              </w:rPr>
              <w:t>Outcomes</w:t>
            </w:r>
          </w:p>
        </w:tc>
        <w:tc>
          <w:tcPr>
            <w:tcW w:w="5670" w:type="dxa"/>
          </w:tcPr>
          <w:p w14:paraId="05EC3CFC" w14:textId="77777777" w:rsidR="00405392" w:rsidRPr="0011595C" w:rsidRDefault="00405392" w:rsidP="00E26389">
            <w:pPr>
              <w:spacing w:before="60" w:after="60"/>
              <w:rPr>
                <w:i/>
                <w:iCs/>
                <w:sz w:val="22"/>
                <w:szCs w:val="18"/>
              </w:rPr>
            </w:pPr>
            <w:r w:rsidRPr="0011595C">
              <w:rPr>
                <w:i/>
                <w:iCs/>
                <w:sz w:val="22"/>
                <w:szCs w:val="18"/>
              </w:rPr>
              <w:t>Outputs</w:t>
            </w:r>
          </w:p>
        </w:tc>
      </w:tr>
      <w:tr w:rsidR="00405392" w:rsidRPr="0011595C" w14:paraId="736A02F7" w14:textId="77777777" w:rsidTr="0011595C">
        <w:trPr>
          <w:cnfStyle w:val="000000100000" w:firstRow="0" w:lastRow="0" w:firstColumn="0" w:lastColumn="0" w:oddVBand="0" w:evenVBand="0" w:oddHBand="1" w:evenHBand="0" w:firstRowFirstColumn="0" w:firstRowLastColumn="0" w:lastRowFirstColumn="0" w:lastRowLastColumn="0"/>
        </w:trPr>
        <w:tc>
          <w:tcPr>
            <w:tcW w:w="3969" w:type="dxa"/>
          </w:tcPr>
          <w:p w14:paraId="4DEDC22D" w14:textId="77777777" w:rsidR="00405392" w:rsidRPr="0011595C" w:rsidRDefault="00405392" w:rsidP="00E26389">
            <w:pPr>
              <w:spacing w:before="60" w:after="60"/>
              <w:rPr>
                <w:sz w:val="22"/>
                <w:szCs w:val="18"/>
              </w:rPr>
            </w:pPr>
            <w:r w:rsidRPr="0011595C">
              <w:rPr>
                <w:sz w:val="22"/>
                <w:szCs w:val="18"/>
              </w:rPr>
              <w:t>I.6-a: Closer and more transparent collaboration among the ITU Sectors, the General Secretariat and the 3 Bureaux</w:t>
            </w:r>
          </w:p>
          <w:p w14:paraId="353F23DF" w14:textId="77777777" w:rsidR="00405392" w:rsidRPr="0011595C" w:rsidRDefault="00405392" w:rsidP="00E26389">
            <w:pPr>
              <w:spacing w:before="60" w:after="60"/>
              <w:rPr>
                <w:sz w:val="22"/>
                <w:szCs w:val="18"/>
              </w:rPr>
            </w:pPr>
            <w:r w:rsidRPr="0011595C">
              <w:rPr>
                <w:sz w:val="22"/>
                <w:szCs w:val="18"/>
              </w:rPr>
              <w:t>I.6-b: Reducing the areas of overlap and duplication among the ITU Sectors and the work of the General Secretariat and the 3 Bureaux</w:t>
            </w:r>
          </w:p>
          <w:p w14:paraId="524FEE96" w14:textId="77777777" w:rsidR="00405392" w:rsidRPr="0011595C" w:rsidRDefault="00405392" w:rsidP="00E26389">
            <w:pPr>
              <w:spacing w:before="60" w:after="60"/>
              <w:rPr>
                <w:sz w:val="22"/>
                <w:szCs w:val="18"/>
              </w:rPr>
            </w:pPr>
            <w:r w:rsidRPr="0011595C">
              <w:rPr>
                <w:sz w:val="22"/>
                <w:szCs w:val="18"/>
              </w:rPr>
              <w:t>I.6-c: Realise savings through avoidance of areas of overlap</w:t>
            </w:r>
          </w:p>
        </w:tc>
        <w:tc>
          <w:tcPr>
            <w:tcW w:w="5670" w:type="dxa"/>
          </w:tcPr>
          <w:p w14:paraId="5F80E2C2" w14:textId="77777777" w:rsidR="00405392" w:rsidRPr="0011595C" w:rsidRDefault="00405392" w:rsidP="00E26389">
            <w:pPr>
              <w:spacing w:before="60" w:after="60"/>
              <w:rPr>
                <w:sz w:val="22"/>
                <w:szCs w:val="18"/>
              </w:rPr>
            </w:pPr>
            <w:r w:rsidRPr="0011595C">
              <w:rPr>
                <w:sz w:val="22"/>
                <w:szCs w:val="18"/>
              </w:rPr>
              <w:t xml:space="preserve">I.6-1: </w:t>
            </w:r>
            <w:r w:rsidRPr="0011595C">
              <w:rPr>
                <w:b/>
                <w:bCs/>
                <w:sz w:val="22"/>
                <w:szCs w:val="18"/>
              </w:rPr>
              <w:t>Process</w:t>
            </w:r>
            <w:r w:rsidRPr="0011595C">
              <w:rPr>
                <w:sz w:val="22"/>
                <w:szCs w:val="18"/>
              </w:rPr>
              <w:t xml:space="preserve"> to identify and eliminate all forms and instances of duplication of functions and activities between all ITU structural bodies, optimizing, inter alia, </w:t>
            </w:r>
            <w:r w:rsidRPr="0011595C">
              <w:rPr>
                <w:b/>
                <w:bCs/>
                <w:sz w:val="22"/>
                <w:szCs w:val="18"/>
              </w:rPr>
              <w:t>management methods</w:t>
            </w:r>
            <w:r w:rsidRPr="0011595C">
              <w:rPr>
                <w:sz w:val="22"/>
                <w:szCs w:val="18"/>
              </w:rPr>
              <w:t xml:space="preserve">, logistics, </w:t>
            </w:r>
            <w:r w:rsidRPr="0011595C">
              <w:rPr>
                <w:b/>
                <w:bCs/>
                <w:sz w:val="22"/>
                <w:szCs w:val="18"/>
              </w:rPr>
              <w:t>coordination</w:t>
            </w:r>
            <w:r w:rsidRPr="0011595C">
              <w:rPr>
                <w:sz w:val="22"/>
                <w:szCs w:val="18"/>
              </w:rPr>
              <w:t xml:space="preserve"> and support by the Secretariat</w:t>
            </w:r>
          </w:p>
          <w:p w14:paraId="6E880663" w14:textId="77777777" w:rsidR="00405392" w:rsidRPr="0011595C" w:rsidRDefault="00405392" w:rsidP="0011595C">
            <w:pPr>
              <w:spacing w:before="60" w:after="60"/>
              <w:rPr>
                <w:sz w:val="22"/>
                <w:szCs w:val="18"/>
              </w:rPr>
            </w:pPr>
            <w:r w:rsidRPr="0011595C">
              <w:rPr>
                <w:sz w:val="22"/>
                <w:szCs w:val="18"/>
              </w:rPr>
              <w:t xml:space="preserve">I.6-2: Implement the concept of </w:t>
            </w:r>
            <w:r w:rsidR="004B25E6">
              <w:rPr>
                <w:sz w:val="22"/>
                <w:szCs w:val="18"/>
              </w:rPr>
              <w:t>‘</w:t>
            </w:r>
            <w:r w:rsidRPr="0011595C">
              <w:rPr>
                <w:sz w:val="22"/>
                <w:szCs w:val="18"/>
              </w:rPr>
              <w:t>One ITU</w:t>
            </w:r>
            <w:r w:rsidR="004B25E6">
              <w:rPr>
                <w:sz w:val="22"/>
                <w:szCs w:val="18"/>
              </w:rPr>
              <w:t>’</w:t>
            </w:r>
            <w:r w:rsidRPr="0011595C">
              <w:rPr>
                <w:sz w:val="22"/>
                <w:szCs w:val="18"/>
              </w:rPr>
              <w:t xml:space="preserve">, harmonizing, to the extent feasible, </w:t>
            </w:r>
            <w:r w:rsidRPr="0011595C">
              <w:rPr>
                <w:b/>
                <w:bCs/>
                <w:sz w:val="22"/>
                <w:szCs w:val="18"/>
              </w:rPr>
              <w:t>procedures</w:t>
            </w:r>
            <w:r w:rsidRPr="0011595C">
              <w:rPr>
                <w:sz w:val="22"/>
                <w:szCs w:val="18"/>
              </w:rPr>
              <w:t xml:space="preserve"> across Sectors and regional offices/regional presence in the implementation of goals and objectives of the ITU and Sectors</w:t>
            </w:r>
          </w:p>
        </w:tc>
      </w:tr>
    </w:tbl>
    <w:p w14:paraId="4500B970" w14:textId="77777777" w:rsidR="0011595C" w:rsidRPr="00495B86" w:rsidRDefault="0011595C" w:rsidP="006F349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before="360" w:after="120"/>
        <w:ind w:left="0" w:firstLine="0"/>
        <w:contextualSpacing w:val="0"/>
        <w:jc w:val="both"/>
        <w:textAlignment w:val="auto"/>
      </w:pPr>
      <w:r>
        <w:t xml:space="preserve">The group will review the coordination and cooperation strategy; review the mechanism of identifying and defining the areas of mutual interest; and revisit its methods of work, </w:t>
      </w:r>
      <w:r w:rsidR="00C61B1A">
        <w:t>in order to reinforce its role and improve its effectiveness.</w:t>
      </w:r>
    </w:p>
    <w:p w14:paraId="47D6D355" w14:textId="77777777"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pPr>
      <w:r>
        <w:t>Membership coordination</w:t>
      </w:r>
    </w:p>
    <w:p w14:paraId="17762EF6" w14:textId="77777777" w:rsidR="008525F4" w:rsidRDefault="008525F4" w:rsidP="008525F4">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ISCG was established jointly by the Radiocommunication Advisory Group (RAG), the Telecommunication Standardization Advisory Group (TSAG), and the Telecommunication Development Advisory Group (TDAG).</w:t>
      </w:r>
    </w:p>
    <w:p w14:paraId="2BF446FF" w14:textId="77777777" w:rsidR="008525F4" w:rsidRDefault="008525F4" w:rsidP="008525F4">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Resolution 191 (Rev. Dubai, 2018) of the Plenipotentiary Conference invited RAG, TSAG</w:t>
      </w:r>
      <w:r w:rsidR="004479A0">
        <w:t>,</w:t>
      </w:r>
      <w:r>
        <w:t xml:space="preserve"> and TDAG to continue to assist ISCG in identifying subjects common and mechanisms to enhance cooperation and collaboration on matters of mutual interest.</w:t>
      </w:r>
    </w:p>
    <w:p w14:paraId="6951A02C" w14:textId="5B046301" w:rsidR="00D25B05" w:rsidRDefault="004479A0" w:rsidP="00436B8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Since its creation, </w:t>
      </w:r>
      <w:r w:rsidR="008525F4">
        <w:t>ISC</w:t>
      </w:r>
      <w:r>
        <w:t>G</w:t>
      </w:r>
      <w:r w:rsidR="008525F4">
        <w:t xml:space="preserve"> has held six meetings in conjunction with TDAG meetings. At its meeting on 4 April 2019, ISCG updated the </w:t>
      </w:r>
      <w:proofErr w:type="spellStart"/>
      <w:r w:rsidR="008525F4">
        <w:t>ToR</w:t>
      </w:r>
      <w:proofErr w:type="spellEnd"/>
      <w:r w:rsidR="008525F4">
        <w:t xml:space="preserve"> to include General Secretariat in the scope of work. ISCG reviewed the mappings of common interest areas of work between ITU-D and ITU-R study groups, in addition to, between ITU-D and ITU-T study groups and between ITU-R and ITU-T study groups.</w:t>
      </w:r>
      <w:r w:rsidR="002F446E" w:rsidRPr="008C5BAC">
        <w:rPr>
          <w:rFonts w:eastAsia="MS Mincho"/>
        </w:rPr>
        <w:t xml:space="preserve"> This mapping table is posted on the </w:t>
      </w:r>
      <w:hyperlink r:id="rId16" w:history="1">
        <w:r w:rsidR="002F446E" w:rsidRPr="008C5BAC">
          <w:rPr>
            <w:rFonts w:eastAsia="MS Mincho"/>
            <w:color w:val="0000FF"/>
            <w:u w:val="single"/>
          </w:rPr>
          <w:t>ISCG website</w:t>
        </w:r>
      </w:hyperlink>
      <w:r w:rsidR="002F446E" w:rsidRPr="008C5BAC">
        <w:rPr>
          <w:rFonts w:eastAsia="MS Mincho"/>
        </w:rPr>
        <w:t xml:space="preserve"> and RAG, TSAG and TDAG are requested to update this table regularly at their meetings by adding the updated Questions and studies carried out in the relevant study groups.</w:t>
      </w:r>
      <w:r w:rsidR="008525F4">
        <w:t xml:space="preserve"> ISCG also reviewed the mapping of resolutions of PP, RA</w:t>
      </w:r>
      <w:r w:rsidR="002F446E">
        <w:t>/WRC</w:t>
      </w:r>
      <w:r w:rsidR="008525F4">
        <w:t xml:space="preserve">, WTSA and </w:t>
      </w:r>
      <w:r w:rsidR="008525F4">
        <w:lastRenderedPageBreak/>
        <w:t>WTDC.</w:t>
      </w:r>
      <w:r w:rsidR="008C5BAC" w:rsidRPr="008C5BAC">
        <w:rPr>
          <w:rFonts w:asciiTheme="minorHAnsi" w:eastAsia="MS Mincho" w:hAnsiTheme="minorHAnsi"/>
        </w:rPr>
        <w:t xml:space="preserve"> </w:t>
      </w:r>
      <w:r w:rsidR="008C5BAC" w:rsidRPr="008C5BAC">
        <w:t xml:space="preserve">This mapping table is also posted on the </w:t>
      </w:r>
      <w:hyperlink r:id="rId17" w:history="1">
        <w:r w:rsidR="008C5BAC" w:rsidRPr="008C5BAC">
          <w:rPr>
            <w:rFonts w:eastAsia="MS Mincho"/>
            <w:color w:val="0000FF"/>
            <w:u w:val="single"/>
          </w:rPr>
          <w:t>ISCG website</w:t>
        </w:r>
      </w:hyperlink>
      <w:r w:rsidR="008C5BAC" w:rsidRPr="008C5BAC">
        <w:t xml:space="preserve"> and each Sector is invited to review, provide comments and make use of this mapping table with a view to streamlining resolutions.</w:t>
      </w:r>
      <w:r w:rsidR="00191B4E">
        <w:t xml:space="preserve"> </w:t>
      </w:r>
    </w:p>
    <w:p w14:paraId="19D4E270" w14:textId="7B7A9BB6" w:rsidR="00191B4E" w:rsidRPr="00490F02" w:rsidRDefault="00191B4E" w:rsidP="00D25B0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This information can </w:t>
      </w:r>
      <w:r w:rsidR="008C5BAC">
        <w:t xml:space="preserve">also </w:t>
      </w:r>
      <w:r>
        <w:t xml:space="preserve">be found, along with a list of possible areas of mutual interest, </w:t>
      </w:r>
      <w:r w:rsidRPr="001F67AC">
        <w:t xml:space="preserve">in </w:t>
      </w:r>
      <w:hyperlink r:id="rId18" w:history="1">
        <w:r w:rsidRPr="00490F02">
          <w:rPr>
            <w:rStyle w:val="Hyperlink"/>
          </w:rPr>
          <w:t>Information Document C19/INF/</w:t>
        </w:r>
        <w:r w:rsidR="00490F02" w:rsidRPr="00490F02">
          <w:rPr>
            <w:rStyle w:val="Hyperlink"/>
          </w:rPr>
          <w:t>6</w:t>
        </w:r>
      </w:hyperlink>
      <w:r w:rsidRPr="00490F02">
        <w:t>.</w:t>
      </w:r>
    </w:p>
    <w:p w14:paraId="661A91E3" w14:textId="047AA4C6" w:rsidR="00C71D7B" w:rsidRDefault="00DD0653" w:rsidP="00436B8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group will physically meet again </w:t>
      </w:r>
      <w:r w:rsidR="002F446E">
        <w:t xml:space="preserve">in conjunction with </w:t>
      </w:r>
      <w:r>
        <w:t>the next meeting of TDAG in 2020.</w:t>
      </w:r>
    </w:p>
    <w:p w14:paraId="38C84790" w14:textId="77777777" w:rsidR="00264425" w:rsidRPr="00164F67" w:rsidRDefault="00164F67" w:rsidP="002674B4">
      <w:pPr>
        <w:spacing w:before="480"/>
        <w:jc w:val="center"/>
      </w:pPr>
      <w:r>
        <w:t>_________________</w:t>
      </w:r>
    </w:p>
    <w:sectPr w:rsidR="00264425" w:rsidRPr="00164F67"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A4A6" w14:textId="77777777" w:rsidR="007B213F" w:rsidRDefault="007B213F">
      <w:r>
        <w:separator/>
      </w:r>
    </w:p>
  </w:endnote>
  <w:endnote w:type="continuationSeparator" w:id="0">
    <w:p w14:paraId="1291698C" w14:textId="77777777" w:rsidR="007B213F" w:rsidRDefault="007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CF522"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8416" w14:textId="77777777" w:rsidR="007B213F" w:rsidRDefault="007B213F">
      <w:r>
        <w:t>____________________</w:t>
      </w:r>
    </w:p>
  </w:footnote>
  <w:footnote w:type="continuationSeparator" w:id="0">
    <w:p w14:paraId="3EA04F5A" w14:textId="77777777" w:rsidR="007B213F" w:rsidRDefault="007B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982C" w14:textId="77777777" w:rsidR="00322D0D" w:rsidRDefault="006535F1" w:rsidP="00CE433C">
    <w:pPr>
      <w:pStyle w:val="Header"/>
    </w:pPr>
    <w:r>
      <w:fldChar w:fldCharType="begin"/>
    </w:r>
    <w:r>
      <w:instrText>PAGE</w:instrText>
    </w:r>
    <w:r>
      <w:fldChar w:fldCharType="separate"/>
    </w:r>
    <w:r w:rsidR="00A63B4F">
      <w:rPr>
        <w:noProof/>
      </w:rPr>
      <w:t>4</w:t>
    </w:r>
    <w:r>
      <w:rPr>
        <w:noProof/>
      </w:rPr>
      <w:fldChar w:fldCharType="end"/>
    </w:r>
  </w:p>
  <w:p w14:paraId="7D5AB31C" w14:textId="5C9188D5" w:rsidR="00322D0D" w:rsidRDefault="005304CD" w:rsidP="00F618DF">
    <w:pPr>
      <w:pStyle w:val="Header"/>
    </w:pPr>
    <w:r>
      <w:t>C1</w:t>
    </w:r>
    <w:r w:rsidR="00F618DF">
      <w:t>9</w:t>
    </w:r>
    <w:r w:rsidR="00164F67">
      <w:t>/38</w:t>
    </w:r>
    <w:r w:rsidR="00C02691">
      <w:t>(Rev.1)</w:t>
    </w:r>
    <w:r w:rsidR="00164F67">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20311"/>
    <w:rsid w:val="000210D4"/>
    <w:rsid w:val="00022692"/>
    <w:rsid w:val="00050C94"/>
    <w:rsid w:val="00063016"/>
    <w:rsid w:val="00066795"/>
    <w:rsid w:val="00076AF6"/>
    <w:rsid w:val="00085CF2"/>
    <w:rsid w:val="00092A6B"/>
    <w:rsid w:val="00093E97"/>
    <w:rsid w:val="00096A87"/>
    <w:rsid w:val="000B1705"/>
    <w:rsid w:val="000C30A6"/>
    <w:rsid w:val="000D75B2"/>
    <w:rsid w:val="000E37B2"/>
    <w:rsid w:val="000F4CAB"/>
    <w:rsid w:val="001121F5"/>
    <w:rsid w:val="0011595C"/>
    <w:rsid w:val="001400DC"/>
    <w:rsid w:val="00140CE1"/>
    <w:rsid w:val="001415B3"/>
    <w:rsid w:val="00143ACA"/>
    <w:rsid w:val="0014541C"/>
    <w:rsid w:val="00163D86"/>
    <w:rsid w:val="00164F67"/>
    <w:rsid w:val="0017539C"/>
    <w:rsid w:val="00175AC2"/>
    <w:rsid w:val="0017609F"/>
    <w:rsid w:val="00191B4E"/>
    <w:rsid w:val="001A097F"/>
    <w:rsid w:val="001B0760"/>
    <w:rsid w:val="001C5279"/>
    <w:rsid w:val="001C628E"/>
    <w:rsid w:val="001E0F7B"/>
    <w:rsid w:val="001E54C3"/>
    <w:rsid w:val="001F67AC"/>
    <w:rsid w:val="002119FD"/>
    <w:rsid w:val="002130E0"/>
    <w:rsid w:val="00213E37"/>
    <w:rsid w:val="00216828"/>
    <w:rsid w:val="0021694A"/>
    <w:rsid w:val="0025160A"/>
    <w:rsid w:val="002529B7"/>
    <w:rsid w:val="00262A45"/>
    <w:rsid w:val="00264425"/>
    <w:rsid w:val="00265875"/>
    <w:rsid w:val="002674B4"/>
    <w:rsid w:val="0027303B"/>
    <w:rsid w:val="00277F61"/>
    <w:rsid w:val="0028109B"/>
    <w:rsid w:val="00284929"/>
    <w:rsid w:val="002A12DE"/>
    <w:rsid w:val="002B01F7"/>
    <w:rsid w:val="002B1F58"/>
    <w:rsid w:val="002C1C7A"/>
    <w:rsid w:val="002C3543"/>
    <w:rsid w:val="002C6467"/>
    <w:rsid w:val="002F446E"/>
    <w:rsid w:val="0030160F"/>
    <w:rsid w:val="00303785"/>
    <w:rsid w:val="00315270"/>
    <w:rsid w:val="00322D0D"/>
    <w:rsid w:val="0034418D"/>
    <w:rsid w:val="00346F03"/>
    <w:rsid w:val="00357B3C"/>
    <w:rsid w:val="0037741A"/>
    <w:rsid w:val="003942D4"/>
    <w:rsid w:val="003944C2"/>
    <w:rsid w:val="003958A8"/>
    <w:rsid w:val="003A2525"/>
    <w:rsid w:val="003C2533"/>
    <w:rsid w:val="003C36A6"/>
    <w:rsid w:val="003C53F7"/>
    <w:rsid w:val="003D5271"/>
    <w:rsid w:val="003F5D90"/>
    <w:rsid w:val="0040435A"/>
    <w:rsid w:val="00405392"/>
    <w:rsid w:val="0041677A"/>
    <w:rsid w:val="00416A24"/>
    <w:rsid w:val="004210D1"/>
    <w:rsid w:val="00427BE8"/>
    <w:rsid w:val="00431D9E"/>
    <w:rsid w:val="00433CE8"/>
    <w:rsid w:val="00434A5C"/>
    <w:rsid w:val="00436B8B"/>
    <w:rsid w:val="00437B08"/>
    <w:rsid w:val="004479A0"/>
    <w:rsid w:val="004544D9"/>
    <w:rsid w:val="00487697"/>
    <w:rsid w:val="00490E72"/>
    <w:rsid w:val="00490F02"/>
    <w:rsid w:val="00491157"/>
    <w:rsid w:val="004921C8"/>
    <w:rsid w:val="00494BAF"/>
    <w:rsid w:val="004B25E6"/>
    <w:rsid w:val="004D1851"/>
    <w:rsid w:val="004D599D"/>
    <w:rsid w:val="004E2EA5"/>
    <w:rsid w:val="004E3AEB"/>
    <w:rsid w:val="004F01D3"/>
    <w:rsid w:val="004F1ACA"/>
    <w:rsid w:val="004F77CE"/>
    <w:rsid w:val="005021FA"/>
    <w:rsid w:val="0050223C"/>
    <w:rsid w:val="005243FF"/>
    <w:rsid w:val="005304CD"/>
    <w:rsid w:val="00564FBC"/>
    <w:rsid w:val="005802B0"/>
    <w:rsid w:val="00582442"/>
    <w:rsid w:val="005C394B"/>
    <w:rsid w:val="005E0852"/>
    <w:rsid w:val="005E7E5B"/>
    <w:rsid w:val="005F2D7B"/>
    <w:rsid w:val="005F7C4A"/>
    <w:rsid w:val="00600A2F"/>
    <w:rsid w:val="00606AF0"/>
    <w:rsid w:val="00613B78"/>
    <w:rsid w:val="00627FE2"/>
    <w:rsid w:val="00632FD5"/>
    <w:rsid w:val="0064737F"/>
    <w:rsid w:val="006535F1"/>
    <w:rsid w:val="0065557D"/>
    <w:rsid w:val="00662984"/>
    <w:rsid w:val="006716BB"/>
    <w:rsid w:val="00671F5D"/>
    <w:rsid w:val="0068061E"/>
    <w:rsid w:val="006B6680"/>
    <w:rsid w:val="006B6DCC"/>
    <w:rsid w:val="006D0E22"/>
    <w:rsid w:val="006F3490"/>
    <w:rsid w:val="00702DEF"/>
    <w:rsid w:val="00706861"/>
    <w:rsid w:val="00716AF3"/>
    <w:rsid w:val="007437A3"/>
    <w:rsid w:val="0075051B"/>
    <w:rsid w:val="007527E9"/>
    <w:rsid w:val="00754CE9"/>
    <w:rsid w:val="00760DD0"/>
    <w:rsid w:val="0077088D"/>
    <w:rsid w:val="00794D34"/>
    <w:rsid w:val="00796CE9"/>
    <w:rsid w:val="007A0889"/>
    <w:rsid w:val="007B213F"/>
    <w:rsid w:val="007E00AA"/>
    <w:rsid w:val="00811CFB"/>
    <w:rsid w:val="00813982"/>
    <w:rsid w:val="00813E5E"/>
    <w:rsid w:val="0083581B"/>
    <w:rsid w:val="0084692E"/>
    <w:rsid w:val="008525F4"/>
    <w:rsid w:val="00864AFF"/>
    <w:rsid w:val="00893551"/>
    <w:rsid w:val="00893A22"/>
    <w:rsid w:val="008973ED"/>
    <w:rsid w:val="008B4A6A"/>
    <w:rsid w:val="008B52A6"/>
    <w:rsid w:val="008C5BAC"/>
    <w:rsid w:val="008C7E27"/>
    <w:rsid w:val="008F3A07"/>
    <w:rsid w:val="009173EF"/>
    <w:rsid w:val="00932906"/>
    <w:rsid w:val="00961B0B"/>
    <w:rsid w:val="0096229D"/>
    <w:rsid w:val="009653A0"/>
    <w:rsid w:val="0096613F"/>
    <w:rsid w:val="00987A2B"/>
    <w:rsid w:val="009A5DDC"/>
    <w:rsid w:val="009B38C3"/>
    <w:rsid w:val="009C0025"/>
    <w:rsid w:val="009C30C6"/>
    <w:rsid w:val="009C47D1"/>
    <w:rsid w:val="009C56A7"/>
    <w:rsid w:val="009E17BD"/>
    <w:rsid w:val="009F59D0"/>
    <w:rsid w:val="00A04481"/>
    <w:rsid w:val="00A04CEC"/>
    <w:rsid w:val="00A12477"/>
    <w:rsid w:val="00A15422"/>
    <w:rsid w:val="00A272E6"/>
    <w:rsid w:val="00A27F92"/>
    <w:rsid w:val="00A304E2"/>
    <w:rsid w:val="00A32257"/>
    <w:rsid w:val="00A36D20"/>
    <w:rsid w:val="00A42D6C"/>
    <w:rsid w:val="00A476D7"/>
    <w:rsid w:val="00A505AB"/>
    <w:rsid w:val="00A55622"/>
    <w:rsid w:val="00A55E14"/>
    <w:rsid w:val="00A63B4F"/>
    <w:rsid w:val="00A66987"/>
    <w:rsid w:val="00A756A3"/>
    <w:rsid w:val="00A772AC"/>
    <w:rsid w:val="00A80845"/>
    <w:rsid w:val="00A83502"/>
    <w:rsid w:val="00A915EB"/>
    <w:rsid w:val="00A961BC"/>
    <w:rsid w:val="00AC7E2D"/>
    <w:rsid w:val="00AD15B3"/>
    <w:rsid w:val="00AD332C"/>
    <w:rsid w:val="00AF5698"/>
    <w:rsid w:val="00AF6E49"/>
    <w:rsid w:val="00B04A67"/>
    <w:rsid w:val="00B0583C"/>
    <w:rsid w:val="00B069D7"/>
    <w:rsid w:val="00B14579"/>
    <w:rsid w:val="00B22F7C"/>
    <w:rsid w:val="00B26731"/>
    <w:rsid w:val="00B40A81"/>
    <w:rsid w:val="00B41BC5"/>
    <w:rsid w:val="00B42C15"/>
    <w:rsid w:val="00B43FDC"/>
    <w:rsid w:val="00B44910"/>
    <w:rsid w:val="00B46B6C"/>
    <w:rsid w:val="00B72267"/>
    <w:rsid w:val="00B76607"/>
    <w:rsid w:val="00B76EB6"/>
    <w:rsid w:val="00B7737B"/>
    <w:rsid w:val="00B824C8"/>
    <w:rsid w:val="00B82C88"/>
    <w:rsid w:val="00B85229"/>
    <w:rsid w:val="00BC1614"/>
    <w:rsid w:val="00BC251A"/>
    <w:rsid w:val="00BC2E97"/>
    <w:rsid w:val="00BD032B"/>
    <w:rsid w:val="00BD49F5"/>
    <w:rsid w:val="00BD4ADD"/>
    <w:rsid w:val="00BD7772"/>
    <w:rsid w:val="00BE1A7A"/>
    <w:rsid w:val="00BE2640"/>
    <w:rsid w:val="00BF494A"/>
    <w:rsid w:val="00C01189"/>
    <w:rsid w:val="00C02691"/>
    <w:rsid w:val="00C05E70"/>
    <w:rsid w:val="00C1586D"/>
    <w:rsid w:val="00C24419"/>
    <w:rsid w:val="00C25B32"/>
    <w:rsid w:val="00C374DE"/>
    <w:rsid w:val="00C47AD4"/>
    <w:rsid w:val="00C503FA"/>
    <w:rsid w:val="00C52D81"/>
    <w:rsid w:val="00C55198"/>
    <w:rsid w:val="00C61B1A"/>
    <w:rsid w:val="00C71369"/>
    <w:rsid w:val="00C71D7B"/>
    <w:rsid w:val="00C873E8"/>
    <w:rsid w:val="00C96FF0"/>
    <w:rsid w:val="00CA6393"/>
    <w:rsid w:val="00CB07B2"/>
    <w:rsid w:val="00CB18FF"/>
    <w:rsid w:val="00CD0C08"/>
    <w:rsid w:val="00CD6F9B"/>
    <w:rsid w:val="00CE03FB"/>
    <w:rsid w:val="00CE433C"/>
    <w:rsid w:val="00CF33F3"/>
    <w:rsid w:val="00D06183"/>
    <w:rsid w:val="00D22C42"/>
    <w:rsid w:val="00D25B05"/>
    <w:rsid w:val="00D438A3"/>
    <w:rsid w:val="00D613C6"/>
    <w:rsid w:val="00D614CD"/>
    <w:rsid w:val="00D65041"/>
    <w:rsid w:val="00D8471E"/>
    <w:rsid w:val="00D93511"/>
    <w:rsid w:val="00DB384B"/>
    <w:rsid w:val="00DB5DB1"/>
    <w:rsid w:val="00DD0653"/>
    <w:rsid w:val="00DD3BA2"/>
    <w:rsid w:val="00DD3D40"/>
    <w:rsid w:val="00E017D9"/>
    <w:rsid w:val="00E10E80"/>
    <w:rsid w:val="00E124F0"/>
    <w:rsid w:val="00E23686"/>
    <w:rsid w:val="00E50DBF"/>
    <w:rsid w:val="00E5556F"/>
    <w:rsid w:val="00E60F04"/>
    <w:rsid w:val="00E64EFF"/>
    <w:rsid w:val="00E674E8"/>
    <w:rsid w:val="00E77786"/>
    <w:rsid w:val="00E854E4"/>
    <w:rsid w:val="00EA34A9"/>
    <w:rsid w:val="00EB0D6F"/>
    <w:rsid w:val="00EB2232"/>
    <w:rsid w:val="00EB2A8A"/>
    <w:rsid w:val="00EB3C62"/>
    <w:rsid w:val="00EC3B7D"/>
    <w:rsid w:val="00EC5337"/>
    <w:rsid w:val="00ED08F3"/>
    <w:rsid w:val="00ED5046"/>
    <w:rsid w:val="00EE42AD"/>
    <w:rsid w:val="00F2150A"/>
    <w:rsid w:val="00F231D8"/>
    <w:rsid w:val="00F34579"/>
    <w:rsid w:val="00F3756A"/>
    <w:rsid w:val="00F46C5F"/>
    <w:rsid w:val="00F605C4"/>
    <w:rsid w:val="00F618DF"/>
    <w:rsid w:val="00F62FE8"/>
    <w:rsid w:val="00F802DE"/>
    <w:rsid w:val="00F8393B"/>
    <w:rsid w:val="00F94A63"/>
    <w:rsid w:val="00FA1C28"/>
    <w:rsid w:val="00FB7596"/>
    <w:rsid w:val="00FC38AD"/>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3A3AB"/>
  <w15:docId w15:val="{BA345613-9B87-4739-BD15-3174C20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4F6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613B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B78"/>
    <w:rPr>
      <w:rFonts w:ascii="Segoe UI" w:hAnsi="Segoe UI" w:cs="Segoe UI"/>
      <w:sz w:val="18"/>
      <w:szCs w:val="18"/>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table" w:styleId="PlainTable2">
    <w:name w:val="Plain Table 2"/>
    <w:basedOn w:val="TableNormal"/>
    <w:uiPriority w:val="42"/>
    <w:rsid w:val="004053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semiHidden/>
    <w:unhideWhenUsed/>
    <w:rsid w:val="00D93511"/>
    <w:pPr>
      <w:spacing w:before="0"/>
    </w:pPr>
    <w:rPr>
      <w:sz w:val="20"/>
    </w:rPr>
  </w:style>
  <w:style w:type="character" w:customStyle="1" w:styleId="EndnoteTextChar">
    <w:name w:val="Endnote Text Char"/>
    <w:basedOn w:val="DefaultParagraphFont"/>
    <w:link w:val="EndnoteText"/>
    <w:semiHidden/>
    <w:rsid w:val="00D93511"/>
    <w:rPr>
      <w:rFonts w:ascii="Calibri" w:hAnsi="Calibri"/>
      <w:lang w:val="en-GB" w:eastAsia="en-US"/>
    </w:rPr>
  </w:style>
  <w:style w:type="character" w:styleId="EndnoteReference">
    <w:name w:val="endnote reference"/>
    <w:basedOn w:val="DefaultParagraphFont"/>
    <w:semiHidden/>
    <w:unhideWhenUsed/>
    <w:rsid w:val="00D93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INF-0006/en" TargetMode="External"/><Relationship Id="rId18" Type="http://schemas.openxmlformats.org/officeDocument/2006/relationships/hyperlink" Target="https://www.itu.int/md/S19-CL-INF-0006/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191-E.pdf" TargetMode="External"/><Relationship Id="rId17" Type="http://schemas.openxmlformats.org/officeDocument/2006/relationships/hyperlink" Target="https://www.itu.int/en/ITU-D/Conferences/TDAG/Pages/inter-sectoral-team-on-issues-of-mutual-interest.aspx" TargetMode="External"/><Relationship Id="rId2" Type="http://schemas.openxmlformats.org/officeDocument/2006/relationships/customXml" Target="../customXml/item2.xml"/><Relationship Id="rId16" Type="http://schemas.openxmlformats.org/officeDocument/2006/relationships/hyperlink" Target="https://www.itu.int/en/ITU-D/Conferences/TDAG/Pages/inter-sectoral-team-on-issues-of-mutual-interes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general-secretariat/Pages/intersectoral-coordination.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INF-001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56A7-E56D-4655-970A-FF6627149B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39CAAF69-1AF6-4DAC-A4AC-99A64FEE1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BFD0D-6048-4765-8C1F-05F52CF65AB2}">
  <ds:schemaRefs>
    <ds:schemaRef ds:uri="http://schemas.microsoft.com/sharepoint/v3/contenttype/forms"/>
  </ds:schemaRefs>
</ds:datastoreItem>
</file>

<file path=customXml/itemProps4.xml><?xml version="1.0" encoding="utf-8"?>
<ds:datastoreItem xmlns:ds="http://schemas.openxmlformats.org/officeDocument/2006/customXml" ds:itemID="{4E3848A2-63AF-4D7F-A997-B3E79523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1458</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Report on the implementation of Resolution 191</vt:lpstr>
    </vt:vector>
  </TitlesOfParts>
  <Manager/>
  <Company>International Telecommunication Union</Company>
  <LinksUpToDate>false</LinksUpToDate>
  <CharactersWithSpaces>10050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dc:title>
  <dc:subject>Council document</dc:subject>
  <dc:creator>Torigoe, Yushi</dc:creator>
  <cp:keywords>C2019, C19</cp:keywords>
  <dc:description/>
  <cp:lastModifiedBy>Brouard, Ricarda</cp:lastModifiedBy>
  <cp:revision>2</cp:revision>
  <dcterms:created xsi:type="dcterms:W3CDTF">2019-04-18T12:44:00Z</dcterms:created>
  <dcterms:modified xsi:type="dcterms:W3CDTF">2019-04-18T12:44:00Z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0x010100C4267C67A46430418F62106170425C16</vt:lpwstr>
  </property>
</Properties>
</file>