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2A2188" w:rsidRPr="00813E5E" w:rsidTr="00464B6C">
        <w:trPr>
          <w:cantSplit/>
        </w:trPr>
        <w:tc>
          <w:tcPr>
            <w:tcW w:w="6911" w:type="dxa"/>
          </w:tcPr>
          <w:p w:rsidR="002A2188" w:rsidRPr="00813E5E" w:rsidRDefault="002A2188" w:rsidP="00FA4575">
            <w:pPr>
              <w:spacing w:before="360" w:after="48" w:line="240" w:lineRule="atLeast"/>
              <w:rPr>
                <w:position w:val="6"/>
              </w:rPr>
            </w:pPr>
            <w:bookmarkStart w:id="0" w:name="dc06"/>
            <w:bookmarkEnd w:id="0"/>
            <w:r w:rsidRPr="00E85629">
              <w:rPr>
                <w:b/>
                <w:bCs/>
                <w:position w:val="6"/>
                <w:sz w:val="30"/>
                <w:szCs w:val="30"/>
                <w:lang w:val="fr-CH"/>
              </w:rPr>
              <w:t>Council 201</w:t>
            </w:r>
            <w:r w:rsidR="00FA4575">
              <w:rPr>
                <w:b/>
                <w:bCs/>
                <w:position w:val="6"/>
                <w:sz w:val="30"/>
                <w:szCs w:val="30"/>
                <w:lang w:val="fr-CH"/>
              </w:rPr>
              <w:t>9</w:t>
            </w:r>
            <w:r w:rsidRPr="00E85629">
              <w:rPr>
                <w:rFonts w:cs="Times"/>
                <w:b/>
                <w:position w:val="6"/>
                <w:sz w:val="26"/>
                <w:szCs w:val="26"/>
                <w:lang w:val="en-US"/>
              </w:rPr>
              <w:br/>
            </w:r>
            <w:r w:rsidRPr="00E85629">
              <w:rPr>
                <w:b/>
                <w:bCs/>
                <w:position w:val="6"/>
                <w:szCs w:val="24"/>
                <w:lang w:val="fr-CH"/>
              </w:rPr>
              <w:t xml:space="preserve">Geneva, </w:t>
            </w:r>
            <w:r w:rsidR="00FA4575">
              <w:rPr>
                <w:b/>
                <w:bCs/>
                <w:position w:val="6"/>
                <w:szCs w:val="24"/>
                <w:lang w:val="fr-CH"/>
              </w:rPr>
              <w:t xml:space="preserve">10-20 </w:t>
            </w:r>
            <w:proofErr w:type="spellStart"/>
            <w:r w:rsidR="00FA4575">
              <w:rPr>
                <w:b/>
                <w:bCs/>
                <w:position w:val="6"/>
                <w:szCs w:val="24"/>
                <w:lang w:val="fr-CH"/>
              </w:rPr>
              <w:t>June</w:t>
            </w:r>
            <w:proofErr w:type="spellEnd"/>
            <w:r w:rsidR="00FA4575">
              <w:rPr>
                <w:b/>
                <w:bCs/>
                <w:position w:val="6"/>
                <w:szCs w:val="24"/>
                <w:lang w:val="fr-CH"/>
              </w:rPr>
              <w:t xml:space="preserve"> 2019</w:t>
            </w:r>
          </w:p>
        </w:tc>
        <w:tc>
          <w:tcPr>
            <w:tcW w:w="3120" w:type="dxa"/>
          </w:tcPr>
          <w:p w:rsidR="002A2188" w:rsidRPr="00813E5E" w:rsidRDefault="002A2188" w:rsidP="00464B6C">
            <w:pPr>
              <w:spacing w:before="0" w:line="240" w:lineRule="atLeast"/>
              <w:jc w:val="right"/>
            </w:pPr>
            <w:bookmarkStart w:id="1" w:name="ditulogo"/>
            <w:bookmarkEnd w:id="1"/>
            <w:r w:rsidRPr="00F21593">
              <w:rPr>
                <w:rFonts w:ascii="Verdana" w:hAnsi="Verdana"/>
                <w:noProof/>
                <w:color w:val="FFFFFF"/>
                <w:sz w:val="26"/>
                <w:szCs w:val="26"/>
                <w:lang w:val="en-US"/>
              </w:rPr>
              <w:drawing>
                <wp:inline distT="0" distB="0" distL="0" distR="0" wp14:anchorId="18F94E10" wp14:editId="2F347762">
                  <wp:extent cx="1765300" cy="74295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65300" cy="742950"/>
                          </a:xfrm>
                          <a:prstGeom prst="rect">
                            <a:avLst/>
                          </a:prstGeom>
                          <a:noFill/>
                          <a:ln>
                            <a:noFill/>
                          </a:ln>
                        </pic:spPr>
                      </pic:pic>
                    </a:graphicData>
                  </a:graphic>
                </wp:inline>
              </w:drawing>
            </w:r>
          </w:p>
        </w:tc>
      </w:tr>
      <w:tr w:rsidR="002A2188" w:rsidRPr="00813E5E" w:rsidTr="00464B6C">
        <w:trPr>
          <w:cantSplit/>
        </w:trPr>
        <w:tc>
          <w:tcPr>
            <w:tcW w:w="6911" w:type="dxa"/>
            <w:tcBorders>
              <w:bottom w:val="single" w:sz="12" w:space="0" w:color="auto"/>
            </w:tcBorders>
          </w:tcPr>
          <w:p w:rsidR="002A2188" w:rsidRPr="00813E5E" w:rsidRDefault="002A2188" w:rsidP="00464B6C">
            <w:pPr>
              <w:spacing w:before="0" w:after="48" w:line="240" w:lineRule="atLeast"/>
              <w:rPr>
                <w:b/>
                <w:smallCaps/>
                <w:szCs w:val="24"/>
              </w:rPr>
            </w:pPr>
          </w:p>
        </w:tc>
        <w:tc>
          <w:tcPr>
            <w:tcW w:w="3120" w:type="dxa"/>
            <w:tcBorders>
              <w:bottom w:val="single" w:sz="12" w:space="0" w:color="auto"/>
            </w:tcBorders>
          </w:tcPr>
          <w:p w:rsidR="002A2188" w:rsidRPr="00813E5E" w:rsidRDefault="002A2188" w:rsidP="00464B6C">
            <w:pPr>
              <w:spacing w:before="0" w:line="240" w:lineRule="atLeast"/>
              <w:rPr>
                <w:szCs w:val="24"/>
              </w:rPr>
            </w:pPr>
          </w:p>
        </w:tc>
      </w:tr>
      <w:tr w:rsidR="002A2188" w:rsidRPr="00813E5E" w:rsidTr="00464B6C">
        <w:trPr>
          <w:cantSplit/>
        </w:trPr>
        <w:tc>
          <w:tcPr>
            <w:tcW w:w="6911" w:type="dxa"/>
            <w:tcBorders>
              <w:top w:val="single" w:sz="12" w:space="0" w:color="auto"/>
            </w:tcBorders>
          </w:tcPr>
          <w:p w:rsidR="002A2188" w:rsidRPr="00813E5E" w:rsidRDefault="002A2188" w:rsidP="00464B6C">
            <w:pPr>
              <w:spacing w:before="0" w:after="48" w:line="240" w:lineRule="atLeast"/>
              <w:rPr>
                <w:b/>
                <w:smallCaps/>
                <w:szCs w:val="24"/>
              </w:rPr>
            </w:pPr>
          </w:p>
        </w:tc>
        <w:tc>
          <w:tcPr>
            <w:tcW w:w="3120" w:type="dxa"/>
            <w:tcBorders>
              <w:top w:val="single" w:sz="12" w:space="0" w:color="auto"/>
            </w:tcBorders>
          </w:tcPr>
          <w:p w:rsidR="002A2188" w:rsidRPr="00813E5E" w:rsidRDefault="002A2188" w:rsidP="00464B6C">
            <w:pPr>
              <w:spacing w:before="0" w:line="240" w:lineRule="atLeast"/>
              <w:rPr>
                <w:szCs w:val="24"/>
              </w:rPr>
            </w:pPr>
          </w:p>
        </w:tc>
      </w:tr>
      <w:tr w:rsidR="002A2188" w:rsidRPr="00813E5E" w:rsidTr="00464B6C">
        <w:trPr>
          <w:cantSplit/>
          <w:trHeight w:val="23"/>
        </w:trPr>
        <w:tc>
          <w:tcPr>
            <w:tcW w:w="6911" w:type="dxa"/>
            <w:vMerge w:val="restart"/>
          </w:tcPr>
          <w:p w:rsidR="002A2188" w:rsidRPr="00E85629" w:rsidRDefault="00D04E39" w:rsidP="00550CE1">
            <w:pPr>
              <w:tabs>
                <w:tab w:val="left" w:pos="851"/>
              </w:tabs>
              <w:spacing w:before="0" w:line="240" w:lineRule="atLeast"/>
              <w:rPr>
                <w:b/>
              </w:rPr>
            </w:pPr>
            <w:bookmarkStart w:id="2" w:name="dmeeting" w:colFirst="0" w:colLast="0"/>
            <w:bookmarkStart w:id="3" w:name="dnum" w:colFirst="1" w:colLast="1"/>
            <w:r>
              <w:rPr>
                <w:b/>
              </w:rPr>
              <w:t xml:space="preserve">Agenda item: </w:t>
            </w:r>
            <w:r w:rsidR="00550CE1">
              <w:rPr>
                <w:b/>
              </w:rPr>
              <w:t>ADM 9</w:t>
            </w:r>
          </w:p>
        </w:tc>
        <w:tc>
          <w:tcPr>
            <w:tcW w:w="3120" w:type="dxa"/>
          </w:tcPr>
          <w:p w:rsidR="002A2188" w:rsidRPr="00E85629" w:rsidRDefault="002A2188" w:rsidP="00623AE3">
            <w:pPr>
              <w:tabs>
                <w:tab w:val="left" w:pos="851"/>
              </w:tabs>
              <w:spacing w:before="0" w:line="240" w:lineRule="atLeast"/>
              <w:rPr>
                <w:b/>
              </w:rPr>
            </w:pPr>
            <w:r>
              <w:rPr>
                <w:b/>
              </w:rPr>
              <w:t>Document C1</w:t>
            </w:r>
            <w:r w:rsidR="00FA4575">
              <w:rPr>
                <w:b/>
              </w:rPr>
              <w:t>9</w:t>
            </w:r>
            <w:r w:rsidR="00550CE1">
              <w:rPr>
                <w:b/>
              </w:rPr>
              <w:t>/39</w:t>
            </w:r>
            <w:r>
              <w:rPr>
                <w:b/>
              </w:rPr>
              <w:t>-E</w:t>
            </w:r>
          </w:p>
        </w:tc>
      </w:tr>
      <w:tr w:rsidR="002A2188" w:rsidRPr="00813E5E" w:rsidTr="00464B6C">
        <w:trPr>
          <w:cantSplit/>
          <w:trHeight w:val="23"/>
        </w:trPr>
        <w:tc>
          <w:tcPr>
            <w:tcW w:w="6911" w:type="dxa"/>
            <w:vMerge/>
          </w:tcPr>
          <w:p w:rsidR="002A2188" w:rsidRPr="00813E5E" w:rsidRDefault="002A2188" w:rsidP="00464B6C">
            <w:pPr>
              <w:tabs>
                <w:tab w:val="left" w:pos="851"/>
              </w:tabs>
              <w:spacing w:line="240" w:lineRule="atLeast"/>
              <w:rPr>
                <w:b/>
              </w:rPr>
            </w:pPr>
            <w:bookmarkStart w:id="4" w:name="ddate" w:colFirst="1" w:colLast="1"/>
            <w:bookmarkEnd w:id="2"/>
            <w:bookmarkEnd w:id="3"/>
          </w:p>
        </w:tc>
        <w:tc>
          <w:tcPr>
            <w:tcW w:w="3120" w:type="dxa"/>
          </w:tcPr>
          <w:p w:rsidR="002A2188" w:rsidRPr="00E85629" w:rsidRDefault="00550CE1" w:rsidP="00623AE3">
            <w:pPr>
              <w:tabs>
                <w:tab w:val="left" w:pos="993"/>
              </w:tabs>
              <w:spacing w:before="0"/>
              <w:rPr>
                <w:b/>
              </w:rPr>
            </w:pPr>
            <w:r>
              <w:rPr>
                <w:b/>
              </w:rPr>
              <w:t>6 May</w:t>
            </w:r>
            <w:r w:rsidR="002A2188">
              <w:rPr>
                <w:b/>
              </w:rPr>
              <w:t xml:space="preserve"> 201</w:t>
            </w:r>
            <w:r w:rsidR="00FA4575">
              <w:rPr>
                <w:b/>
              </w:rPr>
              <w:t>9</w:t>
            </w:r>
          </w:p>
        </w:tc>
      </w:tr>
      <w:tr w:rsidR="002A2188" w:rsidRPr="00813E5E" w:rsidTr="00464B6C">
        <w:trPr>
          <w:cantSplit/>
          <w:trHeight w:val="23"/>
        </w:trPr>
        <w:tc>
          <w:tcPr>
            <w:tcW w:w="6911" w:type="dxa"/>
            <w:vMerge/>
          </w:tcPr>
          <w:p w:rsidR="002A2188" w:rsidRPr="00813E5E" w:rsidRDefault="002A2188" w:rsidP="00464B6C">
            <w:pPr>
              <w:tabs>
                <w:tab w:val="left" w:pos="851"/>
              </w:tabs>
              <w:spacing w:line="240" w:lineRule="atLeast"/>
              <w:rPr>
                <w:b/>
              </w:rPr>
            </w:pPr>
            <w:bookmarkStart w:id="5" w:name="dorlang" w:colFirst="1" w:colLast="1"/>
            <w:bookmarkEnd w:id="4"/>
          </w:p>
        </w:tc>
        <w:tc>
          <w:tcPr>
            <w:tcW w:w="3120" w:type="dxa"/>
          </w:tcPr>
          <w:p w:rsidR="002A2188" w:rsidRPr="00E85629" w:rsidRDefault="002A2188" w:rsidP="00464B6C">
            <w:pPr>
              <w:tabs>
                <w:tab w:val="left" w:pos="993"/>
              </w:tabs>
              <w:spacing w:before="0"/>
              <w:rPr>
                <w:b/>
              </w:rPr>
            </w:pPr>
            <w:r>
              <w:rPr>
                <w:b/>
              </w:rPr>
              <w:t>Original: English</w:t>
            </w:r>
          </w:p>
        </w:tc>
      </w:tr>
      <w:tr w:rsidR="002A2188" w:rsidRPr="00813E5E" w:rsidTr="00464B6C">
        <w:trPr>
          <w:cantSplit/>
        </w:trPr>
        <w:tc>
          <w:tcPr>
            <w:tcW w:w="10031" w:type="dxa"/>
            <w:gridSpan w:val="2"/>
          </w:tcPr>
          <w:p w:rsidR="002A2188" w:rsidRPr="00813E5E" w:rsidRDefault="00D04E39" w:rsidP="00464B6C">
            <w:pPr>
              <w:pStyle w:val="Source"/>
            </w:pPr>
            <w:bookmarkStart w:id="6" w:name="dsource" w:colFirst="0" w:colLast="0"/>
            <w:bookmarkEnd w:id="5"/>
            <w:r w:rsidRPr="00D04E39">
              <w:t>Report by the Secretary-General</w:t>
            </w:r>
          </w:p>
        </w:tc>
      </w:tr>
      <w:tr w:rsidR="002A2188" w:rsidRPr="00813E5E" w:rsidTr="00464B6C">
        <w:trPr>
          <w:cantSplit/>
        </w:trPr>
        <w:tc>
          <w:tcPr>
            <w:tcW w:w="10031" w:type="dxa"/>
            <w:gridSpan w:val="2"/>
          </w:tcPr>
          <w:p w:rsidR="002A2188" w:rsidRPr="00813E5E" w:rsidRDefault="00550CE1" w:rsidP="0070281B">
            <w:pPr>
              <w:pStyle w:val="Title1"/>
            </w:pPr>
            <w:bookmarkStart w:id="7" w:name="dtitle1" w:colFirst="0" w:colLast="0"/>
            <w:bookmarkEnd w:id="6"/>
            <w:r w:rsidRPr="00550CE1">
              <w:t>REQUESTS FOR EXEMPTION FROM ANY FINANCIAL CONTRIBUTION TO DEFRAYING EXPENSES RELATING TO PARTICIPATION IN THE WORK OF ITU</w:t>
            </w:r>
          </w:p>
        </w:tc>
      </w:tr>
      <w:bookmarkEnd w:id="7"/>
    </w:tbl>
    <w:p w:rsidR="002A2188" w:rsidRPr="00813E5E" w:rsidRDefault="002A2188" w:rsidP="002A2188"/>
    <w:tbl>
      <w:tblPr>
        <w:tblW w:w="824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40"/>
      </w:tblGrid>
      <w:tr w:rsidR="002A2188" w:rsidRPr="00813E5E" w:rsidTr="0070687C">
        <w:trPr>
          <w:trHeight w:val="3372"/>
        </w:trPr>
        <w:tc>
          <w:tcPr>
            <w:tcW w:w="8240" w:type="dxa"/>
            <w:tcBorders>
              <w:top w:val="single" w:sz="12" w:space="0" w:color="auto"/>
              <w:left w:val="single" w:sz="12" w:space="0" w:color="auto"/>
              <w:bottom w:val="single" w:sz="12" w:space="0" w:color="auto"/>
              <w:right w:val="single" w:sz="12" w:space="0" w:color="auto"/>
            </w:tcBorders>
          </w:tcPr>
          <w:p w:rsidR="002A2188" w:rsidRPr="00813E5E" w:rsidRDefault="002A2188" w:rsidP="0070281B">
            <w:pPr>
              <w:pStyle w:val="Headingb"/>
              <w:jc w:val="both"/>
            </w:pPr>
            <w:r w:rsidRPr="00813E5E">
              <w:t>Summary</w:t>
            </w:r>
          </w:p>
          <w:p w:rsidR="002A2188" w:rsidRPr="00813E5E" w:rsidRDefault="00550CE1" w:rsidP="0070281B">
            <w:pPr>
              <w:spacing w:after="120"/>
              <w:jc w:val="both"/>
            </w:pPr>
            <w:r w:rsidRPr="00550CE1">
              <w:t xml:space="preserve">Requests for exemption from making financial contribution (i.e. Sector Membership fees) were submitted by </w:t>
            </w:r>
            <w:r w:rsidR="0070281B">
              <w:t>seven</w:t>
            </w:r>
            <w:r w:rsidRPr="00550CE1">
              <w:t xml:space="preserve"> organizations. Under the guidelines, the Council shall take account of the views expressed by the Secretary-General as to the mutual advantages of their participation in the activities of the Union, and an assessment as to whether or not each entity meets the criteria established by </w:t>
            </w:r>
            <w:r w:rsidR="0070687C">
              <w:t xml:space="preserve">the </w:t>
            </w:r>
            <w:r w:rsidRPr="00550CE1">
              <w:t>Council. The Secretary-General r</w:t>
            </w:r>
            <w:r w:rsidR="0070281B">
              <w:t>ecommends that the Council approve four</w:t>
            </w:r>
            <w:r w:rsidRPr="00550CE1">
              <w:t xml:space="preserve"> out of the</w:t>
            </w:r>
            <w:r w:rsidR="0070281B">
              <w:t xml:space="preserve"> seven</w:t>
            </w:r>
            <w:r w:rsidR="0070687C">
              <w:t> </w:t>
            </w:r>
            <w:r>
              <w:t>applications for exemption.</w:t>
            </w:r>
          </w:p>
          <w:p w:rsidR="002A2188" w:rsidRPr="00813E5E" w:rsidRDefault="002A2188" w:rsidP="0070281B">
            <w:pPr>
              <w:pStyle w:val="Headingb"/>
              <w:jc w:val="both"/>
            </w:pPr>
            <w:r w:rsidRPr="00813E5E">
              <w:t>Action required</w:t>
            </w:r>
          </w:p>
          <w:p w:rsidR="002A2188" w:rsidRPr="00813E5E" w:rsidRDefault="00550CE1" w:rsidP="0070281B">
            <w:pPr>
              <w:spacing w:after="120"/>
              <w:jc w:val="both"/>
            </w:pPr>
            <w:r w:rsidRPr="0070687C">
              <w:rPr>
                <w:spacing w:val="-2"/>
              </w:rPr>
              <w:t xml:space="preserve">The Council is invited </w:t>
            </w:r>
            <w:r w:rsidRPr="0070687C">
              <w:rPr>
                <w:b/>
                <w:bCs/>
                <w:spacing w:val="-2"/>
              </w:rPr>
              <w:t>to consider</w:t>
            </w:r>
            <w:r w:rsidRPr="0070687C">
              <w:rPr>
                <w:spacing w:val="-2"/>
              </w:rPr>
              <w:t xml:space="preserve"> these requests for admission as Sector Members,</w:t>
            </w:r>
            <w:r w:rsidRPr="00550CE1">
              <w:t xml:space="preserve"> exempted from financial contribution, and </w:t>
            </w:r>
            <w:r w:rsidRPr="00550CE1">
              <w:rPr>
                <w:b/>
                <w:bCs/>
              </w:rPr>
              <w:t>to approve</w:t>
            </w:r>
            <w:r w:rsidRPr="00550CE1">
              <w:t xml:space="preserve"> the recommendations from the Secretary-General.</w:t>
            </w:r>
          </w:p>
          <w:p w:rsidR="002A2188" w:rsidRPr="00813E5E" w:rsidRDefault="002A2188" w:rsidP="00D04E39">
            <w:pPr>
              <w:pStyle w:val="Table"/>
              <w:keepNext w:val="0"/>
              <w:spacing w:before="120"/>
              <w:rPr>
                <w:rFonts w:ascii="Calibri" w:hAnsi="Calibri"/>
                <w:caps w:val="0"/>
                <w:sz w:val="22"/>
              </w:rPr>
            </w:pPr>
            <w:r w:rsidRPr="00813E5E">
              <w:rPr>
                <w:rFonts w:ascii="Calibri" w:hAnsi="Calibri"/>
                <w:caps w:val="0"/>
                <w:sz w:val="22"/>
              </w:rPr>
              <w:t>____________</w:t>
            </w:r>
          </w:p>
          <w:p w:rsidR="002A2188" w:rsidRPr="00813E5E" w:rsidRDefault="002A2188" w:rsidP="00464B6C">
            <w:pPr>
              <w:pStyle w:val="Headingb"/>
            </w:pPr>
            <w:r w:rsidRPr="00813E5E">
              <w:t>References</w:t>
            </w:r>
          </w:p>
          <w:p w:rsidR="002A2188" w:rsidRPr="00813E5E" w:rsidRDefault="003178DE" w:rsidP="00B36C09">
            <w:pPr>
              <w:spacing w:after="120"/>
              <w:rPr>
                <w:i/>
                <w:iCs/>
              </w:rPr>
            </w:pPr>
            <w:hyperlink r:id="rId9" w:history="1">
              <w:r w:rsidR="0070687C" w:rsidRPr="00B36C09">
                <w:rPr>
                  <w:rStyle w:val="Hyperlink"/>
                  <w:i/>
                  <w:iCs/>
                </w:rPr>
                <w:t>CV231</w:t>
              </w:r>
            </w:hyperlink>
            <w:r w:rsidR="0070687C">
              <w:rPr>
                <w:i/>
                <w:iCs/>
              </w:rPr>
              <w:t xml:space="preserve">, </w:t>
            </w:r>
            <w:hyperlink r:id="rId10" w:history="1">
              <w:r w:rsidR="0070687C" w:rsidRPr="00B36C09">
                <w:rPr>
                  <w:rStyle w:val="Hyperlink"/>
                  <w:i/>
                  <w:iCs/>
                </w:rPr>
                <w:t>PP Resolution</w:t>
              </w:r>
              <w:r w:rsidR="00B36C09" w:rsidRPr="00B36C09">
                <w:rPr>
                  <w:rStyle w:val="Hyperlink"/>
                  <w:i/>
                  <w:iCs/>
                </w:rPr>
                <w:t xml:space="preserve"> </w:t>
              </w:r>
              <w:r w:rsidR="0070687C" w:rsidRPr="00B36C09">
                <w:rPr>
                  <w:rStyle w:val="Hyperlink"/>
                  <w:i/>
                  <w:iCs/>
                </w:rPr>
                <w:t>187 (Busan, 2014)</w:t>
              </w:r>
            </w:hyperlink>
            <w:r w:rsidR="0070687C">
              <w:rPr>
                <w:i/>
                <w:iCs/>
              </w:rPr>
              <w:t>; Council d</w:t>
            </w:r>
            <w:r w:rsidR="00550CE1" w:rsidRPr="00550CE1">
              <w:rPr>
                <w:i/>
                <w:iCs/>
              </w:rPr>
              <w:t xml:space="preserve">ocuments </w:t>
            </w:r>
            <w:hyperlink r:id="rId11" w:history="1">
              <w:r w:rsidR="00550CE1" w:rsidRPr="0070687C">
                <w:rPr>
                  <w:rStyle w:val="Hyperlink"/>
                  <w:i/>
                  <w:iCs/>
                </w:rPr>
                <w:t>C2000/28 (Rev.1)</w:t>
              </w:r>
            </w:hyperlink>
            <w:r w:rsidR="00550CE1" w:rsidRPr="00550CE1">
              <w:rPr>
                <w:i/>
                <w:iCs/>
              </w:rPr>
              <w:t xml:space="preserve">, </w:t>
            </w:r>
            <w:hyperlink r:id="rId12" w:history="1">
              <w:r w:rsidR="00550CE1" w:rsidRPr="00B36C09">
                <w:rPr>
                  <w:rStyle w:val="Hyperlink"/>
                  <w:i/>
                  <w:iCs/>
                </w:rPr>
                <w:t>C2001/26</w:t>
              </w:r>
            </w:hyperlink>
            <w:r w:rsidR="00550CE1" w:rsidRPr="00550CE1">
              <w:rPr>
                <w:i/>
                <w:iCs/>
              </w:rPr>
              <w:t xml:space="preserve">, </w:t>
            </w:r>
            <w:hyperlink r:id="rId13" w:history="1">
              <w:r w:rsidR="00550CE1" w:rsidRPr="00B36C09">
                <w:rPr>
                  <w:rStyle w:val="Hyperlink"/>
                  <w:i/>
                  <w:iCs/>
                </w:rPr>
                <w:t>C02/94 (section 2)</w:t>
              </w:r>
            </w:hyperlink>
            <w:r w:rsidR="00550CE1" w:rsidRPr="00550CE1">
              <w:rPr>
                <w:i/>
                <w:iCs/>
              </w:rPr>
              <w:t xml:space="preserve">, </w:t>
            </w:r>
            <w:hyperlink r:id="rId14" w:history="1">
              <w:r w:rsidR="00550CE1" w:rsidRPr="00B36C09">
                <w:rPr>
                  <w:rStyle w:val="Hyperlink"/>
                  <w:i/>
                  <w:iCs/>
                </w:rPr>
                <w:t>C03/40 and Add.1</w:t>
              </w:r>
            </w:hyperlink>
            <w:r w:rsidR="00550CE1" w:rsidRPr="00550CE1">
              <w:rPr>
                <w:i/>
                <w:iCs/>
              </w:rPr>
              <w:t xml:space="preserve">, </w:t>
            </w:r>
            <w:hyperlink r:id="rId15" w:history="1">
              <w:r w:rsidR="00550CE1" w:rsidRPr="007B493C">
                <w:rPr>
                  <w:rStyle w:val="Hyperlink"/>
                  <w:i/>
                  <w:iCs/>
                </w:rPr>
                <w:t>C03-ADD/3</w:t>
              </w:r>
            </w:hyperlink>
            <w:r w:rsidR="00550CE1" w:rsidRPr="00550CE1">
              <w:rPr>
                <w:i/>
                <w:iCs/>
              </w:rPr>
              <w:t xml:space="preserve">, </w:t>
            </w:r>
            <w:hyperlink r:id="rId16" w:history="1">
              <w:r w:rsidR="00550CE1" w:rsidRPr="007B493C">
                <w:rPr>
                  <w:rStyle w:val="Hyperlink"/>
                  <w:i/>
                  <w:iCs/>
                </w:rPr>
                <w:t>C05/40</w:t>
              </w:r>
            </w:hyperlink>
          </w:p>
        </w:tc>
      </w:tr>
    </w:tbl>
    <w:p w:rsidR="00550CE1" w:rsidRPr="003101DB" w:rsidRDefault="00550CE1" w:rsidP="00550CE1">
      <w:pPr>
        <w:pStyle w:val="Heading2"/>
        <w:tabs>
          <w:tab w:val="clear" w:pos="567"/>
          <w:tab w:val="clear" w:pos="1134"/>
          <w:tab w:val="clear" w:pos="1701"/>
          <w:tab w:val="clear" w:pos="2268"/>
          <w:tab w:val="clear" w:pos="2835"/>
        </w:tabs>
        <w:snapToGrid w:val="0"/>
        <w:spacing w:before="600" w:after="120"/>
        <w:ind w:left="792" w:hanging="792"/>
        <w:rPr>
          <w:rFonts w:cs="Calibri"/>
        </w:rPr>
      </w:pPr>
      <w:bookmarkStart w:id="8" w:name="dstart"/>
      <w:bookmarkStart w:id="9" w:name="dbreak"/>
      <w:bookmarkEnd w:id="8"/>
      <w:bookmarkEnd w:id="9"/>
      <w:r w:rsidRPr="003101DB">
        <w:rPr>
          <w:rFonts w:cs="Calibri"/>
        </w:rPr>
        <w:t>Background</w:t>
      </w:r>
    </w:p>
    <w:p w:rsidR="00550CE1" w:rsidRPr="0050067E" w:rsidRDefault="00550CE1" w:rsidP="00550CE1">
      <w:pPr>
        <w:tabs>
          <w:tab w:val="clear" w:pos="567"/>
          <w:tab w:val="clear" w:pos="1134"/>
          <w:tab w:val="clear" w:pos="1701"/>
          <w:tab w:val="clear" w:pos="2268"/>
          <w:tab w:val="clear" w:pos="2835"/>
        </w:tabs>
        <w:snapToGrid w:val="0"/>
        <w:spacing w:after="120"/>
        <w:jc w:val="both"/>
        <w:rPr>
          <w:rFonts w:eastAsia="SimSun"/>
          <w:lang w:eastAsia="zh-CN"/>
        </w:rPr>
      </w:pPr>
      <w:r w:rsidRPr="003101DB">
        <w:rPr>
          <w:rFonts w:cs="Calibri"/>
          <w:szCs w:val="24"/>
        </w:rPr>
        <w:t>1</w:t>
      </w:r>
      <w:r>
        <w:rPr>
          <w:rFonts w:cs="Calibri"/>
          <w:szCs w:val="24"/>
        </w:rPr>
        <w:t>.</w:t>
      </w:r>
      <w:r w:rsidRPr="003101DB">
        <w:rPr>
          <w:rFonts w:cs="Calibri"/>
          <w:szCs w:val="24"/>
        </w:rPr>
        <w:tab/>
      </w:r>
      <w:r w:rsidRPr="003101DB">
        <w:rPr>
          <w:rFonts w:cs="Calibri"/>
        </w:rPr>
        <w:t xml:space="preserve">The criteria and guidelines on granting exemption, subject to </w:t>
      </w:r>
      <w:r w:rsidR="0070281B">
        <w:rPr>
          <w:rFonts w:cs="Calibri"/>
        </w:rPr>
        <w:t>“</w:t>
      </w:r>
      <w:r w:rsidRPr="003101DB">
        <w:rPr>
          <w:rFonts w:cs="Calibri"/>
        </w:rPr>
        <w:t>reciprocity</w:t>
      </w:r>
      <w:r w:rsidR="0070281B">
        <w:rPr>
          <w:rFonts w:cs="Calibri"/>
        </w:rPr>
        <w:t>”</w:t>
      </w:r>
      <w:r w:rsidRPr="003101DB">
        <w:rPr>
          <w:rFonts w:cs="Calibri"/>
        </w:rPr>
        <w:t>, were</w:t>
      </w:r>
      <w:r w:rsidRPr="003101DB">
        <w:rPr>
          <w:rFonts w:cs="Calibri"/>
          <w:caps/>
        </w:rPr>
        <w:t xml:space="preserve"> </w:t>
      </w:r>
      <w:r w:rsidRPr="003101DB">
        <w:rPr>
          <w:rFonts w:cs="Calibri"/>
        </w:rPr>
        <w:t xml:space="preserve">adopted by the 2000 session of </w:t>
      </w:r>
      <w:r>
        <w:rPr>
          <w:rFonts w:cs="Calibri"/>
        </w:rPr>
        <w:t xml:space="preserve">the </w:t>
      </w:r>
      <w:r w:rsidRPr="003101DB">
        <w:rPr>
          <w:rFonts w:cs="Calibri"/>
        </w:rPr>
        <w:t>Council (Document C2000/28</w:t>
      </w:r>
      <w:r w:rsidRPr="003101DB">
        <w:rPr>
          <w:rFonts w:cs="Calibri"/>
          <w:caps/>
        </w:rPr>
        <w:t>(</w:t>
      </w:r>
      <w:r w:rsidRPr="003101DB">
        <w:rPr>
          <w:rFonts w:cs="Calibri"/>
        </w:rPr>
        <w:t>Rev.</w:t>
      </w:r>
      <w:r w:rsidRPr="003101DB">
        <w:rPr>
          <w:rFonts w:cs="Calibri"/>
          <w:caps/>
        </w:rPr>
        <w:t>1))</w:t>
      </w:r>
      <w:r w:rsidRPr="003101DB">
        <w:rPr>
          <w:rFonts w:cs="Calibri"/>
          <w:szCs w:val="24"/>
        </w:rPr>
        <w:t xml:space="preserve">. </w:t>
      </w:r>
      <w:r w:rsidRPr="0050067E">
        <w:rPr>
          <w:rFonts w:eastAsia="SimSun"/>
          <w:lang w:eastAsia="zh-CN"/>
        </w:rPr>
        <w:t xml:space="preserve">Exemption from fees is granted by the Council following an analysis of the relevant Sectors and a recommendation by the Secretary-General. The main criteria </w:t>
      </w:r>
      <w:r>
        <w:rPr>
          <w:rFonts w:eastAsia="SimSun"/>
          <w:lang w:eastAsia="zh-CN"/>
        </w:rPr>
        <w:t>include</w:t>
      </w:r>
      <w:r w:rsidRPr="0050067E">
        <w:rPr>
          <w:rFonts w:eastAsia="SimSun"/>
          <w:lang w:eastAsia="zh-CN"/>
        </w:rPr>
        <w:t xml:space="preserve"> that the entity must be a regional or international </w:t>
      </w:r>
      <w:r w:rsidRPr="0050067E">
        <w:rPr>
          <w:rFonts w:eastAsia="SimSun"/>
          <w:color w:val="000000"/>
          <w:lang w:eastAsia="zh-CN"/>
        </w:rPr>
        <w:t>organization dealing with telecommunications/ICTs, non</w:t>
      </w:r>
      <w:r w:rsidRPr="0050067E">
        <w:rPr>
          <w:rFonts w:eastAsia="SimSun"/>
          <w:lang w:eastAsia="zh-CN"/>
        </w:rPr>
        <w:t>-profit-making, and must offer reciprocal benefits to ITU. If approved, they become Sector Members or Associates under the terms of No. 231 of the Convention</w:t>
      </w:r>
      <w:r w:rsidRPr="00A14185">
        <w:rPr>
          <w:rFonts w:eastAsia="SimSun"/>
          <w:lang w:eastAsia="zh-CN"/>
        </w:rPr>
        <w:t>. Currently, there are 117</w:t>
      </w:r>
      <w:r w:rsidRPr="0050067E">
        <w:rPr>
          <w:rFonts w:eastAsia="SimSun"/>
          <w:lang w:eastAsia="zh-CN"/>
        </w:rPr>
        <w:t xml:space="preserve"> exempted regional and international organizations. </w:t>
      </w:r>
    </w:p>
    <w:p w:rsidR="00550CE1" w:rsidRDefault="00550CE1" w:rsidP="0070687C">
      <w:pPr>
        <w:tabs>
          <w:tab w:val="clear" w:pos="567"/>
          <w:tab w:val="clear" w:pos="1134"/>
          <w:tab w:val="clear" w:pos="1701"/>
          <w:tab w:val="clear" w:pos="2268"/>
          <w:tab w:val="clear" w:pos="2835"/>
        </w:tabs>
        <w:snapToGrid w:val="0"/>
        <w:spacing w:after="120"/>
        <w:jc w:val="both"/>
        <w:rPr>
          <w:rFonts w:eastAsia="SimSun"/>
          <w:bCs/>
          <w:iCs/>
          <w:lang w:eastAsia="zh-CN"/>
        </w:rPr>
      </w:pPr>
      <w:r>
        <w:rPr>
          <w:rFonts w:cs="Calibri"/>
          <w:szCs w:val="24"/>
        </w:rPr>
        <w:lastRenderedPageBreak/>
        <w:t>2.</w:t>
      </w:r>
      <w:r>
        <w:rPr>
          <w:rFonts w:cs="Calibri"/>
          <w:szCs w:val="24"/>
        </w:rPr>
        <w:tab/>
      </w:r>
      <w:r w:rsidRPr="0050067E">
        <w:rPr>
          <w:rFonts w:eastAsia="SimSun"/>
          <w:bCs/>
          <w:iCs/>
          <w:lang w:eastAsia="zh-CN"/>
        </w:rPr>
        <w:t xml:space="preserve">PP-14 instructed </w:t>
      </w:r>
      <w:r>
        <w:rPr>
          <w:rFonts w:eastAsia="SimSun"/>
          <w:bCs/>
          <w:iCs/>
          <w:lang w:eastAsia="zh-CN"/>
        </w:rPr>
        <w:t xml:space="preserve">the </w:t>
      </w:r>
      <w:r w:rsidRPr="0050067E">
        <w:rPr>
          <w:rFonts w:eastAsia="SimSun"/>
          <w:bCs/>
          <w:iCs/>
          <w:lang w:eastAsia="zh-CN"/>
        </w:rPr>
        <w:t>Council in Res</w:t>
      </w:r>
      <w:r w:rsidR="0070687C">
        <w:rPr>
          <w:rFonts w:eastAsia="SimSun"/>
          <w:bCs/>
          <w:iCs/>
          <w:lang w:eastAsia="zh-CN"/>
        </w:rPr>
        <w:t>olution</w:t>
      </w:r>
      <w:r w:rsidRPr="0050067E">
        <w:rPr>
          <w:rFonts w:eastAsia="SimSun"/>
          <w:bCs/>
          <w:iCs/>
          <w:lang w:eastAsia="zh-CN"/>
        </w:rPr>
        <w:t xml:space="preserve"> 187 (Busan, 2014) to </w:t>
      </w:r>
      <w:r w:rsidR="0070281B">
        <w:rPr>
          <w:rFonts w:eastAsia="SimSun"/>
          <w:bCs/>
          <w:iCs/>
          <w:lang w:eastAsia="zh-CN"/>
        </w:rPr>
        <w:t>“</w:t>
      </w:r>
      <w:r w:rsidRPr="0050067E">
        <w:rPr>
          <w:rFonts w:eastAsia="SimSun"/>
          <w:bCs/>
          <w:iCs/>
          <w:lang w:eastAsia="zh-CN"/>
        </w:rPr>
        <w:t>review the practice and criteria for exempting entities from membership fees and, if necessary, make changes to tighten the criteria to help bring greater clarity, consistency and fairness between paying and non-paying members and to reduce the total of exempted entities.</w:t>
      </w:r>
      <w:r w:rsidR="0070281B">
        <w:rPr>
          <w:rFonts w:eastAsia="SimSun"/>
          <w:bCs/>
          <w:iCs/>
          <w:lang w:eastAsia="zh-CN"/>
        </w:rPr>
        <w:t>”</w:t>
      </w:r>
      <w:r w:rsidRPr="0050067E">
        <w:rPr>
          <w:rFonts w:eastAsia="SimSun"/>
          <w:bCs/>
          <w:iCs/>
          <w:lang w:eastAsia="zh-CN"/>
        </w:rPr>
        <w:t xml:space="preserve"> Following a detailed</w:t>
      </w:r>
      <w:r w:rsidR="0070687C">
        <w:rPr>
          <w:rFonts w:eastAsia="SimSun"/>
          <w:bCs/>
          <w:iCs/>
          <w:lang w:eastAsia="zh-CN"/>
        </w:rPr>
        <w:t xml:space="preserve"> review by the CWG-FHR, Council-</w:t>
      </w:r>
      <w:r w:rsidRPr="0050067E">
        <w:rPr>
          <w:rFonts w:eastAsia="SimSun"/>
          <w:bCs/>
          <w:iCs/>
          <w:lang w:eastAsia="zh-CN"/>
        </w:rPr>
        <w:t xml:space="preserve">17 revised the criteria, as in </w:t>
      </w:r>
      <w:r w:rsidRPr="00A14185">
        <w:rPr>
          <w:rFonts w:eastAsia="SimSun"/>
          <w:bCs/>
          <w:iCs/>
          <w:lang w:eastAsia="zh-CN"/>
        </w:rPr>
        <w:t>Annex.</w:t>
      </w:r>
      <w:r w:rsidRPr="0050067E">
        <w:rPr>
          <w:rFonts w:eastAsia="SimSun"/>
          <w:bCs/>
          <w:iCs/>
          <w:lang w:eastAsia="zh-CN"/>
        </w:rPr>
        <w:t xml:space="preserve"> The main changes include</w:t>
      </w:r>
      <w:r>
        <w:rPr>
          <w:rFonts w:eastAsia="SimSun"/>
          <w:bCs/>
          <w:iCs/>
          <w:lang w:eastAsia="zh-CN"/>
        </w:rPr>
        <w:t xml:space="preserve"> </w:t>
      </w:r>
      <w:r w:rsidRPr="0050067E">
        <w:rPr>
          <w:rFonts w:eastAsia="SimSun"/>
          <w:bCs/>
          <w:iCs/>
          <w:lang w:eastAsia="zh-CN"/>
        </w:rPr>
        <w:t>tighter definition</w:t>
      </w:r>
      <w:r>
        <w:rPr>
          <w:rFonts w:eastAsia="SimSun"/>
          <w:bCs/>
          <w:iCs/>
          <w:lang w:eastAsia="zh-CN"/>
        </w:rPr>
        <w:t>s</w:t>
      </w:r>
      <w:r w:rsidRPr="0050067E">
        <w:rPr>
          <w:rFonts w:eastAsia="SimSun"/>
          <w:bCs/>
          <w:iCs/>
          <w:lang w:eastAsia="zh-CN"/>
        </w:rPr>
        <w:t xml:space="preserve"> of international/regional organization and </w:t>
      </w:r>
      <w:r w:rsidR="0070281B">
        <w:rPr>
          <w:rFonts w:eastAsia="SimSun"/>
          <w:bCs/>
          <w:iCs/>
          <w:lang w:eastAsia="zh-CN"/>
        </w:rPr>
        <w:t>“</w:t>
      </w:r>
      <w:r w:rsidRPr="0050067E">
        <w:rPr>
          <w:rFonts w:eastAsia="SimSun"/>
          <w:bCs/>
          <w:iCs/>
          <w:lang w:eastAsia="zh-CN"/>
        </w:rPr>
        <w:t>reciprocity</w:t>
      </w:r>
      <w:r w:rsidR="0070281B">
        <w:rPr>
          <w:rFonts w:eastAsia="SimSun"/>
          <w:bCs/>
          <w:iCs/>
          <w:lang w:eastAsia="zh-CN"/>
        </w:rPr>
        <w:t>”</w:t>
      </w:r>
      <w:r w:rsidRPr="0050067E">
        <w:rPr>
          <w:rFonts w:eastAsia="SimSun"/>
          <w:bCs/>
          <w:iCs/>
          <w:lang w:eastAsia="zh-CN"/>
        </w:rPr>
        <w:t xml:space="preserve"> and no longer allowing </w:t>
      </w:r>
      <w:r w:rsidR="0070281B">
        <w:rPr>
          <w:rFonts w:eastAsia="SimSun"/>
          <w:bCs/>
          <w:iCs/>
          <w:lang w:eastAsia="zh-CN"/>
        </w:rPr>
        <w:t>“</w:t>
      </w:r>
      <w:r w:rsidRPr="0050067E">
        <w:rPr>
          <w:rFonts w:eastAsia="SimSun"/>
          <w:bCs/>
          <w:iCs/>
          <w:lang w:eastAsia="zh-CN"/>
        </w:rPr>
        <w:t>industry associations</w:t>
      </w:r>
      <w:r w:rsidR="0070281B">
        <w:rPr>
          <w:rFonts w:eastAsia="SimSun"/>
          <w:bCs/>
          <w:iCs/>
          <w:lang w:eastAsia="zh-CN"/>
        </w:rPr>
        <w:t>”</w:t>
      </w:r>
      <w:r w:rsidRPr="0050067E">
        <w:rPr>
          <w:rFonts w:eastAsia="SimSun"/>
          <w:bCs/>
          <w:iCs/>
          <w:lang w:eastAsia="zh-CN"/>
        </w:rPr>
        <w:t xml:space="preserve"> </w:t>
      </w:r>
      <w:proofErr w:type="gramStart"/>
      <w:r w:rsidRPr="0050067E">
        <w:rPr>
          <w:rFonts w:eastAsia="SimSun"/>
          <w:bCs/>
          <w:iCs/>
          <w:lang w:eastAsia="zh-CN"/>
        </w:rPr>
        <w:t>with</w:t>
      </w:r>
      <w:proofErr w:type="gramEnd"/>
      <w:r w:rsidRPr="0050067E">
        <w:rPr>
          <w:rFonts w:eastAsia="SimSun"/>
          <w:bCs/>
          <w:iCs/>
          <w:lang w:eastAsia="zh-CN"/>
        </w:rPr>
        <w:t xml:space="preserve"> for-profit member</w:t>
      </w:r>
      <w:r w:rsidR="006D2310">
        <w:rPr>
          <w:rFonts w:eastAsia="SimSun"/>
          <w:bCs/>
          <w:iCs/>
          <w:lang w:eastAsia="zh-CN"/>
        </w:rPr>
        <w:t>s to qualify for fee exemption.</w:t>
      </w:r>
    </w:p>
    <w:p w:rsidR="00550CE1" w:rsidRDefault="00550CE1" w:rsidP="006D2310">
      <w:pPr>
        <w:tabs>
          <w:tab w:val="clear" w:pos="567"/>
          <w:tab w:val="clear" w:pos="1134"/>
          <w:tab w:val="clear" w:pos="1701"/>
          <w:tab w:val="clear" w:pos="2268"/>
          <w:tab w:val="clear" w:pos="2835"/>
        </w:tabs>
        <w:snapToGrid w:val="0"/>
        <w:spacing w:after="120"/>
        <w:jc w:val="both"/>
        <w:rPr>
          <w:rFonts w:cs="Calibri"/>
        </w:rPr>
      </w:pPr>
      <w:r w:rsidRPr="0050067E">
        <w:rPr>
          <w:rFonts w:eastAsia="SimSun"/>
          <w:bCs/>
          <w:iCs/>
          <w:lang w:eastAsia="zh-CN"/>
        </w:rPr>
        <w:t>The applications for exemption</w:t>
      </w:r>
      <w:r w:rsidR="006D2310">
        <w:rPr>
          <w:rFonts w:eastAsia="SimSun"/>
          <w:bCs/>
          <w:iCs/>
          <w:lang w:eastAsia="zh-CN"/>
        </w:rPr>
        <w:t xml:space="preserve"> being submitted to the 2019 session of the Council</w:t>
      </w:r>
      <w:r w:rsidRPr="0050067E">
        <w:rPr>
          <w:rFonts w:eastAsia="SimSun"/>
          <w:bCs/>
          <w:iCs/>
          <w:lang w:eastAsia="zh-CN"/>
        </w:rPr>
        <w:t xml:space="preserve"> have been evaluated</w:t>
      </w:r>
      <w:r>
        <w:rPr>
          <w:rFonts w:eastAsia="SimSun"/>
          <w:bCs/>
          <w:iCs/>
          <w:lang w:eastAsia="zh-CN"/>
        </w:rPr>
        <w:t xml:space="preserve"> against this revised criteria.</w:t>
      </w:r>
    </w:p>
    <w:p w:rsidR="00550CE1" w:rsidRPr="003101DB" w:rsidRDefault="00550CE1" w:rsidP="00550CE1">
      <w:pPr>
        <w:pStyle w:val="Heading2"/>
        <w:tabs>
          <w:tab w:val="clear" w:pos="567"/>
          <w:tab w:val="clear" w:pos="1134"/>
          <w:tab w:val="clear" w:pos="1701"/>
          <w:tab w:val="clear" w:pos="2268"/>
          <w:tab w:val="clear" w:pos="2835"/>
        </w:tabs>
        <w:snapToGrid w:val="0"/>
        <w:spacing w:before="360" w:after="120"/>
        <w:rPr>
          <w:rFonts w:cs="Calibri"/>
        </w:rPr>
      </w:pPr>
      <w:r w:rsidRPr="0059548A">
        <w:rPr>
          <w:rFonts w:cs="Calibri"/>
        </w:rPr>
        <w:t>Recommendations</w:t>
      </w:r>
    </w:p>
    <w:p w:rsidR="00550CE1" w:rsidRPr="003101DB" w:rsidRDefault="00550CE1" w:rsidP="00550CE1">
      <w:pPr>
        <w:tabs>
          <w:tab w:val="clear" w:pos="567"/>
          <w:tab w:val="clear" w:pos="1134"/>
          <w:tab w:val="clear" w:pos="1701"/>
          <w:tab w:val="clear" w:pos="2268"/>
          <w:tab w:val="clear" w:pos="2835"/>
        </w:tabs>
        <w:snapToGrid w:val="0"/>
        <w:spacing w:after="120"/>
        <w:jc w:val="both"/>
        <w:rPr>
          <w:rFonts w:cs="Calibri"/>
          <w:szCs w:val="24"/>
        </w:rPr>
      </w:pPr>
      <w:r>
        <w:rPr>
          <w:rFonts w:cs="Calibri"/>
          <w:szCs w:val="24"/>
        </w:rPr>
        <w:t>3.</w:t>
      </w:r>
      <w:r w:rsidRPr="003101DB">
        <w:rPr>
          <w:rFonts w:cs="Calibri"/>
          <w:szCs w:val="24"/>
        </w:rPr>
        <w:tab/>
        <w:t xml:space="preserve">The following requests were received and are submitted for </w:t>
      </w:r>
      <w:r>
        <w:rPr>
          <w:rFonts w:cs="Calibri"/>
          <w:szCs w:val="24"/>
        </w:rPr>
        <w:t>the consideration of the Council</w:t>
      </w:r>
      <w:r w:rsidRPr="003101DB">
        <w:rPr>
          <w:rFonts w:cs="Calibri"/>
          <w:szCs w:val="24"/>
        </w:rPr>
        <w:t>:</w:t>
      </w:r>
    </w:p>
    <w:p w:rsidR="00550CE1" w:rsidRPr="008257E3" w:rsidRDefault="00550CE1" w:rsidP="006D2310">
      <w:pPr>
        <w:pStyle w:val="Heading2"/>
        <w:spacing w:before="240" w:after="120"/>
        <w:rPr>
          <w:rFonts w:cstheme="minorHAnsi"/>
          <w:b w:val="0"/>
          <w:bCs/>
          <w:sz w:val="22"/>
          <w:szCs w:val="24"/>
        </w:rPr>
      </w:pPr>
      <w:r w:rsidRPr="008257E3">
        <w:rPr>
          <w:rFonts w:cstheme="minorHAnsi"/>
          <w:b w:val="0"/>
          <w:bCs/>
          <w:sz w:val="22"/>
          <w:szCs w:val="24"/>
        </w:rPr>
        <w:t>3.1</w:t>
      </w:r>
    </w:p>
    <w:tbl>
      <w:tblPr>
        <w:tblW w:w="92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5509"/>
        <w:gridCol w:w="1626"/>
        <w:gridCol w:w="2107"/>
      </w:tblGrid>
      <w:tr w:rsidR="00550CE1" w:rsidRPr="00B34A19" w:rsidTr="0070281B">
        <w:trPr>
          <w:cantSplit/>
          <w:trHeight w:val="399"/>
          <w:jc w:val="center"/>
        </w:trPr>
        <w:tc>
          <w:tcPr>
            <w:tcW w:w="5490" w:type="dxa"/>
            <w:vAlign w:val="center"/>
          </w:tcPr>
          <w:p w:rsidR="00550CE1" w:rsidRPr="00B34A19" w:rsidRDefault="00550CE1" w:rsidP="00546AE8">
            <w:pPr>
              <w:pStyle w:val="TableHead0"/>
              <w:keepLines/>
              <w:tabs>
                <w:tab w:val="clear" w:pos="284"/>
                <w:tab w:val="clear" w:pos="851"/>
                <w:tab w:val="clear" w:pos="1418"/>
                <w:tab w:val="clear" w:pos="2552"/>
                <w:tab w:val="clear" w:pos="3119"/>
                <w:tab w:val="clear" w:pos="3402"/>
                <w:tab w:val="clear" w:pos="3686"/>
                <w:tab w:val="clear" w:pos="3969"/>
              </w:tabs>
              <w:snapToGrid w:val="0"/>
              <w:spacing w:before="120" w:after="120" w:line="240" w:lineRule="auto"/>
              <w:rPr>
                <w:rFonts w:cstheme="minorHAnsi"/>
                <w:szCs w:val="24"/>
              </w:rPr>
            </w:pPr>
            <w:r w:rsidRPr="00B34A19">
              <w:rPr>
                <w:rFonts w:cstheme="minorHAnsi"/>
                <w:szCs w:val="24"/>
              </w:rPr>
              <w:t>Organization</w:t>
            </w:r>
          </w:p>
        </w:tc>
        <w:tc>
          <w:tcPr>
            <w:tcW w:w="1620" w:type="dxa"/>
            <w:vAlign w:val="center"/>
          </w:tcPr>
          <w:p w:rsidR="00550CE1" w:rsidRPr="00B34A19" w:rsidRDefault="00550CE1" w:rsidP="00546AE8">
            <w:pPr>
              <w:pStyle w:val="TableHead0"/>
              <w:keepLines/>
              <w:tabs>
                <w:tab w:val="clear" w:pos="284"/>
                <w:tab w:val="clear" w:pos="851"/>
                <w:tab w:val="clear" w:pos="1418"/>
                <w:tab w:val="clear" w:pos="2552"/>
                <w:tab w:val="clear" w:pos="3119"/>
                <w:tab w:val="clear" w:pos="3402"/>
                <w:tab w:val="clear" w:pos="3686"/>
                <w:tab w:val="clear" w:pos="3969"/>
              </w:tabs>
              <w:snapToGrid w:val="0"/>
              <w:spacing w:before="120" w:after="120" w:line="240" w:lineRule="auto"/>
              <w:rPr>
                <w:rFonts w:cstheme="minorHAnsi"/>
                <w:szCs w:val="24"/>
              </w:rPr>
            </w:pPr>
            <w:r w:rsidRPr="00B34A19">
              <w:rPr>
                <w:rFonts w:cstheme="minorHAnsi"/>
                <w:szCs w:val="24"/>
              </w:rPr>
              <w:t>Sector</w:t>
            </w:r>
          </w:p>
        </w:tc>
        <w:tc>
          <w:tcPr>
            <w:tcW w:w="2099" w:type="dxa"/>
            <w:vAlign w:val="center"/>
          </w:tcPr>
          <w:p w:rsidR="00550CE1" w:rsidRPr="00B34A19" w:rsidRDefault="00550CE1" w:rsidP="00546AE8">
            <w:pPr>
              <w:pStyle w:val="TableHead0"/>
              <w:keepLines/>
              <w:tabs>
                <w:tab w:val="clear" w:pos="284"/>
                <w:tab w:val="clear" w:pos="851"/>
                <w:tab w:val="clear" w:pos="1418"/>
                <w:tab w:val="clear" w:pos="2552"/>
                <w:tab w:val="clear" w:pos="3119"/>
                <w:tab w:val="clear" w:pos="3402"/>
                <w:tab w:val="clear" w:pos="3686"/>
                <w:tab w:val="clear" w:pos="3969"/>
              </w:tabs>
              <w:snapToGrid w:val="0"/>
              <w:spacing w:before="120" w:after="120" w:line="240" w:lineRule="auto"/>
              <w:rPr>
                <w:rFonts w:cstheme="minorHAnsi"/>
                <w:szCs w:val="24"/>
              </w:rPr>
            </w:pPr>
            <w:r>
              <w:rPr>
                <w:rFonts w:cstheme="minorHAnsi"/>
                <w:szCs w:val="24"/>
              </w:rPr>
              <w:t>SG Recommendation</w:t>
            </w:r>
          </w:p>
        </w:tc>
      </w:tr>
      <w:tr w:rsidR="00550CE1" w:rsidRPr="00EF70AC" w:rsidTr="0070281B">
        <w:trPr>
          <w:cantSplit/>
          <w:trHeight w:val="516"/>
          <w:jc w:val="center"/>
        </w:trPr>
        <w:tc>
          <w:tcPr>
            <w:tcW w:w="5490" w:type="dxa"/>
          </w:tcPr>
          <w:p w:rsidR="00550CE1" w:rsidRPr="00CA3359" w:rsidRDefault="00550CE1" w:rsidP="006D2310">
            <w:pPr>
              <w:pStyle w:val="TableText0"/>
              <w:keepNext/>
              <w:keepLines/>
              <w:tabs>
                <w:tab w:val="clear" w:pos="284"/>
                <w:tab w:val="clear" w:pos="851"/>
                <w:tab w:val="clear" w:pos="1418"/>
                <w:tab w:val="clear" w:pos="2552"/>
                <w:tab w:val="clear" w:pos="3119"/>
                <w:tab w:val="clear" w:pos="3402"/>
                <w:tab w:val="clear" w:pos="3686"/>
                <w:tab w:val="clear" w:pos="3969"/>
              </w:tabs>
              <w:snapToGrid w:val="0"/>
              <w:spacing w:before="240" w:after="0" w:line="240" w:lineRule="auto"/>
              <w:jc w:val="center"/>
              <w:rPr>
                <w:rFonts w:cstheme="minorHAnsi"/>
                <w:b/>
                <w:iCs/>
                <w:szCs w:val="24"/>
              </w:rPr>
            </w:pPr>
            <w:r w:rsidRPr="00743FBA">
              <w:rPr>
                <w:rFonts w:cs="Calibri"/>
                <w:b/>
              </w:rPr>
              <w:t>Internet Corporation for Assigned Names and Numbers</w:t>
            </w:r>
            <w:r w:rsidRPr="00492606">
              <w:rPr>
                <w:rFonts w:cs="Calibri"/>
              </w:rPr>
              <w:t xml:space="preserve"> </w:t>
            </w:r>
            <w:r w:rsidRPr="00743FBA">
              <w:rPr>
                <w:rFonts w:cs="Calibri"/>
                <w:b/>
              </w:rPr>
              <w:t>(</w:t>
            </w:r>
            <w:r w:rsidRPr="00743FBA">
              <w:rPr>
                <w:rFonts w:cstheme="minorHAnsi"/>
                <w:b/>
                <w:iCs/>
                <w:szCs w:val="24"/>
              </w:rPr>
              <w:t>ICANN)</w:t>
            </w:r>
          </w:p>
        </w:tc>
        <w:tc>
          <w:tcPr>
            <w:tcW w:w="1620" w:type="dxa"/>
          </w:tcPr>
          <w:p w:rsidR="00550CE1" w:rsidRPr="00506994" w:rsidRDefault="00550CE1" w:rsidP="006D2310">
            <w:pPr>
              <w:pStyle w:val="TableText0"/>
              <w:keepNext/>
              <w:keepLines/>
              <w:tabs>
                <w:tab w:val="clear" w:pos="284"/>
                <w:tab w:val="clear" w:pos="851"/>
                <w:tab w:val="clear" w:pos="1418"/>
                <w:tab w:val="clear" w:pos="2552"/>
                <w:tab w:val="clear" w:pos="3119"/>
                <w:tab w:val="clear" w:pos="3402"/>
                <w:tab w:val="clear" w:pos="3686"/>
                <w:tab w:val="clear" w:pos="3969"/>
              </w:tabs>
              <w:snapToGrid w:val="0"/>
              <w:spacing w:before="240" w:after="0" w:line="240" w:lineRule="auto"/>
              <w:jc w:val="center"/>
              <w:rPr>
                <w:rFonts w:cstheme="minorHAnsi"/>
                <w:szCs w:val="24"/>
                <w:lang w:val="fr-CH"/>
              </w:rPr>
            </w:pPr>
            <w:r>
              <w:rPr>
                <w:rFonts w:cstheme="minorHAnsi"/>
                <w:szCs w:val="24"/>
                <w:lang w:val="fr-CH"/>
              </w:rPr>
              <w:t>ITU-D</w:t>
            </w:r>
          </w:p>
        </w:tc>
        <w:tc>
          <w:tcPr>
            <w:tcW w:w="2099" w:type="dxa"/>
          </w:tcPr>
          <w:p w:rsidR="00550CE1" w:rsidRPr="00506994" w:rsidRDefault="00550CE1" w:rsidP="006D2310">
            <w:pPr>
              <w:pStyle w:val="TableText0"/>
              <w:keepNext/>
              <w:keepLines/>
              <w:tabs>
                <w:tab w:val="clear" w:pos="284"/>
                <w:tab w:val="clear" w:pos="851"/>
                <w:tab w:val="clear" w:pos="1418"/>
                <w:tab w:val="clear" w:pos="2552"/>
                <w:tab w:val="clear" w:pos="3119"/>
                <w:tab w:val="clear" w:pos="3402"/>
                <w:tab w:val="clear" w:pos="3686"/>
                <w:tab w:val="clear" w:pos="3969"/>
              </w:tabs>
              <w:snapToGrid w:val="0"/>
              <w:spacing w:before="240" w:after="0" w:line="240" w:lineRule="auto"/>
              <w:jc w:val="center"/>
              <w:rPr>
                <w:rFonts w:cstheme="minorHAnsi"/>
                <w:szCs w:val="24"/>
                <w:lang w:val="fr-CH"/>
              </w:rPr>
            </w:pPr>
            <w:r>
              <w:rPr>
                <w:rFonts w:cstheme="minorHAnsi"/>
                <w:szCs w:val="24"/>
                <w:lang w:val="fr-CH"/>
              </w:rPr>
              <w:t>YES</w:t>
            </w:r>
          </w:p>
        </w:tc>
      </w:tr>
    </w:tbl>
    <w:p w:rsidR="00550CE1" w:rsidRDefault="00550CE1" w:rsidP="0070281B">
      <w:pPr>
        <w:tabs>
          <w:tab w:val="clear" w:pos="567"/>
          <w:tab w:val="clear" w:pos="1134"/>
          <w:tab w:val="clear" w:pos="1701"/>
          <w:tab w:val="clear" w:pos="2268"/>
          <w:tab w:val="clear" w:pos="2835"/>
        </w:tabs>
        <w:spacing w:before="240" w:after="120"/>
        <w:jc w:val="both"/>
        <w:rPr>
          <w:rFonts w:cs="Calibri"/>
          <w:highlight w:val="yellow"/>
        </w:rPr>
      </w:pPr>
      <w:r w:rsidRPr="00B34A19">
        <w:rPr>
          <w:rFonts w:cstheme="minorHAnsi"/>
          <w:b/>
          <w:szCs w:val="24"/>
        </w:rPr>
        <w:t>Comments</w:t>
      </w:r>
      <w:r w:rsidRPr="00B34A19">
        <w:rPr>
          <w:rFonts w:cstheme="minorHAnsi"/>
          <w:szCs w:val="24"/>
        </w:rPr>
        <w:t>:</w:t>
      </w:r>
      <w:r>
        <w:rPr>
          <w:rFonts w:cstheme="minorHAnsi"/>
          <w:szCs w:val="24"/>
        </w:rPr>
        <w:t xml:space="preserve"> </w:t>
      </w:r>
      <w:r w:rsidRPr="00492606">
        <w:rPr>
          <w:rFonts w:cs="Calibri"/>
        </w:rPr>
        <w:t xml:space="preserve">The Internet Corporation for Assigned Names and Numbers (ICANN) is a </w:t>
      </w:r>
      <w:r w:rsidR="006D2310" w:rsidRPr="00492606">
        <w:rPr>
          <w:rFonts w:cs="Calibri"/>
        </w:rPr>
        <w:t>non-profit</w:t>
      </w:r>
      <w:r w:rsidRPr="00492606">
        <w:rPr>
          <w:rFonts w:cs="Calibri"/>
        </w:rPr>
        <w:t xml:space="preserve"> organization responsible for coordinating the maintenance and procedures of several databases related to the namespaces and numerical spaces of the Internet, ensuring the network</w:t>
      </w:r>
      <w:r w:rsidR="0070281B">
        <w:rPr>
          <w:rFonts w:cs="Calibri"/>
        </w:rPr>
        <w:t>’</w:t>
      </w:r>
      <w:r w:rsidRPr="00492606">
        <w:rPr>
          <w:rFonts w:cs="Calibri"/>
        </w:rPr>
        <w:t>s stable and secure operation.</w:t>
      </w:r>
      <w:r>
        <w:rPr>
          <w:rFonts w:cs="Calibri"/>
        </w:rPr>
        <w:t xml:space="preserve"> </w:t>
      </w:r>
      <w:r w:rsidR="006D2310">
        <w:rPr>
          <w:rFonts w:cs="Calibri"/>
        </w:rPr>
        <w:t>The s</w:t>
      </w:r>
      <w:r>
        <w:rPr>
          <w:rFonts w:cs="Calibri"/>
        </w:rPr>
        <w:t xml:space="preserve">ecretariat is of the view that ICANN </w:t>
      </w:r>
      <w:r w:rsidRPr="002342CC">
        <w:rPr>
          <w:rFonts w:cs="Calibri"/>
        </w:rPr>
        <w:t>meets the</w:t>
      </w:r>
      <w:r w:rsidRPr="00A14185">
        <w:rPr>
          <w:rFonts w:cs="Calibri"/>
        </w:rPr>
        <w:t xml:space="preserve"> criteria for </w:t>
      </w:r>
      <w:r>
        <w:rPr>
          <w:rFonts w:cs="Calibri"/>
        </w:rPr>
        <w:t>ITU-D exemption</w:t>
      </w:r>
      <w:r w:rsidRPr="00A14185">
        <w:rPr>
          <w:rFonts w:cs="Calibri"/>
        </w:rPr>
        <w:t xml:space="preserve">. </w:t>
      </w:r>
    </w:p>
    <w:p w:rsidR="00550CE1" w:rsidRPr="003101DB" w:rsidRDefault="00550CE1" w:rsidP="0070281B">
      <w:pPr>
        <w:spacing w:before="240" w:after="120"/>
        <w:rPr>
          <w:rFonts w:cs="Calibri"/>
          <w:szCs w:val="24"/>
        </w:rPr>
      </w:pPr>
      <w:r>
        <w:rPr>
          <w:rFonts w:cs="Calibri"/>
          <w:szCs w:val="24"/>
        </w:rPr>
        <w:t>3.2</w:t>
      </w:r>
    </w:p>
    <w:tbl>
      <w:tblPr>
        <w:tblW w:w="92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5510"/>
        <w:gridCol w:w="1626"/>
        <w:gridCol w:w="2106"/>
      </w:tblGrid>
      <w:tr w:rsidR="00550CE1" w:rsidRPr="00B34A19" w:rsidTr="0070281B">
        <w:trPr>
          <w:cantSplit/>
          <w:trHeight w:val="345"/>
          <w:jc w:val="center"/>
        </w:trPr>
        <w:tc>
          <w:tcPr>
            <w:tcW w:w="5490" w:type="dxa"/>
            <w:vAlign w:val="center"/>
          </w:tcPr>
          <w:p w:rsidR="00550CE1" w:rsidRPr="00B34A19" w:rsidRDefault="00550CE1" w:rsidP="00546AE8">
            <w:pPr>
              <w:pStyle w:val="TableHead0"/>
              <w:keepLines/>
              <w:tabs>
                <w:tab w:val="clear" w:pos="284"/>
                <w:tab w:val="clear" w:pos="851"/>
                <w:tab w:val="clear" w:pos="1418"/>
                <w:tab w:val="clear" w:pos="2552"/>
                <w:tab w:val="clear" w:pos="3119"/>
                <w:tab w:val="clear" w:pos="3402"/>
                <w:tab w:val="clear" w:pos="3686"/>
                <w:tab w:val="clear" w:pos="3969"/>
              </w:tabs>
              <w:snapToGrid w:val="0"/>
              <w:spacing w:before="120" w:after="120" w:line="240" w:lineRule="auto"/>
              <w:rPr>
                <w:rFonts w:cstheme="minorHAnsi"/>
                <w:szCs w:val="24"/>
              </w:rPr>
            </w:pPr>
            <w:r w:rsidRPr="00B34A19">
              <w:rPr>
                <w:rFonts w:cstheme="minorHAnsi"/>
                <w:szCs w:val="24"/>
              </w:rPr>
              <w:t>Organization</w:t>
            </w:r>
          </w:p>
        </w:tc>
        <w:tc>
          <w:tcPr>
            <w:tcW w:w="1620" w:type="dxa"/>
            <w:vAlign w:val="center"/>
          </w:tcPr>
          <w:p w:rsidR="00550CE1" w:rsidRPr="00B34A19" w:rsidRDefault="00550CE1" w:rsidP="00546AE8">
            <w:pPr>
              <w:pStyle w:val="TableHead0"/>
              <w:keepLines/>
              <w:tabs>
                <w:tab w:val="clear" w:pos="284"/>
                <w:tab w:val="clear" w:pos="851"/>
                <w:tab w:val="clear" w:pos="1418"/>
                <w:tab w:val="clear" w:pos="2552"/>
                <w:tab w:val="clear" w:pos="3119"/>
                <w:tab w:val="clear" w:pos="3402"/>
                <w:tab w:val="clear" w:pos="3686"/>
                <w:tab w:val="clear" w:pos="3969"/>
              </w:tabs>
              <w:snapToGrid w:val="0"/>
              <w:spacing w:before="120" w:after="120" w:line="240" w:lineRule="auto"/>
              <w:rPr>
                <w:rFonts w:cstheme="minorHAnsi"/>
                <w:szCs w:val="24"/>
              </w:rPr>
            </w:pPr>
            <w:r w:rsidRPr="00B34A19">
              <w:rPr>
                <w:rFonts w:cstheme="minorHAnsi"/>
                <w:szCs w:val="24"/>
              </w:rPr>
              <w:t>Sector</w:t>
            </w:r>
          </w:p>
        </w:tc>
        <w:tc>
          <w:tcPr>
            <w:tcW w:w="2098" w:type="dxa"/>
            <w:vAlign w:val="center"/>
          </w:tcPr>
          <w:p w:rsidR="00550CE1" w:rsidRPr="00B34A19" w:rsidRDefault="00550CE1" w:rsidP="00546AE8">
            <w:pPr>
              <w:pStyle w:val="TableHead0"/>
              <w:keepLines/>
              <w:tabs>
                <w:tab w:val="clear" w:pos="284"/>
                <w:tab w:val="clear" w:pos="851"/>
                <w:tab w:val="clear" w:pos="1418"/>
                <w:tab w:val="clear" w:pos="2552"/>
                <w:tab w:val="clear" w:pos="3119"/>
                <w:tab w:val="clear" w:pos="3402"/>
                <w:tab w:val="clear" w:pos="3686"/>
                <w:tab w:val="clear" w:pos="3969"/>
              </w:tabs>
              <w:snapToGrid w:val="0"/>
              <w:spacing w:before="120" w:after="120" w:line="240" w:lineRule="auto"/>
              <w:rPr>
                <w:rFonts w:cstheme="minorHAnsi"/>
                <w:szCs w:val="24"/>
              </w:rPr>
            </w:pPr>
            <w:r>
              <w:rPr>
                <w:rFonts w:cstheme="minorHAnsi"/>
                <w:szCs w:val="24"/>
              </w:rPr>
              <w:t>SG Recommendation</w:t>
            </w:r>
          </w:p>
        </w:tc>
      </w:tr>
      <w:tr w:rsidR="00550CE1" w:rsidRPr="00EF70AC" w:rsidTr="0070281B">
        <w:trPr>
          <w:cantSplit/>
          <w:trHeight w:val="462"/>
          <w:jc w:val="center"/>
        </w:trPr>
        <w:tc>
          <w:tcPr>
            <w:tcW w:w="5490" w:type="dxa"/>
          </w:tcPr>
          <w:p w:rsidR="00550CE1" w:rsidRPr="00476239" w:rsidRDefault="00550CE1" w:rsidP="006D2310">
            <w:pPr>
              <w:pStyle w:val="TableText0"/>
              <w:keepNext/>
              <w:keepLines/>
              <w:tabs>
                <w:tab w:val="clear" w:pos="284"/>
                <w:tab w:val="clear" w:pos="851"/>
                <w:tab w:val="clear" w:pos="1418"/>
                <w:tab w:val="clear" w:pos="2552"/>
                <w:tab w:val="clear" w:pos="3119"/>
                <w:tab w:val="clear" w:pos="3402"/>
                <w:tab w:val="clear" w:pos="3686"/>
                <w:tab w:val="clear" w:pos="3969"/>
              </w:tabs>
              <w:snapToGrid w:val="0"/>
              <w:spacing w:before="240" w:after="120" w:line="240" w:lineRule="auto"/>
              <w:jc w:val="center"/>
              <w:rPr>
                <w:rFonts w:cstheme="minorHAnsi"/>
                <w:b/>
                <w:iCs/>
                <w:szCs w:val="24"/>
                <w:lang w:val="es-ES_tradnl"/>
              </w:rPr>
            </w:pPr>
            <w:r w:rsidRPr="00476239">
              <w:rPr>
                <w:rFonts w:cs="Calibri"/>
                <w:b/>
              </w:rPr>
              <w:t>European Radio Amateurs</w:t>
            </w:r>
            <w:r w:rsidR="0070281B">
              <w:rPr>
                <w:rFonts w:cs="Calibri"/>
                <w:b/>
              </w:rPr>
              <w:t>’</w:t>
            </w:r>
            <w:r w:rsidRPr="00476239">
              <w:rPr>
                <w:rFonts w:cs="Calibri"/>
                <w:b/>
              </w:rPr>
              <w:t xml:space="preserve"> Organization (EURAO)</w:t>
            </w:r>
          </w:p>
        </w:tc>
        <w:tc>
          <w:tcPr>
            <w:tcW w:w="1620" w:type="dxa"/>
          </w:tcPr>
          <w:p w:rsidR="00550CE1" w:rsidRPr="00506994" w:rsidRDefault="00550CE1" w:rsidP="006D2310">
            <w:pPr>
              <w:pStyle w:val="TableText0"/>
              <w:keepNext/>
              <w:keepLines/>
              <w:tabs>
                <w:tab w:val="clear" w:pos="284"/>
                <w:tab w:val="clear" w:pos="851"/>
                <w:tab w:val="clear" w:pos="1418"/>
                <w:tab w:val="clear" w:pos="2552"/>
                <w:tab w:val="clear" w:pos="3119"/>
                <w:tab w:val="clear" w:pos="3402"/>
                <w:tab w:val="clear" w:pos="3686"/>
                <w:tab w:val="clear" w:pos="3969"/>
              </w:tabs>
              <w:snapToGrid w:val="0"/>
              <w:spacing w:before="240" w:after="120" w:line="240" w:lineRule="auto"/>
              <w:jc w:val="center"/>
              <w:rPr>
                <w:rFonts w:cstheme="minorHAnsi"/>
                <w:szCs w:val="24"/>
                <w:lang w:val="fr-CH"/>
              </w:rPr>
            </w:pPr>
            <w:r>
              <w:rPr>
                <w:rFonts w:cstheme="minorHAnsi"/>
                <w:szCs w:val="24"/>
                <w:lang w:val="fr-CH"/>
              </w:rPr>
              <w:t>ITU-R</w:t>
            </w:r>
          </w:p>
        </w:tc>
        <w:tc>
          <w:tcPr>
            <w:tcW w:w="2098" w:type="dxa"/>
          </w:tcPr>
          <w:p w:rsidR="00550CE1" w:rsidRPr="00506994" w:rsidRDefault="00550CE1" w:rsidP="006D2310">
            <w:pPr>
              <w:pStyle w:val="TableText0"/>
              <w:keepNext/>
              <w:keepLines/>
              <w:tabs>
                <w:tab w:val="clear" w:pos="284"/>
                <w:tab w:val="clear" w:pos="851"/>
                <w:tab w:val="clear" w:pos="1418"/>
                <w:tab w:val="clear" w:pos="2552"/>
                <w:tab w:val="clear" w:pos="3119"/>
                <w:tab w:val="clear" w:pos="3402"/>
                <w:tab w:val="clear" w:pos="3686"/>
                <w:tab w:val="clear" w:pos="3969"/>
              </w:tabs>
              <w:snapToGrid w:val="0"/>
              <w:spacing w:before="240" w:after="120" w:line="240" w:lineRule="auto"/>
              <w:jc w:val="center"/>
              <w:rPr>
                <w:rFonts w:cstheme="minorHAnsi"/>
                <w:szCs w:val="24"/>
                <w:lang w:val="fr-CH"/>
              </w:rPr>
            </w:pPr>
            <w:r>
              <w:rPr>
                <w:rFonts w:cstheme="minorHAnsi"/>
                <w:szCs w:val="24"/>
                <w:lang w:val="fr-CH"/>
              </w:rPr>
              <w:t>YES</w:t>
            </w:r>
          </w:p>
        </w:tc>
      </w:tr>
    </w:tbl>
    <w:p w:rsidR="00550CE1" w:rsidRPr="003101DB" w:rsidRDefault="00550CE1" w:rsidP="00550CE1">
      <w:pPr>
        <w:tabs>
          <w:tab w:val="clear" w:pos="567"/>
          <w:tab w:val="clear" w:pos="1134"/>
          <w:tab w:val="clear" w:pos="1701"/>
          <w:tab w:val="clear" w:pos="2268"/>
          <w:tab w:val="clear" w:pos="2835"/>
        </w:tabs>
        <w:snapToGrid w:val="0"/>
        <w:spacing w:before="240" w:after="120"/>
        <w:jc w:val="both"/>
        <w:rPr>
          <w:rFonts w:cs="Calibri"/>
        </w:rPr>
      </w:pPr>
      <w:r w:rsidRPr="003101DB">
        <w:rPr>
          <w:rFonts w:cs="Calibri"/>
          <w:b/>
        </w:rPr>
        <w:t>Comments</w:t>
      </w:r>
      <w:r w:rsidRPr="003101DB">
        <w:rPr>
          <w:rFonts w:cs="Calibri"/>
        </w:rPr>
        <w:t>:</w:t>
      </w:r>
      <w:r>
        <w:rPr>
          <w:rFonts w:cs="Calibri"/>
        </w:rPr>
        <w:t xml:space="preserve"> </w:t>
      </w:r>
      <w:r w:rsidRPr="00476239">
        <w:rPr>
          <w:rFonts w:cs="Calibri"/>
        </w:rPr>
        <w:t>The European Radio Amateurs</w:t>
      </w:r>
      <w:r w:rsidR="0070281B">
        <w:rPr>
          <w:rFonts w:cs="Calibri"/>
        </w:rPr>
        <w:t>’</w:t>
      </w:r>
      <w:r w:rsidRPr="00476239">
        <w:rPr>
          <w:rFonts w:cs="Calibri"/>
        </w:rPr>
        <w:t xml:space="preserve"> Organization (EURAO), established in 2005, is </w:t>
      </w:r>
      <w:r>
        <w:rPr>
          <w:rFonts w:cs="Calibri"/>
        </w:rPr>
        <w:t xml:space="preserve">a meeting point for independent radio amateur associations and individuals in some 70 countries from Europe and </w:t>
      </w:r>
      <w:r w:rsidRPr="00476239">
        <w:rPr>
          <w:rFonts w:cs="Calibri"/>
        </w:rPr>
        <w:t>around the world</w:t>
      </w:r>
      <w:r>
        <w:rPr>
          <w:rFonts w:cs="Calibri"/>
        </w:rPr>
        <w:t xml:space="preserve">. EURAO members </w:t>
      </w:r>
      <w:r w:rsidRPr="00476239">
        <w:rPr>
          <w:rFonts w:cs="Calibri"/>
        </w:rPr>
        <w:t>sh</w:t>
      </w:r>
      <w:r>
        <w:rPr>
          <w:rFonts w:cs="Calibri"/>
        </w:rPr>
        <w:t xml:space="preserve">are </w:t>
      </w:r>
      <w:r w:rsidRPr="00476239">
        <w:rPr>
          <w:rFonts w:cs="Calibri"/>
        </w:rPr>
        <w:t xml:space="preserve">activities and experiences, </w:t>
      </w:r>
      <w:r>
        <w:rPr>
          <w:rFonts w:cs="Calibri"/>
        </w:rPr>
        <w:t>common services and work together on projects. EUROA also represents its members to</w:t>
      </w:r>
      <w:r w:rsidRPr="00476239">
        <w:rPr>
          <w:rFonts w:cs="Calibri"/>
        </w:rPr>
        <w:t xml:space="preserve"> </w:t>
      </w:r>
      <w:r>
        <w:rPr>
          <w:rFonts w:cs="Calibri"/>
        </w:rPr>
        <w:t>public a</w:t>
      </w:r>
      <w:r w:rsidRPr="00476239">
        <w:rPr>
          <w:rFonts w:cs="Calibri"/>
        </w:rPr>
        <w:t>dministrations.</w:t>
      </w:r>
      <w:r>
        <w:rPr>
          <w:rFonts w:cs="Calibri"/>
        </w:rPr>
        <w:t xml:space="preserve"> The </w:t>
      </w:r>
      <w:r w:rsidR="006D2310">
        <w:rPr>
          <w:rFonts w:cs="Calibri"/>
        </w:rPr>
        <w:t>s</w:t>
      </w:r>
      <w:r w:rsidRPr="00492606">
        <w:rPr>
          <w:rFonts w:cs="Calibri"/>
        </w:rPr>
        <w:t xml:space="preserve">ecretariat is of the view that </w:t>
      </w:r>
      <w:r>
        <w:rPr>
          <w:rFonts w:cs="Calibri"/>
        </w:rPr>
        <w:t>EURAO</w:t>
      </w:r>
      <w:r w:rsidRPr="00492606">
        <w:rPr>
          <w:rFonts w:cs="Calibri"/>
        </w:rPr>
        <w:t xml:space="preserve"> </w:t>
      </w:r>
      <w:r w:rsidRPr="00CC65A4">
        <w:rPr>
          <w:rFonts w:cs="Calibri"/>
        </w:rPr>
        <w:t xml:space="preserve">meets </w:t>
      </w:r>
      <w:r w:rsidRPr="00492606">
        <w:rPr>
          <w:rFonts w:cs="Calibri"/>
        </w:rPr>
        <w:t xml:space="preserve">the criteria for </w:t>
      </w:r>
      <w:r>
        <w:rPr>
          <w:rFonts w:cs="Calibri"/>
        </w:rPr>
        <w:t xml:space="preserve">ITU-R </w:t>
      </w:r>
      <w:r w:rsidRPr="00492606">
        <w:rPr>
          <w:rFonts w:cs="Calibri"/>
        </w:rPr>
        <w:t>exemption</w:t>
      </w:r>
      <w:r>
        <w:rPr>
          <w:rFonts w:cs="Calibri"/>
        </w:rPr>
        <w:t>.</w:t>
      </w:r>
    </w:p>
    <w:p w:rsidR="00550CE1" w:rsidRPr="003101DB" w:rsidRDefault="00550CE1" w:rsidP="0070281B">
      <w:pPr>
        <w:spacing w:before="240" w:after="120"/>
        <w:rPr>
          <w:rFonts w:cs="Calibri"/>
          <w:szCs w:val="24"/>
        </w:rPr>
      </w:pPr>
      <w:r>
        <w:rPr>
          <w:rFonts w:cs="Calibri"/>
          <w:szCs w:val="24"/>
        </w:rPr>
        <w:t>3</w:t>
      </w:r>
      <w:r w:rsidRPr="003101DB">
        <w:rPr>
          <w:rFonts w:cs="Calibri"/>
          <w:szCs w:val="24"/>
        </w:rPr>
        <w:t>.</w:t>
      </w:r>
      <w:r>
        <w:rPr>
          <w:rFonts w:cs="Calibri"/>
          <w:szCs w:val="24"/>
        </w:rPr>
        <w:t>3</w:t>
      </w:r>
    </w:p>
    <w:tbl>
      <w:tblPr>
        <w:tblW w:w="92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5510"/>
        <w:gridCol w:w="1626"/>
        <w:gridCol w:w="2106"/>
      </w:tblGrid>
      <w:tr w:rsidR="00550CE1" w:rsidRPr="00B34A19" w:rsidTr="0070281B">
        <w:trPr>
          <w:cantSplit/>
          <w:trHeight w:val="300"/>
          <w:jc w:val="center"/>
        </w:trPr>
        <w:tc>
          <w:tcPr>
            <w:tcW w:w="5490" w:type="dxa"/>
            <w:tcBorders>
              <w:top w:val="single" w:sz="4" w:space="0" w:color="auto"/>
              <w:left w:val="single" w:sz="4" w:space="0" w:color="auto"/>
              <w:bottom w:val="single" w:sz="4" w:space="0" w:color="auto"/>
              <w:right w:val="single" w:sz="4" w:space="0" w:color="auto"/>
            </w:tcBorders>
            <w:vAlign w:val="center"/>
          </w:tcPr>
          <w:p w:rsidR="00550CE1" w:rsidRPr="00B34A19" w:rsidRDefault="00550CE1" w:rsidP="0070281B">
            <w:pPr>
              <w:pStyle w:val="TableHead0"/>
              <w:keepNext w:val="0"/>
              <w:spacing w:before="60" w:after="60"/>
              <w:rPr>
                <w:rFonts w:cstheme="minorHAnsi"/>
                <w:szCs w:val="24"/>
              </w:rPr>
            </w:pPr>
            <w:r w:rsidRPr="00B34A19">
              <w:rPr>
                <w:rFonts w:cstheme="minorHAnsi"/>
                <w:szCs w:val="24"/>
              </w:rPr>
              <w:t>Organization</w:t>
            </w:r>
          </w:p>
        </w:tc>
        <w:tc>
          <w:tcPr>
            <w:tcW w:w="1620" w:type="dxa"/>
            <w:tcBorders>
              <w:top w:val="single" w:sz="4" w:space="0" w:color="auto"/>
              <w:left w:val="single" w:sz="4" w:space="0" w:color="auto"/>
              <w:bottom w:val="single" w:sz="4" w:space="0" w:color="auto"/>
              <w:right w:val="single" w:sz="4" w:space="0" w:color="auto"/>
            </w:tcBorders>
            <w:vAlign w:val="center"/>
          </w:tcPr>
          <w:p w:rsidR="00550CE1" w:rsidRPr="00B34A19" w:rsidRDefault="00550CE1" w:rsidP="0070281B">
            <w:pPr>
              <w:pStyle w:val="TableHead0"/>
              <w:keepNext w:val="0"/>
              <w:spacing w:before="60" w:after="60"/>
              <w:rPr>
                <w:rFonts w:cstheme="minorHAnsi"/>
                <w:szCs w:val="24"/>
              </w:rPr>
            </w:pPr>
            <w:r w:rsidRPr="00B34A19">
              <w:rPr>
                <w:rFonts w:cstheme="minorHAnsi"/>
                <w:szCs w:val="24"/>
              </w:rPr>
              <w:t>Sector</w:t>
            </w:r>
          </w:p>
        </w:tc>
        <w:tc>
          <w:tcPr>
            <w:tcW w:w="2098" w:type="dxa"/>
            <w:tcBorders>
              <w:top w:val="single" w:sz="4" w:space="0" w:color="auto"/>
              <w:left w:val="single" w:sz="4" w:space="0" w:color="auto"/>
              <w:bottom w:val="single" w:sz="4" w:space="0" w:color="auto"/>
              <w:right w:val="single" w:sz="4" w:space="0" w:color="auto"/>
            </w:tcBorders>
            <w:vAlign w:val="center"/>
          </w:tcPr>
          <w:p w:rsidR="00550CE1" w:rsidRPr="00B34A19" w:rsidRDefault="00550CE1" w:rsidP="0070281B">
            <w:pPr>
              <w:pStyle w:val="TableHead0"/>
              <w:keepNext w:val="0"/>
              <w:spacing w:before="60" w:after="60"/>
              <w:rPr>
                <w:rFonts w:cstheme="minorHAnsi"/>
                <w:szCs w:val="24"/>
              </w:rPr>
            </w:pPr>
            <w:r>
              <w:rPr>
                <w:rFonts w:cstheme="minorHAnsi"/>
                <w:szCs w:val="24"/>
              </w:rPr>
              <w:t>SG Recommendation</w:t>
            </w:r>
          </w:p>
        </w:tc>
      </w:tr>
      <w:tr w:rsidR="00550CE1" w:rsidRPr="00EF70AC" w:rsidTr="0070281B">
        <w:trPr>
          <w:cantSplit/>
          <w:trHeight w:val="507"/>
          <w:jc w:val="center"/>
        </w:trPr>
        <w:tc>
          <w:tcPr>
            <w:tcW w:w="5490" w:type="dxa"/>
            <w:tcBorders>
              <w:top w:val="single" w:sz="4" w:space="0" w:color="auto"/>
              <w:left w:val="single" w:sz="4" w:space="0" w:color="auto"/>
              <w:bottom w:val="single" w:sz="4" w:space="0" w:color="auto"/>
              <w:right w:val="single" w:sz="4" w:space="0" w:color="auto"/>
            </w:tcBorders>
            <w:vAlign w:val="center"/>
          </w:tcPr>
          <w:p w:rsidR="00550CE1" w:rsidRPr="00083A8F" w:rsidRDefault="00550CE1" w:rsidP="0070281B">
            <w:pPr>
              <w:pStyle w:val="TableText0"/>
              <w:spacing w:before="120" w:after="120"/>
              <w:jc w:val="center"/>
              <w:rPr>
                <w:rFonts w:cstheme="minorHAnsi"/>
                <w:b/>
                <w:iCs/>
                <w:szCs w:val="24"/>
              </w:rPr>
            </w:pPr>
            <w:r w:rsidRPr="00083A8F">
              <w:rPr>
                <w:rFonts w:cstheme="minorHAnsi"/>
                <w:b/>
                <w:iCs/>
                <w:szCs w:val="24"/>
              </w:rPr>
              <w:t>Commonwealth Tele</w:t>
            </w:r>
            <w:r>
              <w:rPr>
                <w:rFonts w:cstheme="minorHAnsi"/>
                <w:b/>
                <w:iCs/>
                <w:szCs w:val="24"/>
              </w:rPr>
              <w:t>communication Organization (CTO)</w:t>
            </w:r>
          </w:p>
        </w:tc>
        <w:tc>
          <w:tcPr>
            <w:tcW w:w="1620" w:type="dxa"/>
            <w:tcBorders>
              <w:top w:val="single" w:sz="4" w:space="0" w:color="auto"/>
              <w:left w:val="single" w:sz="4" w:space="0" w:color="auto"/>
              <w:bottom w:val="single" w:sz="4" w:space="0" w:color="auto"/>
              <w:right w:val="single" w:sz="4" w:space="0" w:color="auto"/>
            </w:tcBorders>
            <w:vAlign w:val="center"/>
          </w:tcPr>
          <w:p w:rsidR="00550CE1" w:rsidRPr="00A234EA" w:rsidRDefault="00550CE1" w:rsidP="0070281B">
            <w:pPr>
              <w:pStyle w:val="TableText0"/>
              <w:spacing w:before="120" w:after="120"/>
              <w:jc w:val="center"/>
              <w:rPr>
                <w:rFonts w:cstheme="minorHAnsi"/>
                <w:szCs w:val="24"/>
              </w:rPr>
            </w:pPr>
            <w:r w:rsidRPr="00A234EA">
              <w:rPr>
                <w:rFonts w:cstheme="minorHAnsi"/>
                <w:iCs/>
                <w:szCs w:val="24"/>
              </w:rPr>
              <w:t>ITU-R</w:t>
            </w:r>
          </w:p>
        </w:tc>
        <w:tc>
          <w:tcPr>
            <w:tcW w:w="2098" w:type="dxa"/>
            <w:tcBorders>
              <w:top w:val="single" w:sz="4" w:space="0" w:color="auto"/>
              <w:left w:val="single" w:sz="4" w:space="0" w:color="auto"/>
              <w:bottom w:val="single" w:sz="4" w:space="0" w:color="auto"/>
              <w:right w:val="single" w:sz="4" w:space="0" w:color="auto"/>
            </w:tcBorders>
            <w:vAlign w:val="center"/>
          </w:tcPr>
          <w:p w:rsidR="00550CE1" w:rsidRPr="00083A8F" w:rsidRDefault="00550CE1" w:rsidP="0070281B">
            <w:pPr>
              <w:pStyle w:val="TableText0"/>
              <w:spacing w:before="120" w:after="120"/>
              <w:jc w:val="center"/>
              <w:rPr>
                <w:rFonts w:cstheme="minorHAnsi"/>
                <w:szCs w:val="24"/>
              </w:rPr>
            </w:pPr>
            <w:r>
              <w:rPr>
                <w:rFonts w:cstheme="minorHAnsi"/>
                <w:szCs w:val="24"/>
              </w:rPr>
              <w:t>YES</w:t>
            </w:r>
          </w:p>
        </w:tc>
      </w:tr>
    </w:tbl>
    <w:p w:rsidR="00550CE1" w:rsidRDefault="00550CE1" w:rsidP="0070281B">
      <w:pPr>
        <w:tabs>
          <w:tab w:val="clear" w:pos="567"/>
          <w:tab w:val="clear" w:pos="1134"/>
          <w:tab w:val="clear" w:pos="1701"/>
          <w:tab w:val="clear" w:pos="2268"/>
          <w:tab w:val="clear" w:pos="2835"/>
        </w:tabs>
        <w:snapToGrid w:val="0"/>
        <w:spacing w:before="240" w:after="120"/>
        <w:jc w:val="both"/>
        <w:rPr>
          <w:rFonts w:cs="Calibri"/>
        </w:rPr>
      </w:pPr>
      <w:r w:rsidRPr="003101DB">
        <w:rPr>
          <w:rFonts w:cs="Calibri"/>
          <w:b/>
        </w:rPr>
        <w:t>Comments</w:t>
      </w:r>
      <w:r w:rsidRPr="003101DB">
        <w:rPr>
          <w:rFonts w:cs="Calibri"/>
        </w:rPr>
        <w:t>:</w:t>
      </w:r>
      <w:r>
        <w:rPr>
          <w:rFonts w:cs="Calibri"/>
        </w:rPr>
        <w:t xml:space="preserve"> </w:t>
      </w:r>
      <w:r w:rsidRPr="00083A8F">
        <w:rPr>
          <w:rFonts w:cs="Calibri"/>
        </w:rPr>
        <w:t xml:space="preserve">The Commonwealth Telecommunications Organisation (CTO) </w:t>
      </w:r>
      <w:r>
        <w:rPr>
          <w:rFonts w:cs="Calibri"/>
        </w:rPr>
        <w:t xml:space="preserve">is an </w:t>
      </w:r>
      <w:r w:rsidR="0070281B">
        <w:rPr>
          <w:rFonts w:cs="Calibri"/>
        </w:rPr>
        <w:t>intergovernmental organiz</w:t>
      </w:r>
      <w:r w:rsidRPr="00083A8F">
        <w:rPr>
          <w:rFonts w:cs="Calibri"/>
        </w:rPr>
        <w:t>ation in the field of</w:t>
      </w:r>
      <w:r>
        <w:rPr>
          <w:rFonts w:cs="Calibri"/>
        </w:rPr>
        <w:t xml:space="preserve"> ICT</w:t>
      </w:r>
      <w:r w:rsidRPr="00083A8F">
        <w:rPr>
          <w:rFonts w:cs="Calibri"/>
        </w:rPr>
        <w:t xml:space="preserve">. CTO has a diverse range of members including developed countries, developing countries, Least Developed Countries, Small Island Developing States and Landlocked Developing Countries. </w:t>
      </w:r>
      <w:r w:rsidR="0070281B" w:rsidRPr="00083A8F">
        <w:rPr>
          <w:rFonts w:cs="Calibri"/>
        </w:rPr>
        <w:t>Therefore,</w:t>
      </w:r>
      <w:r w:rsidRPr="00083A8F">
        <w:rPr>
          <w:rFonts w:cs="Calibri"/>
        </w:rPr>
        <w:t xml:space="preserve"> policies, decisions</w:t>
      </w:r>
      <w:r w:rsidR="0070281B">
        <w:rPr>
          <w:rFonts w:cs="Calibri"/>
        </w:rPr>
        <w:t>,</w:t>
      </w:r>
      <w:r w:rsidRPr="00083A8F">
        <w:rPr>
          <w:rFonts w:cs="Calibri"/>
        </w:rPr>
        <w:t xml:space="preserve"> and actions must cater to the needs of this </w:t>
      </w:r>
      <w:r w:rsidRPr="00083A8F">
        <w:rPr>
          <w:rFonts w:cs="Calibri"/>
        </w:rPr>
        <w:lastRenderedPageBreak/>
        <w:t>wide range of countries. CTO is an in</w:t>
      </w:r>
      <w:r w:rsidR="0070281B">
        <w:rPr>
          <w:rFonts w:cs="Calibri"/>
        </w:rPr>
        <w:t>ternational treaty organiz</w:t>
      </w:r>
      <w:r>
        <w:rPr>
          <w:rFonts w:cs="Calibri"/>
        </w:rPr>
        <w:t>ation</w:t>
      </w:r>
      <w:r w:rsidRPr="00083A8F">
        <w:rPr>
          <w:rFonts w:cs="Calibri"/>
        </w:rPr>
        <w:t xml:space="preserve"> and as such is a </w:t>
      </w:r>
      <w:r w:rsidRPr="00083A8F">
        <w:rPr>
          <w:rFonts w:cs="Calibri"/>
          <w:bCs/>
        </w:rPr>
        <w:t>not-for-profit</w:t>
      </w:r>
      <w:r w:rsidRPr="00083A8F">
        <w:rPr>
          <w:rFonts w:cs="Calibri"/>
        </w:rPr>
        <w:t> entity</w:t>
      </w:r>
      <w:r w:rsidRPr="007E74B4">
        <w:rPr>
          <w:rFonts w:cs="Calibri"/>
        </w:rPr>
        <w:t xml:space="preserve">. </w:t>
      </w:r>
      <w:r>
        <w:rPr>
          <w:rFonts w:cs="Calibri"/>
        </w:rPr>
        <w:t xml:space="preserve">CTO already enjoys fee exemption status as a Sector Member of ITU-T and ITU-D. </w:t>
      </w:r>
      <w:r w:rsidR="00546AE8">
        <w:rPr>
          <w:rFonts w:cs="Calibri"/>
        </w:rPr>
        <w:t>The s</w:t>
      </w:r>
      <w:r w:rsidRPr="007E74B4">
        <w:rPr>
          <w:rFonts w:cs="Calibri"/>
        </w:rPr>
        <w:t xml:space="preserve">ecretariat is of the view that CTO meets the criteria for </w:t>
      </w:r>
      <w:r>
        <w:rPr>
          <w:rFonts w:cs="Calibri"/>
        </w:rPr>
        <w:t xml:space="preserve">ITU-R </w:t>
      </w:r>
      <w:r w:rsidRPr="007E74B4">
        <w:rPr>
          <w:rFonts w:cs="Calibri"/>
        </w:rPr>
        <w:t>exemption</w:t>
      </w:r>
      <w:r>
        <w:rPr>
          <w:rFonts w:cs="Calibri"/>
        </w:rPr>
        <w:t>.</w:t>
      </w:r>
    </w:p>
    <w:p w:rsidR="00550CE1" w:rsidRPr="003101DB" w:rsidRDefault="00550CE1" w:rsidP="0070281B">
      <w:pPr>
        <w:spacing w:before="240" w:after="120"/>
        <w:jc w:val="both"/>
        <w:rPr>
          <w:rFonts w:cs="Calibri"/>
          <w:szCs w:val="24"/>
        </w:rPr>
      </w:pPr>
      <w:r>
        <w:rPr>
          <w:rFonts w:cs="Calibri"/>
          <w:szCs w:val="24"/>
        </w:rPr>
        <w:t>3</w:t>
      </w:r>
      <w:r w:rsidRPr="003101DB">
        <w:rPr>
          <w:rFonts w:cs="Calibri"/>
          <w:szCs w:val="24"/>
        </w:rPr>
        <w:t>.</w:t>
      </w:r>
      <w:r>
        <w:rPr>
          <w:rFonts w:cs="Calibri"/>
          <w:szCs w:val="24"/>
        </w:rPr>
        <w:t>4</w:t>
      </w:r>
    </w:p>
    <w:tbl>
      <w:tblPr>
        <w:tblW w:w="92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5510"/>
        <w:gridCol w:w="1626"/>
        <w:gridCol w:w="2106"/>
      </w:tblGrid>
      <w:tr w:rsidR="00550CE1" w:rsidRPr="00B34A19" w:rsidTr="0070281B">
        <w:trPr>
          <w:cantSplit/>
          <w:trHeight w:val="345"/>
          <w:jc w:val="center"/>
        </w:trPr>
        <w:tc>
          <w:tcPr>
            <w:tcW w:w="5490" w:type="dxa"/>
            <w:vAlign w:val="center"/>
          </w:tcPr>
          <w:p w:rsidR="00550CE1" w:rsidRPr="00B34A19" w:rsidRDefault="00550CE1" w:rsidP="0070281B">
            <w:pPr>
              <w:pStyle w:val="TableHead0"/>
              <w:keepNext w:val="0"/>
              <w:spacing w:before="120" w:after="120"/>
              <w:rPr>
                <w:rFonts w:cstheme="minorHAnsi"/>
                <w:szCs w:val="24"/>
              </w:rPr>
            </w:pPr>
            <w:r w:rsidRPr="00B34A19">
              <w:rPr>
                <w:rFonts w:cstheme="minorHAnsi"/>
                <w:szCs w:val="24"/>
              </w:rPr>
              <w:t>Organization</w:t>
            </w:r>
          </w:p>
        </w:tc>
        <w:tc>
          <w:tcPr>
            <w:tcW w:w="1620" w:type="dxa"/>
            <w:vAlign w:val="center"/>
          </w:tcPr>
          <w:p w:rsidR="00550CE1" w:rsidRPr="00B34A19" w:rsidRDefault="00550CE1" w:rsidP="0070281B">
            <w:pPr>
              <w:pStyle w:val="TableHead0"/>
              <w:keepNext w:val="0"/>
              <w:spacing w:before="120" w:after="120"/>
              <w:rPr>
                <w:rFonts w:cstheme="minorHAnsi"/>
                <w:szCs w:val="24"/>
              </w:rPr>
            </w:pPr>
            <w:r w:rsidRPr="00B34A19">
              <w:rPr>
                <w:rFonts w:cstheme="minorHAnsi"/>
                <w:szCs w:val="24"/>
              </w:rPr>
              <w:t>Sector</w:t>
            </w:r>
          </w:p>
        </w:tc>
        <w:tc>
          <w:tcPr>
            <w:tcW w:w="2098" w:type="dxa"/>
            <w:vAlign w:val="center"/>
          </w:tcPr>
          <w:p w:rsidR="00550CE1" w:rsidRPr="00B34A19" w:rsidRDefault="00550CE1" w:rsidP="0070281B">
            <w:pPr>
              <w:pStyle w:val="TableHead0"/>
              <w:keepNext w:val="0"/>
              <w:spacing w:before="120" w:after="120"/>
              <w:rPr>
                <w:rFonts w:cstheme="minorHAnsi"/>
                <w:szCs w:val="24"/>
              </w:rPr>
            </w:pPr>
            <w:r>
              <w:rPr>
                <w:rFonts w:cstheme="minorHAnsi"/>
                <w:szCs w:val="24"/>
              </w:rPr>
              <w:t>SG</w:t>
            </w:r>
            <w:r w:rsidR="00546AE8">
              <w:rPr>
                <w:rFonts w:cstheme="minorHAnsi"/>
                <w:szCs w:val="24"/>
              </w:rPr>
              <w:t xml:space="preserve"> </w:t>
            </w:r>
            <w:r>
              <w:rPr>
                <w:rFonts w:cstheme="minorHAnsi"/>
                <w:szCs w:val="24"/>
              </w:rPr>
              <w:t>Recommendation</w:t>
            </w:r>
          </w:p>
        </w:tc>
      </w:tr>
      <w:tr w:rsidR="00550CE1" w:rsidRPr="00B23E92" w:rsidTr="0070281B">
        <w:trPr>
          <w:cantSplit/>
          <w:trHeight w:val="345"/>
          <w:jc w:val="center"/>
        </w:trPr>
        <w:tc>
          <w:tcPr>
            <w:tcW w:w="5490" w:type="dxa"/>
            <w:vAlign w:val="center"/>
          </w:tcPr>
          <w:p w:rsidR="00550CE1" w:rsidRPr="00B23E92" w:rsidRDefault="00550CE1" w:rsidP="0070281B">
            <w:pPr>
              <w:pStyle w:val="TableText0"/>
              <w:spacing w:before="120" w:after="120"/>
              <w:jc w:val="center"/>
              <w:rPr>
                <w:rFonts w:cstheme="minorHAnsi"/>
                <w:b/>
                <w:iCs/>
                <w:szCs w:val="24"/>
                <w:lang w:val="fr-CA"/>
              </w:rPr>
            </w:pPr>
            <w:proofErr w:type="spellStart"/>
            <w:r w:rsidRPr="00B23E92">
              <w:rPr>
                <w:rFonts w:cstheme="minorHAnsi"/>
                <w:b/>
                <w:iCs/>
                <w:szCs w:val="24"/>
                <w:lang w:val="fr-CA"/>
              </w:rPr>
              <w:t>Telecommunications</w:t>
            </w:r>
            <w:proofErr w:type="spellEnd"/>
            <w:r w:rsidRPr="00B23E92">
              <w:rPr>
                <w:rFonts w:cstheme="minorHAnsi"/>
                <w:b/>
                <w:iCs/>
                <w:szCs w:val="24"/>
                <w:lang w:val="fr-CA"/>
              </w:rPr>
              <w:t xml:space="preserve"> User Interface </w:t>
            </w:r>
            <w:proofErr w:type="spellStart"/>
            <w:r w:rsidRPr="00B23E92">
              <w:rPr>
                <w:rFonts w:cstheme="minorHAnsi"/>
                <w:b/>
                <w:iCs/>
                <w:szCs w:val="24"/>
                <w:lang w:val="fr-CA"/>
              </w:rPr>
              <w:t>e.V.</w:t>
            </w:r>
            <w:proofErr w:type="spellEnd"/>
            <w:r w:rsidRPr="00B23E92">
              <w:rPr>
                <w:rFonts w:cstheme="minorHAnsi"/>
                <w:b/>
                <w:iCs/>
                <w:szCs w:val="24"/>
                <w:lang w:val="fr-CA"/>
              </w:rPr>
              <w:t xml:space="preserve"> (T-UI</w:t>
            </w:r>
            <w:r>
              <w:rPr>
                <w:rFonts w:cstheme="minorHAnsi"/>
                <w:b/>
                <w:iCs/>
                <w:szCs w:val="24"/>
                <w:lang w:val="fr-CA"/>
              </w:rPr>
              <w:t>)</w:t>
            </w:r>
          </w:p>
        </w:tc>
        <w:tc>
          <w:tcPr>
            <w:tcW w:w="1620" w:type="dxa"/>
            <w:vAlign w:val="center"/>
          </w:tcPr>
          <w:p w:rsidR="00550CE1" w:rsidRPr="00A234EA" w:rsidRDefault="00550CE1" w:rsidP="0070281B">
            <w:pPr>
              <w:pStyle w:val="TableText0"/>
              <w:spacing w:before="120" w:after="120"/>
              <w:jc w:val="center"/>
              <w:rPr>
                <w:rFonts w:cstheme="minorHAnsi"/>
                <w:szCs w:val="24"/>
                <w:lang w:val="fr-CA"/>
              </w:rPr>
            </w:pPr>
            <w:r w:rsidRPr="00A234EA">
              <w:rPr>
                <w:rFonts w:cstheme="minorHAnsi"/>
                <w:szCs w:val="24"/>
                <w:lang w:val="fr-CA"/>
              </w:rPr>
              <w:t>ITU-T</w:t>
            </w:r>
          </w:p>
        </w:tc>
        <w:tc>
          <w:tcPr>
            <w:tcW w:w="2098" w:type="dxa"/>
            <w:vAlign w:val="center"/>
          </w:tcPr>
          <w:p w:rsidR="00550CE1" w:rsidRPr="00506994" w:rsidRDefault="00550CE1" w:rsidP="0070281B">
            <w:pPr>
              <w:pStyle w:val="TableText0"/>
              <w:spacing w:before="120" w:after="120"/>
              <w:jc w:val="center"/>
              <w:rPr>
                <w:rFonts w:cstheme="minorHAnsi"/>
                <w:szCs w:val="24"/>
                <w:lang w:val="fr-CH"/>
              </w:rPr>
            </w:pPr>
            <w:r>
              <w:rPr>
                <w:rFonts w:cstheme="minorHAnsi"/>
                <w:szCs w:val="24"/>
                <w:lang w:val="fr-CH"/>
              </w:rPr>
              <w:t>NO</w:t>
            </w:r>
          </w:p>
        </w:tc>
      </w:tr>
    </w:tbl>
    <w:p w:rsidR="00550CE1" w:rsidRDefault="00550CE1" w:rsidP="0070281B">
      <w:pPr>
        <w:widowControl w:val="0"/>
        <w:tabs>
          <w:tab w:val="clear" w:pos="567"/>
          <w:tab w:val="clear" w:pos="1134"/>
          <w:tab w:val="clear" w:pos="1701"/>
          <w:tab w:val="clear" w:pos="2268"/>
          <w:tab w:val="clear" w:pos="2835"/>
        </w:tabs>
        <w:snapToGrid w:val="0"/>
        <w:spacing w:before="240" w:after="120"/>
        <w:jc w:val="both"/>
        <w:rPr>
          <w:rFonts w:cs="Calibri"/>
        </w:rPr>
      </w:pPr>
      <w:r>
        <w:rPr>
          <w:rFonts w:cs="Calibri"/>
          <w:b/>
        </w:rPr>
        <w:t>C</w:t>
      </w:r>
      <w:r w:rsidRPr="003101DB">
        <w:rPr>
          <w:rFonts w:cs="Calibri"/>
          <w:b/>
        </w:rPr>
        <w:t>omments</w:t>
      </w:r>
      <w:r w:rsidRPr="003101DB">
        <w:rPr>
          <w:rFonts w:cs="Calibri"/>
        </w:rPr>
        <w:t>:</w:t>
      </w:r>
      <w:r>
        <w:rPr>
          <w:rFonts w:cs="Calibri"/>
        </w:rPr>
        <w:t xml:space="preserve"> </w:t>
      </w:r>
      <w:r>
        <w:rPr>
          <w:lang w:eastAsia="ko-KR"/>
        </w:rPr>
        <w:t xml:space="preserve">Telecommunications User Interface </w:t>
      </w:r>
      <w:proofErr w:type="spellStart"/>
      <w:r>
        <w:rPr>
          <w:lang w:eastAsia="ko-KR"/>
        </w:rPr>
        <w:t>e.V</w:t>
      </w:r>
      <w:proofErr w:type="spellEnd"/>
      <w:r>
        <w:rPr>
          <w:lang w:eastAsia="ko-KR"/>
        </w:rPr>
        <w:t>. is a non-profit individual membership-based telecommunication Association registered in Offenbach, Germany. The purpose of the Association is to support science and research, education, people</w:t>
      </w:r>
      <w:r w:rsidR="0070281B">
        <w:rPr>
          <w:lang w:eastAsia="ko-KR"/>
        </w:rPr>
        <w:t>,</w:t>
      </w:r>
      <w:r>
        <w:rPr>
          <w:lang w:eastAsia="ko-KR"/>
        </w:rPr>
        <w:t xml:space="preserve"> and professional education with regard to critical, scientific, technological communication on the user system relation (User Interface) including natural, latent information technology expressions (Telecommunications). Its current membership consists of 16 individuals (15 from Germany and 1 from the UK). The majority of these individuals possess expertise in telecommunications and are involved with other SDOs such as ETSI, IETF, IEC, ISO</w:t>
      </w:r>
      <w:r w:rsidR="0070281B">
        <w:rPr>
          <w:lang w:eastAsia="ko-KR"/>
        </w:rPr>
        <w:t>,</w:t>
      </w:r>
      <w:r>
        <w:rPr>
          <w:lang w:eastAsia="ko-KR"/>
        </w:rPr>
        <w:t xml:space="preserve"> and CEN/CENELEC. T</w:t>
      </w:r>
      <w:r w:rsidR="00546AE8">
        <w:rPr>
          <w:rFonts w:cs="Calibri"/>
        </w:rPr>
        <w:t>he s</w:t>
      </w:r>
      <w:r w:rsidRPr="00492606">
        <w:rPr>
          <w:rFonts w:cs="Calibri"/>
        </w:rPr>
        <w:t xml:space="preserve">ecretariat is of the view that the Telecommunications User Interface </w:t>
      </w:r>
      <w:proofErr w:type="spellStart"/>
      <w:r w:rsidRPr="00492606">
        <w:rPr>
          <w:rFonts w:cs="Calibri"/>
        </w:rPr>
        <w:t>e.V</w:t>
      </w:r>
      <w:proofErr w:type="spellEnd"/>
      <w:r w:rsidRPr="00492606">
        <w:rPr>
          <w:rFonts w:cs="Calibri"/>
        </w:rPr>
        <w:t xml:space="preserve">. </w:t>
      </w:r>
      <w:r w:rsidRPr="00476239">
        <w:rPr>
          <w:rFonts w:cs="Calibri"/>
        </w:rPr>
        <w:t>d</w:t>
      </w:r>
      <w:r>
        <w:rPr>
          <w:rFonts w:cs="Calibri"/>
        </w:rPr>
        <w:t xml:space="preserve">oes not meet the </w:t>
      </w:r>
      <w:r w:rsidRPr="00492606">
        <w:rPr>
          <w:rFonts w:cs="Calibri"/>
        </w:rPr>
        <w:t xml:space="preserve">Council criteria for </w:t>
      </w:r>
      <w:r>
        <w:rPr>
          <w:rFonts w:cs="Calibri"/>
        </w:rPr>
        <w:t xml:space="preserve">ITU-T </w:t>
      </w:r>
      <w:r w:rsidRPr="00492606">
        <w:rPr>
          <w:rFonts w:cs="Calibri"/>
        </w:rPr>
        <w:t>exemption</w:t>
      </w:r>
      <w:r>
        <w:rPr>
          <w:rFonts w:cs="Calibri"/>
        </w:rPr>
        <w:t xml:space="preserve"> due to insufficient regional/international membership</w:t>
      </w:r>
      <w:r w:rsidRPr="00492606">
        <w:rPr>
          <w:rFonts w:cs="Calibri"/>
        </w:rPr>
        <w:t>.</w:t>
      </w:r>
    </w:p>
    <w:p w:rsidR="00550CE1" w:rsidRDefault="00550CE1" w:rsidP="0070281B">
      <w:pPr>
        <w:tabs>
          <w:tab w:val="clear" w:pos="567"/>
          <w:tab w:val="clear" w:pos="1134"/>
          <w:tab w:val="clear" w:pos="1701"/>
          <w:tab w:val="clear" w:pos="2268"/>
          <w:tab w:val="clear" w:pos="2835"/>
        </w:tabs>
        <w:snapToGrid w:val="0"/>
        <w:spacing w:before="240" w:after="120"/>
        <w:jc w:val="both"/>
        <w:rPr>
          <w:rFonts w:cstheme="minorHAnsi"/>
          <w:szCs w:val="24"/>
        </w:rPr>
      </w:pPr>
      <w:r>
        <w:rPr>
          <w:rFonts w:cstheme="minorHAnsi"/>
          <w:szCs w:val="24"/>
        </w:rPr>
        <w:t>3</w:t>
      </w:r>
      <w:r w:rsidRPr="009D7C70">
        <w:rPr>
          <w:rFonts w:cstheme="minorHAnsi"/>
          <w:szCs w:val="24"/>
        </w:rPr>
        <w:t>.</w:t>
      </w:r>
      <w:r>
        <w:rPr>
          <w:rFonts w:cstheme="minorHAnsi"/>
          <w:szCs w:val="24"/>
        </w:rPr>
        <w:t>5</w:t>
      </w:r>
    </w:p>
    <w:tbl>
      <w:tblPr>
        <w:tblW w:w="92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5510"/>
        <w:gridCol w:w="1626"/>
        <w:gridCol w:w="2106"/>
      </w:tblGrid>
      <w:tr w:rsidR="00550CE1" w:rsidRPr="00B34A19" w:rsidTr="0070281B">
        <w:trPr>
          <w:cantSplit/>
          <w:trHeight w:val="381"/>
          <w:jc w:val="center"/>
        </w:trPr>
        <w:tc>
          <w:tcPr>
            <w:tcW w:w="5490" w:type="dxa"/>
            <w:vAlign w:val="center"/>
          </w:tcPr>
          <w:p w:rsidR="00550CE1" w:rsidRPr="00B34A19" w:rsidRDefault="00550CE1" w:rsidP="0070281B">
            <w:pPr>
              <w:pStyle w:val="TableHead0"/>
              <w:keepNext w:val="0"/>
              <w:spacing w:before="120" w:after="120"/>
              <w:rPr>
                <w:rFonts w:cstheme="minorHAnsi"/>
                <w:szCs w:val="24"/>
              </w:rPr>
            </w:pPr>
            <w:r w:rsidRPr="00B34A19">
              <w:rPr>
                <w:rFonts w:cstheme="minorHAnsi"/>
                <w:szCs w:val="24"/>
              </w:rPr>
              <w:t>Organization</w:t>
            </w:r>
          </w:p>
        </w:tc>
        <w:tc>
          <w:tcPr>
            <w:tcW w:w="1620" w:type="dxa"/>
            <w:vAlign w:val="center"/>
          </w:tcPr>
          <w:p w:rsidR="00550CE1" w:rsidRPr="00B34A19" w:rsidRDefault="00550CE1" w:rsidP="0070281B">
            <w:pPr>
              <w:pStyle w:val="TableHead0"/>
              <w:keepNext w:val="0"/>
              <w:spacing w:before="120" w:after="120"/>
              <w:rPr>
                <w:rFonts w:cstheme="minorHAnsi"/>
                <w:szCs w:val="24"/>
              </w:rPr>
            </w:pPr>
            <w:r w:rsidRPr="00B34A19">
              <w:rPr>
                <w:rFonts w:cstheme="minorHAnsi"/>
                <w:szCs w:val="24"/>
              </w:rPr>
              <w:t>Sector</w:t>
            </w:r>
          </w:p>
        </w:tc>
        <w:tc>
          <w:tcPr>
            <w:tcW w:w="2098" w:type="dxa"/>
            <w:vAlign w:val="center"/>
          </w:tcPr>
          <w:p w:rsidR="00550CE1" w:rsidRPr="00B34A19" w:rsidRDefault="00550CE1" w:rsidP="0070281B">
            <w:pPr>
              <w:pStyle w:val="TableHead0"/>
              <w:keepNext w:val="0"/>
              <w:spacing w:before="120" w:after="120"/>
              <w:rPr>
                <w:rFonts w:cstheme="minorHAnsi"/>
                <w:szCs w:val="24"/>
              </w:rPr>
            </w:pPr>
            <w:r>
              <w:rPr>
                <w:rFonts w:cstheme="minorHAnsi"/>
                <w:szCs w:val="24"/>
              </w:rPr>
              <w:t>SG Recommendation</w:t>
            </w:r>
          </w:p>
        </w:tc>
      </w:tr>
      <w:tr w:rsidR="00550CE1" w:rsidRPr="00CD4D98" w:rsidTr="0070281B">
        <w:trPr>
          <w:cantSplit/>
          <w:trHeight w:val="840"/>
          <w:jc w:val="center"/>
        </w:trPr>
        <w:tc>
          <w:tcPr>
            <w:tcW w:w="5490" w:type="dxa"/>
            <w:vAlign w:val="center"/>
          </w:tcPr>
          <w:p w:rsidR="00550CE1" w:rsidRPr="003B6AE2" w:rsidRDefault="00550CE1" w:rsidP="0070281B">
            <w:pPr>
              <w:pStyle w:val="TableText0"/>
              <w:spacing w:before="120" w:after="60"/>
              <w:rPr>
                <w:rFonts w:cstheme="minorHAnsi"/>
                <w:b/>
                <w:iCs/>
                <w:szCs w:val="24"/>
              </w:rPr>
            </w:pPr>
            <w:r w:rsidRPr="003B6AE2">
              <w:rPr>
                <w:rFonts w:cstheme="minorHAnsi"/>
                <w:b/>
                <w:iCs/>
                <w:szCs w:val="24"/>
              </w:rPr>
              <w:t>Arab States Research and Education Network (ASREN</w:t>
            </w:r>
            <w:r>
              <w:rPr>
                <w:rFonts w:cstheme="minorHAnsi"/>
                <w:b/>
                <w:iCs/>
                <w:szCs w:val="24"/>
              </w:rPr>
              <w:t>)</w:t>
            </w:r>
          </w:p>
        </w:tc>
        <w:tc>
          <w:tcPr>
            <w:tcW w:w="1620" w:type="dxa"/>
            <w:vAlign w:val="center"/>
          </w:tcPr>
          <w:p w:rsidR="00550CE1" w:rsidRPr="00CD4D98" w:rsidRDefault="00550CE1" w:rsidP="0070281B">
            <w:pPr>
              <w:pStyle w:val="TableText0"/>
              <w:spacing w:before="0" w:after="60"/>
              <w:jc w:val="center"/>
              <w:rPr>
                <w:rFonts w:cstheme="minorHAnsi"/>
                <w:szCs w:val="24"/>
                <w:lang w:val="fr-CA"/>
              </w:rPr>
            </w:pPr>
            <w:r w:rsidRPr="00CD4D98">
              <w:rPr>
                <w:rFonts w:cstheme="minorHAnsi"/>
                <w:szCs w:val="24"/>
                <w:lang w:val="fr-CA"/>
              </w:rPr>
              <w:t>ITU-R</w:t>
            </w:r>
          </w:p>
          <w:p w:rsidR="00550CE1" w:rsidRPr="00CD4D98" w:rsidRDefault="00550CE1" w:rsidP="0070281B">
            <w:pPr>
              <w:pStyle w:val="TableText0"/>
              <w:spacing w:before="0" w:after="60"/>
              <w:jc w:val="center"/>
              <w:rPr>
                <w:rFonts w:cstheme="minorHAnsi"/>
                <w:szCs w:val="24"/>
                <w:lang w:val="fr-CA"/>
              </w:rPr>
            </w:pPr>
            <w:r w:rsidRPr="00CD4D98">
              <w:rPr>
                <w:rFonts w:cstheme="minorHAnsi"/>
                <w:szCs w:val="24"/>
                <w:lang w:val="fr-CA"/>
              </w:rPr>
              <w:t>ITU-T</w:t>
            </w:r>
          </w:p>
          <w:p w:rsidR="00550CE1" w:rsidRPr="00CD4D98" w:rsidRDefault="00550CE1" w:rsidP="0070281B">
            <w:pPr>
              <w:pStyle w:val="TableText0"/>
              <w:spacing w:before="0" w:after="60"/>
              <w:jc w:val="center"/>
              <w:rPr>
                <w:rFonts w:cstheme="minorHAnsi"/>
                <w:szCs w:val="24"/>
                <w:lang w:val="fr-CA"/>
              </w:rPr>
            </w:pPr>
            <w:r w:rsidRPr="00CD4D98">
              <w:rPr>
                <w:rFonts w:cstheme="minorHAnsi"/>
                <w:szCs w:val="24"/>
                <w:lang w:val="fr-CA"/>
              </w:rPr>
              <w:t>ITU-D</w:t>
            </w:r>
          </w:p>
        </w:tc>
        <w:tc>
          <w:tcPr>
            <w:tcW w:w="2098" w:type="dxa"/>
          </w:tcPr>
          <w:p w:rsidR="00550CE1" w:rsidRPr="00CD4D98" w:rsidRDefault="00550CE1" w:rsidP="0070281B">
            <w:pPr>
              <w:pStyle w:val="TableText0"/>
              <w:spacing w:before="0" w:after="60"/>
              <w:jc w:val="center"/>
              <w:rPr>
                <w:rFonts w:cstheme="minorHAnsi"/>
                <w:szCs w:val="24"/>
                <w:lang w:val="fr-CA"/>
              </w:rPr>
            </w:pPr>
            <w:r>
              <w:rPr>
                <w:rFonts w:cstheme="minorHAnsi"/>
                <w:szCs w:val="24"/>
                <w:lang w:val="fr-CA"/>
              </w:rPr>
              <w:t>YES</w:t>
            </w:r>
          </w:p>
          <w:p w:rsidR="00550CE1" w:rsidRDefault="00550CE1" w:rsidP="0070281B">
            <w:pPr>
              <w:pStyle w:val="TableText0"/>
              <w:spacing w:before="0" w:after="60"/>
              <w:jc w:val="center"/>
              <w:rPr>
                <w:rFonts w:cstheme="minorHAnsi"/>
                <w:szCs w:val="24"/>
              </w:rPr>
            </w:pPr>
            <w:r>
              <w:rPr>
                <w:rFonts w:cstheme="minorHAnsi"/>
                <w:szCs w:val="24"/>
              </w:rPr>
              <w:t>YES</w:t>
            </w:r>
          </w:p>
          <w:p w:rsidR="00550CE1" w:rsidRPr="00CD4D98" w:rsidRDefault="00550CE1" w:rsidP="0070281B">
            <w:pPr>
              <w:pStyle w:val="TableText0"/>
              <w:spacing w:before="0" w:after="60"/>
              <w:jc w:val="center"/>
              <w:rPr>
                <w:rFonts w:cstheme="minorHAnsi"/>
                <w:szCs w:val="24"/>
              </w:rPr>
            </w:pPr>
            <w:r>
              <w:rPr>
                <w:rFonts w:cstheme="minorHAnsi"/>
                <w:szCs w:val="24"/>
              </w:rPr>
              <w:t>YES</w:t>
            </w:r>
          </w:p>
        </w:tc>
      </w:tr>
    </w:tbl>
    <w:p w:rsidR="00550CE1" w:rsidRDefault="00550CE1" w:rsidP="0070281B">
      <w:pPr>
        <w:tabs>
          <w:tab w:val="clear" w:pos="567"/>
          <w:tab w:val="clear" w:pos="1134"/>
          <w:tab w:val="clear" w:pos="1701"/>
          <w:tab w:val="clear" w:pos="2268"/>
          <w:tab w:val="clear" w:pos="2835"/>
        </w:tabs>
        <w:snapToGrid w:val="0"/>
        <w:spacing w:before="240" w:after="120"/>
        <w:jc w:val="both"/>
        <w:rPr>
          <w:rFonts w:cs="Calibri"/>
        </w:rPr>
      </w:pPr>
      <w:r w:rsidRPr="003101DB">
        <w:rPr>
          <w:rFonts w:cs="Calibri"/>
          <w:b/>
        </w:rPr>
        <w:t>Comments</w:t>
      </w:r>
      <w:r w:rsidRPr="003101DB">
        <w:rPr>
          <w:rFonts w:cs="Calibri"/>
        </w:rPr>
        <w:t>:</w:t>
      </w:r>
      <w:r>
        <w:rPr>
          <w:rFonts w:cs="Calibri"/>
        </w:rPr>
        <w:t xml:space="preserve"> </w:t>
      </w:r>
      <w:r w:rsidR="00546AE8">
        <w:rPr>
          <w:rFonts w:cs="Calibri"/>
        </w:rPr>
        <w:t>The Arab States Research and Education Network (</w:t>
      </w:r>
      <w:r>
        <w:t>ASREN</w:t>
      </w:r>
      <w:r w:rsidR="00546AE8">
        <w:t>)</w:t>
      </w:r>
      <w:r>
        <w:t xml:space="preserve"> is an international organization responsible for establishing the pan Arab research and education network and works with various regional and international research and education networks.</w:t>
      </w:r>
      <w:r w:rsidRPr="00E97D44">
        <w:t xml:space="preserve"> </w:t>
      </w:r>
      <w:r>
        <w:t xml:space="preserve">ASREN works with 22 Arab countries, specifically with National Research and Education Networks (NRENs) with reach to all universities and research institutes in the Arab region. ASREN is already an Academia member but </w:t>
      </w:r>
      <w:r w:rsidRPr="00546AE8">
        <w:rPr>
          <w:spacing w:val="-2"/>
        </w:rPr>
        <w:t>it is having difficulty paying the fees. They are currently suspended for 2019, but they have paid their</w:t>
      </w:r>
      <w:r>
        <w:t xml:space="preserve"> debts for 2018. </w:t>
      </w:r>
      <w:r w:rsidR="00546AE8">
        <w:rPr>
          <w:rFonts w:cs="Calibri"/>
        </w:rPr>
        <w:t>The s</w:t>
      </w:r>
      <w:r w:rsidRPr="006F7051">
        <w:rPr>
          <w:rFonts w:cs="Calibri"/>
        </w:rPr>
        <w:t xml:space="preserve">ecretariat is of the view that </w:t>
      </w:r>
      <w:r>
        <w:rPr>
          <w:rFonts w:cs="Calibri"/>
        </w:rPr>
        <w:t xml:space="preserve">ASREN </w:t>
      </w:r>
      <w:r w:rsidRPr="00C07D61">
        <w:rPr>
          <w:rFonts w:cs="Calibri"/>
        </w:rPr>
        <w:t>meets</w:t>
      </w:r>
      <w:r w:rsidRPr="006F7051">
        <w:rPr>
          <w:rFonts w:cs="Calibri"/>
        </w:rPr>
        <w:t xml:space="preserve"> the Council criteria</w:t>
      </w:r>
      <w:r>
        <w:rPr>
          <w:rFonts w:cs="Calibri"/>
        </w:rPr>
        <w:t xml:space="preserve"> for exemption for ITU-R/</w:t>
      </w:r>
      <w:r w:rsidRPr="00476239">
        <w:rPr>
          <w:rFonts w:cs="Calibri"/>
        </w:rPr>
        <w:t>T/</w:t>
      </w:r>
      <w:r>
        <w:rPr>
          <w:rFonts w:cs="Calibri"/>
        </w:rPr>
        <w:t xml:space="preserve">D. </w:t>
      </w:r>
      <w:r w:rsidRPr="00C07D61">
        <w:t>It is recommended that this exemption be granted effective 1 January 2019.</w:t>
      </w:r>
    </w:p>
    <w:p w:rsidR="00550CE1" w:rsidRDefault="00550CE1" w:rsidP="0070281B">
      <w:pPr>
        <w:tabs>
          <w:tab w:val="clear" w:pos="567"/>
          <w:tab w:val="clear" w:pos="1134"/>
          <w:tab w:val="clear" w:pos="1701"/>
          <w:tab w:val="clear" w:pos="2268"/>
          <w:tab w:val="clear" w:pos="2835"/>
        </w:tabs>
        <w:snapToGrid w:val="0"/>
        <w:spacing w:before="240" w:after="120"/>
        <w:jc w:val="both"/>
        <w:rPr>
          <w:rFonts w:cstheme="minorHAnsi"/>
          <w:szCs w:val="24"/>
        </w:rPr>
      </w:pPr>
      <w:r>
        <w:rPr>
          <w:rFonts w:cstheme="minorHAnsi"/>
          <w:szCs w:val="24"/>
        </w:rPr>
        <w:t>3</w:t>
      </w:r>
      <w:r w:rsidRPr="009D7C70">
        <w:rPr>
          <w:rFonts w:cstheme="minorHAnsi"/>
          <w:szCs w:val="24"/>
        </w:rPr>
        <w:t>.</w:t>
      </w:r>
      <w:r>
        <w:rPr>
          <w:rFonts w:cstheme="minorHAnsi"/>
          <w:szCs w:val="24"/>
        </w:rPr>
        <w:t>6</w:t>
      </w:r>
    </w:p>
    <w:tbl>
      <w:tblPr>
        <w:tblW w:w="92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5510"/>
        <w:gridCol w:w="1626"/>
        <w:gridCol w:w="2106"/>
      </w:tblGrid>
      <w:tr w:rsidR="00550CE1" w:rsidRPr="00B34A19" w:rsidTr="0070281B">
        <w:trPr>
          <w:cantSplit/>
          <w:trHeight w:val="399"/>
          <w:jc w:val="center"/>
        </w:trPr>
        <w:tc>
          <w:tcPr>
            <w:tcW w:w="5490" w:type="dxa"/>
            <w:vAlign w:val="center"/>
          </w:tcPr>
          <w:p w:rsidR="00550CE1" w:rsidRPr="00B34A19" w:rsidRDefault="00550CE1" w:rsidP="0070281B">
            <w:pPr>
              <w:pStyle w:val="TableHead0"/>
              <w:keepNext w:val="0"/>
              <w:spacing w:before="120" w:after="120"/>
              <w:rPr>
                <w:rFonts w:cstheme="minorHAnsi"/>
                <w:szCs w:val="24"/>
              </w:rPr>
            </w:pPr>
            <w:r w:rsidRPr="00B34A19">
              <w:rPr>
                <w:rFonts w:cstheme="minorHAnsi"/>
                <w:szCs w:val="24"/>
              </w:rPr>
              <w:t>Organization</w:t>
            </w:r>
          </w:p>
        </w:tc>
        <w:tc>
          <w:tcPr>
            <w:tcW w:w="1620" w:type="dxa"/>
            <w:vAlign w:val="center"/>
          </w:tcPr>
          <w:p w:rsidR="00550CE1" w:rsidRPr="00B34A19" w:rsidRDefault="00550CE1" w:rsidP="0070281B">
            <w:pPr>
              <w:pStyle w:val="TableHead0"/>
              <w:keepNext w:val="0"/>
              <w:spacing w:before="120" w:after="120"/>
              <w:rPr>
                <w:rFonts w:cstheme="minorHAnsi"/>
                <w:szCs w:val="24"/>
              </w:rPr>
            </w:pPr>
            <w:r w:rsidRPr="00B34A19">
              <w:rPr>
                <w:rFonts w:cstheme="minorHAnsi"/>
                <w:szCs w:val="24"/>
              </w:rPr>
              <w:t>Sector</w:t>
            </w:r>
          </w:p>
        </w:tc>
        <w:tc>
          <w:tcPr>
            <w:tcW w:w="2098" w:type="dxa"/>
            <w:vAlign w:val="center"/>
          </w:tcPr>
          <w:p w:rsidR="00550CE1" w:rsidRPr="00B34A19" w:rsidRDefault="00550CE1" w:rsidP="0070281B">
            <w:pPr>
              <w:pStyle w:val="TableHead0"/>
              <w:keepNext w:val="0"/>
              <w:spacing w:before="120" w:after="120"/>
              <w:rPr>
                <w:rFonts w:cstheme="minorHAnsi"/>
                <w:szCs w:val="24"/>
              </w:rPr>
            </w:pPr>
            <w:r>
              <w:rPr>
                <w:rFonts w:cstheme="minorHAnsi"/>
                <w:szCs w:val="24"/>
              </w:rPr>
              <w:t>SG Recommendation</w:t>
            </w:r>
          </w:p>
        </w:tc>
      </w:tr>
      <w:tr w:rsidR="00550CE1" w:rsidRPr="00CD4D98" w:rsidTr="0070281B">
        <w:trPr>
          <w:cantSplit/>
          <w:trHeight w:val="489"/>
          <w:jc w:val="center"/>
        </w:trPr>
        <w:tc>
          <w:tcPr>
            <w:tcW w:w="5490" w:type="dxa"/>
            <w:vAlign w:val="center"/>
          </w:tcPr>
          <w:p w:rsidR="00550CE1" w:rsidRPr="00CD4D98" w:rsidRDefault="00550CE1" w:rsidP="0070281B">
            <w:pPr>
              <w:pStyle w:val="TableText0"/>
              <w:spacing w:before="120" w:after="120"/>
              <w:jc w:val="center"/>
              <w:rPr>
                <w:rFonts w:cstheme="minorHAnsi"/>
                <w:b/>
                <w:iCs/>
                <w:szCs w:val="24"/>
              </w:rPr>
            </w:pPr>
            <w:r>
              <w:rPr>
                <w:rFonts w:cs="Calibri"/>
                <w:b/>
              </w:rPr>
              <w:t>OI</w:t>
            </w:r>
            <w:r w:rsidRPr="00CD4D98">
              <w:rPr>
                <w:rFonts w:cs="Calibri"/>
                <w:b/>
              </w:rPr>
              <w:t>STE Foundation</w:t>
            </w:r>
          </w:p>
        </w:tc>
        <w:tc>
          <w:tcPr>
            <w:tcW w:w="1620" w:type="dxa"/>
            <w:vAlign w:val="center"/>
          </w:tcPr>
          <w:p w:rsidR="00550CE1" w:rsidRPr="00CD4D98" w:rsidRDefault="00550CE1" w:rsidP="0070281B">
            <w:pPr>
              <w:pStyle w:val="TableText0"/>
              <w:spacing w:before="120" w:after="120"/>
              <w:jc w:val="center"/>
              <w:rPr>
                <w:rFonts w:cstheme="minorHAnsi"/>
                <w:szCs w:val="24"/>
                <w:lang w:val="fr-CA"/>
              </w:rPr>
            </w:pPr>
            <w:r w:rsidRPr="00CD4D98">
              <w:rPr>
                <w:rFonts w:cstheme="minorHAnsi"/>
                <w:szCs w:val="24"/>
                <w:lang w:val="fr-CA"/>
              </w:rPr>
              <w:t>ITU-D</w:t>
            </w:r>
          </w:p>
        </w:tc>
        <w:tc>
          <w:tcPr>
            <w:tcW w:w="2098" w:type="dxa"/>
            <w:vAlign w:val="center"/>
          </w:tcPr>
          <w:p w:rsidR="00550CE1" w:rsidRPr="00CD4D98" w:rsidRDefault="00550CE1" w:rsidP="0070281B">
            <w:pPr>
              <w:pStyle w:val="TableText0"/>
              <w:spacing w:before="120" w:after="120"/>
              <w:jc w:val="center"/>
              <w:rPr>
                <w:rFonts w:cstheme="minorHAnsi"/>
                <w:szCs w:val="24"/>
                <w:lang w:val="fr-CA"/>
              </w:rPr>
            </w:pPr>
            <w:r w:rsidRPr="0029707B">
              <w:rPr>
                <w:rFonts w:cstheme="minorHAnsi"/>
                <w:szCs w:val="24"/>
                <w:lang w:val="fr-CA"/>
              </w:rPr>
              <w:t>NO</w:t>
            </w:r>
          </w:p>
        </w:tc>
      </w:tr>
    </w:tbl>
    <w:p w:rsidR="00550CE1" w:rsidRPr="00CD4D98" w:rsidRDefault="00550CE1" w:rsidP="0070281B">
      <w:pPr>
        <w:tabs>
          <w:tab w:val="clear" w:pos="567"/>
          <w:tab w:val="clear" w:pos="1134"/>
          <w:tab w:val="clear" w:pos="1701"/>
          <w:tab w:val="clear" w:pos="2268"/>
          <w:tab w:val="clear" w:pos="2835"/>
        </w:tabs>
        <w:snapToGrid w:val="0"/>
        <w:spacing w:before="240" w:after="120"/>
        <w:jc w:val="both"/>
      </w:pPr>
      <w:r w:rsidRPr="003101DB">
        <w:rPr>
          <w:rFonts w:cs="Calibri"/>
          <w:b/>
        </w:rPr>
        <w:t>Comments</w:t>
      </w:r>
      <w:r w:rsidRPr="003101DB">
        <w:rPr>
          <w:rFonts w:cs="Calibri"/>
        </w:rPr>
        <w:t>:</w:t>
      </w:r>
      <w:r>
        <w:rPr>
          <w:rFonts w:cs="Calibri"/>
        </w:rPr>
        <w:t xml:space="preserve"> OISTE Foundation was founded in Geneva in 1998. OISTE was created with the objectives of promoting the use and adoption of international standards to secure electronic transactions, expand the use of digital certification and ensure the interoperability of certification </w:t>
      </w:r>
      <w:r>
        <w:rPr>
          <w:rFonts w:cs="Calibri"/>
        </w:rPr>
        <w:lastRenderedPageBreak/>
        <w:t>authorities</w:t>
      </w:r>
      <w:r w:rsidR="0070281B">
        <w:rPr>
          <w:rFonts w:cs="Calibri"/>
        </w:rPr>
        <w:t>’</w:t>
      </w:r>
      <w:r>
        <w:rPr>
          <w:rFonts w:cs="Calibri"/>
        </w:rPr>
        <w:t xml:space="preserve"> e-transaction systems.</w:t>
      </w:r>
      <w:r>
        <w:t xml:space="preserve"> </w:t>
      </w:r>
      <w:r w:rsidRPr="00237ADE">
        <w:rPr>
          <w:rFonts w:cs="Calibri"/>
        </w:rPr>
        <w:t xml:space="preserve">The </w:t>
      </w:r>
      <w:r w:rsidR="00546AE8">
        <w:rPr>
          <w:rFonts w:cs="Calibri"/>
        </w:rPr>
        <w:t>s</w:t>
      </w:r>
      <w:r w:rsidRPr="00237ADE">
        <w:rPr>
          <w:rFonts w:cs="Calibri"/>
        </w:rPr>
        <w:t xml:space="preserve">ecretariat is of the view that </w:t>
      </w:r>
      <w:r>
        <w:rPr>
          <w:rFonts w:cs="Calibri"/>
        </w:rPr>
        <w:t>OI</w:t>
      </w:r>
      <w:r w:rsidRPr="00237ADE">
        <w:rPr>
          <w:rFonts w:cs="Calibri"/>
        </w:rPr>
        <w:t>STE Foundation does not meet the criteria for exemption</w:t>
      </w:r>
      <w:r>
        <w:rPr>
          <w:rFonts w:cs="Calibri"/>
        </w:rPr>
        <w:t xml:space="preserve"> as it does not have international/regional membership.</w:t>
      </w:r>
    </w:p>
    <w:p w:rsidR="00550CE1" w:rsidRDefault="00550CE1" w:rsidP="0070281B">
      <w:pPr>
        <w:tabs>
          <w:tab w:val="clear" w:pos="567"/>
          <w:tab w:val="clear" w:pos="1134"/>
          <w:tab w:val="clear" w:pos="1701"/>
          <w:tab w:val="clear" w:pos="2268"/>
          <w:tab w:val="clear" w:pos="2835"/>
        </w:tabs>
        <w:snapToGrid w:val="0"/>
        <w:spacing w:before="240" w:after="120"/>
      </w:pPr>
      <w:r>
        <w:t>3.7</w:t>
      </w:r>
    </w:p>
    <w:tbl>
      <w:tblPr>
        <w:tblW w:w="92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5510"/>
        <w:gridCol w:w="1626"/>
        <w:gridCol w:w="2106"/>
      </w:tblGrid>
      <w:tr w:rsidR="00550CE1" w:rsidRPr="00B34A19" w:rsidTr="0070281B">
        <w:trPr>
          <w:cantSplit/>
          <w:trHeight w:val="372"/>
          <w:jc w:val="center"/>
        </w:trPr>
        <w:tc>
          <w:tcPr>
            <w:tcW w:w="5490" w:type="dxa"/>
            <w:vAlign w:val="center"/>
          </w:tcPr>
          <w:p w:rsidR="00550CE1" w:rsidRPr="00B34A19" w:rsidRDefault="00550CE1" w:rsidP="00546AE8">
            <w:pPr>
              <w:pStyle w:val="TableHead0"/>
              <w:keepLines/>
              <w:spacing w:before="120" w:after="120"/>
              <w:rPr>
                <w:rFonts w:cstheme="minorHAnsi"/>
                <w:szCs w:val="24"/>
              </w:rPr>
            </w:pPr>
            <w:r w:rsidRPr="00B34A19">
              <w:rPr>
                <w:rFonts w:cstheme="minorHAnsi"/>
                <w:szCs w:val="24"/>
              </w:rPr>
              <w:t>Organization</w:t>
            </w:r>
          </w:p>
        </w:tc>
        <w:tc>
          <w:tcPr>
            <w:tcW w:w="1620" w:type="dxa"/>
            <w:vAlign w:val="center"/>
          </w:tcPr>
          <w:p w:rsidR="00550CE1" w:rsidRPr="00B34A19" w:rsidRDefault="00550CE1" w:rsidP="00546AE8">
            <w:pPr>
              <w:pStyle w:val="TableHead0"/>
              <w:keepLines/>
              <w:spacing w:before="120" w:after="120"/>
              <w:rPr>
                <w:rFonts w:cstheme="minorHAnsi"/>
                <w:szCs w:val="24"/>
              </w:rPr>
            </w:pPr>
            <w:r w:rsidRPr="00B34A19">
              <w:rPr>
                <w:rFonts w:cstheme="minorHAnsi"/>
                <w:szCs w:val="24"/>
              </w:rPr>
              <w:t>Sector</w:t>
            </w:r>
          </w:p>
        </w:tc>
        <w:tc>
          <w:tcPr>
            <w:tcW w:w="2098" w:type="dxa"/>
            <w:vAlign w:val="center"/>
          </w:tcPr>
          <w:p w:rsidR="00550CE1" w:rsidRPr="00B34A19" w:rsidRDefault="00546AE8" w:rsidP="00546AE8">
            <w:pPr>
              <w:pStyle w:val="TableHead0"/>
              <w:keepLines/>
              <w:spacing w:before="120" w:after="120"/>
              <w:rPr>
                <w:rFonts w:cstheme="minorHAnsi"/>
                <w:szCs w:val="24"/>
              </w:rPr>
            </w:pPr>
            <w:r>
              <w:rPr>
                <w:rFonts w:cstheme="minorHAnsi"/>
                <w:szCs w:val="24"/>
              </w:rPr>
              <w:t xml:space="preserve">SG </w:t>
            </w:r>
            <w:r w:rsidR="00550CE1">
              <w:rPr>
                <w:rFonts w:cstheme="minorHAnsi"/>
                <w:szCs w:val="24"/>
              </w:rPr>
              <w:t>Recommendation</w:t>
            </w:r>
          </w:p>
        </w:tc>
      </w:tr>
      <w:tr w:rsidR="00550CE1" w:rsidRPr="00CD4D98" w:rsidTr="0070281B">
        <w:trPr>
          <w:cantSplit/>
          <w:trHeight w:val="462"/>
          <w:jc w:val="center"/>
        </w:trPr>
        <w:tc>
          <w:tcPr>
            <w:tcW w:w="5490" w:type="dxa"/>
            <w:vAlign w:val="center"/>
          </w:tcPr>
          <w:p w:rsidR="00550CE1" w:rsidRPr="00293C26" w:rsidRDefault="00550CE1" w:rsidP="00546AE8">
            <w:pPr>
              <w:pStyle w:val="TableText0"/>
              <w:keepNext/>
              <w:keepLines/>
              <w:spacing w:before="120" w:after="120"/>
              <w:jc w:val="center"/>
              <w:rPr>
                <w:rFonts w:cstheme="minorHAnsi"/>
                <w:b/>
                <w:iCs/>
                <w:szCs w:val="24"/>
                <w:lang w:val="fr-CA"/>
              </w:rPr>
            </w:pPr>
            <w:r w:rsidRPr="00293C26">
              <w:rPr>
                <w:rFonts w:cs="Calibri"/>
                <w:b/>
                <w:iCs/>
                <w:lang w:val="fr-CA"/>
              </w:rPr>
              <w:t>Association Mondiale pour les Orphelins</w:t>
            </w:r>
            <w:r w:rsidRPr="00293C26">
              <w:rPr>
                <w:rFonts w:cs="Calibri"/>
                <w:b/>
                <w:lang w:val="fr-CA"/>
              </w:rPr>
              <w:t>  (A.M.OR)</w:t>
            </w:r>
          </w:p>
        </w:tc>
        <w:tc>
          <w:tcPr>
            <w:tcW w:w="1620" w:type="dxa"/>
            <w:vAlign w:val="center"/>
          </w:tcPr>
          <w:p w:rsidR="00550CE1" w:rsidRPr="00CD4D98" w:rsidRDefault="00550CE1" w:rsidP="00546AE8">
            <w:pPr>
              <w:pStyle w:val="TableText0"/>
              <w:keepNext/>
              <w:keepLines/>
              <w:spacing w:before="120" w:after="120"/>
              <w:jc w:val="center"/>
              <w:rPr>
                <w:rFonts w:cstheme="minorHAnsi"/>
                <w:szCs w:val="24"/>
                <w:lang w:val="fr-CA"/>
              </w:rPr>
            </w:pPr>
            <w:r w:rsidRPr="00CD4D98">
              <w:rPr>
                <w:rFonts w:cstheme="minorHAnsi"/>
                <w:szCs w:val="24"/>
                <w:lang w:val="fr-CA"/>
              </w:rPr>
              <w:t>ITU-D</w:t>
            </w:r>
          </w:p>
        </w:tc>
        <w:tc>
          <w:tcPr>
            <w:tcW w:w="2098" w:type="dxa"/>
            <w:vAlign w:val="center"/>
          </w:tcPr>
          <w:p w:rsidR="00550CE1" w:rsidRPr="00CD4D98" w:rsidRDefault="00550CE1" w:rsidP="00546AE8">
            <w:pPr>
              <w:pStyle w:val="TableText0"/>
              <w:keepNext/>
              <w:keepLines/>
              <w:spacing w:before="120" w:after="120"/>
              <w:jc w:val="center"/>
              <w:rPr>
                <w:rFonts w:cstheme="minorHAnsi"/>
                <w:szCs w:val="24"/>
                <w:lang w:val="fr-CA"/>
              </w:rPr>
            </w:pPr>
            <w:r>
              <w:rPr>
                <w:rFonts w:cstheme="minorHAnsi"/>
                <w:szCs w:val="24"/>
                <w:lang w:val="fr-CA"/>
              </w:rPr>
              <w:t>NO</w:t>
            </w:r>
          </w:p>
        </w:tc>
      </w:tr>
    </w:tbl>
    <w:p w:rsidR="00550CE1" w:rsidRDefault="00550CE1" w:rsidP="0070281B">
      <w:pPr>
        <w:tabs>
          <w:tab w:val="clear" w:pos="567"/>
          <w:tab w:val="clear" w:pos="1134"/>
          <w:tab w:val="clear" w:pos="1701"/>
          <w:tab w:val="clear" w:pos="2268"/>
          <w:tab w:val="clear" w:pos="2835"/>
        </w:tabs>
        <w:snapToGrid w:val="0"/>
        <w:spacing w:before="240" w:after="120"/>
        <w:jc w:val="both"/>
        <w:rPr>
          <w:caps/>
          <w:sz w:val="28"/>
        </w:rPr>
      </w:pPr>
      <w:r w:rsidRPr="008437C1">
        <w:t>The </w:t>
      </w:r>
      <w:r w:rsidRPr="008437C1">
        <w:rPr>
          <w:i/>
          <w:iCs/>
        </w:rPr>
        <w:t xml:space="preserve">Association </w:t>
      </w:r>
      <w:proofErr w:type="spellStart"/>
      <w:r w:rsidRPr="008437C1">
        <w:rPr>
          <w:i/>
          <w:iCs/>
        </w:rPr>
        <w:t>Mondiale</w:t>
      </w:r>
      <w:proofErr w:type="spellEnd"/>
      <w:r w:rsidRPr="008437C1">
        <w:rPr>
          <w:i/>
          <w:iCs/>
        </w:rPr>
        <w:t xml:space="preserve"> pour les </w:t>
      </w:r>
      <w:proofErr w:type="spellStart"/>
      <w:r w:rsidRPr="008437C1">
        <w:rPr>
          <w:i/>
          <w:iCs/>
        </w:rPr>
        <w:t>Orphelins</w:t>
      </w:r>
      <w:proofErr w:type="spellEnd"/>
      <w:r w:rsidRPr="008437C1">
        <w:t> (A.M.OR) is a non-profit</w:t>
      </w:r>
      <w:r>
        <w:t>,</w:t>
      </w:r>
      <w:r w:rsidRPr="008437C1">
        <w:t xml:space="preserve"> non-governmental organization with the ECOSOC consultative status, which believes in the potential of all </w:t>
      </w:r>
      <w:r>
        <w:t>individuals</w:t>
      </w:r>
      <w:r w:rsidRPr="008437C1">
        <w:t>.</w:t>
      </w:r>
      <w:r>
        <w:rPr>
          <w:rFonts w:ascii="Poppins" w:hAnsi="Poppins"/>
          <w:color w:val="9C9C9C"/>
          <w:shd w:val="clear" w:color="auto" w:fill="FFFFFF"/>
        </w:rPr>
        <w:t xml:space="preserve"> </w:t>
      </w:r>
      <w:r>
        <w:t xml:space="preserve">They manage the </w:t>
      </w:r>
      <w:r w:rsidR="0070281B">
        <w:t>“</w:t>
      </w:r>
      <w:r>
        <w:t>HiTech4Orphans</w:t>
      </w:r>
      <w:r w:rsidR="0070281B">
        <w:t>”</w:t>
      </w:r>
      <w:r>
        <w:t xml:space="preserve"> project to help</w:t>
      </w:r>
      <w:r w:rsidRPr="008437C1">
        <w:t xml:space="preserve"> orphan students acq</w:t>
      </w:r>
      <w:r w:rsidR="00977B8D">
        <w:t>uire and master IT skills. The s</w:t>
      </w:r>
      <w:r w:rsidRPr="008437C1">
        <w:t xml:space="preserve">ecretariat is of the view that </w:t>
      </w:r>
      <w:r>
        <w:t>the A.M.OR does not meet</w:t>
      </w:r>
      <w:r w:rsidRPr="008437C1">
        <w:t xml:space="preserve"> the criteria for exemption</w:t>
      </w:r>
      <w:r>
        <w:t xml:space="preserve"> due to </w:t>
      </w:r>
      <w:r>
        <w:rPr>
          <w:rFonts w:cs="Calibri"/>
        </w:rPr>
        <w:t>insufficient regional/international membership</w:t>
      </w:r>
      <w:r w:rsidRPr="00492606">
        <w:rPr>
          <w:rFonts w:cs="Calibri"/>
        </w:rPr>
        <w:t>.</w:t>
      </w:r>
      <w:r>
        <w:br w:type="page"/>
      </w:r>
    </w:p>
    <w:p w:rsidR="00550CE1" w:rsidRPr="00550CE1" w:rsidRDefault="00550CE1" w:rsidP="00550CE1">
      <w:pPr>
        <w:pStyle w:val="AnnexNo"/>
      </w:pPr>
      <w:r w:rsidRPr="00550CE1">
        <w:lastRenderedPageBreak/>
        <w:t>Annex</w:t>
      </w:r>
    </w:p>
    <w:p w:rsidR="00550CE1" w:rsidRPr="00B774B7" w:rsidRDefault="00550CE1" w:rsidP="00550CE1">
      <w:pPr>
        <w:pStyle w:val="Annextitle"/>
      </w:pPr>
      <w:r w:rsidRPr="00B774B7">
        <w:t>Exemption from payment of Membership fees for organizations of an</w:t>
      </w:r>
      <w:r w:rsidRPr="00B774B7">
        <w:br/>
        <w:t>international character</w:t>
      </w:r>
    </w:p>
    <w:p w:rsidR="00550CE1" w:rsidRPr="00B774B7" w:rsidRDefault="00550CE1" w:rsidP="0070281B">
      <w:pPr>
        <w:pStyle w:val="Normalaftertitle"/>
        <w:jc w:val="both"/>
      </w:pPr>
      <w:r w:rsidRPr="00B774B7">
        <w:t>Over the years, the Council has exempted certain organizations of an international character from their financial obligations in defraying the expenses of ITU conferences and meetings.</w:t>
      </w:r>
    </w:p>
    <w:p w:rsidR="00550CE1" w:rsidRPr="00B774B7" w:rsidRDefault="00550CE1" w:rsidP="0070281B">
      <w:pPr>
        <w:tabs>
          <w:tab w:val="clear" w:pos="567"/>
          <w:tab w:val="clear" w:pos="1134"/>
          <w:tab w:val="clear" w:pos="1701"/>
          <w:tab w:val="clear" w:pos="2268"/>
          <w:tab w:val="clear" w:pos="2835"/>
        </w:tabs>
        <w:snapToGrid w:val="0"/>
        <w:spacing w:before="240" w:after="120"/>
        <w:jc w:val="both"/>
        <w:outlineLvl w:val="0"/>
        <w:rPr>
          <w:b/>
        </w:rPr>
      </w:pPr>
      <w:r w:rsidRPr="00B774B7">
        <w:rPr>
          <w:b/>
        </w:rPr>
        <w:t>1</w:t>
      </w:r>
      <w:r w:rsidRPr="00B774B7">
        <w:rPr>
          <w:b/>
        </w:rPr>
        <w:tab/>
        <w:t>Criteria and guidelines</w:t>
      </w:r>
    </w:p>
    <w:p w:rsidR="00550CE1" w:rsidRPr="00B774B7" w:rsidRDefault="00550CE1" w:rsidP="0070281B">
      <w:pPr>
        <w:tabs>
          <w:tab w:val="clear" w:pos="567"/>
          <w:tab w:val="clear" w:pos="1134"/>
          <w:tab w:val="clear" w:pos="1701"/>
          <w:tab w:val="clear" w:pos="2268"/>
          <w:tab w:val="clear" w:pos="2835"/>
        </w:tabs>
        <w:snapToGrid w:val="0"/>
        <w:spacing w:after="120"/>
        <w:jc w:val="both"/>
      </w:pPr>
      <w:r w:rsidRPr="00B774B7">
        <w:t>1.1</w:t>
      </w:r>
      <w:r w:rsidRPr="00B774B7">
        <w:tab/>
        <w:t xml:space="preserve">In accordance with No. 476 of the </w:t>
      </w:r>
      <w:r>
        <w:t>C</w:t>
      </w:r>
      <w:r w:rsidRPr="00B774B7">
        <w:t xml:space="preserve">onvention, the Council may exempt organizations of an international character from payment of membership fees, subject to </w:t>
      </w:r>
      <w:r w:rsidR="0070281B">
        <w:t>“</w:t>
      </w:r>
      <w:r w:rsidRPr="00B774B7">
        <w:t>reciprocity</w:t>
      </w:r>
      <w:r w:rsidR="0070281B">
        <w:t>”</w:t>
      </w:r>
      <w:r w:rsidRPr="00B774B7">
        <w:t xml:space="preserve">. The </w:t>
      </w:r>
      <w:r w:rsidR="0070281B">
        <w:t>“</w:t>
      </w:r>
      <w:r w:rsidRPr="00B774B7">
        <w:t>reciprocity</w:t>
      </w:r>
      <w:r w:rsidR="0070281B">
        <w:t>”</w:t>
      </w:r>
      <w:r w:rsidRPr="00B774B7">
        <w:t xml:space="preserve"> is taken to refer to the mutual and similar benefits that could accrue to both ITU and the organization concerned </w:t>
      </w:r>
      <w:proofErr w:type="gramStart"/>
      <w:r w:rsidRPr="00B774B7">
        <w:t>as a result</w:t>
      </w:r>
      <w:proofErr w:type="gramEnd"/>
      <w:r w:rsidRPr="00B774B7">
        <w:t xml:space="preserve"> of the latter participating in the relevant activities of ITU.</w:t>
      </w:r>
    </w:p>
    <w:p w:rsidR="00550CE1" w:rsidRPr="00B774B7" w:rsidRDefault="00550CE1" w:rsidP="0070281B">
      <w:pPr>
        <w:tabs>
          <w:tab w:val="clear" w:pos="567"/>
          <w:tab w:val="clear" w:pos="1134"/>
          <w:tab w:val="clear" w:pos="1701"/>
          <w:tab w:val="clear" w:pos="2268"/>
          <w:tab w:val="clear" w:pos="2835"/>
        </w:tabs>
        <w:snapToGrid w:val="0"/>
        <w:spacing w:after="120"/>
        <w:jc w:val="both"/>
      </w:pPr>
      <w:r w:rsidRPr="00B774B7">
        <w:t>1.2</w:t>
      </w:r>
      <w:r w:rsidRPr="00B774B7">
        <w:tab/>
        <w:t xml:space="preserve">To fulfil the conditions which lead to such a reciprocal arrangement, the organization concerned shall meet </w:t>
      </w:r>
      <w:r w:rsidRPr="00B774B7">
        <w:rPr>
          <w:i/>
          <w:iCs/>
        </w:rPr>
        <w:t xml:space="preserve">all </w:t>
      </w:r>
      <w:r w:rsidRPr="00B774B7">
        <w:t>of the following criteria:</w:t>
      </w:r>
    </w:p>
    <w:p w:rsidR="00550CE1" w:rsidRPr="00B774B7" w:rsidRDefault="00550CE1" w:rsidP="0070281B">
      <w:pPr>
        <w:tabs>
          <w:tab w:val="clear" w:pos="567"/>
          <w:tab w:val="clear" w:pos="1134"/>
          <w:tab w:val="clear" w:pos="1701"/>
          <w:tab w:val="clear" w:pos="2268"/>
          <w:tab w:val="clear" w:pos="2835"/>
        </w:tabs>
        <w:snapToGrid w:val="0"/>
        <w:spacing w:after="120"/>
        <w:ind w:left="794" w:hanging="794"/>
        <w:jc w:val="both"/>
      </w:pPr>
      <w:r w:rsidRPr="00B774B7">
        <w:t>–</w:t>
      </w:r>
      <w:r w:rsidRPr="00B774B7">
        <w:tab/>
        <w:t>be an organization of international character dealing with telecommunications;</w:t>
      </w:r>
    </w:p>
    <w:p w:rsidR="00550CE1" w:rsidRPr="00B774B7" w:rsidRDefault="00550CE1" w:rsidP="0070281B">
      <w:pPr>
        <w:tabs>
          <w:tab w:val="clear" w:pos="567"/>
          <w:tab w:val="clear" w:pos="1134"/>
          <w:tab w:val="clear" w:pos="1701"/>
          <w:tab w:val="clear" w:pos="2268"/>
          <w:tab w:val="clear" w:pos="2835"/>
        </w:tabs>
        <w:snapToGrid w:val="0"/>
        <w:spacing w:after="120"/>
        <w:ind w:left="794" w:hanging="794"/>
        <w:jc w:val="both"/>
      </w:pPr>
      <w:r w:rsidRPr="00B774B7">
        <w:t>–</w:t>
      </w:r>
      <w:r w:rsidRPr="00B774B7">
        <w:tab/>
        <w:t>be a legally-recognized non-profit organization, representing members which also have non-profit status;</w:t>
      </w:r>
    </w:p>
    <w:p w:rsidR="00550CE1" w:rsidRPr="00B774B7" w:rsidRDefault="00550CE1" w:rsidP="0070281B">
      <w:pPr>
        <w:tabs>
          <w:tab w:val="clear" w:pos="567"/>
          <w:tab w:val="clear" w:pos="1134"/>
          <w:tab w:val="clear" w:pos="1701"/>
          <w:tab w:val="clear" w:pos="2268"/>
          <w:tab w:val="clear" w:pos="2835"/>
        </w:tabs>
        <w:snapToGrid w:val="0"/>
        <w:spacing w:after="120"/>
        <w:ind w:left="794" w:hanging="794"/>
        <w:jc w:val="both"/>
      </w:pPr>
      <w:r w:rsidRPr="00B774B7">
        <w:t>–</w:t>
      </w:r>
      <w:r w:rsidRPr="00B774B7">
        <w:tab/>
        <w:t>have a significant membership, presence and activities in multiple Member States whose participation in ITU activities would be beneficial to the aims of the Union;</w:t>
      </w:r>
    </w:p>
    <w:p w:rsidR="00550CE1" w:rsidRPr="00B774B7" w:rsidRDefault="00550CE1" w:rsidP="0070281B">
      <w:pPr>
        <w:tabs>
          <w:tab w:val="clear" w:pos="567"/>
          <w:tab w:val="clear" w:pos="1134"/>
          <w:tab w:val="clear" w:pos="1701"/>
          <w:tab w:val="clear" w:pos="2268"/>
          <w:tab w:val="clear" w:pos="2835"/>
        </w:tabs>
        <w:snapToGrid w:val="0"/>
        <w:spacing w:after="120"/>
        <w:ind w:left="794" w:hanging="794"/>
        <w:jc w:val="both"/>
      </w:pPr>
      <w:r w:rsidRPr="00B774B7">
        <w:t>–</w:t>
      </w:r>
      <w:r w:rsidRPr="00B774B7">
        <w:tab/>
        <w:t xml:space="preserve">allow ITU </w:t>
      </w:r>
      <w:proofErr w:type="gramStart"/>
      <w:r w:rsidRPr="00B774B7">
        <w:t>to be represented at and participate in the organization</w:t>
      </w:r>
      <w:r w:rsidR="0070281B">
        <w:t>’</w:t>
      </w:r>
      <w:r w:rsidRPr="00B774B7">
        <w:t>s meetings free of charge and with the rights and benefits available to their members;</w:t>
      </w:r>
      <w:proofErr w:type="gramEnd"/>
    </w:p>
    <w:p w:rsidR="00550CE1" w:rsidRPr="00B774B7" w:rsidRDefault="00550CE1" w:rsidP="0070281B">
      <w:pPr>
        <w:tabs>
          <w:tab w:val="clear" w:pos="567"/>
          <w:tab w:val="clear" w:pos="1134"/>
          <w:tab w:val="clear" w:pos="1701"/>
          <w:tab w:val="clear" w:pos="2268"/>
          <w:tab w:val="clear" w:pos="2835"/>
        </w:tabs>
        <w:snapToGrid w:val="0"/>
        <w:spacing w:after="120"/>
        <w:ind w:left="794" w:hanging="794"/>
        <w:jc w:val="both"/>
      </w:pPr>
      <w:r w:rsidRPr="00B774B7">
        <w:t>–</w:t>
      </w:r>
      <w:r w:rsidRPr="00B774B7">
        <w:tab/>
        <w:t>allow ITU access to relevant documentation, including information available only to their members.</w:t>
      </w:r>
      <w:r w:rsidRPr="00B774B7">
        <w:rPr>
          <w:position w:val="6"/>
          <w:sz w:val="16"/>
        </w:rPr>
        <w:footnoteReference w:id="1"/>
      </w:r>
    </w:p>
    <w:p w:rsidR="00550CE1" w:rsidRPr="00B774B7" w:rsidRDefault="00550CE1" w:rsidP="0070281B">
      <w:pPr>
        <w:tabs>
          <w:tab w:val="clear" w:pos="567"/>
          <w:tab w:val="clear" w:pos="1134"/>
          <w:tab w:val="clear" w:pos="1701"/>
          <w:tab w:val="clear" w:pos="2268"/>
          <w:tab w:val="clear" w:pos="2835"/>
        </w:tabs>
        <w:snapToGrid w:val="0"/>
        <w:spacing w:after="120"/>
        <w:jc w:val="both"/>
      </w:pPr>
      <w:r w:rsidRPr="00B774B7">
        <w:t>1.3</w:t>
      </w:r>
      <w:r w:rsidRPr="00B774B7">
        <w:tab/>
        <w:t>In reaching a decision as to the granting of an exemption, the Council shall take account of views expressed by the Secretary-General. Such views shall identify:</w:t>
      </w:r>
    </w:p>
    <w:p w:rsidR="00550CE1" w:rsidRPr="00B774B7" w:rsidRDefault="00550CE1" w:rsidP="0070281B">
      <w:pPr>
        <w:tabs>
          <w:tab w:val="clear" w:pos="567"/>
          <w:tab w:val="clear" w:pos="1134"/>
          <w:tab w:val="clear" w:pos="1701"/>
          <w:tab w:val="clear" w:pos="2268"/>
          <w:tab w:val="clear" w:pos="2835"/>
        </w:tabs>
        <w:snapToGrid w:val="0"/>
        <w:spacing w:after="120"/>
        <w:ind w:left="794" w:hanging="794"/>
        <w:jc w:val="both"/>
      </w:pPr>
      <w:r w:rsidRPr="00B774B7">
        <w:t>–</w:t>
      </w:r>
      <w:r w:rsidRPr="00B774B7">
        <w:tab/>
      </w:r>
      <w:proofErr w:type="gramStart"/>
      <w:r w:rsidRPr="00B774B7">
        <w:t>the</w:t>
      </w:r>
      <w:proofErr w:type="gramEnd"/>
      <w:r w:rsidRPr="00B774B7">
        <w:t xml:space="preserve"> advantages for ITU of participation of the organization in ITU</w:t>
      </w:r>
      <w:r w:rsidR="0070281B">
        <w:t>’</w:t>
      </w:r>
      <w:r w:rsidRPr="00B774B7">
        <w:t>s activities;</w:t>
      </w:r>
    </w:p>
    <w:p w:rsidR="00550CE1" w:rsidRPr="00B774B7" w:rsidRDefault="00550CE1" w:rsidP="0070281B">
      <w:pPr>
        <w:tabs>
          <w:tab w:val="clear" w:pos="567"/>
          <w:tab w:val="clear" w:pos="1134"/>
          <w:tab w:val="clear" w:pos="1701"/>
          <w:tab w:val="clear" w:pos="2268"/>
          <w:tab w:val="clear" w:pos="2835"/>
        </w:tabs>
        <w:snapToGrid w:val="0"/>
        <w:spacing w:after="120"/>
        <w:ind w:left="794" w:hanging="794"/>
        <w:jc w:val="both"/>
      </w:pPr>
      <w:r w:rsidRPr="00B774B7">
        <w:t>–</w:t>
      </w:r>
      <w:r w:rsidRPr="00B774B7">
        <w:tab/>
      </w:r>
      <w:proofErr w:type="gramStart"/>
      <w:r w:rsidRPr="00B774B7">
        <w:t>the</w:t>
      </w:r>
      <w:proofErr w:type="gramEnd"/>
      <w:r w:rsidRPr="00B774B7">
        <w:t xml:space="preserve"> benefits arising from participation of ITU in the activities of the organization.</w:t>
      </w:r>
    </w:p>
    <w:p w:rsidR="00550CE1" w:rsidRPr="00B774B7" w:rsidRDefault="00550CE1" w:rsidP="0070281B">
      <w:pPr>
        <w:tabs>
          <w:tab w:val="clear" w:pos="567"/>
          <w:tab w:val="clear" w:pos="1134"/>
          <w:tab w:val="clear" w:pos="1701"/>
          <w:tab w:val="clear" w:pos="2268"/>
          <w:tab w:val="clear" w:pos="2835"/>
        </w:tabs>
        <w:snapToGrid w:val="0"/>
        <w:spacing w:before="240" w:after="120"/>
        <w:jc w:val="both"/>
        <w:outlineLvl w:val="0"/>
        <w:rPr>
          <w:b/>
        </w:rPr>
      </w:pPr>
      <w:r w:rsidRPr="00B774B7">
        <w:rPr>
          <w:b/>
        </w:rPr>
        <w:t>2</w:t>
      </w:r>
      <w:r w:rsidRPr="00B774B7">
        <w:rPr>
          <w:b/>
        </w:rPr>
        <w:tab/>
        <w:t>Procedure</w:t>
      </w:r>
    </w:p>
    <w:p w:rsidR="00550CE1" w:rsidRPr="00B774B7" w:rsidRDefault="00550CE1" w:rsidP="0070281B">
      <w:pPr>
        <w:tabs>
          <w:tab w:val="clear" w:pos="567"/>
          <w:tab w:val="clear" w:pos="1134"/>
          <w:tab w:val="clear" w:pos="1701"/>
          <w:tab w:val="clear" w:pos="2268"/>
          <w:tab w:val="clear" w:pos="2835"/>
        </w:tabs>
        <w:snapToGrid w:val="0"/>
        <w:spacing w:after="120"/>
        <w:jc w:val="both"/>
      </w:pPr>
      <w:r w:rsidRPr="00B774B7">
        <w:t>2.1</w:t>
      </w:r>
      <w:r w:rsidRPr="00B774B7">
        <w:tab/>
        <w:t>Each application for exemption shall be submitted, in writing, to the Secretary-General. It shall be presented to the Council for consideration, accompanied by evidence justifying the application (§ 1.2) and by comments from the Secretary-General (§ 1.3).</w:t>
      </w:r>
    </w:p>
    <w:p w:rsidR="00550CE1" w:rsidRPr="00B774B7" w:rsidRDefault="00550CE1" w:rsidP="0070281B">
      <w:pPr>
        <w:tabs>
          <w:tab w:val="clear" w:pos="567"/>
          <w:tab w:val="clear" w:pos="1134"/>
          <w:tab w:val="clear" w:pos="1701"/>
          <w:tab w:val="clear" w:pos="2268"/>
          <w:tab w:val="clear" w:pos="2835"/>
        </w:tabs>
        <w:snapToGrid w:val="0"/>
        <w:spacing w:after="120"/>
        <w:jc w:val="both"/>
      </w:pPr>
      <w:r w:rsidRPr="00B774B7">
        <w:t>2.2</w:t>
      </w:r>
      <w:r w:rsidRPr="00B774B7">
        <w:tab/>
        <w:t>The Secretary-General will examine the request for exemption according to the criteria as stipulated in §§ 1.2 and 1.3 above and will report to the forthcoming session of Council, as appropriate.</w:t>
      </w:r>
    </w:p>
    <w:p w:rsidR="00550CE1" w:rsidRPr="00B774B7" w:rsidRDefault="00550CE1" w:rsidP="0070281B">
      <w:pPr>
        <w:tabs>
          <w:tab w:val="clear" w:pos="567"/>
          <w:tab w:val="clear" w:pos="1134"/>
          <w:tab w:val="clear" w:pos="1701"/>
          <w:tab w:val="clear" w:pos="2268"/>
          <w:tab w:val="clear" w:pos="2835"/>
        </w:tabs>
        <w:snapToGrid w:val="0"/>
        <w:spacing w:after="120"/>
        <w:jc w:val="both"/>
      </w:pPr>
      <w:r w:rsidRPr="00B774B7">
        <w:t>2.3</w:t>
      </w:r>
      <w:r w:rsidRPr="00B774B7">
        <w:tab/>
        <w:t xml:space="preserve">If the application for exemption is approved by the Council, it will take immediate effect from the date of the </w:t>
      </w:r>
      <w:r w:rsidR="00977B8D" w:rsidRPr="00B774B7">
        <w:t>plenary</w:t>
      </w:r>
      <w:r w:rsidRPr="00B774B7">
        <w:t xml:space="preserve"> meeting at which the decision is taken. Unless otherwise decided by the Council in exceptional circumstances, the exemption shall not be granted retroactively</w:t>
      </w:r>
      <w:r w:rsidRPr="00B774B7">
        <w:rPr>
          <w:szCs w:val="24"/>
        </w:rPr>
        <w:t xml:space="preserve">. </w:t>
      </w:r>
      <w:r w:rsidRPr="00B774B7">
        <w:rPr>
          <w:szCs w:val="24"/>
        </w:rPr>
        <w:lastRenderedPageBreak/>
        <w:t>Entities exempted by the Council remain responsible for any amounts owed prior to the effective date of exemption</w:t>
      </w:r>
      <w:r w:rsidRPr="00B774B7">
        <w:t>.</w:t>
      </w:r>
    </w:p>
    <w:p w:rsidR="00550CE1" w:rsidRPr="00B774B7" w:rsidRDefault="00550CE1" w:rsidP="0070281B">
      <w:pPr>
        <w:tabs>
          <w:tab w:val="clear" w:pos="567"/>
          <w:tab w:val="clear" w:pos="1134"/>
          <w:tab w:val="clear" w:pos="1701"/>
          <w:tab w:val="clear" w:pos="2268"/>
          <w:tab w:val="clear" w:pos="2835"/>
        </w:tabs>
        <w:snapToGrid w:val="0"/>
        <w:spacing w:after="120"/>
        <w:jc w:val="both"/>
      </w:pPr>
      <w:r>
        <w:t>2</w:t>
      </w:r>
      <w:r w:rsidRPr="00B774B7">
        <w:t>.4</w:t>
      </w:r>
      <w:r w:rsidRPr="00B774B7">
        <w:tab/>
        <w:t xml:space="preserve">The exemption shall be valid </w:t>
      </w:r>
      <w:bookmarkStart w:id="10" w:name="_GoBack"/>
      <w:bookmarkEnd w:id="10"/>
      <w:r w:rsidRPr="00B774B7">
        <w:t>until the following plenipotentiary conference, although the Council may at any time choose to revoke the exemption status from an entity which no longer fulfils the criteria noted above. Each plenipotentiary conference will review the list of exempted entities and decide which ones will continue to benefit from exempted status.</w:t>
      </w:r>
    </w:p>
    <w:p w:rsidR="00550CE1" w:rsidRPr="00B774B7" w:rsidRDefault="00550CE1" w:rsidP="0070281B">
      <w:pPr>
        <w:tabs>
          <w:tab w:val="clear" w:pos="567"/>
          <w:tab w:val="clear" w:pos="1134"/>
          <w:tab w:val="clear" w:pos="1701"/>
          <w:tab w:val="clear" w:pos="2268"/>
          <w:tab w:val="clear" w:pos="2835"/>
        </w:tabs>
        <w:snapToGrid w:val="0"/>
        <w:spacing w:after="120"/>
        <w:jc w:val="both"/>
      </w:pPr>
      <w:r w:rsidRPr="00B774B7">
        <w:t>2.5</w:t>
      </w:r>
      <w:r w:rsidRPr="00B774B7">
        <w:tab/>
        <w:t>The list of exempted entities shall be made publically available on the ITU website.</w:t>
      </w:r>
    </w:p>
    <w:p w:rsidR="00264425" w:rsidRPr="00550CE1" w:rsidRDefault="00550CE1" w:rsidP="00550CE1">
      <w:pPr>
        <w:spacing w:before="840"/>
        <w:jc w:val="center"/>
      </w:pPr>
      <w:r w:rsidRPr="00B774B7">
        <w:t>_____________________</w:t>
      </w:r>
    </w:p>
    <w:sectPr w:rsidR="00264425" w:rsidRPr="00550CE1" w:rsidSect="004D1851">
      <w:headerReference w:type="default" r:id="rId17"/>
      <w:footerReference w:type="first" r:id="rId18"/>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59E0" w:rsidRDefault="001859E0">
      <w:r>
        <w:separator/>
      </w:r>
    </w:p>
  </w:endnote>
  <w:endnote w:type="continuationSeparator" w:id="0">
    <w:p w:rsidR="001859E0" w:rsidRDefault="001859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00006FF" w:usb1="4000205B" w:usb2="00000010" w:usb3="00000000" w:csb0="0000019F" w:csb1="00000000"/>
  </w:font>
  <w:font w:name="Poppins">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2D0D" w:rsidRDefault="00322D0D">
    <w:pPr>
      <w:spacing w:after="120"/>
      <w:jc w:val="center"/>
    </w:pPr>
    <w:r>
      <w:t xml:space="preserve">• </w:t>
    </w:r>
    <w:hyperlink r:id="rId1" w:history="1">
      <w:r>
        <w:rPr>
          <w:rStyle w:val="Hyperlink"/>
        </w:rPr>
        <w:t>http://www.itu.int/council</w:t>
      </w:r>
    </w:hyperlink>
    <w:r>
      <w:t xml:space="preserve"> •</w:t>
    </w:r>
  </w:p>
  <w:p w:rsidR="00322D0D" w:rsidRPr="00550CE1" w:rsidRDefault="00FA4575" w:rsidP="00FA4575">
    <w:pPr>
      <w:pStyle w:val="Footer"/>
      <w:rPr>
        <w:color w:val="D9D9D9" w:themeColor="background1" w:themeShade="D9"/>
      </w:rPr>
    </w:pPr>
    <w:r w:rsidRPr="00550CE1">
      <w:rPr>
        <w:color w:val="D9D9D9" w:themeColor="background1" w:themeShade="D9"/>
      </w:rPr>
      <w:fldChar w:fldCharType="begin"/>
    </w:r>
    <w:r w:rsidRPr="00550CE1">
      <w:rPr>
        <w:color w:val="D9D9D9" w:themeColor="background1" w:themeShade="D9"/>
      </w:rPr>
      <w:instrText xml:space="preserve"> FILENAME \p  \* MERGEFORMAT </w:instrText>
    </w:r>
    <w:r w:rsidRPr="00550CE1">
      <w:rPr>
        <w:color w:val="D9D9D9" w:themeColor="background1" w:themeShade="D9"/>
      </w:rPr>
      <w:fldChar w:fldCharType="separate"/>
    </w:r>
    <w:r w:rsidR="001859E0" w:rsidRPr="00550CE1">
      <w:rPr>
        <w:color w:val="D9D9D9" w:themeColor="background1" w:themeShade="D9"/>
      </w:rPr>
      <w:t>Document1</w:t>
    </w:r>
    <w:r w:rsidRPr="00550CE1">
      <w:rPr>
        <w:color w:val="D9D9D9" w:themeColor="background1" w:themeShade="D9"/>
      </w:rPr>
      <w:fldChar w:fldCharType="end"/>
    </w:r>
    <w:r w:rsidR="00322D0D" w:rsidRPr="00550CE1">
      <w:rPr>
        <w:color w:val="D9D9D9" w:themeColor="background1" w:themeShade="D9"/>
      </w:rPr>
      <w:tab/>
    </w:r>
    <w:r w:rsidRPr="00550CE1">
      <w:rPr>
        <w:color w:val="D9D9D9" w:themeColor="background1" w:themeShade="D9"/>
      </w:rPr>
      <w:tab/>
    </w:r>
    <w:r w:rsidRPr="00550CE1">
      <w:rPr>
        <w:color w:val="D9D9D9" w:themeColor="background1" w:themeShade="D9"/>
      </w:rPr>
      <w:fldChar w:fldCharType="begin"/>
    </w:r>
    <w:r w:rsidRPr="00550CE1">
      <w:rPr>
        <w:color w:val="D9D9D9" w:themeColor="background1" w:themeShade="D9"/>
      </w:rPr>
      <w:instrText xml:space="preserve"> DATE   \* MERGEFORMAT </w:instrText>
    </w:r>
    <w:r w:rsidRPr="00550CE1">
      <w:rPr>
        <w:color w:val="D9D9D9" w:themeColor="background1" w:themeShade="D9"/>
      </w:rPr>
      <w:fldChar w:fldCharType="separate"/>
    </w:r>
    <w:r w:rsidR="0070281B">
      <w:rPr>
        <w:color w:val="D9D9D9" w:themeColor="background1" w:themeShade="D9"/>
      </w:rPr>
      <w:t>02/05/2019</w:t>
    </w:r>
    <w:r w:rsidRPr="00550CE1">
      <w:rPr>
        <w:color w:val="D9D9D9" w:themeColor="background1" w:themeShade="D9"/>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59E0" w:rsidRDefault="001859E0">
      <w:r>
        <w:t>____________________</w:t>
      </w:r>
    </w:p>
  </w:footnote>
  <w:footnote w:type="continuationSeparator" w:id="0">
    <w:p w:rsidR="001859E0" w:rsidRDefault="001859E0">
      <w:r>
        <w:continuationSeparator/>
      </w:r>
    </w:p>
  </w:footnote>
  <w:footnote w:id="1">
    <w:p w:rsidR="00550CE1" w:rsidRPr="00940613" w:rsidRDefault="00550CE1" w:rsidP="00550CE1">
      <w:pPr>
        <w:pStyle w:val="FootnoteText"/>
        <w:tabs>
          <w:tab w:val="clear" w:pos="256"/>
          <w:tab w:val="left" w:pos="284"/>
        </w:tabs>
        <w:ind w:left="284" w:hanging="284"/>
      </w:pPr>
      <w:r w:rsidRPr="00B774B7">
        <w:rPr>
          <w:rStyle w:val="FootnoteReference"/>
        </w:rPr>
        <w:footnoteRef/>
      </w:r>
      <w:r w:rsidRPr="00B774B7">
        <w:t xml:space="preserve"> </w:t>
      </w:r>
      <w:r>
        <w:tab/>
      </w:r>
      <w:r w:rsidRPr="00B774B7">
        <w:rPr>
          <w:sz w:val="20"/>
        </w:rPr>
        <w:t>This means providing reciprocal access to information/documentation similar to that provided by ITU to its members through the TIES restricted access system.</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2D0D" w:rsidRDefault="006535F1" w:rsidP="00CE433C">
    <w:pPr>
      <w:pStyle w:val="Header"/>
    </w:pPr>
    <w:r>
      <w:fldChar w:fldCharType="begin"/>
    </w:r>
    <w:r>
      <w:instrText>PAGE</w:instrText>
    </w:r>
    <w:r>
      <w:fldChar w:fldCharType="separate"/>
    </w:r>
    <w:r w:rsidR="003178DE">
      <w:rPr>
        <w:noProof/>
      </w:rPr>
      <w:t>2</w:t>
    </w:r>
    <w:r>
      <w:rPr>
        <w:noProof/>
      </w:rPr>
      <w:fldChar w:fldCharType="end"/>
    </w:r>
  </w:p>
  <w:p w:rsidR="00322D0D" w:rsidRPr="00623AE3" w:rsidRDefault="00FA4575" w:rsidP="00550CE1">
    <w:pPr>
      <w:pStyle w:val="Header"/>
      <w:rPr>
        <w:bCs/>
      </w:rPr>
    </w:pPr>
    <w:r>
      <w:rPr>
        <w:bCs/>
      </w:rPr>
      <w:t>C19</w:t>
    </w:r>
    <w:r w:rsidR="00623AE3" w:rsidRPr="00623AE3">
      <w:rPr>
        <w:bCs/>
      </w:rPr>
      <w:t>/</w:t>
    </w:r>
    <w:r w:rsidR="00550CE1">
      <w:rPr>
        <w:bCs/>
      </w:rPr>
      <w:t>39</w:t>
    </w:r>
    <w:r w:rsidR="00623AE3" w:rsidRPr="00623AE3">
      <w:rPr>
        <w:bCs/>
      </w:rPr>
      <w:t>-E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59E0"/>
    <w:rsid w:val="000210D4"/>
    <w:rsid w:val="00063016"/>
    <w:rsid w:val="00066795"/>
    <w:rsid w:val="00076AF6"/>
    <w:rsid w:val="00085CF2"/>
    <w:rsid w:val="000B1705"/>
    <w:rsid w:val="000D75B2"/>
    <w:rsid w:val="001121F5"/>
    <w:rsid w:val="001400DC"/>
    <w:rsid w:val="00140CE1"/>
    <w:rsid w:val="0017539C"/>
    <w:rsid w:val="00175AC2"/>
    <w:rsid w:val="0017609F"/>
    <w:rsid w:val="001859E0"/>
    <w:rsid w:val="001C628E"/>
    <w:rsid w:val="001E0F7B"/>
    <w:rsid w:val="002119FD"/>
    <w:rsid w:val="002130E0"/>
    <w:rsid w:val="00264425"/>
    <w:rsid w:val="00265875"/>
    <w:rsid w:val="0027303B"/>
    <w:rsid w:val="0028109B"/>
    <w:rsid w:val="002A2188"/>
    <w:rsid w:val="002B1F58"/>
    <w:rsid w:val="002C1C7A"/>
    <w:rsid w:val="0030160F"/>
    <w:rsid w:val="003178DE"/>
    <w:rsid w:val="00322D0D"/>
    <w:rsid w:val="003942D4"/>
    <w:rsid w:val="003958A8"/>
    <w:rsid w:val="003C2533"/>
    <w:rsid w:val="0040435A"/>
    <w:rsid w:val="00416A24"/>
    <w:rsid w:val="00431D9E"/>
    <w:rsid w:val="00433CE8"/>
    <w:rsid w:val="00434A5C"/>
    <w:rsid w:val="004544D9"/>
    <w:rsid w:val="00490E72"/>
    <w:rsid w:val="00491157"/>
    <w:rsid w:val="004921C8"/>
    <w:rsid w:val="004D1851"/>
    <w:rsid w:val="004D599D"/>
    <w:rsid w:val="004E2EA5"/>
    <w:rsid w:val="004E3AEB"/>
    <w:rsid w:val="0050223C"/>
    <w:rsid w:val="005243FF"/>
    <w:rsid w:val="00546AE8"/>
    <w:rsid w:val="00550CE1"/>
    <w:rsid w:val="00564FBC"/>
    <w:rsid w:val="00582442"/>
    <w:rsid w:val="005F3269"/>
    <w:rsid w:val="00623AE3"/>
    <w:rsid w:val="0064737F"/>
    <w:rsid w:val="006535F1"/>
    <w:rsid w:val="0065557D"/>
    <w:rsid w:val="00662984"/>
    <w:rsid w:val="006716BB"/>
    <w:rsid w:val="006B6680"/>
    <w:rsid w:val="006B6DCC"/>
    <w:rsid w:val="006D2310"/>
    <w:rsid w:val="0070281B"/>
    <w:rsid w:val="00702DEF"/>
    <w:rsid w:val="00706861"/>
    <w:rsid w:val="0070687C"/>
    <w:rsid w:val="0075051B"/>
    <w:rsid w:val="00793188"/>
    <w:rsid w:val="00794D34"/>
    <w:rsid w:val="007B493C"/>
    <w:rsid w:val="00813E5E"/>
    <w:rsid w:val="0083581B"/>
    <w:rsid w:val="00864AFF"/>
    <w:rsid w:val="008B4A6A"/>
    <w:rsid w:val="008C7E27"/>
    <w:rsid w:val="009173EF"/>
    <w:rsid w:val="00932906"/>
    <w:rsid w:val="00961B0B"/>
    <w:rsid w:val="00977B8D"/>
    <w:rsid w:val="009B38C3"/>
    <w:rsid w:val="009E17BD"/>
    <w:rsid w:val="009E485A"/>
    <w:rsid w:val="00A04CEC"/>
    <w:rsid w:val="00A27F92"/>
    <w:rsid w:val="00A32257"/>
    <w:rsid w:val="00A36D20"/>
    <w:rsid w:val="00A55622"/>
    <w:rsid w:val="00A83502"/>
    <w:rsid w:val="00AD15B3"/>
    <w:rsid w:val="00AF6E49"/>
    <w:rsid w:val="00B04A67"/>
    <w:rsid w:val="00B0583C"/>
    <w:rsid w:val="00B36C09"/>
    <w:rsid w:val="00B40A81"/>
    <w:rsid w:val="00B44910"/>
    <w:rsid w:val="00B72267"/>
    <w:rsid w:val="00B76EB6"/>
    <w:rsid w:val="00B7737B"/>
    <w:rsid w:val="00B824C8"/>
    <w:rsid w:val="00BC251A"/>
    <w:rsid w:val="00BD032B"/>
    <w:rsid w:val="00BE2640"/>
    <w:rsid w:val="00C01189"/>
    <w:rsid w:val="00C374DE"/>
    <w:rsid w:val="00C47AD4"/>
    <w:rsid w:val="00C52D81"/>
    <w:rsid w:val="00C55198"/>
    <w:rsid w:val="00CA6393"/>
    <w:rsid w:val="00CB18FF"/>
    <w:rsid w:val="00CD0C08"/>
    <w:rsid w:val="00CE03FB"/>
    <w:rsid w:val="00CE433C"/>
    <w:rsid w:val="00CF33F3"/>
    <w:rsid w:val="00D04E39"/>
    <w:rsid w:val="00D06183"/>
    <w:rsid w:val="00D22C42"/>
    <w:rsid w:val="00D65041"/>
    <w:rsid w:val="00DB384B"/>
    <w:rsid w:val="00E10E80"/>
    <w:rsid w:val="00E124F0"/>
    <w:rsid w:val="00E60F04"/>
    <w:rsid w:val="00E854E4"/>
    <w:rsid w:val="00EB0D6F"/>
    <w:rsid w:val="00EB2232"/>
    <w:rsid w:val="00EC5337"/>
    <w:rsid w:val="00F2150A"/>
    <w:rsid w:val="00F231D8"/>
    <w:rsid w:val="00F46C5F"/>
    <w:rsid w:val="00F94A63"/>
    <w:rsid w:val="00FA1C28"/>
    <w:rsid w:val="00FA4575"/>
    <w:rsid w:val="00FB7596"/>
    <w:rsid w:val="00FE4077"/>
    <w:rsid w:val="00FE77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42D97EC2"/>
  <w15:docId w15:val="{B6AD2ADC-75F5-4FFE-BBAC-C36186120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3E5E"/>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813E5E"/>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paragraph" w:customStyle="1" w:styleId="Equation">
    <w:name w:val="Equation"/>
    <w:basedOn w:val="Normal"/>
    <w:rsid w:val="004D1851"/>
    <w:pPr>
      <w:tabs>
        <w:tab w:val="center" w:pos="4820"/>
        <w:tab w:val="right" w:pos="9639"/>
      </w:tabs>
    </w:p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813E5E"/>
    <w:pPr>
      <w:spacing w:before="840"/>
      <w:jc w:val="center"/>
    </w:pPr>
    <w:rPr>
      <w:b/>
      <w:sz w:val="28"/>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paragraph" w:customStyle="1" w:styleId="Reasons">
    <w:name w:val="Reasons"/>
    <w:basedOn w:val="Normal"/>
    <w:rsid w:val="00813E5E"/>
  </w:style>
  <w:style w:type="character" w:styleId="Hyperlink">
    <w:name w:val="Hyperlink"/>
    <w:basedOn w:val="DefaultParagraphFont"/>
    <w:rsid w:val="00813E5E"/>
    <w:rPr>
      <w:color w:val="0000FF"/>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813E5E"/>
    <w:pPr>
      <w:spacing w:before="240"/>
    </w:pPr>
    <w:rPr>
      <w:b w:val="0"/>
      <w:caps/>
    </w:rPr>
  </w:style>
  <w:style w:type="paragraph" w:customStyle="1" w:styleId="Title2">
    <w:name w:val="Title 2"/>
    <w:basedOn w:val="Source"/>
    <w:next w:val="Title3"/>
    <w:rsid w:val="00813E5E"/>
    <w:pPr>
      <w:spacing w:before="240"/>
    </w:pPr>
    <w:rPr>
      <w:b w:val="0"/>
      <w:caps/>
    </w:rPr>
  </w:style>
  <w:style w:type="paragraph" w:customStyle="1" w:styleId="Title3">
    <w:name w:val="Title 3"/>
    <w:basedOn w:val="Title2"/>
    <w:next w:val="Normalaftertitle"/>
    <w:rsid w:val="00813E5E"/>
    <w:rPr>
      <w:caps w:val="0"/>
    </w:rPr>
  </w:style>
  <w:style w:type="paragraph" w:customStyle="1" w:styleId="Title4">
    <w:name w:val="Title 4"/>
    <w:basedOn w:val="Title3"/>
    <w:next w:val="Heading1"/>
    <w:rsid w:val="004D1851"/>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Equationlegend">
    <w:name w:val="Equation_legend"/>
    <w:basedOn w:val="Normal"/>
    <w:rsid w:val="004D1851"/>
    <w:pPr>
      <w:tabs>
        <w:tab w:val="right" w:pos="1531"/>
      </w:tabs>
      <w:overflowPunct/>
      <w:autoSpaceDE/>
      <w:autoSpaceDN/>
      <w:adjustRightInd/>
      <w:spacing w:before="80"/>
      <w:ind w:left="1701" w:hanging="1701"/>
      <w:textAlignment w:val="auto"/>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pdate">
    <w:name w:val="Rep_date"/>
    <w:basedOn w:val="Recdate"/>
    <w:next w:val="Normalaftertitle"/>
    <w:rsid w:val="004D1851"/>
  </w:style>
  <w:style w:type="paragraph" w:customStyle="1" w:styleId="RepNo">
    <w:name w:val="Rep_No"/>
    <w:basedOn w:val="RecNo"/>
    <w:next w:val="Reptitle"/>
    <w:rsid w:val="004D1851"/>
  </w:style>
  <w:style w:type="paragraph" w:customStyle="1" w:styleId="Reptitle">
    <w:name w:val="Rep_title"/>
    <w:basedOn w:val="Rectitle"/>
    <w:next w:val="Repref"/>
    <w:rsid w:val="004D1851"/>
  </w:style>
  <w:style w:type="paragraph" w:customStyle="1" w:styleId="Repref">
    <w:name w:val="Rep_ref"/>
    <w:basedOn w:val="Recref"/>
    <w:next w:val="Repdate"/>
    <w:rsid w:val="004D1851"/>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SpecialFooter">
    <w:name w:val="Special Footer"/>
    <w:basedOn w:val="Footer"/>
    <w:rsid w:val="004D1851"/>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paragraph" w:customStyle="1" w:styleId="Table">
    <w:name w:val="Table_#"/>
    <w:basedOn w:val="Normal"/>
    <w:next w:val="Normal"/>
    <w:rsid w:val="002A2188"/>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rPr>
  </w:style>
  <w:style w:type="paragraph" w:customStyle="1" w:styleId="TableHead0">
    <w:name w:val="Table_Head"/>
    <w:basedOn w:val="Normal"/>
    <w:rsid w:val="00550CE1"/>
    <w:pPr>
      <w:keepNext/>
      <w:tabs>
        <w:tab w:val="clear" w:pos="567"/>
        <w:tab w:val="clear" w:pos="1134"/>
        <w:tab w:val="clear" w:pos="1701"/>
        <w:tab w:val="clear" w:pos="2268"/>
        <w:tab w:val="clear" w:pos="2835"/>
        <w:tab w:val="left" w:pos="284"/>
        <w:tab w:val="left" w:pos="851"/>
        <w:tab w:val="left" w:pos="1418"/>
        <w:tab w:val="left" w:pos="2552"/>
        <w:tab w:val="left" w:pos="3119"/>
        <w:tab w:val="left" w:pos="3402"/>
        <w:tab w:val="left" w:pos="3686"/>
        <w:tab w:val="left" w:pos="3969"/>
      </w:tabs>
      <w:overflowPunct/>
      <w:autoSpaceDE/>
      <w:autoSpaceDN/>
      <w:adjustRightInd/>
      <w:spacing w:before="80" w:after="80" w:line="259" w:lineRule="auto"/>
      <w:jc w:val="center"/>
      <w:textAlignment w:val="auto"/>
    </w:pPr>
    <w:rPr>
      <w:rFonts w:asciiTheme="minorHAnsi" w:eastAsiaTheme="minorEastAsia" w:hAnsiTheme="minorHAnsi" w:cstheme="minorBidi"/>
      <w:b/>
      <w:sz w:val="22"/>
      <w:szCs w:val="22"/>
      <w:lang w:eastAsia="zh-CN"/>
    </w:rPr>
  </w:style>
  <w:style w:type="paragraph" w:customStyle="1" w:styleId="TableText0">
    <w:name w:val="Table_Text"/>
    <w:basedOn w:val="Normal"/>
    <w:rsid w:val="00550CE1"/>
    <w:pPr>
      <w:tabs>
        <w:tab w:val="clear" w:pos="567"/>
        <w:tab w:val="clear" w:pos="1134"/>
        <w:tab w:val="clear" w:pos="1701"/>
        <w:tab w:val="clear" w:pos="2268"/>
        <w:tab w:val="clear" w:pos="2835"/>
        <w:tab w:val="left" w:pos="284"/>
        <w:tab w:val="left" w:pos="851"/>
        <w:tab w:val="left" w:pos="1418"/>
        <w:tab w:val="left" w:pos="2552"/>
        <w:tab w:val="left" w:pos="3119"/>
        <w:tab w:val="left" w:pos="3402"/>
        <w:tab w:val="left" w:pos="3686"/>
        <w:tab w:val="left" w:pos="3969"/>
      </w:tabs>
      <w:overflowPunct/>
      <w:autoSpaceDE/>
      <w:autoSpaceDN/>
      <w:adjustRightInd/>
      <w:spacing w:before="40" w:after="40" w:line="259" w:lineRule="auto"/>
      <w:textAlignment w:val="auto"/>
    </w:pPr>
    <w:rPr>
      <w:rFonts w:asciiTheme="minorHAnsi" w:eastAsiaTheme="minorEastAsia" w:hAnsiTheme="minorHAnsi" w:cstheme="minorBidi"/>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itu.int/md/S02-CL-C-0094/en"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tu.int/itudoc/gs/council/c01/docs/026.html"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itu.int/md/S05-CL-C-0040/en"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itudoc/gs/council/c00/docs/28rev1.html" TargetMode="External"/><Relationship Id="rId5" Type="http://schemas.openxmlformats.org/officeDocument/2006/relationships/webSettings" Target="webSettings.xml"/><Relationship Id="rId15" Type="http://schemas.openxmlformats.org/officeDocument/2006/relationships/hyperlink" Target="http://www.itu.int/md/S03-ADCL-C-0003/en" TargetMode="External"/><Relationship Id="rId10" Type="http://schemas.openxmlformats.org/officeDocument/2006/relationships/hyperlink" Target="https://www.itu.int/en/council/2019/Documents/basic-texts/RES-187-E.pdf"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itu.int/en/council/2019/Documents/basic-texts/Convention-E.pdf" TargetMode="External"/><Relationship Id="rId14" Type="http://schemas.openxmlformats.org/officeDocument/2006/relationships/hyperlink" Target="https://www.itu.int/md/S03-CL-C-0040/en"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3CD858-E2F6-4B7E-88DB-472FDAAA5C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6</Pages>
  <Words>1521</Words>
  <Characters>9632</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Requests for exemption from any financial contribution to defraying expenses relating to participation in the work of the ITU</vt:lpstr>
    </vt:vector>
  </TitlesOfParts>
  <Manager>General Secretariat - Pool</Manager>
  <Company>International Telecommunication Union (ITU)</Company>
  <LinksUpToDate>false</LinksUpToDate>
  <CharactersWithSpaces>11131</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Requests for exemption from any financial contribution to defraying expenses relating to participation in the work of the ITU</dc:title>
  <dc:subject>Council 2019</dc:subject>
  <dc:creator/>
  <cp:keywords>C2019, C19</cp:keywords>
  <dc:description/>
  <cp:lastModifiedBy>Aschenbrener, Elizabeth</cp:lastModifiedBy>
  <cp:revision>5</cp:revision>
  <cp:lastPrinted>2000-07-18T13:30:00Z</cp:lastPrinted>
  <dcterms:created xsi:type="dcterms:W3CDTF">2019-05-01T11:07:00Z</dcterms:created>
  <dcterms:modified xsi:type="dcterms:W3CDTF">2019-05-02T06:40:00Z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PE_C08.DOT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