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74F37">
        <w:trPr>
          <w:cantSplit/>
        </w:trPr>
        <w:tc>
          <w:tcPr>
            <w:tcW w:w="6911" w:type="dxa"/>
          </w:tcPr>
          <w:p w:rsidR="00BC7BC0" w:rsidRPr="00774F37" w:rsidRDefault="000569B4" w:rsidP="00E642D7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774F37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74F37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E642D7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774F37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774F37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774F37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774F37">
              <w:rPr>
                <w:b/>
                <w:bCs/>
                <w:lang w:val="ru-RU"/>
              </w:rPr>
              <w:t>1</w:t>
            </w:r>
            <w:r w:rsidR="00E642D7">
              <w:rPr>
                <w:b/>
                <w:bCs/>
                <w:lang w:val="ru-RU"/>
              </w:rPr>
              <w:t>0</w:t>
            </w:r>
            <w:r w:rsidR="005E1B84" w:rsidRPr="00774F37">
              <w:rPr>
                <w:b/>
                <w:bCs/>
                <w:lang w:val="ru-RU"/>
              </w:rPr>
              <w:t>−</w:t>
            </w:r>
            <w:r w:rsidR="008B62B4" w:rsidRPr="00774F37">
              <w:rPr>
                <w:b/>
                <w:bCs/>
                <w:lang w:val="ru-RU"/>
              </w:rPr>
              <w:t>2</w:t>
            </w:r>
            <w:r w:rsidR="00E642D7">
              <w:rPr>
                <w:b/>
                <w:bCs/>
                <w:lang w:val="ru-RU"/>
              </w:rPr>
              <w:t>0</w:t>
            </w:r>
            <w:r w:rsidR="00A01CF9" w:rsidRPr="00774F37">
              <w:rPr>
                <w:b/>
                <w:szCs w:val="22"/>
                <w:lang w:val="ru-RU"/>
              </w:rPr>
              <w:t xml:space="preserve"> </w:t>
            </w:r>
            <w:r w:rsidR="00E642D7">
              <w:rPr>
                <w:b/>
                <w:szCs w:val="22"/>
                <w:lang w:val="ru-RU"/>
              </w:rPr>
              <w:t>июня</w:t>
            </w:r>
            <w:r w:rsidR="00A01CF9" w:rsidRPr="00774F37">
              <w:rPr>
                <w:b/>
                <w:bCs/>
                <w:lang w:val="ru-RU"/>
              </w:rPr>
              <w:t xml:space="preserve"> </w:t>
            </w:r>
            <w:r w:rsidR="00225368" w:rsidRPr="00774F37">
              <w:rPr>
                <w:b/>
                <w:bCs/>
                <w:lang w:val="ru-RU"/>
              </w:rPr>
              <w:t>201</w:t>
            </w:r>
            <w:r w:rsidR="00E642D7">
              <w:rPr>
                <w:b/>
                <w:bCs/>
                <w:lang w:val="ru-RU"/>
              </w:rPr>
              <w:t>9</w:t>
            </w:r>
            <w:r w:rsidR="00225368" w:rsidRPr="00774F37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774F37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774F37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74F3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774F37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774F37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74F3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774F37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774F37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74F37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774F37" w:rsidRDefault="00BC7BC0" w:rsidP="003C5C3F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774F37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774F37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E642D7">
              <w:rPr>
                <w:rFonts w:asciiTheme="minorHAnsi" w:hAnsiTheme="minorHAnsi" w:cs="Calibri"/>
                <w:b/>
                <w:szCs w:val="24"/>
                <w:lang w:val="ru-RU"/>
              </w:rPr>
              <w:t>ADM 9</w:t>
            </w:r>
          </w:p>
        </w:tc>
        <w:tc>
          <w:tcPr>
            <w:tcW w:w="3120" w:type="dxa"/>
          </w:tcPr>
          <w:p w:rsidR="00BC7BC0" w:rsidRPr="00774F37" w:rsidRDefault="00BC7BC0" w:rsidP="005E1B84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774F37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774F37">
              <w:rPr>
                <w:b/>
                <w:bCs/>
                <w:szCs w:val="22"/>
                <w:lang w:val="ru-RU"/>
              </w:rPr>
              <w:t>1</w:t>
            </w:r>
            <w:r w:rsidR="00E642D7">
              <w:rPr>
                <w:b/>
                <w:bCs/>
                <w:szCs w:val="22"/>
                <w:lang w:val="ru-RU"/>
              </w:rPr>
              <w:t>9</w:t>
            </w:r>
            <w:r w:rsidRPr="00774F37">
              <w:rPr>
                <w:b/>
                <w:bCs/>
                <w:szCs w:val="22"/>
                <w:lang w:val="ru-RU"/>
              </w:rPr>
              <w:t>/</w:t>
            </w:r>
            <w:r w:rsidR="00E642D7">
              <w:rPr>
                <w:b/>
                <w:bCs/>
                <w:szCs w:val="22"/>
                <w:lang w:val="ru-RU"/>
              </w:rPr>
              <w:t>39</w:t>
            </w:r>
            <w:r w:rsidRPr="00774F37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774F37">
        <w:trPr>
          <w:cantSplit/>
          <w:trHeight w:val="23"/>
        </w:trPr>
        <w:tc>
          <w:tcPr>
            <w:tcW w:w="6911" w:type="dxa"/>
            <w:vMerge/>
          </w:tcPr>
          <w:p w:rsidR="00BC7BC0" w:rsidRPr="00774F37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774F37" w:rsidRDefault="009656D4" w:rsidP="009656D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6 мая</w:t>
            </w:r>
            <w:r w:rsidR="00EB4FCB" w:rsidRPr="00774F37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774F37">
              <w:rPr>
                <w:b/>
                <w:bCs/>
                <w:szCs w:val="22"/>
                <w:lang w:val="ru-RU"/>
              </w:rPr>
              <w:t>20</w:t>
            </w:r>
            <w:r w:rsidR="003F099E" w:rsidRPr="00774F37">
              <w:rPr>
                <w:b/>
                <w:bCs/>
                <w:szCs w:val="22"/>
                <w:lang w:val="ru-RU"/>
              </w:rPr>
              <w:t>1</w:t>
            </w:r>
            <w:r>
              <w:rPr>
                <w:b/>
                <w:bCs/>
                <w:szCs w:val="22"/>
                <w:lang w:val="ru-RU"/>
              </w:rPr>
              <w:t>9</w:t>
            </w:r>
            <w:r w:rsidR="00BC7BC0" w:rsidRPr="00774F37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774F37">
        <w:trPr>
          <w:cantSplit/>
          <w:trHeight w:val="23"/>
        </w:trPr>
        <w:tc>
          <w:tcPr>
            <w:tcW w:w="6911" w:type="dxa"/>
            <w:vMerge/>
          </w:tcPr>
          <w:p w:rsidR="00BC7BC0" w:rsidRPr="00774F37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774F37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74F37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774F37">
        <w:trPr>
          <w:cantSplit/>
        </w:trPr>
        <w:tc>
          <w:tcPr>
            <w:tcW w:w="10031" w:type="dxa"/>
            <w:gridSpan w:val="2"/>
          </w:tcPr>
          <w:p w:rsidR="00BC7BC0" w:rsidRPr="00774F37" w:rsidRDefault="005E1B84" w:rsidP="005E1B84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774F37">
              <w:rPr>
                <w:lang w:val="ru-RU"/>
              </w:rPr>
              <w:t>Отчет</w:t>
            </w:r>
            <w:r w:rsidR="00BC7BC0" w:rsidRPr="00774F37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0455AE">
        <w:trPr>
          <w:cantSplit/>
        </w:trPr>
        <w:tc>
          <w:tcPr>
            <w:tcW w:w="10031" w:type="dxa"/>
            <w:gridSpan w:val="2"/>
          </w:tcPr>
          <w:p w:rsidR="00BC7BC0" w:rsidRPr="00774F37" w:rsidRDefault="005E1B84" w:rsidP="005E1B84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774F37">
              <w:rPr>
                <w:lang w:val="ru-RU"/>
              </w:rPr>
              <w:t xml:space="preserve">заявкИ на предоставление освобождения от каких бы то ни было финансовых взносов на покрытие расходов, </w:t>
            </w:r>
            <w:r w:rsidRPr="00774F37">
              <w:rPr>
                <w:lang w:val="ru-RU"/>
              </w:rPr>
              <w:br/>
              <w:t>связанных с участием в работе мсэ</w:t>
            </w:r>
          </w:p>
        </w:tc>
      </w:tr>
      <w:bookmarkEnd w:id="2"/>
    </w:tbl>
    <w:p w:rsidR="002D2F57" w:rsidRPr="00774F37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0455AE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774F37" w:rsidRDefault="002D2F57">
            <w:pPr>
              <w:pStyle w:val="Headingb"/>
              <w:rPr>
                <w:szCs w:val="22"/>
                <w:lang w:val="ru-RU"/>
              </w:rPr>
            </w:pPr>
            <w:r w:rsidRPr="00774F37">
              <w:rPr>
                <w:szCs w:val="22"/>
                <w:lang w:val="ru-RU"/>
              </w:rPr>
              <w:t>Резюме</w:t>
            </w:r>
          </w:p>
          <w:p w:rsidR="002D2F57" w:rsidRPr="00774F37" w:rsidRDefault="00D74E57" w:rsidP="00890447">
            <w:pPr>
              <w:rPr>
                <w:szCs w:val="22"/>
                <w:lang w:val="ru-RU"/>
              </w:rPr>
            </w:pPr>
            <w:r w:rsidRPr="00774F37">
              <w:rPr>
                <w:szCs w:val="22"/>
                <w:lang w:val="ru-RU"/>
              </w:rPr>
              <w:t>Заявки на предоставление освобождения от финансовых взносов</w:t>
            </w:r>
            <w:r w:rsidR="008F52E0">
              <w:rPr>
                <w:szCs w:val="22"/>
                <w:lang w:val="ru-RU"/>
              </w:rPr>
              <w:t xml:space="preserve"> (т.</w:t>
            </w:r>
            <w:r w:rsidR="003F0696" w:rsidRPr="003F0696">
              <w:rPr>
                <w:szCs w:val="22"/>
                <w:lang w:val="ru-RU"/>
              </w:rPr>
              <w:t xml:space="preserve"> </w:t>
            </w:r>
            <w:r w:rsidR="008F52E0">
              <w:rPr>
                <w:szCs w:val="22"/>
                <w:lang w:val="ru-RU"/>
              </w:rPr>
              <w:t xml:space="preserve">е. </w:t>
            </w:r>
            <w:r w:rsidR="008F52E0" w:rsidRPr="008F52E0">
              <w:rPr>
                <w:szCs w:val="22"/>
                <w:lang w:val="ru-RU"/>
              </w:rPr>
              <w:t>членских взносов Членов Секторов</w:t>
            </w:r>
            <w:r w:rsidR="008F52E0">
              <w:rPr>
                <w:szCs w:val="22"/>
                <w:lang w:val="ru-RU"/>
              </w:rPr>
              <w:t>)</w:t>
            </w:r>
            <w:r w:rsidRPr="00774F37">
              <w:rPr>
                <w:szCs w:val="22"/>
                <w:lang w:val="ru-RU"/>
              </w:rPr>
              <w:t xml:space="preserve"> были представлены </w:t>
            </w:r>
            <w:r w:rsidR="00350E88">
              <w:rPr>
                <w:szCs w:val="22"/>
                <w:lang w:val="ru-RU"/>
              </w:rPr>
              <w:t>семью</w:t>
            </w:r>
            <w:r w:rsidRPr="00774F37">
              <w:rPr>
                <w:szCs w:val="22"/>
                <w:lang w:val="ru-RU"/>
              </w:rPr>
              <w:t xml:space="preserve"> организациями. </w:t>
            </w:r>
            <w:r w:rsidR="005E1B84" w:rsidRPr="00774F37">
              <w:rPr>
                <w:szCs w:val="22"/>
                <w:lang w:val="ru-RU"/>
              </w:rPr>
              <w:t>В соответствии с руководящими указаниями Совет должен учесть мнения, высказанные Генеральным секретарем в отношении взаимных преимуществ их участия в деятельности Союза</w:t>
            </w:r>
            <w:r w:rsidR="008F52E0">
              <w:rPr>
                <w:szCs w:val="22"/>
                <w:lang w:val="ru-RU"/>
              </w:rPr>
              <w:t xml:space="preserve">, а также </w:t>
            </w:r>
            <w:r w:rsidR="00890447">
              <w:rPr>
                <w:szCs w:val="22"/>
                <w:lang w:val="ru-RU"/>
              </w:rPr>
              <w:t>оценить</w:t>
            </w:r>
            <w:r w:rsidR="008F52E0" w:rsidRPr="008F52E0">
              <w:rPr>
                <w:szCs w:val="22"/>
                <w:lang w:val="ru-RU"/>
              </w:rPr>
              <w:t xml:space="preserve">, соответствует ли каждый </w:t>
            </w:r>
            <w:r w:rsidR="00FB127D">
              <w:rPr>
                <w:szCs w:val="22"/>
                <w:lang w:val="ru-RU"/>
              </w:rPr>
              <w:t>заявитель</w:t>
            </w:r>
            <w:r w:rsidR="008F52E0" w:rsidRPr="008F52E0">
              <w:rPr>
                <w:szCs w:val="22"/>
                <w:lang w:val="ru-RU"/>
              </w:rPr>
              <w:t xml:space="preserve"> критериям, установленным Советом. Генеральный секретарь рекомендует Совету утвердить четыре </w:t>
            </w:r>
            <w:r w:rsidR="00A030D5">
              <w:rPr>
                <w:szCs w:val="22"/>
                <w:lang w:val="ru-RU"/>
              </w:rPr>
              <w:t>з</w:t>
            </w:r>
            <w:r w:rsidR="00A030D5" w:rsidRPr="00774F37">
              <w:rPr>
                <w:szCs w:val="22"/>
                <w:lang w:val="ru-RU"/>
              </w:rPr>
              <w:t>аявки на предоставление освобождения</w:t>
            </w:r>
            <w:r w:rsidR="00A030D5" w:rsidRPr="008F52E0">
              <w:rPr>
                <w:szCs w:val="22"/>
                <w:lang w:val="ru-RU"/>
              </w:rPr>
              <w:t xml:space="preserve"> из семи</w:t>
            </w:r>
            <w:r w:rsidR="005E1B84" w:rsidRPr="00774F37">
              <w:rPr>
                <w:szCs w:val="22"/>
                <w:lang w:val="ru-RU"/>
              </w:rPr>
              <w:t>.</w:t>
            </w:r>
          </w:p>
          <w:p w:rsidR="002D2F57" w:rsidRPr="00774F37" w:rsidRDefault="002D2F57" w:rsidP="00E55121">
            <w:pPr>
              <w:pStyle w:val="Headingb"/>
              <w:rPr>
                <w:lang w:val="ru-RU"/>
              </w:rPr>
            </w:pPr>
            <w:r w:rsidRPr="00774F37">
              <w:rPr>
                <w:lang w:val="ru-RU"/>
              </w:rPr>
              <w:t xml:space="preserve">Необходимые </w:t>
            </w:r>
            <w:r w:rsidR="00F5225B" w:rsidRPr="00774F37">
              <w:rPr>
                <w:lang w:val="ru-RU"/>
              </w:rPr>
              <w:t>действия</w:t>
            </w:r>
          </w:p>
          <w:p w:rsidR="002D2F57" w:rsidRPr="00774F37" w:rsidRDefault="003C5C3F" w:rsidP="00D74E57">
            <w:pPr>
              <w:rPr>
                <w:szCs w:val="22"/>
                <w:lang w:val="ru-RU"/>
              </w:rPr>
            </w:pPr>
            <w:r w:rsidRPr="00774F37">
              <w:rPr>
                <w:color w:val="000000"/>
                <w:lang w:val="ru-RU"/>
              </w:rPr>
              <w:t xml:space="preserve">Совету предлагается </w:t>
            </w:r>
            <w:r w:rsidRPr="00774F37">
              <w:rPr>
                <w:b/>
                <w:bCs/>
                <w:color w:val="000000"/>
                <w:lang w:val="ru-RU"/>
              </w:rPr>
              <w:t>рассмотреть</w:t>
            </w:r>
            <w:r w:rsidRPr="00774F37">
              <w:rPr>
                <w:color w:val="000000"/>
                <w:lang w:val="ru-RU"/>
              </w:rPr>
              <w:t xml:space="preserve"> эти заявки на принятие в качестве Членов Секторов, освобожденных от финансовых взносов, и </w:t>
            </w:r>
            <w:r w:rsidRPr="00774F37">
              <w:rPr>
                <w:b/>
                <w:bCs/>
                <w:color w:val="000000"/>
                <w:lang w:val="ru-RU"/>
              </w:rPr>
              <w:t>утвердить</w:t>
            </w:r>
            <w:r w:rsidRPr="00774F37">
              <w:rPr>
                <w:color w:val="000000"/>
                <w:lang w:val="ru-RU"/>
              </w:rPr>
              <w:t xml:space="preserve"> представленные Генеральным секретарем рекомендации</w:t>
            </w:r>
            <w:r w:rsidR="00D74E57" w:rsidRPr="00774F37">
              <w:rPr>
                <w:szCs w:val="22"/>
                <w:lang w:val="ru-RU"/>
              </w:rPr>
              <w:t>.</w:t>
            </w:r>
          </w:p>
          <w:p w:rsidR="002D2F57" w:rsidRPr="00774F37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774F37">
              <w:rPr>
                <w:caps/>
                <w:szCs w:val="22"/>
                <w:lang w:val="ru-RU"/>
              </w:rPr>
              <w:t>____________</w:t>
            </w:r>
          </w:p>
          <w:p w:rsidR="002D2F57" w:rsidRPr="00774F37" w:rsidRDefault="002D2F57">
            <w:pPr>
              <w:pStyle w:val="Headingb"/>
              <w:rPr>
                <w:szCs w:val="22"/>
                <w:lang w:val="ru-RU"/>
              </w:rPr>
            </w:pPr>
            <w:r w:rsidRPr="00774F37">
              <w:rPr>
                <w:szCs w:val="22"/>
                <w:lang w:val="ru-RU"/>
              </w:rPr>
              <w:t>Справочные материалы</w:t>
            </w:r>
          </w:p>
          <w:p w:rsidR="002D2F57" w:rsidRPr="008E4564" w:rsidRDefault="000455AE" w:rsidP="006A6F77">
            <w:pPr>
              <w:spacing w:after="120"/>
              <w:rPr>
                <w:i/>
                <w:iCs/>
                <w:color w:val="0000FF"/>
                <w:szCs w:val="22"/>
                <w:u w:val="single"/>
                <w:lang w:val="ru-RU"/>
              </w:rPr>
            </w:pPr>
            <w:hyperlink r:id="rId8" w:history="1">
              <w:r w:rsidR="008E4564">
                <w:rPr>
                  <w:rStyle w:val="Hyperlink"/>
                  <w:i/>
                  <w:iCs/>
                  <w:lang w:val="ru-RU"/>
                </w:rPr>
                <w:t>К</w:t>
              </w:r>
              <w:r w:rsidR="00235DFF" w:rsidRPr="000A1614">
                <w:rPr>
                  <w:rStyle w:val="Hyperlink"/>
                  <w:i/>
                  <w:iCs/>
                  <w:lang w:val="ru-RU"/>
                </w:rPr>
                <w:t>231</w:t>
              </w:r>
            </w:hyperlink>
            <w:r w:rsidR="00235DFF" w:rsidRPr="000A1614">
              <w:rPr>
                <w:i/>
                <w:iCs/>
                <w:lang w:val="ru-RU"/>
              </w:rPr>
              <w:t xml:space="preserve">, </w:t>
            </w:r>
            <w:hyperlink r:id="rId9" w:history="1">
              <w:r w:rsidR="000A1614">
                <w:rPr>
                  <w:rStyle w:val="Hyperlink"/>
                  <w:i/>
                  <w:iCs/>
                  <w:lang w:val="ru-RU"/>
                </w:rPr>
                <w:t>Резолюция</w:t>
              </w:r>
              <w:r w:rsidR="00235DFF" w:rsidRPr="000A1614">
                <w:rPr>
                  <w:rStyle w:val="Hyperlink"/>
                  <w:i/>
                  <w:iCs/>
                  <w:lang w:val="ru-RU"/>
                </w:rPr>
                <w:t xml:space="preserve"> 187 (</w:t>
              </w:r>
              <w:r w:rsidR="00C351A3">
                <w:rPr>
                  <w:rStyle w:val="Hyperlink"/>
                  <w:i/>
                  <w:iCs/>
                  <w:lang w:val="ru-RU"/>
                </w:rPr>
                <w:t>Пусан</w:t>
              </w:r>
              <w:r w:rsidR="00235DFF" w:rsidRPr="000A1614">
                <w:rPr>
                  <w:rStyle w:val="Hyperlink"/>
                  <w:i/>
                  <w:iCs/>
                  <w:lang w:val="ru-RU"/>
                </w:rPr>
                <w:t>, 2014</w:t>
              </w:r>
              <w:r w:rsidR="00C351A3" w:rsidRPr="000A1614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r w:rsidR="00C351A3">
                <w:rPr>
                  <w:rStyle w:val="Hyperlink"/>
                  <w:i/>
                  <w:iCs/>
                  <w:lang w:val="ru-RU"/>
                </w:rPr>
                <w:t>г</w:t>
              </w:r>
              <w:r w:rsidR="00C351A3" w:rsidRPr="000A1614">
                <w:rPr>
                  <w:rStyle w:val="Hyperlink"/>
                  <w:i/>
                  <w:iCs/>
                  <w:lang w:val="ru-RU"/>
                </w:rPr>
                <w:t>.</w:t>
              </w:r>
              <w:r w:rsidR="00235DFF" w:rsidRPr="000A1614">
                <w:rPr>
                  <w:rStyle w:val="Hyperlink"/>
                  <w:i/>
                  <w:iCs/>
                  <w:lang w:val="ru-RU"/>
                </w:rPr>
                <w:t>)</w:t>
              </w:r>
            </w:hyperlink>
            <w:r w:rsidR="000A1614">
              <w:rPr>
                <w:rStyle w:val="Hyperlink"/>
                <w:i/>
                <w:iCs/>
                <w:lang w:val="ru-RU"/>
              </w:rPr>
              <w:t xml:space="preserve"> ПК</w:t>
            </w:r>
            <w:r w:rsidR="00235DFF" w:rsidRPr="000A1614">
              <w:rPr>
                <w:i/>
                <w:iCs/>
                <w:lang w:val="ru-RU"/>
              </w:rPr>
              <w:t xml:space="preserve">; </w:t>
            </w:r>
            <w:r w:rsidR="00235DFF">
              <w:rPr>
                <w:i/>
                <w:iCs/>
                <w:lang w:val="ru-RU"/>
              </w:rPr>
              <w:t>Документы</w:t>
            </w:r>
            <w:r w:rsidR="00235DFF" w:rsidRPr="000A1614">
              <w:rPr>
                <w:i/>
                <w:iCs/>
                <w:lang w:val="ru-RU"/>
              </w:rPr>
              <w:t xml:space="preserve"> </w:t>
            </w:r>
            <w:hyperlink r:id="rId10" w:history="1">
              <w:r w:rsidR="00235DFF" w:rsidRPr="0070687C">
                <w:rPr>
                  <w:rStyle w:val="Hyperlink"/>
                  <w:i/>
                  <w:iCs/>
                </w:rPr>
                <w:t>C</w:t>
              </w:r>
              <w:r w:rsidR="00235DFF" w:rsidRPr="000A1614">
                <w:rPr>
                  <w:rStyle w:val="Hyperlink"/>
                  <w:i/>
                  <w:iCs/>
                  <w:lang w:val="ru-RU"/>
                </w:rPr>
                <w:t>2000/28 (</w:t>
              </w:r>
              <w:r w:rsidR="00235DFF" w:rsidRPr="0070687C">
                <w:rPr>
                  <w:rStyle w:val="Hyperlink"/>
                  <w:i/>
                  <w:iCs/>
                </w:rPr>
                <w:t>Rev</w:t>
              </w:r>
              <w:r w:rsidR="00235DFF" w:rsidRPr="000A1614">
                <w:rPr>
                  <w:rStyle w:val="Hyperlink"/>
                  <w:i/>
                  <w:iCs/>
                  <w:lang w:val="ru-RU"/>
                </w:rPr>
                <w:t>.1)</w:t>
              </w:r>
            </w:hyperlink>
            <w:r w:rsidR="00235DFF" w:rsidRPr="000A1614">
              <w:rPr>
                <w:i/>
                <w:iCs/>
                <w:lang w:val="ru-RU"/>
              </w:rPr>
              <w:t xml:space="preserve">, </w:t>
            </w:r>
            <w:hyperlink r:id="rId11" w:history="1">
              <w:r w:rsidR="00235DFF" w:rsidRPr="00B36C09">
                <w:rPr>
                  <w:rStyle w:val="Hyperlink"/>
                  <w:i/>
                  <w:iCs/>
                </w:rPr>
                <w:t>C</w:t>
              </w:r>
              <w:r w:rsidR="00235DFF" w:rsidRPr="000A1614">
                <w:rPr>
                  <w:rStyle w:val="Hyperlink"/>
                  <w:i/>
                  <w:iCs/>
                  <w:lang w:val="ru-RU"/>
                </w:rPr>
                <w:t>2001/26</w:t>
              </w:r>
            </w:hyperlink>
            <w:r w:rsidR="00235DFF" w:rsidRPr="000A1614">
              <w:rPr>
                <w:i/>
                <w:iCs/>
                <w:lang w:val="ru-RU"/>
              </w:rPr>
              <w:t xml:space="preserve">, </w:t>
            </w:r>
            <w:hyperlink r:id="rId12" w:history="1">
              <w:r w:rsidR="00235DFF" w:rsidRPr="00B36C09">
                <w:rPr>
                  <w:rStyle w:val="Hyperlink"/>
                  <w:i/>
                  <w:iCs/>
                </w:rPr>
                <w:t>C</w:t>
              </w:r>
              <w:r w:rsidR="00235DFF" w:rsidRPr="000A1614">
                <w:rPr>
                  <w:rStyle w:val="Hyperlink"/>
                  <w:i/>
                  <w:iCs/>
                  <w:lang w:val="ru-RU"/>
                </w:rPr>
                <w:t>02/94 (</w:t>
              </w:r>
              <w:r w:rsidR="006A6F77">
                <w:rPr>
                  <w:rStyle w:val="Hyperlink"/>
                  <w:i/>
                  <w:iCs/>
                  <w:lang w:val="ru-RU"/>
                </w:rPr>
                <w:t>раздел</w:t>
              </w:r>
              <w:r w:rsidR="00235DFF" w:rsidRPr="000A1614">
                <w:rPr>
                  <w:rStyle w:val="Hyperlink"/>
                  <w:i/>
                  <w:iCs/>
                  <w:lang w:val="ru-RU"/>
                </w:rPr>
                <w:t xml:space="preserve"> 2)</w:t>
              </w:r>
            </w:hyperlink>
            <w:r w:rsidR="00235DFF" w:rsidRPr="000A1614">
              <w:rPr>
                <w:i/>
                <w:iCs/>
                <w:lang w:val="ru-RU"/>
              </w:rPr>
              <w:t xml:space="preserve">, </w:t>
            </w:r>
            <w:hyperlink r:id="rId13" w:history="1">
              <w:r w:rsidR="00235DFF" w:rsidRPr="00B36C09">
                <w:rPr>
                  <w:rStyle w:val="Hyperlink"/>
                  <w:i/>
                  <w:iCs/>
                </w:rPr>
                <w:t>C</w:t>
              </w:r>
              <w:r w:rsidR="00235DFF" w:rsidRPr="000A1614">
                <w:rPr>
                  <w:rStyle w:val="Hyperlink"/>
                  <w:i/>
                  <w:iCs/>
                  <w:lang w:val="ru-RU"/>
                </w:rPr>
                <w:t xml:space="preserve">03/40 </w:t>
              </w:r>
              <w:r w:rsidR="00C351A3">
                <w:rPr>
                  <w:rStyle w:val="Hyperlink"/>
                  <w:i/>
                  <w:iCs/>
                  <w:lang w:val="ru-RU"/>
                </w:rPr>
                <w:t>и</w:t>
              </w:r>
              <w:r w:rsidR="00235DFF" w:rsidRPr="000A1614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r w:rsidR="00235DFF" w:rsidRPr="00B36C09">
                <w:rPr>
                  <w:rStyle w:val="Hyperlink"/>
                  <w:i/>
                  <w:iCs/>
                </w:rPr>
                <w:t>Add</w:t>
              </w:r>
              <w:r w:rsidR="00235DFF" w:rsidRPr="000A1614">
                <w:rPr>
                  <w:rStyle w:val="Hyperlink"/>
                  <w:i/>
                  <w:iCs/>
                  <w:lang w:val="ru-RU"/>
                </w:rPr>
                <w:t>.1</w:t>
              </w:r>
            </w:hyperlink>
            <w:r w:rsidR="00235DFF" w:rsidRPr="000A1614">
              <w:rPr>
                <w:i/>
                <w:iCs/>
                <w:lang w:val="ru-RU"/>
              </w:rPr>
              <w:t xml:space="preserve">, </w:t>
            </w:r>
            <w:hyperlink r:id="rId14" w:history="1">
              <w:r w:rsidR="00235DFF" w:rsidRPr="007B493C">
                <w:rPr>
                  <w:rStyle w:val="Hyperlink"/>
                  <w:i/>
                  <w:iCs/>
                </w:rPr>
                <w:t>C</w:t>
              </w:r>
              <w:r w:rsidR="00235DFF" w:rsidRPr="000A1614">
                <w:rPr>
                  <w:rStyle w:val="Hyperlink"/>
                  <w:i/>
                  <w:iCs/>
                  <w:lang w:val="ru-RU"/>
                </w:rPr>
                <w:t>03-</w:t>
              </w:r>
              <w:r w:rsidR="00235DFF" w:rsidRPr="007B493C">
                <w:rPr>
                  <w:rStyle w:val="Hyperlink"/>
                  <w:i/>
                  <w:iCs/>
                </w:rPr>
                <w:t>ADD</w:t>
              </w:r>
              <w:r w:rsidR="00235DFF" w:rsidRPr="000A1614">
                <w:rPr>
                  <w:rStyle w:val="Hyperlink"/>
                  <w:i/>
                  <w:iCs/>
                  <w:lang w:val="ru-RU"/>
                </w:rPr>
                <w:t>/3</w:t>
              </w:r>
            </w:hyperlink>
            <w:r w:rsidR="00235DFF" w:rsidRPr="000A1614">
              <w:rPr>
                <w:i/>
                <w:iCs/>
                <w:lang w:val="ru-RU"/>
              </w:rPr>
              <w:t xml:space="preserve">, </w:t>
            </w:r>
            <w:hyperlink r:id="rId15" w:history="1">
              <w:r w:rsidR="00235DFF" w:rsidRPr="007B493C">
                <w:rPr>
                  <w:rStyle w:val="Hyperlink"/>
                  <w:i/>
                  <w:iCs/>
                </w:rPr>
                <w:t>C</w:t>
              </w:r>
              <w:r w:rsidR="00235DFF" w:rsidRPr="000A1614">
                <w:rPr>
                  <w:rStyle w:val="Hyperlink"/>
                  <w:i/>
                  <w:iCs/>
                  <w:lang w:val="ru-RU"/>
                </w:rPr>
                <w:t>05/40</w:t>
              </w:r>
            </w:hyperlink>
            <w:r w:rsidR="00235DFF" w:rsidRPr="000A1614">
              <w:rPr>
                <w:i/>
                <w:iCs/>
                <w:lang w:val="ru-RU"/>
              </w:rPr>
              <w:t xml:space="preserve"> </w:t>
            </w:r>
            <w:r w:rsidR="00235DFF">
              <w:rPr>
                <w:i/>
                <w:iCs/>
                <w:lang w:val="ru-RU"/>
              </w:rPr>
              <w:t>Совета</w:t>
            </w:r>
          </w:p>
        </w:tc>
      </w:tr>
    </w:tbl>
    <w:p w:rsidR="002D2F57" w:rsidRPr="00774F37" w:rsidRDefault="00D74E57" w:rsidP="002C3ECB">
      <w:pPr>
        <w:pStyle w:val="Headingb"/>
        <w:spacing w:before="480"/>
        <w:rPr>
          <w:lang w:val="ru-RU"/>
        </w:rPr>
      </w:pPr>
      <w:r w:rsidRPr="00774F37">
        <w:rPr>
          <w:lang w:val="ru-RU"/>
        </w:rPr>
        <w:t>Базовая информация</w:t>
      </w:r>
    </w:p>
    <w:p w:rsidR="00D74E57" w:rsidRPr="00774F37" w:rsidRDefault="00D74E57" w:rsidP="003163C9">
      <w:pPr>
        <w:rPr>
          <w:lang w:val="ru-RU"/>
        </w:rPr>
      </w:pPr>
      <w:r w:rsidRPr="00774F37">
        <w:rPr>
          <w:lang w:val="ru-RU"/>
        </w:rPr>
        <w:t>1</w:t>
      </w:r>
      <w:r w:rsidRPr="00774F37">
        <w:rPr>
          <w:lang w:val="ru-RU"/>
        </w:rPr>
        <w:tab/>
        <w:t>Критерии и руководящие указания по предоставлению освобождения на основе "взаимных преимуществ" были приняты на сессии Совета 2000 года (Документ C2000/28(Rev.1)).</w:t>
      </w:r>
      <w:r w:rsidRPr="00774F37">
        <w:rPr>
          <w:rFonts w:asciiTheme="minorHAnsi" w:eastAsia="SimSun" w:hAnsiTheme="minorHAnsi"/>
          <w:lang w:val="ru-RU" w:eastAsia="zh-CN"/>
        </w:rPr>
        <w:t xml:space="preserve"> </w:t>
      </w:r>
      <w:r w:rsidR="00E33BD4" w:rsidRPr="00774F37">
        <w:rPr>
          <w:color w:val="000000"/>
          <w:lang w:val="ru-RU"/>
        </w:rPr>
        <w:t>Освобождение от уплаты взносов предоставляется Советом после анализа соответствующих Секторов и по рекомендации Генерального секретаря</w:t>
      </w:r>
      <w:r w:rsidRPr="00774F37">
        <w:rPr>
          <w:lang w:val="ru-RU"/>
        </w:rPr>
        <w:t xml:space="preserve">. </w:t>
      </w:r>
      <w:r w:rsidR="00B078CE" w:rsidRPr="00774F37">
        <w:rPr>
          <w:lang w:val="ru-RU"/>
        </w:rPr>
        <w:t>Основны</w:t>
      </w:r>
      <w:r w:rsidR="003163C9" w:rsidRPr="00774F37">
        <w:rPr>
          <w:lang w:val="ru-RU"/>
        </w:rPr>
        <w:t>е</w:t>
      </w:r>
      <w:r w:rsidR="00B078CE" w:rsidRPr="00774F37">
        <w:rPr>
          <w:lang w:val="ru-RU"/>
        </w:rPr>
        <w:t xml:space="preserve"> критери</w:t>
      </w:r>
      <w:r w:rsidR="003163C9" w:rsidRPr="00774F37">
        <w:rPr>
          <w:lang w:val="ru-RU"/>
        </w:rPr>
        <w:t>и заключаются в том, что</w:t>
      </w:r>
      <w:r w:rsidR="00B078CE" w:rsidRPr="00774F37">
        <w:rPr>
          <w:lang w:val="ru-RU"/>
        </w:rPr>
        <w:t xml:space="preserve"> объединение должно быть региональной или международной некоммерческой организацией, занимающейся вопросами электросвязи/ИКТ и должно предлагать МСЭ ответные </w:t>
      </w:r>
      <w:r w:rsidR="00600C14" w:rsidRPr="00774F37">
        <w:rPr>
          <w:lang w:val="ru-RU"/>
        </w:rPr>
        <w:t>выгоды</w:t>
      </w:r>
      <w:r w:rsidR="00B078CE" w:rsidRPr="00774F37">
        <w:rPr>
          <w:lang w:val="ru-RU"/>
        </w:rPr>
        <w:t xml:space="preserve">. </w:t>
      </w:r>
      <w:r w:rsidR="00E33BD4" w:rsidRPr="00774F37">
        <w:rPr>
          <w:lang w:val="ru-RU"/>
        </w:rPr>
        <w:t>В случае утверждения они</w:t>
      </w:r>
      <w:r w:rsidRPr="00774F37">
        <w:rPr>
          <w:lang w:val="ru-RU"/>
        </w:rPr>
        <w:t xml:space="preserve"> </w:t>
      </w:r>
      <w:r w:rsidR="00E33BD4" w:rsidRPr="00774F37">
        <w:rPr>
          <w:lang w:val="ru-RU"/>
        </w:rPr>
        <w:t>становятся</w:t>
      </w:r>
      <w:r w:rsidRPr="00774F37">
        <w:rPr>
          <w:lang w:val="ru-RU"/>
        </w:rPr>
        <w:t xml:space="preserve"> </w:t>
      </w:r>
      <w:r w:rsidR="00E33BD4" w:rsidRPr="00774F37">
        <w:rPr>
          <w:color w:val="000000"/>
          <w:lang w:val="ru-RU"/>
        </w:rPr>
        <w:t xml:space="preserve">Членами Секторов или Ассоциированными членами согласно </w:t>
      </w:r>
      <w:r w:rsidRPr="00774F37">
        <w:rPr>
          <w:lang w:val="ru-RU"/>
        </w:rPr>
        <w:t xml:space="preserve">п. 231 Конвенции. </w:t>
      </w:r>
      <w:r w:rsidR="00F25DB8" w:rsidRPr="00774F37">
        <w:rPr>
          <w:lang w:val="ru-RU"/>
        </w:rPr>
        <w:t>В </w:t>
      </w:r>
      <w:r w:rsidR="00B078CE" w:rsidRPr="00774F37">
        <w:rPr>
          <w:lang w:val="ru-RU"/>
        </w:rPr>
        <w:t>настоящее время от сборов</w:t>
      </w:r>
      <w:r w:rsidR="00E33BD4" w:rsidRPr="00774F37">
        <w:rPr>
          <w:lang w:val="ru-RU"/>
        </w:rPr>
        <w:t xml:space="preserve"> освобождены</w:t>
      </w:r>
      <w:r w:rsidR="00B078CE" w:rsidRPr="00774F37">
        <w:rPr>
          <w:lang w:val="ru-RU"/>
        </w:rPr>
        <w:t xml:space="preserve"> 117 региональных и международных организаций.</w:t>
      </w:r>
    </w:p>
    <w:p w:rsidR="00D74E57" w:rsidRPr="00774F37" w:rsidRDefault="00B078CE" w:rsidP="00F32BB7">
      <w:pPr>
        <w:rPr>
          <w:lang w:val="ru-RU"/>
        </w:rPr>
      </w:pPr>
      <w:r w:rsidRPr="00774F37">
        <w:rPr>
          <w:lang w:val="ru-RU"/>
        </w:rPr>
        <w:lastRenderedPageBreak/>
        <w:t>2</w:t>
      </w:r>
      <w:r w:rsidRPr="00774F37">
        <w:rPr>
          <w:lang w:val="ru-RU"/>
        </w:rPr>
        <w:tab/>
      </w:r>
      <w:r w:rsidR="00E33BD4" w:rsidRPr="00774F37">
        <w:rPr>
          <w:lang w:val="ru-RU"/>
        </w:rPr>
        <w:t>В</w:t>
      </w:r>
      <w:r w:rsidRPr="00774F37">
        <w:rPr>
          <w:lang w:val="ru-RU"/>
        </w:rPr>
        <w:t xml:space="preserve"> </w:t>
      </w:r>
      <w:r w:rsidR="00E33BD4" w:rsidRPr="00774F37">
        <w:rPr>
          <w:lang w:val="ru-RU"/>
        </w:rPr>
        <w:t xml:space="preserve">своей </w:t>
      </w:r>
      <w:r w:rsidRPr="00774F37">
        <w:rPr>
          <w:lang w:val="ru-RU"/>
        </w:rPr>
        <w:t xml:space="preserve">Резолюции 187 (Пусан, 2014 г.) </w:t>
      </w:r>
      <w:r w:rsidR="00E33BD4" w:rsidRPr="00774F37">
        <w:rPr>
          <w:lang w:val="ru-RU"/>
        </w:rPr>
        <w:t xml:space="preserve">ПК-14 </w:t>
      </w:r>
      <w:r w:rsidRPr="00774F37">
        <w:rPr>
          <w:lang w:val="ru-RU"/>
        </w:rPr>
        <w:t>поручила Совету "рассмотреть практику и критерии освобождения объединений от членских сборов и при необходимости внести изменения, направленные на ужесточение критериев соответствия условиям, что</w:t>
      </w:r>
      <w:bookmarkStart w:id="3" w:name="_GoBack"/>
      <w:bookmarkEnd w:id="3"/>
      <w:r w:rsidRPr="00774F37">
        <w:rPr>
          <w:lang w:val="ru-RU"/>
        </w:rPr>
        <w:t xml:space="preserve">бы содействовать большей ясности, последовательности и справедливости в отношении платящих и не платящих взносы членов и сократить общее количество освобожденных объединений". </w:t>
      </w:r>
      <w:r w:rsidR="00281E7E" w:rsidRPr="00774F37">
        <w:rPr>
          <w:lang w:val="ru-RU"/>
        </w:rPr>
        <w:t xml:space="preserve">После </w:t>
      </w:r>
      <w:r w:rsidR="00281E7E" w:rsidRPr="00774F37">
        <w:rPr>
          <w:bCs/>
          <w:iCs/>
          <w:lang w:val="ru-RU"/>
        </w:rPr>
        <w:t xml:space="preserve">детального рассмотрения </w:t>
      </w:r>
      <w:r w:rsidR="009917D8" w:rsidRPr="00774F37">
        <w:rPr>
          <w:color w:val="000000"/>
          <w:lang w:val="ru-RU"/>
        </w:rPr>
        <w:t>РГС</w:t>
      </w:r>
      <w:r w:rsidR="009917D8" w:rsidRPr="00774F37">
        <w:rPr>
          <w:color w:val="000000"/>
          <w:lang w:val="ru-RU"/>
        </w:rPr>
        <w:noBreakHyphen/>
      </w:r>
      <w:r w:rsidR="00281E7E" w:rsidRPr="00774F37">
        <w:rPr>
          <w:color w:val="000000"/>
          <w:lang w:val="ru-RU"/>
        </w:rPr>
        <w:t>ФЛР</w:t>
      </w:r>
      <w:r w:rsidRPr="00774F37">
        <w:rPr>
          <w:bCs/>
          <w:iCs/>
          <w:lang w:val="ru-RU"/>
        </w:rPr>
        <w:t xml:space="preserve"> </w:t>
      </w:r>
      <w:r w:rsidR="00281E7E" w:rsidRPr="00774F37">
        <w:rPr>
          <w:bCs/>
          <w:iCs/>
          <w:lang w:val="ru-RU"/>
        </w:rPr>
        <w:t>Совет-</w:t>
      </w:r>
      <w:r w:rsidRPr="00774F37">
        <w:rPr>
          <w:bCs/>
          <w:iCs/>
          <w:lang w:val="ru-RU"/>
        </w:rPr>
        <w:t xml:space="preserve">17 </w:t>
      </w:r>
      <w:r w:rsidR="00281E7E" w:rsidRPr="00774F37">
        <w:rPr>
          <w:bCs/>
          <w:iCs/>
          <w:lang w:val="ru-RU"/>
        </w:rPr>
        <w:t>пересмотрел критерии</w:t>
      </w:r>
      <w:r w:rsidRPr="00774F37">
        <w:rPr>
          <w:bCs/>
          <w:iCs/>
          <w:lang w:val="ru-RU"/>
        </w:rPr>
        <w:t xml:space="preserve"> </w:t>
      </w:r>
      <w:r w:rsidR="00281E7E" w:rsidRPr="00774F37">
        <w:rPr>
          <w:bCs/>
          <w:iCs/>
          <w:lang w:val="ru-RU"/>
        </w:rPr>
        <w:t>так, как это представлено в Приложении</w:t>
      </w:r>
      <w:r w:rsidRPr="00774F37">
        <w:rPr>
          <w:bCs/>
          <w:iCs/>
          <w:lang w:val="ru-RU"/>
        </w:rPr>
        <w:t xml:space="preserve">. </w:t>
      </w:r>
      <w:r w:rsidR="00281E7E" w:rsidRPr="00774F37">
        <w:rPr>
          <w:bCs/>
          <w:iCs/>
          <w:lang w:val="ru-RU"/>
        </w:rPr>
        <w:t xml:space="preserve">Основные </w:t>
      </w:r>
      <w:r w:rsidR="00F32BB7" w:rsidRPr="00774F37">
        <w:rPr>
          <w:bCs/>
          <w:iCs/>
          <w:lang w:val="ru-RU"/>
        </w:rPr>
        <w:t>изменения</w:t>
      </w:r>
      <w:r w:rsidR="00281E7E" w:rsidRPr="00774F37">
        <w:rPr>
          <w:bCs/>
          <w:iCs/>
          <w:lang w:val="ru-RU"/>
        </w:rPr>
        <w:t xml:space="preserve"> </w:t>
      </w:r>
      <w:r w:rsidR="00F32BB7" w:rsidRPr="00774F37">
        <w:rPr>
          <w:bCs/>
          <w:iCs/>
          <w:lang w:val="ru-RU"/>
        </w:rPr>
        <w:t>связаны с</w:t>
      </w:r>
      <w:r w:rsidR="00281E7E" w:rsidRPr="00774F37">
        <w:rPr>
          <w:bCs/>
          <w:iCs/>
          <w:lang w:val="ru-RU"/>
        </w:rPr>
        <w:t xml:space="preserve"> </w:t>
      </w:r>
      <w:r w:rsidR="00281E7E" w:rsidRPr="00774F37">
        <w:rPr>
          <w:color w:val="000000"/>
          <w:lang w:val="ru-RU"/>
        </w:rPr>
        <w:t>более строг</w:t>
      </w:r>
      <w:r w:rsidR="00F32BB7" w:rsidRPr="00774F37">
        <w:rPr>
          <w:color w:val="000000"/>
          <w:lang w:val="ru-RU"/>
        </w:rPr>
        <w:t>им</w:t>
      </w:r>
      <w:r w:rsidR="00281E7E" w:rsidRPr="00774F37">
        <w:rPr>
          <w:color w:val="000000"/>
          <w:lang w:val="ru-RU"/>
        </w:rPr>
        <w:t xml:space="preserve"> определение</w:t>
      </w:r>
      <w:r w:rsidR="00F32BB7" w:rsidRPr="00774F37">
        <w:rPr>
          <w:color w:val="000000"/>
          <w:lang w:val="ru-RU"/>
        </w:rPr>
        <w:t>м</w:t>
      </w:r>
      <w:r w:rsidR="00281E7E" w:rsidRPr="00774F37">
        <w:rPr>
          <w:color w:val="000000"/>
          <w:lang w:val="ru-RU"/>
        </w:rPr>
        <w:t xml:space="preserve"> международной/региональной организации</w:t>
      </w:r>
      <w:r w:rsidRPr="00774F37">
        <w:rPr>
          <w:bCs/>
          <w:iCs/>
          <w:lang w:val="ru-RU"/>
        </w:rPr>
        <w:t xml:space="preserve"> </w:t>
      </w:r>
      <w:r w:rsidR="00281E7E" w:rsidRPr="00774F37">
        <w:rPr>
          <w:bCs/>
          <w:iCs/>
          <w:lang w:val="ru-RU"/>
        </w:rPr>
        <w:t>и</w:t>
      </w:r>
      <w:r w:rsidRPr="00774F37">
        <w:rPr>
          <w:bCs/>
          <w:iCs/>
          <w:lang w:val="ru-RU"/>
        </w:rPr>
        <w:t xml:space="preserve"> </w:t>
      </w:r>
      <w:r w:rsidR="00F32BB7" w:rsidRPr="00774F37">
        <w:rPr>
          <w:bCs/>
          <w:iCs/>
          <w:lang w:val="ru-RU"/>
        </w:rPr>
        <w:t xml:space="preserve">критерия </w:t>
      </w:r>
      <w:r w:rsidRPr="00774F37">
        <w:rPr>
          <w:bCs/>
          <w:iCs/>
          <w:lang w:val="ru-RU"/>
        </w:rPr>
        <w:t>"</w:t>
      </w:r>
      <w:r w:rsidR="00281E7E" w:rsidRPr="00774F37">
        <w:rPr>
          <w:lang w:val="ru-RU"/>
        </w:rPr>
        <w:t>взаимности</w:t>
      </w:r>
      <w:r w:rsidRPr="00774F37">
        <w:rPr>
          <w:bCs/>
          <w:iCs/>
          <w:lang w:val="ru-RU"/>
        </w:rPr>
        <w:t>"</w:t>
      </w:r>
      <w:r w:rsidR="005D671B" w:rsidRPr="00774F37">
        <w:rPr>
          <w:bCs/>
          <w:iCs/>
          <w:lang w:val="ru-RU"/>
        </w:rPr>
        <w:t>,</w:t>
      </w:r>
      <w:r w:rsidRPr="00774F37">
        <w:rPr>
          <w:bCs/>
          <w:iCs/>
          <w:lang w:val="ru-RU"/>
        </w:rPr>
        <w:t xml:space="preserve"> </w:t>
      </w:r>
      <w:r w:rsidR="005D671B" w:rsidRPr="00774F37">
        <w:rPr>
          <w:bCs/>
          <w:iCs/>
          <w:lang w:val="ru-RU"/>
        </w:rPr>
        <w:t>и</w:t>
      </w:r>
      <w:r w:rsidR="00F32BB7" w:rsidRPr="00774F37">
        <w:rPr>
          <w:bCs/>
          <w:iCs/>
          <w:lang w:val="ru-RU"/>
        </w:rPr>
        <w:t xml:space="preserve"> теперь</w:t>
      </w:r>
      <w:r w:rsidRPr="00774F37">
        <w:rPr>
          <w:bCs/>
          <w:iCs/>
          <w:lang w:val="ru-RU"/>
        </w:rPr>
        <w:t xml:space="preserve"> "</w:t>
      </w:r>
      <w:r w:rsidR="005D671B" w:rsidRPr="00774F37">
        <w:rPr>
          <w:color w:val="000000"/>
          <w:lang w:val="ru-RU"/>
        </w:rPr>
        <w:t>отраслевым ассоциациям</w:t>
      </w:r>
      <w:r w:rsidRPr="00774F37">
        <w:rPr>
          <w:bCs/>
          <w:iCs/>
          <w:lang w:val="ru-RU"/>
        </w:rPr>
        <w:t>"</w:t>
      </w:r>
      <w:r w:rsidR="005D671B" w:rsidRPr="00774F37">
        <w:rPr>
          <w:bCs/>
          <w:iCs/>
          <w:lang w:val="ru-RU"/>
        </w:rPr>
        <w:t>,</w:t>
      </w:r>
      <w:r w:rsidRPr="00774F37">
        <w:rPr>
          <w:bCs/>
          <w:iCs/>
          <w:lang w:val="ru-RU"/>
        </w:rPr>
        <w:t xml:space="preserve"> </w:t>
      </w:r>
      <w:r w:rsidR="005D671B" w:rsidRPr="00774F37">
        <w:rPr>
          <w:color w:val="000000"/>
          <w:lang w:val="ru-RU"/>
        </w:rPr>
        <w:t>включающим членов из числа коммерческих объединений, больше не разрешается</w:t>
      </w:r>
      <w:r w:rsidR="005D671B" w:rsidRPr="00774F37">
        <w:rPr>
          <w:bCs/>
          <w:iCs/>
          <w:lang w:val="ru-RU"/>
        </w:rPr>
        <w:t xml:space="preserve"> </w:t>
      </w:r>
      <w:r w:rsidR="005D671B" w:rsidRPr="00774F37">
        <w:rPr>
          <w:color w:val="000000"/>
          <w:lang w:val="ru-RU"/>
        </w:rPr>
        <w:t>пользоваться правом на освобождение от уплаты взносов</w:t>
      </w:r>
      <w:r w:rsidRPr="00774F37">
        <w:rPr>
          <w:bCs/>
          <w:iCs/>
          <w:lang w:val="ru-RU"/>
        </w:rPr>
        <w:t>.</w:t>
      </w:r>
    </w:p>
    <w:p w:rsidR="00B078CE" w:rsidRPr="00774F37" w:rsidRDefault="005D671B" w:rsidP="006A2559">
      <w:pPr>
        <w:rPr>
          <w:lang w:val="ru-RU"/>
        </w:rPr>
      </w:pPr>
      <w:r w:rsidRPr="00774F37">
        <w:rPr>
          <w:color w:val="000000"/>
          <w:lang w:val="ru-RU"/>
        </w:rPr>
        <w:t xml:space="preserve">Заявки на предоставление освобождения от оплаты </w:t>
      </w:r>
      <w:r w:rsidR="00F35137" w:rsidRPr="00774F37">
        <w:rPr>
          <w:color w:val="000000"/>
          <w:lang w:val="ru-RU"/>
        </w:rPr>
        <w:t xml:space="preserve">финансовых </w:t>
      </w:r>
      <w:r w:rsidRPr="00774F37">
        <w:rPr>
          <w:color w:val="000000"/>
          <w:lang w:val="ru-RU"/>
        </w:rPr>
        <w:t xml:space="preserve">расходов, </w:t>
      </w:r>
      <w:r w:rsidR="00F35137" w:rsidRPr="00774F37">
        <w:rPr>
          <w:color w:val="000000"/>
          <w:lang w:val="ru-RU"/>
        </w:rPr>
        <w:t xml:space="preserve">которые </w:t>
      </w:r>
      <w:r w:rsidRPr="00774F37">
        <w:rPr>
          <w:color w:val="000000"/>
          <w:lang w:val="ru-RU"/>
        </w:rPr>
        <w:t>представля</w:t>
      </w:r>
      <w:r w:rsidR="00F35137" w:rsidRPr="00774F37">
        <w:rPr>
          <w:color w:val="000000"/>
          <w:lang w:val="ru-RU"/>
        </w:rPr>
        <w:t xml:space="preserve">ются </w:t>
      </w:r>
      <w:r w:rsidR="006A2559">
        <w:rPr>
          <w:color w:val="000000"/>
          <w:lang w:val="ru-RU"/>
        </w:rPr>
        <w:t>сессии Совета</w:t>
      </w:r>
      <w:r w:rsidR="00B078CE" w:rsidRPr="00774F37">
        <w:rPr>
          <w:bCs/>
          <w:iCs/>
          <w:lang w:val="ru-RU"/>
        </w:rPr>
        <w:t xml:space="preserve"> 201</w:t>
      </w:r>
      <w:r w:rsidR="006A2559">
        <w:rPr>
          <w:bCs/>
          <w:iCs/>
          <w:lang w:val="ru-RU"/>
        </w:rPr>
        <w:t>9</w:t>
      </w:r>
      <w:r w:rsidR="00F35137" w:rsidRPr="00774F37">
        <w:rPr>
          <w:bCs/>
          <w:iCs/>
          <w:lang w:val="ru-RU"/>
        </w:rPr>
        <w:t xml:space="preserve"> года,</w:t>
      </w:r>
      <w:r w:rsidR="00B078CE" w:rsidRPr="00774F37">
        <w:rPr>
          <w:bCs/>
          <w:iCs/>
          <w:lang w:val="ru-RU"/>
        </w:rPr>
        <w:t xml:space="preserve"> </w:t>
      </w:r>
      <w:r w:rsidR="00F35137" w:rsidRPr="00774F37">
        <w:rPr>
          <w:bCs/>
          <w:iCs/>
          <w:lang w:val="ru-RU"/>
        </w:rPr>
        <w:t>были рассмотрены на основании этих пересмотренных критериев</w:t>
      </w:r>
      <w:r w:rsidR="00B078CE" w:rsidRPr="00774F37">
        <w:rPr>
          <w:bCs/>
          <w:iCs/>
          <w:lang w:val="ru-RU"/>
        </w:rPr>
        <w:t>.</w:t>
      </w:r>
    </w:p>
    <w:p w:rsidR="00B078CE" w:rsidRPr="00774F37" w:rsidRDefault="00B078CE" w:rsidP="00B078CE">
      <w:pPr>
        <w:pStyle w:val="Headingb"/>
        <w:rPr>
          <w:lang w:val="ru-RU"/>
        </w:rPr>
      </w:pPr>
      <w:r w:rsidRPr="00774F37">
        <w:rPr>
          <w:lang w:val="ru-RU"/>
        </w:rPr>
        <w:t>Рекомендации</w:t>
      </w:r>
    </w:p>
    <w:p w:rsidR="00B078CE" w:rsidRPr="00774F37" w:rsidRDefault="00B078CE" w:rsidP="00F32BB7">
      <w:pPr>
        <w:rPr>
          <w:lang w:val="ru-RU"/>
        </w:rPr>
      </w:pPr>
      <w:r w:rsidRPr="00774F37">
        <w:rPr>
          <w:lang w:val="ru-RU"/>
        </w:rPr>
        <w:t>3</w:t>
      </w:r>
      <w:r w:rsidRPr="00774F37">
        <w:rPr>
          <w:lang w:val="ru-RU"/>
        </w:rPr>
        <w:tab/>
      </w:r>
      <w:r w:rsidR="00F35137" w:rsidRPr="00774F37">
        <w:rPr>
          <w:lang w:val="ru-RU"/>
        </w:rPr>
        <w:t>Были получены следующие за</w:t>
      </w:r>
      <w:r w:rsidR="00F32BB7" w:rsidRPr="00774F37">
        <w:rPr>
          <w:lang w:val="ru-RU"/>
        </w:rPr>
        <w:t>явки</w:t>
      </w:r>
      <w:r w:rsidR="00F35137" w:rsidRPr="00774F37">
        <w:rPr>
          <w:lang w:val="ru-RU"/>
        </w:rPr>
        <w:t>, которые представляются на рассмотрение Совета</w:t>
      </w:r>
      <w:r w:rsidR="008D36F6" w:rsidRPr="00774F37">
        <w:rPr>
          <w:lang w:val="ru-RU"/>
        </w:rPr>
        <w:t>:</w:t>
      </w:r>
    </w:p>
    <w:p w:rsidR="00E12BA9" w:rsidRPr="008257E3" w:rsidRDefault="00E12BA9" w:rsidP="00E12BA9">
      <w:pPr>
        <w:pStyle w:val="Heading2"/>
        <w:spacing w:before="240" w:after="120"/>
        <w:rPr>
          <w:rFonts w:cstheme="minorHAnsi"/>
          <w:b w:val="0"/>
          <w:bCs/>
          <w:szCs w:val="24"/>
        </w:rPr>
      </w:pPr>
      <w:r w:rsidRPr="008257E3">
        <w:rPr>
          <w:rFonts w:cstheme="minorHAnsi"/>
          <w:b w:val="0"/>
          <w:bCs/>
          <w:szCs w:val="24"/>
        </w:rPr>
        <w:t>3.1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09"/>
        <w:gridCol w:w="1626"/>
        <w:gridCol w:w="2107"/>
      </w:tblGrid>
      <w:tr w:rsidR="00E12BA9" w:rsidRPr="00B34A19" w:rsidTr="00084722">
        <w:trPr>
          <w:cantSplit/>
          <w:trHeight w:val="399"/>
          <w:jc w:val="center"/>
        </w:trPr>
        <w:tc>
          <w:tcPr>
            <w:tcW w:w="5490" w:type="dxa"/>
            <w:vAlign w:val="center"/>
          </w:tcPr>
          <w:p w:rsidR="00E12BA9" w:rsidRPr="00261459" w:rsidRDefault="00261459" w:rsidP="00084722">
            <w:pPr>
              <w:pStyle w:val="TableHead0"/>
              <w:keepLines/>
              <w:tabs>
                <w:tab w:val="clear" w:pos="284"/>
                <w:tab w:val="clear" w:pos="851"/>
                <w:tab w:val="clear" w:pos="1418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snapToGrid w:val="0"/>
              <w:spacing w:before="120" w:after="120" w:line="240" w:lineRule="auto"/>
              <w:rPr>
                <w:rFonts w:cstheme="minorHAnsi"/>
                <w:szCs w:val="24"/>
                <w:lang w:val="ru-RU"/>
              </w:rPr>
            </w:pPr>
            <w:r>
              <w:rPr>
                <w:rFonts w:cstheme="minorHAnsi"/>
                <w:szCs w:val="24"/>
                <w:lang w:val="ru-RU"/>
              </w:rPr>
              <w:t>Организация</w:t>
            </w:r>
          </w:p>
        </w:tc>
        <w:tc>
          <w:tcPr>
            <w:tcW w:w="1620" w:type="dxa"/>
            <w:vAlign w:val="center"/>
          </w:tcPr>
          <w:p w:rsidR="00E12BA9" w:rsidRPr="00261459" w:rsidRDefault="00261459" w:rsidP="00084722">
            <w:pPr>
              <w:pStyle w:val="TableHead0"/>
              <w:keepLines/>
              <w:tabs>
                <w:tab w:val="clear" w:pos="284"/>
                <w:tab w:val="clear" w:pos="851"/>
                <w:tab w:val="clear" w:pos="1418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snapToGrid w:val="0"/>
              <w:spacing w:before="120" w:after="120" w:line="240" w:lineRule="auto"/>
              <w:rPr>
                <w:rFonts w:cstheme="minorHAnsi"/>
                <w:szCs w:val="24"/>
                <w:lang w:val="ru-RU"/>
              </w:rPr>
            </w:pPr>
            <w:r>
              <w:rPr>
                <w:rFonts w:cstheme="minorHAnsi"/>
                <w:szCs w:val="24"/>
                <w:lang w:val="ru-RU"/>
              </w:rPr>
              <w:t>Сектор</w:t>
            </w:r>
          </w:p>
        </w:tc>
        <w:tc>
          <w:tcPr>
            <w:tcW w:w="2099" w:type="dxa"/>
            <w:vAlign w:val="center"/>
          </w:tcPr>
          <w:p w:rsidR="00E12BA9" w:rsidRPr="00261459" w:rsidRDefault="00261459" w:rsidP="00084722">
            <w:pPr>
              <w:pStyle w:val="TableHead0"/>
              <w:keepLines/>
              <w:tabs>
                <w:tab w:val="clear" w:pos="284"/>
                <w:tab w:val="clear" w:pos="851"/>
                <w:tab w:val="clear" w:pos="1418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snapToGrid w:val="0"/>
              <w:spacing w:before="120" w:after="120" w:line="240" w:lineRule="auto"/>
              <w:rPr>
                <w:rFonts w:cstheme="minorHAnsi"/>
                <w:szCs w:val="24"/>
                <w:lang w:val="ru-RU"/>
              </w:rPr>
            </w:pPr>
            <w:r>
              <w:rPr>
                <w:rFonts w:cstheme="minorHAnsi"/>
                <w:szCs w:val="24"/>
                <w:lang w:val="ru-RU"/>
              </w:rPr>
              <w:t>Рекомендация Генерального секретаря</w:t>
            </w:r>
          </w:p>
        </w:tc>
      </w:tr>
      <w:tr w:rsidR="00E12BA9" w:rsidRPr="00EF70AC" w:rsidTr="00084722">
        <w:trPr>
          <w:cantSplit/>
          <w:trHeight w:val="516"/>
          <w:jc w:val="center"/>
        </w:trPr>
        <w:tc>
          <w:tcPr>
            <w:tcW w:w="5490" w:type="dxa"/>
          </w:tcPr>
          <w:p w:rsidR="00E12BA9" w:rsidRPr="00AC6E13" w:rsidRDefault="00243AEE" w:rsidP="00AC6E13">
            <w:pPr>
              <w:pStyle w:val="TableText0"/>
              <w:keepNext/>
              <w:keepLines/>
              <w:tabs>
                <w:tab w:val="clear" w:pos="284"/>
                <w:tab w:val="clear" w:pos="851"/>
                <w:tab w:val="clear" w:pos="1418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snapToGrid w:val="0"/>
              <w:spacing w:before="240" w:after="0" w:line="240" w:lineRule="auto"/>
              <w:jc w:val="center"/>
              <w:rPr>
                <w:rFonts w:cstheme="minorHAnsi"/>
                <w:b/>
                <w:iCs/>
                <w:szCs w:val="24"/>
                <w:lang w:val="ru-RU"/>
              </w:rPr>
            </w:pPr>
            <w:r w:rsidRPr="00243AEE">
              <w:rPr>
                <w:rFonts w:cstheme="minorHAnsi"/>
                <w:b/>
                <w:iCs/>
                <w:szCs w:val="24"/>
                <w:lang w:val="ru-RU"/>
              </w:rPr>
              <w:t>Корпораци</w:t>
            </w:r>
            <w:r>
              <w:rPr>
                <w:rFonts w:cstheme="minorHAnsi"/>
                <w:b/>
                <w:iCs/>
                <w:szCs w:val="24"/>
                <w:lang w:val="ru-RU"/>
              </w:rPr>
              <w:t>я</w:t>
            </w:r>
            <w:r w:rsidR="00AC6E13" w:rsidRPr="00243AEE">
              <w:rPr>
                <w:rFonts w:cstheme="minorHAnsi"/>
                <w:b/>
                <w:iCs/>
                <w:szCs w:val="24"/>
                <w:lang w:val="ru-RU"/>
              </w:rPr>
              <w:t xml:space="preserve"> Интернет по присваиванию наименований и номеров</w:t>
            </w:r>
            <w:r w:rsidR="00E12BA9" w:rsidRPr="00AC6E13">
              <w:rPr>
                <w:rFonts w:cs="Calibri"/>
                <w:lang w:val="ru-RU"/>
              </w:rPr>
              <w:t xml:space="preserve"> </w:t>
            </w:r>
            <w:r w:rsidR="00E12BA9" w:rsidRPr="00AC6E13">
              <w:rPr>
                <w:rFonts w:cs="Calibri"/>
                <w:b/>
                <w:lang w:val="ru-RU"/>
              </w:rPr>
              <w:t>(</w:t>
            </w:r>
            <w:r w:rsidR="00E12BA9" w:rsidRPr="00743FBA">
              <w:rPr>
                <w:rFonts w:cstheme="minorHAnsi"/>
                <w:b/>
                <w:iCs/>
                <w:szCs w:val="24"/>
              </w:rPr>
              <w:t>ICANN</w:t>
            </w:r>
            <w:r w:rsidR="00E12BA9" w:rsidRPr="00AC6E13">
              <w:rPr>
                <w:rFonts w:cstheme="minorHAnsi"/>
                <w:b/>
                <w:iCs/>
                <w:szCs w:val="24"/>
                <w:lang w:val="ru-RU"/>
              </w:rPr>
              <w:t>)</w:t>
            </w:r>
          </w:p>
        </w:tc>
        <w:tc>
          <w:tcPr>
            <w:tcW w:w="1620" w:type="dxa"/>
          </w:tcPr>
          <w:p w:rsidR="00E12BA9" w:rsidRPr="00506994" w:rsidRDefault="00AC6E13" w:rsidP="00084722">
            <w:pPr>
              <w:pStyle w:val="TableText0"/>
              <w:keepNext/>
              <w:keepLines/>
              <w:tabs>
                <w:tab w:val="clear" w:pos="284"/>
                <w:tab w:val="clear" w:pos="851"/>
                <w:tab w:val="clear" w:pos="1418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snapToGrid w:val="0"/>
              <w:spacing w:before="240" w:after="0" w:line="240" w:lineRule="auto"/>
              <w:jc w:val="center"/>
              <w:rPr>
                <w:rFonts w:cstheme="minorHAnsi"/>
                <w:szCs w:val="24"/>
                <w:lang w:val="fr-CH"/>
              </w:rPr>
            </w:pPr>
            <w:r>
              <w:rPr>
                <w:rFonts w:cstheme="minorHAnsi"/>
                <w:szCs w:val="24"/>
                <w:lang w:val="fr-CH"/>
              </w:rPr>
              <w:t>МСЭ-</w:t>
            </w:r>
            <w:r w:rsidR="00E12BA9">
              <w:rPr>
                <w:rFonts w:cstheme="minorHAnsi"/>
                <w:szCs w:val="24"/>
                <w:lang w:val="fr-CH"/>
              </w:rPr>
              <w:t>D</w:t>
            </w:r>
          </w:p>
        </w:tc>
        <w:tc>
          <w:tcPr>
            <w:tcW w:w="2099" w:type="dxa"/>
          </w:tcPr>
          <w:p w:rsidR="00E12BA9" w:rsidRPr="00261459" w:rsidRDefault="00261459" w:rsidP="00084722">
            <w:pPr>
              <w:pStyle w:val="TableText0"/>
              <w:keepNext/>
              <w:keepLines/>
              <w:tabs>
                <w:tab w:val="clear" w:pos="284"/>
                <w:tab w:val="clear" w:pos="851"/>
                <w:tab w:val="clear" w:pos="1418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snapToGrid w:val="0"/>
              <w:spacing w:before="240" w:after="0" w:line="240" w:lineRule="auto"/>
              <w:jc w:val="center"/>
              <w:rPr>
                <w:rFonts w:cstheme="minorHAnsi"/>
                <w:szCs w:val="24"/>
                <w:lang w:val="ru-RU"/>
              </w:rPr>
            </w:pPr>
            <w:r>
              <w:rPr>
                <w:rFonts w:cstheme="minorHAnsi"/>
                <w:szCs w:val="24"/>
                <w:lang w:val="ru-RU"/>
              </w:rPr>
              <w:t>ДА</w:t>
            </w:r>
          </w:p>
        </w:tc>
      </w:tr>
    </w:tbl>
    <w:p w:rsidR="00E12BA9" w:rsidRPr="000C137D" w:rsidRDefault="00261459" w:rsidP="003F0696">
      <w:pPr>
        <w:spacing w:before="240" w:after="120"/>
        <w:rPr>
          <w:rFonts w:cstheme="minorHAnsi"/>
          <w:szCs w:val="24"/>
          <w:lang w:val="ru-RU"/>
        </w:rPr>
      </w:pPr>
      <w:r w:rsidRPr="00512DE4">
        <w:rPr>
          <w:rFonts w:cstheme="minorHAnsi"/>
          <w:b/>
          <w:szCs w:val="24"/>
          <w:lang w:val="ru-RU"/>
        </w:rPr>
        <w:t>Замечания</w:t>
      </w:r>
      <w:r w:rsidR="00E12BA9" w:rsidRPr="00512DE4">
        <w:rPr>
          <w:rFonts w:cstheme="minorHAnsi"/>
          <w:szCs w:val="24"/>
          <w:lang w:val="ru-RU"/>
        </w:rPr>
        <w:t xml:space="preserve">: </w:t>
      </w:r>
      <w:r w:rsidR="00512DE4" w:rsidRPr="00512DE4">
        <w:rPr>
          <w:rFonts w:cstheme="minorHAnsi"/>
          <w:szCs w:val="24"/>
          <w:lang w:val="ru-RU"/>
        </w:rPr>
        <w:t>Корпораци</w:t>
      </w:r>
      <w:r w:rsidR="00C62DED">
        <w:rPr>
          <w:rFonts w:cstheme="minorHAnsi"/>
          <w:szCs w:val="24"/>
          <w:lang w:val="ru-RU"/>
        </w:rPr>
        <w:t>я</w:t>
      </w:r>
      <w:r w:rsidR="00512DE4" w:rsidRPr="00512DE4">
        <w:rPr>
          <w:rFonts w:cstheme="minorHAnsi"/>
          <w:szCs w:val="24"/>
          <w:lang w:val="ru-RU"/>
        </w:rPr>
        <w:t xml:space="preserve"> Интернет по присваиванию наименований и номеров (ICANN)</w:t>
      </w:r>
      <w:r w:rsidR="00512DE4" w:rsidRPr="00512DE4">
        <w:rPr>
          <w:rFonts w:cstheme="minorHAnsi"/>
          <w:b/>
          <w:iCs/>
          <w:szCs w:val="24"/>
          <w:lang w:val="ru-RU"/>
        </w:rPr>
        <w:t xml:space="preserve"> </w:t>
      </w:r>
      <w:r w:rsidR="00512DE4" w:rsidRPr="00512DE4">
        <w:rPr>
          <w:rFonts w:cstheme="minorHAnsi"/>
          <w:szCs w:val="24"/>
          <w:lang w:val="ru-RU"/>
        </w:rPr>
        <w:t xml:space="preserve">является некоммерческой организацией, ответственной за координацию обслуживания и процедур нескольких баз данных, связанных с пространствами имен и числовыми пространствами </w:t>
      </w:r>
      <w:r w:rsidR="00B51AEE">
        <w:rPr>
          <w:rFonts w:cstheme="minorHAnsi"/>
          <w:szCs w:val="24"/>
          <w:lang w:val="ru-RU"/>
        </w:rPr>
        <w:t>и</w:t>
      </w:r>
      <w:r w:rsidR="00512DE4" w:rsidRPr="00512DE4">
        <w:rPr>
          <w:rFonts w:cstheme="minorHAnsi"/>
          <w:szCs w:val="24"/>
          <w:lang w:val="ru-RU"/>
        </w:rPr>
        <w:t>нтернета,</w:t>
      </w:r>
      <w:r w:rsidR="00B95F4D">
        <w:rPr>
          <w:rFonts w:cstheme="minorHAnsi"/>
          <w:szCs w:val="24"/>
          <w:lang w:val="ru-RU"/>
        </w:rPr>
        <w:t xml:space="preserve"> и обеспечивает</w:t>
      </w:r>
      <w:r w:rsidR="00512DE4" w:rsidRPr="00512DE4">
        <w:rPr>
          <w:rFonts w:cstheme="minorHAnsi"/>
          <w:szCs w:val="24"/>
          <w:lang w:val="ru-RU"/>
        </w:rPr>
        <w:t xml:space="preserve"> стабильную и безопасную работу сети. Секретариат считает, что </w:t>
      </w:r>
      <w:r w:rsidR="00512DE4" w:rsidRPr="00512DE4">
        <w:rPr>
          <w:rFonts w:cstheme="minorHAnsi"/>
          <w:szCs w:val="24"/>
        </w:rPr>
        <w:t>ICANN</w:t>
      </w:r>
      <w:r w:rsidR="00512DE4" w:rsidRPr="00512DE4">
        <w:rPr>
          <w:rFonts w:cstheme="minorHAnsi"/>
          <w:szCs w:val="24"/>
          <w:lang w:val="ru-RU"/>
        </w:rPr>
        <w:t xml:space="preserve"> </w:t>
      </w:r>
      <w:r w:rsidR="00EB09F3">
        <w:rPr>
          <w:rFonts w:cstheme="minorHAnsi"/>
          <w:szCs w:val="24"/>
          <w:lang w:val="ru-RU"/>
        </w:rPr>
        <w:t>удовлетворяет</w:t>
      </w:r>
      <w:r w:rsidR="00512DE4" w:rsidRPr="00512DE4">
        <w:rPr>
          <w:rFonts w:cstheme="minorHAnsi"/>
          <w:szCs w:val="24"/>
          <w:lang w:val="ru-RU"/>
        </w:rPr>
        <w:t xml:space="preserve"> критериям </w:t>
      </w:r>
      <w:r w:rsidR="00836728">
        <w:rPr>
          <w:rFonts w:cstheme="minorHAnsi"/>
          <w:szCs w:val="24"/>
          <w:lang w:val="ru-RU"/>
        </w:rPr>
        <w:t>предоставления освобождения</w:t>
      </w:r>
      <w:r w:rsidR="00512DE4" w:rsidRPr="00512DE4">
        <w:rPr>
          <w:rFonts w:cstheme="minorHAnsi"/>
          <w:szCs w:val="24"/>
          <w:lang w:val="ru-RU"/>
        </w:rPr>
        <w:t xml:space="preserve"> </w:t>
      </w:r>
      <w:r w:rsidR="00836728">
        <w:rPr>
          <w:rFonts w:cstheme="minorHAnsi"/>
          <w:szCs w:val="24"/>
          <w:lang w:val="ru-RU"/>
        </w:rPr>
        <w:t>по линии</w:t>
      </w:r>
      <w:r w:rsidR="00512DE4" w:rsidRPr="00512DE4">
        <w:rPr>
          <w:rFonts w:cstheme="minorHAnsi"/>
          <w:szCs w:val="24"/>
          <w:lang w:val="ru-RU"/>
        </w:rPr>
        <w:t xml:space="preserve"> МСЭ-</w:t>
      </w:r>
      <w:r w:rsidR="00512DE4" w:rsidRPr="00512DE4">
        <w:rPr>
          <w:rFonts w:cstheme="minorHAnsi"/>
          <w:szCs w:val="24"/>
        </w:rPr>
        <w:t>D</w:t>
      </w:r>
      <w:r w:rsidR="00540382" w:rsidRPr="00F02B73">
        <w:rPr>
          <w:rFonts w:cstheme="minorHAnsi"/>
          <w:szCs w:val="24"/>
          <w:lang w:val="ru-RU"/>
        </w:rPr>
        <w:t>.</w:t>
      </w:r>
    </w:p>
    <w:p w:rsidR="00E12BA9" w:rsidRPr="003101DB" w:rsidRDefault="00E12BA9" w:rsidP="00E12BA9">
      <w:pPr>
        <w:spacing w:before="240" w:after="120"/>
        <w:rPr>
          <w:rFonts w:cs="Calibri"/>
          <w:szCs w:val="24"/>
        </w:rPr>
      </w:pPr>
      <w:r>
        <w:rPr>
          <w:rFonts w:cs="Calibri"/>
          <w:szCs w:val="24"/>
        </w:rPr>
        <w:t>3.2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10"/>
        <w:gridCol w:w="1626"/>
        <w:gridCol w:w="2106"/>
      </w:tblGrid>
      <w:tr w:rsidR="00261459" w:rsidRPr="00B34A19" w:rsidTr="00261459">
        <w:trPr>
          <w:cantSplit/>
          <w:trHeight w:val="345"/>
          <w:jc w:val="center"/>
        </w:trPr>
        <w:tc>
          <w:tcPr>
            <w:tcW w:w="5510" w:type="dxa"/>
            <w:vAlign w:val="center"/>
          </w:tcPr>
          <w:p w:rsidR="00261459" w:rsidRPr="00261459" w:rsidRDefault="00261459" w:rsidP="00261459">
            <w:pPr>
              <w:pStyle w:val="TableHead0"/>
              <w:keepLines/>
              <w:tabs>
                <w:tab w:val="clear" w:pos="284"/>
                <w:tab w:val="clear" w:pos="851"/>
                <w:tab w:val="clear" w:pos="1418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snapToGrid w:val="0"/>
              <w:spacing w:before="120" w:after="120" w:line="240" w:lineRule="auto"/>
              <w:rPr>
                <w:rFonts w:cstheme="minorHAnsi"/>
                <w:szCs w:val="24"/>
                <w:lang w:val="ru-RU"/>
              </w:rPr>
            </w:pPr>
            <w:r>
              <w:rPr>
                <w:rFonts w:cstheme="minorHAnsi"/>
                <w:szCs w:val="24"/>
                <w:lang w:val="ru-RU"/>
              </w:rPr>
              <w:t>Организация</w:t>
            </w:r>
          </w:p>
        </w:tc>
        <w:tc>
          <w:tcPr>
            <w:tcW w:w="1626" w:type="dxa"/>
            <w:vAlign w:val="center"/>
          </w:tcPr>
          <w:p w:rsidR="00261459" w:rsidRPr="00261459" w:rsidRDefault="00261459" w:rsidP="00261459">
            <w:pPr>
              <w:pStyle w:val="TableHead0"/>
              <w:keepLines/>
              <w:tabs>
                <w:tab w:val="clear" w:pos="284"/>
                <w:tab w:val="clear" w:pos="851"/>
                <w:tab w:val="clear" w:pos="1418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snapToGrid w:val="0"/>
              <w:spacing w:before="120" w:after="120" w:line="240" w:lineRule="auto"/>
              <w:rPr>
                <w:rFonts w:cstheme="minorHAnsi"/>
                <w:szCs w:val="24"/>
                <w:lang w:val="ru-RU"/>
              </w:rPr>
            </w:pPr>
            <w:r>
              <w:rPr>
                <w:rFonts w:cstheme="minorHAnsi"/>
                <w:szCs w:val="24"/>
                <w:lang w:val="ru-RU"/>
              </w:rPr>
              <w:t>Сектор</w:t>
            </w:r>
          </w:p>
        </w:tc>
        <w:tc>
          <w:tcPr>
            <w:tcW w:w="2106" w:type="dxa"/>
            <w:vAlign w:val="center"/>
          </w:tcPr>
          <w:p w:rsidR="00261459" w:rsidRPr="00261459" w:rsidRDefault="00261459" w:rsidP="00261459">
            <w:pPr>
              <w:pStyle w:val="TableHead0"/>
              <w:keepLines/>
              <w:tabs>
                <w:tab w:val="clear" w:pos="284"/>
                <w:tab w:val="clear" w:pos="851"/>
                <w:tab w:val="clear" w:pos="1418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snapToGrid w:val="0"/>
              <w:spacing w:before="120" w:after="120" w:line="240" w:lineRule="auto"/>
              <w:rPr>
                <w:rFonts w:cstheme="minorHAnsi"/>
                <w:szCs w:val="24"/>
                <w:lang w:val="ru-RU"/>
              </w:rPr>
            </w:pPr>
            <w:r>
              <w:rPr>
                <w:rFonts w:cstheme="minorHAnsi"/>
                <w:szCs w:val="24"/>
                <w:lang w:val="ru-RU"/>
              </w:rPr>
              <w:t>Рекомендация Генерального секретаря</w:t>
            </w:r>
          </w:p>
        </w:tc>
      </w:tr>
      <w:tr w:rsidR="00E12BA9" w:rsidRPr="00EF70AC" w:rsidTr="00261459">
        <w:trPr>
          <w:cantSplit/>
          <w:trHeight w:val="462"/>
          <w:jc w:val="center"/>
        </w:trPr>
        <w:tc>
          <w:tcPr>
            <w:tcW w:w="5510" w:type="dxa"/>
          </w:tcPr>
          <w:p w:rsidR="00E12BA9" w:rsidRPr="00476239" w:rsidRDefault="00F02B73" w:rsidP="00E70674">
            <w:pPr>
              <w:pStyle w:val="TableText0"/>
              <w:keepNext/>
              <w:keepLines/>
              <w:tabs>
                <w:tab w:val="clear" w:pos="284"/>
                <w:tab w:val="clear" w:pos="851"/>
                <w:tab w:val="clear" w:pos="1418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snapToGrid w:val="0"/>
              <w:spacing w:before="240" w:after="120" w:line="240" w:lineRule="auto"/>
              <w:jc w:val="center"/>
              <w:rPr>
                <w:rFonts w:cstheme="minorHAnsi"/>
                <w:b/>
                <w:iCs/>
                <w:szCs w:val="24"/>
                <w:lang w:val="es-ES_tradnl"/>
              </w:rPr>
            </w:pPr>
            <w:r w:rsidRPr="00F02B73">
              <w:rPr>
                <w:rFonts w:cs="Calibri"/>
                <w:b/>
              </w:rPr>
              <w:t xml:space="preserve">Европейская </w:t>
            </w:r>
            <w:r w:rsidR="00317C41" w:rsidRPr="00E70674">
              <w:rPr>
                <w:rFonts w:cs="Calibri"/>
                <w:b/>
                <w:lang w:val="ru-RU"/>
              </w:rPr>
              <w:t>р</w:t>
            </w:r>
            <w:r w:rsidR="00317C41" w:rsidRPr="00E70674">
              <w:rPr>
                <w:rFonts w:cs="Calibri"/>
                <w:b/>
              </w:rPr>
              <w:t>адиолюбител</w:t>
            </w:r>
            <w:r w:rsidR="00317C41" w:rsidRPr="00E70674">
              <w:rPr>
                <w:rFonts w:cs="Calibri"/>
                <w:b/>
                <w:lang w:val="ru-RU"/>
              </w:rPr>
              <w:t>ьская</w:t>
            </w:r>
            <w:r w:rsidR="00317C41" w:rsidRPr="00E70674">
              <w:rPr>
                <w:rFonts w:cs="Calibri"/>
                <w:b/>
              </w:rPr>
              <w:t xml:space="preserve"> </w:t>
            </w:r>
            <w:r w:rsidR="00317C41" w:rsidRPr="00E70674">
              <w:rPr>
                <w:rFonts w:cs="Calibri"/>
                <w:b/>
                <w:lang w:val="ru-RU"/>
              </w:rPr>
              <w:t>о</w:t>
            </w:r>
            <w:r w:rsidR="00317C41" w:rsidRPr="00E70674">
              <w:rPr>
                <w:rFonts w:cs="Calibri"/>
                <w:b/>
              </w:rPr>
              <w:t xml:space="preserve">рганизация </w:t>
            </w:r>
            <w:r w:rsidR="00E12BA9" w:rsidRPr="00476239">
              <w:rPr>
                <w:rFonts w:cs="Calibri"/>
                <w:b/>
              </w:rPr>
              <w:t>(EURAO)</w:t>
            </w:r>
          </w:p>
        </w:tc>
        <w:tc>
          <w:tcPr>
            <w:tcW w:w="1626" w:type="dxa"/>
          </w:tcPr>
          <w:p w:rsidR="00E12BA9" w:rsidRPr="00506994" w:rsidRDefault="00AC6E13" w:rsidP="00084722">
            <w:pPr>
              <w:pStyle w:val="TableText0"/>
              <w:keepNext/>
              <w:keepLines/>
              <w:tabs>
                <w:tab w:val="clear" w:pos="284"/>
                <w:tab w:val="clear" w:pos="851"/>
                <w:tab w:val="clear" w:pos="1418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snapToGrid w:val="0"/>
              <w:spacing w:before="240" w:after="120" w:line="240" w:lineRule="auto"/>
              <w:jc w:val="center"/>
              <w:rPr>
                <w:rFonts w:cstheme="minorHAnsi"/>
                <w:szCs w:val="24"/>
                <w:lang w:val="fr-CH"/>
              </w:rPr>
            </w:pPr>
            <w:r>
              <w:rPr>
                <w:rFonts w:cstheme="minorHAnsi"/>
                <w:szCs w:val="24"/>
                <w:lang w:val="fr-CH"/>
              </w:rPr>
              <w:t>МСЭ-</w:t>
            </w:r>
            <w:r w:rsidR="00E12BA9">
              <w:rPr>
                <w:rFonts w:cstheme="minorHAnsi"/>
                <w:szCs w:val="24"/>
                <w:lang w:val="fr-CH"/>
              </w:rPr>
              <w:t>R</w:t>
            </w:r>
          </w:p>
        </w:tc>
        <w:tc>
          <w:tcPr>
            <w:tcW w:w="2106" w:type="dxa"/>
          </w:tcPr>
          <w:p w:rsidR="00E12BA9" w:rsidRPr="00261459" w:rsidRDefault="00261459" w:rsidP="00084722">
            <w:pPr>
              <w:pStyle w:val="TableText0"/>
              <w:keepNext/>
              <w:keepLines/>
              <w:tabs>
                <w:tab w:val="clear" w:pos="284"/>
                <w:tab w:val="clear" w:pos="851"/>
                <w:tab w:val="clear" w:pos="1418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snapToGrid w:val="0"/>
              <w:spacing w:before="240" w:after="120" w:line="240" w:lineRule="auto"/>
              <w:jc w:val="center"/>
              <w:rPr>
                <w:rFonts w:cstheme="minorHAnsi"/>
                <w:szCs w:val="24"/>
                <w:lang w:val="ru-RU"/>
              </w:rPr>
            </w:pPr>
            <w:r>
              <w:rPr>
                <w:rFonts w:cstheme="minorHAnsi"/>
                <w:szCs w:val="24"/>
                <w:lang w:val="ru-RU"/>
              </w:rPr>
              <w:t>ДА</w:t>
            </w:r>
          </w:p>
        </w:tc>
      </w:tr>
    </w:tbl>
    <w:p w:rsidR="00E12BA9" w:rsidRPr="007D6F63" w:rsidRDefault="00261459" w:rsidP="003F0696">
      <w:pPr>
        <w:snapToGrid w:val="0"/>
        <w:spacing w:before="240" w:after="120"/>
        <w:rPr>
          <w:rFonts w:asciiTheme="minorHAnsi" w:hAnsiTheme="minorHAnsi" w:cs="Calibri"/>
          <w:bCs/>
          <w:szCs w:val="22"/>
          <w:lang w:val="ru-RU"/>
        </w:rPr>
      </w:pPr>
      <w:r w:rsidRPr="00F02B73">
        <w:rPr>
          <w:rFonts w:cs="Calibri"/>
          <w:b/>
          <w:lang w:val="ru-RU"/>
        </w:rPr>
        <w:t>Замечания</w:t>
      </w:r>
      <w:r w:rsidR="00E12BA9" w:rsidRPr="00F02B73">
        <w:rPr>
          <w:rFonts w:cs="Calibri"/>
          <w:lang w:val="ru-RU"/>
        </w:rPr>
        <w:t xml:space="preserve">: </w:t>
      </w:r>
      <w:r w:rsidR="00F02B73" w:rsidRPr="00F02B73">
        <w:rPr>
          <w:rFonts w:asciiTheme="minorHAnsi" w:hAnsiTheme="minorHAnsi" w:cs="Calibri"/>
          <w:bCs/>
          <w:szCs w:val="22"/>
          <w:lang w:val="ru-RU"/>
        </w:rPr>
        <w:t xml:space="preserve">Европейская </w:t>
      </w:r>
      <w:r w:rsidR="00317C41" w:rsidRPr="00E70674">
        <w:rPr>
          <w:rFonts w:asciiTheme="minorHAnsi" w:hAnsiTheme="minorHAnsi" w:cs="Calibri"/>
          <w:bCs/>
          <w:szCs w:val="22"/>
          <w:lang w:val="ru-RU"/>
        </w:rPr>
        <w:t>радиолюбительская организация</w:t>
      </w:r>
      <w:r w:rsidR="00317C41">
        <w:rPr>
          <w:rFonts w:asciiTheme="minorHAnsi" w:hAnsiTheme="minorHAnsi" w:cs="Calibri"/>
          <w:b/>
          <w:szCs w:val="22"/>
          <w:lang w:val="ru-RU"/>
        </w:rPr>
        <w:t xml:space="preserve"> </w:t>
      </w:r>
      <w:r w:rsidR="00F02B73" w:rsidRPr="00F02B73">
        <w:rPr>
          <w:rFonts w:asciiTheme="minorHAnsi" w:hAnsiTheme="minorHAnsi" w:cs="Calibri"/>
          <w:bCs/>
          <w:szCs w:val="22"/>
          <w:lang w:val="ru-RU"/>
        </w:rPr>
        <w:t xml:space="preserve">(EURAO), созданная в 2005 году, является </w:t>
      </w:r>
      <w:r w:rsidR="00937EA5">
        <w:rPr>
          <w:rFonts w:asciiTheme="minorHAnsi" w:hAnsiTheme="minorHAnsi" w:cs="Calibri"/>
          <w:bCs/>
          <w:szCs w:val="22"/>
          <w:lang w:val="ru-RU"/>
        </w:rPr>
        <w:t>площадкой</w:t>
      </w:r>
      <w:r w:rsidR="00317C41">
        <w:rPr>
          <w:rFonts w:asciiTheme="minorHAnsi" w:hAnsiTheme="minorHAnsi" w:cs="Calibri"/>
          <w:bCs/>
          <w:szCs w:val="22"/>
          <w:lang w:val="ru-RU"/>
        </w:rPr>
        <w:t xml:space="preserve"> для</w:t>
      </w:r>
      <w:r w:rsidR="00937EA5">
        <w:rPr>
          <w:rFonts w:asciiTheme="minorHAnsi" w:hAnsiTheme="minorHAnsi" w:cs="Calibri"/>
          <w:bCs/>
          <w:szCs w:val="22"/>
          <w:lang w:val="ru-RU"/>
        </w:rPr>
        <w:t xml:space="preserve"> взаимодействия</w:t>
      </w:r>
      <w:r w:rsidR="00F02B73" w:rsidRPr="00F02B73">
        <w:rPr>
          <w:rFonts w:asciiTheme="minorHAnsi" w:hAnsiTheme="minorHAnsi" w:cs="Calibri"/>
          <w:bCs/>
          <w:szCs w:val="22"/>
          <w:lang w:val="ru-RU"/>
        </w:rPr>
        <w:t xml:space="preserve"> независимых </w:t>
      </w:r>
      <w:r w:rsidR="00FF6F21" w:rsidRPr="00F02B73">
        <w:rPr>
          <w:rFonts w:asciiTheme="minorHAnsi" w:hAnsiTheme="minorHAnsi" w:cs="Calibri"/>
          <w:bCs/>
          <w:szCs w:val="22"/>
          <w:lang w:val="ru-RU"/>
        </w:rPr>
        <w:t xml:space="preserve">ассоциаций </w:t>
      </w:r>
      <w:r w:rsidR="00F02B73" w:rsidRPr="00F02B73">
        <w:rPr>
          <w:rFonts w:asciiTheme="minorHAnsi" w:hAnsiTheme="minorHAnsi" w:cs="Calibri"/>
          <w:bCs/>
          <w:szCs w:val="22"/>
          <w:lang w:val="ru-RU"/>
        </w:rPr>
        <w:lastRenderedPageBreak/>
        <w:t>радиолюбител</w:t>
      </w:r>
      <w:r w:rsidR="00FF6F21">
        <w:rPr>
          <w:rFonts w:asciiTheme="minorHAnsi" w:hAnsiTheme="minorHAnsi" w:cs="Calibri"/>
          <w:bCs/>
          <w:szCs w:val="22"/>
          <w:lang w:val="ru-RU"/>
        </w:rPr>
        <w:t>ей</w:t>
      </w:r>
      <w:r w:rsidR="00F02B73" w:rsidRPr="00F02B73">
        <w:rPr>
          <w:rFonts w:asciiTheme="minorHAnsi" w:hAnsiTheme="minorHAnsi" w:cs="Calibri"/>
          <w:bCs/>
          <w:szCs w:val="22"/>
          <w:lang w:val="ru-RU"/>
        </w:rPr>
        <w:t xml:space="preserve"> и </w:t>
      </w:r>
      <w:r w:rsidR="00FF6F21">
        <w:rPr>
          <w:rFonts w:asciiTheme="minorHAnsi" w:hAnsiTheme="minorHAnsi" w:cs="Calibri"/>
          <w:bCs/>
          <w:szCs w:val="22"/>
          <w:lang w:val="ru-RU"/>
        </w:rPr>
        <w:t>отдельных</w:t>
      </w:r>
      <w:r w:rsidR="00F02B73" w:rsidRPr="00F02B73">
        <w:rPr>
          <w:rFonts w:asciiTheme="minorHAnsi" w:hAnsiTheme="minorHAnsi" w:cs="Calibri"/>
          <w:bCs/>
          <w:szCs w:val="22"/>
          <w:lang w:val="ru-RU"/>
        </w:rPr>
        <w:t xml:space="preserve"> лиц примерно </w:t>
      </w:r>
      <w:r w:rsidR="002D5089">
        <w:rPr>
          <w:rFonts w:asciiTheme="minorHAnsi" w:hAnsiTheme="minorHAnsi" w:cs="Calibri"/>
          <w:bCs/>
          <w:szCs w:val="22"/>
          <w:lang w:val="ru-RU"/>
        </w:rPr>
        <w:t>из 70 стран</w:t>
      </w:r>
      <w:r w:rsidR="004E6ED7">
        <w:rPr>
          <w:rFonts w:asciiTheme="minorHAnsi" w:hAnsiTheme="minorHAnsi" w:cs="Calibri"/>
          <w:bCs/>
          <w:szCs w:val="22"/>
          <w:lang w:val="ru-RU"/>
        </w:rPr>
        <w:t>, стран</w:t>
      </w:r>
      <w:r w:rsidR="00F02B73" w:rsidRPr="00F02B73">
        <w:rPr>
          <w:rFonts w:asciiTheme="minorHAnsi" w:hAnsiTheme="minorHAnsi" w:cs="Calibri"/>
          <w:bCs/>
          <w:szCs w:val="22"/>
          <w:lang w:val="ru-RU"/>
        </w:rPr>
        <w:t xml:space="preserve"> Европы и всего мира. Члены EURAO </w:t>
      </w:r>
      <w:r w:rsidR="002D5089">
        <w:rPr>
          <w:rFonts w:asciiTheme="minorHAnsi" w:hAnsiTheme="minorHAnsi" w:cs="Calibri"/>
          <w:bCs/>
          <w:szCs w:val="22"/>
          <w:lang w:val="ru-RU"/>
        </w:rPr>
        <w:t>рассказывают о своей деятельности</w:t>
      </w:r>
      <w:r w:rsidR="00F02B73" w:rsidRPr="00F02B73">
        <w:rPr>
          <w:rFonts w:asciiTheme="minorHAnsi" w:hAnsiTheme="minorHAnsi" w:cs="Calibri"/>
          <w:bCs/>
          <w:szCs w:val="22"/>
          <w:lang w:val="ru-RU"/>
        </w:rPr>
        <w:t xml:space="preserve"> и </w:t>
      </w:r>
      <w:r w:rsidR="002D5089">
        <w:rPr>
          <w:rFonts w:asciiTheme="minorHAnsi" w:hAnsiTheme="minorHAnsi" w:cs="Calibri"/>
          <w:bCs/>
          <w:szCs w:val="22"/>
          <w:lang w:val="ru-RU"/>
        </w:rPr>
        <w:t xml:space="preserve">делятся </w:t>
      </w:r>
      <w:r w:rsidR="00F02B73" w:rsidRPr="00F02B73">
        <w:rPr>
          <w:rFonts w:asciiTheme="minorHAnsi" w:hAnsiTheme="minorHAnsi" w:cs="Calibri"/>
          <w:bCs/>
          <w:szCs w:val="22"/>
          <w:lang w:val="ru-RU"/>
        </w:rPr>
        <w:t xml:space="preserve">опытом, </w:t>
      </w:r>
      <w:r w:rsidR="00321146">
        <w:rPr>
          <w:rFonts w:asciiTheme="minorHAnsi" w:hAnsiTheme="minorHAnsi" w:cs="Calibri"/>
          <w:bCs/>
          <w:szCs w:val="22"/>
          <w:lang w:val="ru-RU"/>
        </w:rPr>
        <w:t xml:space="preserve">совместно </w:t>
      </w:r>
      <w:r w:rsidR="00F02B73" w:rsidRPr="00F02B73">
        <w:rPr>
          <w:rFonts w:asciiTheme="minorHAnsi" w:hAnsiTheme="minorHAnsi" w:cs="Calibri"/>
          <w:bCs/>
          <w:szCs w:val="22"/>
          <w:lang w:val="ru-RU"/>
        </w:rPr>
        <w:t xml:space="preserve">предоставляют услуги и работают над проектами. </w:t>
      </w:r>
      <w:r w:rsidR="002D5089" w:rsidRPr="00F02B73">
        <w:rPr>
          <w:rFonts w:asciiTheme="minorHAnsi" w:hAnsiTheme="minorHAnsi" w:cs="Calibri"/>
          <w:bCs/>
          <w:szCs w:val="22"/>
          <w:lang w:val="ru-RU"/>
        </w:rPr>
        <w:t xml:space="preserve">EURAO </w:t>
      </w:r>
      <w:r w:rsidR="00F02B73" w:rsidRPr="00F02B73">
        <w:rPr>
          <w:rFonts w:asciiTheme="minorHAnsi" w:hAnsiTheme="minorHAnsi" w:cs="Calibri"/>
          <w:bCs/>
          <w:szCs w:val="22"/>
          <w:lang w:val="ru-RU"/>
        </w:rPr>
        <w:t xml:space="preserve">также представляет </w:t>
      </w:r>
      <w:r w:rsidR="00317C41">
        <w:rPr>
          <w:rFonts w:asciiTheme="minorHAnsi" w:hAnsiTheme="minorHAnsi" w:cs="Calibri"/>
          <w:bCs/>
          <w:szCs w:val="22"/>
          <w:lang w:val="ru-RU"/>
        </w:rPr>
        <w:t xml:space="preserve">интересы </w:t>
      </w:r>
      <w:r w:rsidR="00F02B73" w:rsidRPr="00F02B73">
        <w:rPr>
          <w:rFonts w:asciiTheme="minorHAnsi" w:hAnsiTheme="minorHAnsi" w:cs="Calibri"/>
          <w:bCs/>
          <w:szCs w:val="22"/>
          <w:lang w:val="ru-RU"/>
        </w:rPr>
        <w:t xml:space="preserve">своих членов в </w:t>
      </w:r>
      <w:r w:rsidR="00317C41">
        <w:rPr>
          <w:rFonts w:asciiTheme="minorHAnsi" w:hAnsiTheme="minorHAnsi" w:cs="Calibri"/>
          <w:bCs/>
          <w:szCs w:val="22"/>
          <w:lang w:val="ru-RU"/>
        </w:rPr>
        <w:t xml:space="preserve">государственных </w:t>
      </w:r>
      <w:r w:rsidR="00D27ACB">
        <w:rPr>
          <w:rFonts w:asciiTheme="minorHAnsi" w:hAnsiTheme="minorHAnsi" w:cs="Calibri"/>
          <w:bCs/>
          <w:szCs w:val="22"/>
          <w:lang w:val="ru-RU"/>
        </w:rPr>
        <w:t>органах</w:t>
      </w:r>
      <w:r w:rsidR="00F02B73" w:rsidRPr="00F02B73">
        <w:rPr>
          <w:rFonts w:asciiTheme="minorHAnsi" w:hAnsiTheme="minorHAnsi" w:cs="Calibri"/>
          <w:bCs/>
          <w:szCs w:val="22"/>
          <w:lang w:val="ru-RU"/>
        </w:rPr>
        <w:t xml:space="preserve">. Секретариат считает, что EURAO </w:t>
      </w:r>
      <w:r w:rsidR="000C137D">
        <w:rPr>
          <w:rFonts w:cstheme="minorHAnsi"/>
          <w:szCs w:val="24"/>
          <w:lang w:val="ru-RU"/>
        </w:rPr>
        <w:t>удовлетворяет</w:t>
      </w:r>
      <w:r w:rsidR="000C137D" w:rsidRPr="00512DE4">
        <w:rPr>
          <w:rFonts w:cstheme="minorHAnsi"/>
          <w:szCs w:val="24"/>
          <w:lang w:val="ru-RU"/>
        </w:rPr>
        <w:t xml:space="preserve"> критериям </w:t>
      </w:r>
      <w:r w:rsidR="000C137D">
        <w:rPr>
          <w:rFonts w:cstheme="minorHAnsi"/>
          <w:szCs w:val="24"/>
          <w:lang w:val="ru-RU"/>
        </w:rPr>
        <w:t>предоставления освобождения</w:t>
      </w:r>
      <w:r w:rsidR="000C137D" w:rsidRPr="00512DE4">
        <w:rPr>
          <w:rFonts w:cstheme="minorHAnsi"/>
          <w:szCs w:val="24"/>
          <w:lang w:val="ru-RU"/>
        </w:rPr>
        <w:t xml:space="preserve"> </w:t>
      </w:r>
      <w:r w:rsidR="000C137D">
        <w:rPr>
          <w:rFonts w:cstheme="minorHAnsi"/>
          <w:szCs w:val="24"/>
          <w:lang w:val="ru-RU"/>
        </w:rPr>
        <w:t>по линии</w:t>
      </w:r>
      <w:r w:rsidR="007D6F63">
        <w:rPr>
          <w:rFonts w:asciiTheme="minorHAnsi" w:hAnsiTheme="minorHAnsi" w:cs="Calibri"/>
          <w:bCs/>
          <w:szCs w:val="22"/>
          <w:lang w:val="ru-RU"/>
        </w:rPr>
        <w:t xml:space="preserve"> МСЭ-R</w:t>
      </w:r>
      <w:r w:rsidR="00E12BA9" w:rsidRPr="007D6F63">
        <w:rPr>
          <w:rFonts w:cs="Calibri"/>
          <w:lang w:val="ru-RU"/>
        </w:rPr>
        <w:t>.</w:t>
      </w:r>
    </w:p>
    <w:p w:rsidR="00E12BA9" w:rsidRPr="003101DB" w:rsidRDefault="00E12BA9" w:rsidP="00E12BA9">
      <w:pPr>
        <w:spacing w:before="240" w:after="120"/>
        <w:rPr>
          <w:rFonts w:cs="Calibri"/>
          <w:szCs w:val="24"/>
        </w:rPr>
      </w:pPr>
      <w:r>
        <w:rPr>
          <w:rFonts w:cs="Calibri"/>
          <w:szCs w:val="24"/>
        </w:rPr>
        <w:t>3</w:t>
      </w:r>
      <w:r w:rsidRPr="003101DB">
        <w:rPr>
          <w:rFonts w:cs="Calibri"/>
          <w:szCs w:val="24"/>
        </w:rPr>
        <w:t>.</w:t>
      </w:r>
      <w:r>
        <w:rPr>
          <w:rFonts w:cs="Calibri"/>
          <w:szCs w:val="24"/>
        </w:rPr>
        <w:t>3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10"/>
        <w:gridCol w:w="1626"/>
        <w:gridCol w:w="2106"/>
      </w:tblGrid>
      <w:tr w:rsidR="00261459" w:rsidRPr="00B34A19" w:rsidTr="00261459">
        <w:trPr>
          <w:cantSplit/>
          <w:trHeight w:val="300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459" w:rsidRPr="00261459" w:rsidRDefault="00261459" w:rsidP="00261459">
            <w:pPr>
              <w:pStyle w:val="TableHead0"/>
              <w:keepLines/>
              <w:tabs>
                <w:tab w:val="clear" w:pos="284"/>
                <w:tab w:val="clear" w:pos="851"/>
                <w:tab w:val="clear" w:pos="1418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snapToGrid w:val="0"/>
              <w:spacing w:before="120" w:after="120" w:line="240" w:lineRule="auto"/>
              <w:rPr>
                <w:rFonts w:cstheme="minorHAnsi"/>
                <w:szCs w:val="24"/>
                <w:lang w:val="ru-RU"/>
              </w:rPr>
            </w:pPr>
            <w:r>
              <w:rPr>
                <w:rFonts w:cstheme="minorHAnsi"/>
                <w:szCs w:val="24"/>
                <w:lang w:val="ru-RU"/>
              </w:rPr>
              <w:t>Организация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459" w:rsidRPr="00261459" w:rsidRDefault="00261459" w:rsidP="00261459">
            <w:pPr>
              <w:pStyle w:val="TableHead0"/>
              <w:keepLines/>
              <w:tabs>
                <w:tab w:val="clear" w:pos="284"/>
                <w:tab w:val="clear" w:pos="851"/>
                <w:tab w:val="clear" w:pos="1418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snapToGrid w:val="0"/>
              <w:spacing w:before="120" w:after="120" w:line="240" w:lineRule="auto"/>
              <w:rPr>
                <w:rFonts w:cstheme="minorHAnsi"/>
                <w:szCs w:val="24"/>
                <w:lang w:val="ru-RU"/>
              </w:rPr>
            </w:pPr>
            <w:r>
              <w:rPr>
                <w:rFonts w:cstheme="minorHAnsi"/>
                <w:szCs w:val="24"/>
                <w:lang w:val="ru-RU"/>
              </w:rPr>
              <w:t>Сектор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459" w:rsidRPr="00261459" w:rsidRDefault="00261459" w:rsidP="00261459">
            <w:pPr>
              <w:pStyle w:val="TableHead0"/>
              <w:keepLines/>
              <w:tabs>
                <w:tab w:val="clear" w:pos="284"/>
                <w:tab w:val="clear" w:pos="851"/>
                <w:tab w:val="clear" w:pos="1418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snapToGrid w:val="0"/>
              <w:spacing w:before="120" w:after="120" w:line="240" w:lineRule="auto"/>
              <w:rPr>
                <w:rFonts w:cstheme="minorHAnsi"/>
                <w:szCs w:val="24"/>
                <w:lang w:val="ru-RU"/>
              </w:rPr>
            </w:pPr>
            <w:r>
              <w:rPr>
                <w:rFonts w:cstheme="minorHAnsi"/>
                <w:szCs w:val="24"/>
                <w:lang w:val="ru-RU"/>
              </w:rPr>
              <w:t>Рекомендация Генерального секретаря</w:t>
            </w:r>
          </w:p>
        </w:tc>
      </w:tr>
      <w:tr w:rsidR="00E12BA9" w:rsidRPr="00EF70AC" w:rsidTr="00261459">
        <w:trPr>
          <w:cantSplit/>
          <w:trHeight w:val="507"/>
          <w:jc w:val="center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A9" w:rsidRPr="00083A8F" w:rsidRDefault="00F02B73" w:rsidP="00084722">
            <w:pPr>
              <w:pStyle w:val="TableText0"/>
              <w:spacing w:before="120" w:after="120"/>
              <w:jc w:val="center"/>
              <w:rPr>
                <w:rFonts w:cstheme="minorHAnsi"/>
                <w:b/>
                <w:iCs/>
                <w:szCs w:val="24"/>
              </w:rPr>
            </w:pPr>
            <w:r>
              <w:rPr>
                <w:rFonts w:cstheme="minorHAnsi"/>
                <w:b/>
                <w:iCs/>
                <w:szCs w:val="24"/>
                <w:lang w:val="ru-RU"/>
              </w:rPr>
              <w:t>Организа</w:t>
            </w:r>
            <w:r w:rsidR="00287C6C">
              <w:rPr>
                <w:rFonts w:cstheme="minorHAnsi"/>
                <w:b/>
                <w:iCs/>
                <w:szCs w:val="24"/>
                <w:lang w:val="ru-RU"/>
              </w:rPr>
              <w:t>ция электросвязи С</w:t>
            </w:r>
            <w:r>
              <w:rPr>
                <w:rFonts w:cstheme="minorHAnsi"/>
                <w:b/>
                <w:iCs/>
                <w:szCs w:val="24"/>
                <w:lang w:val="ru-RU"/>
              </w:rPr>
              <w:t>одружества</w:t>
            </w:r>
            <w:r w:rsidR="00E12BA9">
              <w:rPr>
                <w:rFonts w:cstheme="minorHAnsi"/>
                <w:b/>
                <w:iCs/>
                <w:szCs w:val="24"/>
              </w:rPr>
              <w:t xml:space="preserve"> (CTO)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A9" w:rsidRPr="00A234EA" w:rsidRDefault="00AC6E13" w:rsidP="00084722">
            <w:pPr>
              <w:pStyle w:val="TableText0"/>
              <w:spacing w:before="120" w:after="12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iCs/>
                <w:szCs w:val="24"/>
              </w:rPr>
              <w:t>МСЭ-</w:t>
            </w:r>
            <w:r w:rsidR="00E12BA9" w:rsidRPr="00A234EA">
              <w:rPr>
                <w:rFonts w:cstheme="minorHAnsi"/>
                <w:iCs/>
                <w:szCs w:val="24"/>
              </w:rPr>
              <w:t>R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A9" w:rsidRPr="00261459" w:rsidRDefault="00261459" w:rsidP="00084722">
            <w:pPr>
              <w:pStyle w:val="TableText0"/>
              <w:spacing w:before="120" w:after="120"/>
              <w:jc w:val="center"/>
              <w:rPr>
                <w:rFonts w:cstheme="minorHAnsi"/>
                <w:szCs w:val="24"/>
                <w:lang w:val="ru-RU"/>
              </w:rPr>
            </w:pPr>
            <w:r>
              <w:rPr>
                <w:rFonts w:cstheme="minorHAnsi"/>
                <w:szCs w:val="24"/>
                <w:lang w:val="ru-RU"/>
              </w:rPr>
              <w:t>ДА</w:t>
            </w:r>
          </w:p>
        </w:tc>
      </w:tr>
    </w:tbl>
    <w:p w:rsidR="00E12BA9" w:rsidRPr="002B2F84" w:rsidRDefault="00261459" w:rsidP="003F0696">
      <w:pPr>
        <w:snapToGrid w:val="0"/>
        <w:spacing w:before="240" w:after="120"/>
        <w:rPr>
          <w:rFonts w:cs="Calibri"/>
          <w:lang w:val="ru-RU"/>
        </w:rPr>
      </w:pPr>
      <w:r w:rsidRPr="00743C95">
        <w:rPr>
          <w:rFonts w:cs="Calibri"/>
          <w:b/>
          <w:lang w:val="ru-RU"/>
        </w:rPr>
        <w:t>Замечания</w:t>
      </w:r>
      <w:r w:rsidR="00E12BA9" w:rsidRPr="00743C95">
        <w:rPr>
          <w:rFonts w:cs="Calibri"/>
          <w:lang w:val="ru-RU"/>
        </w:rPr>
        <w:t xml:space="preserve">: </w:t>
      </w:r>
      <w:r w:rsidR="00743C95" w:rsidRPr="00743C95">
        <w:rPr>
          <w:rFonts w:cs="Calibri"/>
          <w:lang w:val="ru-RU"/>
        </w:rPr>
        <w:t>Организация электросвязи Содружества (</w:t>
      </w:r>
      <w:r w:rsidR="00743C95" w:rsidRPr="00743C95">
        <w:rPr>
          <w:rFonts w:cs="Calibri"/>
        </w:rPr>
        <w:t>CTO</w:t>
      </w:r>
      <w:r w:rsidR="00743C95" w:rsidRPr="00743C95">
        <w:rPr>
          <w:rFonts w:cs="Calibri"/>
          <w:lang w:val="ru-RU"/>
        </w:rPr>
        <w:t xml:space="preserve">) является межправительственной организацией в области ИКТ. В </w:t>
      </w:r>
      <w:r w:rsidR="00743C95" w:rsidRPr="00743C95">
        <w:rPr>
          <w:rFonts w:cs="Calibri"/>
        </w:rPr>
        <w:t>CTO</w:t>
      </w:r>
      <w:r w:rsidR="00743C95" w:rsidRPr="00743C95">
        <w:rPr>
          <w:rFonts w:cs="Calibri"/>
          <w:lang w:val="ru-RU"/>
        </w:rPr>
        <w:t xml:space="preserve"> </w:t>
      </w:r>
      <w:r w:rsidR="00E00BC0">
        <w:rPr>
          <w:rFonts w:cs="Calibri"/>
          <w:lang w:val="ru-RU"/>
        </w:rPr>
        <w:t>разнообразный членский состав,</w:t>
      </w:r>
      <w:r w:rsidR="00743C95" w:rsidRPr="00743C95">
        <w:rPr>
          <w:rFonts w:cs="Calibri"/>
          <w:lang w:val="ru-RU"/>
        </w:rPr>
        <w:t xml:space="preserve"> </w:t>
      </w:r>
      <w:r w:rsidR="00E00BC0">
        <w:rPr>
          <w:rFonts w:cs="Calibri"/>
          <w:lang w:val="ru-RU"/>
        </w:rPr>
        <w:t xml:space="preserve">который включает </w:t>
      </w:r>
      <w:r w:rsidR="00743C95" w:rsidRPr="00743C95">
        <w:rPr>
          <w:rFonts w:cs="Calibri"/>
          <w:lang w:val="ru-RU"/>
        </w:rPr>
        <w:t xml:space="preserve">развитые страны, развивающиеся страны, наименее развитые страны, малые островные развивающиеся государства и развивающиеся страны, не имеющие выхода к морю. Следовательно, политика, решения и действия должны отвечать потребностям </w:t>
      </w:r>
      <w:r w:rsidR="00E723F8">
        <w:rPr>
          <w:rFonts w:cs="Calibri"/>
          <w:lang w:val="ru-RU"/>
        </w:rPr>
        <w:t>такого</w:t>
      </w:r>
      <w:r w:rsidR="00743C95" w:rsidRPr="00743C95">
        <w:rPr>
          <w:rFonts w:cs="Calibri"/>
          <w:lang w:val="ru-RU"/>
        </w:rPr>
        <w:t xml:space="preserve"> широкого круга стран. </w:t>
      </w:r>
      <w:r w:rsidR="00743C95" w:rsidRPr="00743C95">
        <w:rPr>
          <w:rFonts w:cs="Calibri"/>
        </w:rPr>
        <w:t>CTO</w:t>
      </w:r>
      <w:r w:rsidR="00743C95" w:rsidRPr="00743C95">
        <w:rPr>
          <w:rFonts w:cs="Calibri"/>
          <w:lang w:val="ru-RU"/>
        </w:rPr>
        <w:t xml:space="preserve"> </w:t>
      </w:r>
      <w:r w:rsidR="005E54F1">
        <w:rPr>
          <w:rFonts w:cs="Calibri"/>
          <w:lang w:val="ru-RU"/>
        </w:rPr>
        <w:t>−</w:t>
      </w:r>
      <w:r w:rsidR="00743C95" w:rsidRPr="00743C95">
        <w:rPr>
          <w:rFonts w:cs="Calibri"/>
          <w:lang w:val="ru-RU"/>
        </w:rPr>
        <w:t xml:space="preserve"> это </w:t>
      </w:r>
      <w:r w:rsidR="00B243B8" w:rsidRPr="00B243B8">
        <w:rPr>
          <w:rFonts w:cs="Calibri"/>
          <w:lang w:val="ru-RU"/>
        </w:rPr>
        <w:t>организация, созданная на основе международного договора,</w:t>
      </w:r>
      <w:r w:rsidR="00743C95" w:rsidRPr="00B243B8">
        <w:rPr>
          <w:rFonts w:cs="Calibri"/>
          <w:lang w:val="ru-RU"/>
        </w:rPr>
        <w:t xml:space="preserve"> и</w:t>
      </w:r>
      <w:r w:rsidR="00743C95" w:rsidRPr="00743C95">
        <w:rPr>
          <w:rFonts w:cs="Calibri"/>
          <w:lang w:val="ru-RU"/>
        </w:rPr>
        <w:t xml:space="preserve"> </w:t>
      </w:r>
      <w:r w:rsidR="009851DB">
        <w:rPr>
          <w:rFonts w:cs="Calibri"/>
          <w:lang w:val="ru-RU"/>
        </w:rPr>
        <w:t>таким образом</w:t>
      </w:r>
      <w:r w:rsidR="00743C95" w:rsidRPr="00743C95">
        <w:rPr>
          <w:rFonts w:cs="Calibri"/>
          <w:lang w:val="ru-RU"/>
        </w:rPr>
        <w:t xml:space="preserve"> </w:t>
      </w:r>
      <w:r w:rsidR="008C0590">
        <w:rPr>
          <w:rFonts w:cs="Calibri"/>
          <w:lang w:val="ru-RU"/>
        </w:rPr>
        <w:t>является</w:t>
      </w:r>
      <w:r w:rsidR="00E368F3" w:rsidRPr="00E368F3">
        <w:rPr>
          <w:rFonts w:cs="Calibri"/>
          <w:lang w:val="ru-RU"/>
        </w:rPr>
        <w:t xml:space="preserve"> </w:t>
      </w:r>
      <w:r w:rsidR="00E368F3">
        <w:rPr>
          <w:rFonts w:cs="Calibri"/>
          <w:lang w:val="ru-RU"/>
        </w:rPr>
        <w:t>некоммерческой</w:t>
      </w:r>
      <w:r w:rsidR="00743C95" w:rsidRPr="00743C95">
        <w:rPr>
          <w:rFonts w:cs="Calibri"/>
          <w:lang w:val="ru-RU"/>
        </w:rPr>
        <w:t xml:space="preserve">. </w:t>
      </w:r>
      <w:r w:rsidR="00743C95" w:rsidRPr="00743C95">
        <w:rPr>
          <w:rFonts w:cs="Calibri"/>
        </w:rPr>
        <w:t>CTO</w:t>
      </w:r>
      <w:r w:rsidR="00743C95" w:rsidRPr="00743C95">
        <w:rPr>
          <w:rFonts w:cs="Calibri"/>
          <w:lang w:val="ru-RU"/>
        </w:rPr>
        <w:t xml:space="preserve"> уже </w:t>
      </w:r>
      <w:r w:rsidR="00166EC3">
        <w:rPr>
          <w:rFonts w:cs="Calibri"/>
          <w:lang w:val="ru-RU"/>
        </w:rPr>
        <w:t>пред</w:t>
      </w:r>
      <w:r w:rsidR="007A4492">
        <w:rPr>
          <w:rFonts w:cs="Calibri"/>
          <w:lang w:val="ru-RU"/>
        </w:rPr>
        <w:t>о</w:t>
      </w:r>
      <w:r w:rsidR="00BC32CA">
        <w:rPr>
          <w:rFonts w:cs="Calibri"/>
          <w:lang w:val="ru-RU"/>
        </w:rPr>
        <w:t>ставл</w:t>
      </w:r>
      <w:r w:rsidR="00314ACB">
        <w:rPr>
          <w:rFonts w:cs="Calibri"/>
          <w:lang w:val="ru-RU"/>
        </w:rPr>
        <w:t>ено</w:t>
      </w:r>
      <w:r w:rsidR="00166EC3">
        <w:rPr>
          <w:rFonts w:cs="Calibri"/>
          <w:lang w:val="ru-RU"/>
        </w:rPr>
        <w:t xml:space="preserve"> освобождение</w:t>
      </w:r>
      <w:r w:rsidR="00743C95" w:rsidRPr="00743C95">
        <w:rPr>
          <w:rFonts w:cs="Calibri"/>
          <w:lang w:val="ru-RU"/>
        </w:rPr>
        <w:t xml:space="preserve"> от уплаты </w:t>
      </w:r>
      <w:r w:rsidR="00166EC3">
        <w:rPr>
          <w:rFonts w:cs="Calibri"/>
          <w:lang w:val="ru-RU"/>
        </w:rPr>
        <w:t>взносов как Члену Секторов</w:t>
      </w:r>
      <w:r w:rsidR="003F0696">
        <w:rPr>
          <w:rFonts w:cs="Calibri"/>
          <w:lang w:val="ru-RU"/>
        </w:rPr>
        <w:t xml:space="preserve"> МСЭ</w:t>
      </w:r>
      <w:r w:rsidR="003F0696">
        <w:rPr>
          <w:rFonts w:cs="Calibri"/>
          <w:lang w:val="ru-RU"/>
        </w:rPr>
        <w:noBreakHyphen/>
      </w:r>
      <w:r w:rsidR="00743C95" w:rsidRPr="00743C95">
        <w:rPr>
          <w:rFonts w:cs="Calibri"/>
        </w:rPr>
        <w:t>T</w:t>
      </w:r>
      <w:r w:rsidR="00743C95" w:rsidRPr="00743C95">
        <w:rPr>
          <w:rFonts w:cs="Calibri"/>
          <w:lang w:val="ru-RU"/>
        </w:rPr>
        <w:t xml:space="preserve"> и МСЭ-</w:t>
      </w:r>
      <w:r w:rsidR="00743C95" w:rsidRPr="00743C95">
        <w:rPr>
          <w:rFonts w:cs="Calibri"/>
        </w:rPr>
        <w:t>D</w:t>
      </w:r>
      <w:r w:rsidR="00743C95" w:rsidRPr="00743C95">
        <w:rPr>
          <w:rFonts w:cs="Calibri"/>
          <w:lang w:val="ru-RU"/>
        </w:rPr>
        <w:t xml:space="preserve">. </w:t>
      </w:r>
      <w:r w:rsidR="00743C95" w:rsidRPr="000C137D">
        <w:rPr>
          <w:rFonts w:cs="Calibri"/>
          <w:lang w:val="ru-RU"/>
        </w:rPr>
        <w:t xml:space="preserve">Секретариат считает, что </w:t>
      </w:r>
      <w:r w:rsidR="00743C95" w:rsidRPr="00743C95">
        <w:rPr>
          <w:rFonts w:cs="Calibri"/>
        </w:rPr>
        <w:t>CTO</w:t>
      </w:r>
      <w:r w:rsidR="00743C95" w:rsidRPr="000C137D">
        <w:rPr>
          <w:rFonts w:cs="Calibri"/>
          <w:lang w:val="ru-RU"/>
        </w:rPr>
        <w:t xml:space="preserve"> </w:t>
      </w:r>
      <w:r w:rsidR="000C137D">
        <w:rPr>
          <w:rFonts w:cstheme="minorHAnsi"/>
          <w:szCs w:val="24"/>
          <w:lang w:val="ru-RU"/>
        </w:rPr>
        <w:t>удовлетворяет</w:t>
      </w:r>
      <w:r w:rsidR="000C137D" w:rsidRPr="00512DE4">
        <w:rPr>
          <w:rFonts w:cstheme="minorHAnsi"/>
          <w:szCs w:val="24"/>
          <w:lang w:val="ru-RU"/>
        </w:rPr>
        <w:t xml:space="preserve"> критериям </w:t>
      </w:r>
      <w:r w:rsidR="000C137D">
        <w:rPr>
          <w:rFonts w:cstheme="minorHAnsi"/>
          <w:szCs w:val="24"/>
          <w:lang w:val="ru-RU"/>
        </w:rPr>
        <w:t>предоставления освобождения</w:t>
      </w:r>
      <w:r w:rsidR="000C137D" w:rsidRPr="00512DE4">
        <w:rPr>
          <w:rFonts w:cstheme="minorHAnsi"/>
          <w:szCs w:val="24"/>
          <w:lang w:val="ru-RU"/>
        </w:rPr>
        <w:t xml:space="preserve"> </w:t>
      </w:r>
      <w:r w:rsidR="000C137D">
        <w:rPr>
          <w:rFonts w:cstheme="minorHAnsi"/>
          <w:szCs w:val="24"/>
          <w:lang w:val="ru-RU"/>
        </w:rPr>
        <w:t>по линии</w:t>
      </w:r>
      <w:r w:rsidR="000C137D" w:rsidRPr="000C137D">
        <w:rPr>
          <w:rFonts w:cs="Calibri"/>
          <w:lang w:val="ru-RU"/>
        </w:rPr>
        <w:t xml:space="preserve"> </w:t>
      </w:r>
      <w:r w:rsidR="00743C95" w:rsidRPr="000C137D">
        <w:rPr>
          <w:rFonts w:cs="Calibri"/>
          <w:lang w:val="ru-RU"/>
        </w:rPr>
        <w:t>МСЭ-</w:t>
      </w:r>
      <w:r w:rsidR="00743C95" w:rsidRPr="00743C95">
        <w:rPr>
          <w:rFonts w:cs="Calibri"/>
        </w:rPr>
        <w:t>R</w:t>
      </w:r>
      <w:r w:rsidR="00E12BA9" w:rsidRPr="002B2F84">
        <w:rPr>
          <w:rFonts w:cs="Calibri"/>
          <w:lang w:val="ru-RU"/>
        </w:rPr>
        <w:t>.</w:t>
      </w:r>
    </w:p>
    <w:p w:rsidR="00E12BA9" w:rsidRPr="003101DB" w:rsidRDefault="00E12BA9" w:rsidP="00E12BA9">
      <w:pPr>
        <w:spacing w:before="240" w:after="120"/>
        <w:jc w:val="both"/>
        <w:rPr>
          <w:rFonts w:cs="Calibri"/>
          <w:szCs w:val="24"/>
        </w:rPr>
      </w:pPr>
      <w:r>
        <w:rPr>
          <w:rFonts w:cs="Calibri"/>
          <w:szCs w:val="24"/>
        </w:rPr>
        <w:t>3</w:t>
      </w:r>
      <w:r w:rsidRPr="003101DB">
        <w:rPr>
          <w:rFonts w:cs="Calibri"/>
          <w:szCs w:val="24"/>
        </w:rPr>
        <w:t>.</w:t>
      </w:r>
      <w:r>
        <w:rPr>
          <w:rFonts w:cs="Calibri"/>
          <w:szCs w:val="24"/>
        </w:rPr>
        <w:t>4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10"/>
        <w:gridCol w:w="1626"/>
        <w:gridCol w:w="2106"/>
      </w:tblGrid>
      <w:tr w:rsidR="00261459" w:rsidRPr="00B34A19" w:rsidTr="00261459">
        <w:trPr>
          <w:cantSplit/>
          <w:trHeight w:val="345"/>
          <w:jc w:val="center"/>
        </w:trPr>
        <w:tc>
          <w:tcPr>
            <w:tcW w:w="5510" w:type="dxa"/>
            <w:vAlign w:val="center"/>
          </w:tcPr>
          <w:p w:rsidR="00261459" w:rsidRPr="00261459" w:rsidRDefault="00261459" w:rsidP="00261459">
            <w:pPr>
              <w:pStyle w:val="TableHead0"/>
              <w:keepLines/>
              <w:tabs>
                <w:tab w:val="clear" w:pos="284"/>
                <w:tab w:val="clear" w:pos="851"/>
                <w:tab w:val="clear" w:pos="1418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snapToGrid w:val="0"/>
              <w:spacing w:before="120" w:after="120" w:line="240" w:lineRule="auto"/>
              <w:rPr>
                <w:rFonts w:cstheme="minorHAnsi"/>
                <w:szCs w:val="24"/>
                <w:lang w:val="ru-RU"/>
              </w:rPr>
            </w:pPr>
            <w:r>
              <w:rPr>
                <w:rFonts w:cstheme="minorHAnsi"/>
                <w:szCs w:val="24"/>
                <w:lang w:val="ru-RU"/>
              </w:rPr>
              <w:t>Организация</w:t>
            </w:r>
          </w:p>
        </w:tc>
        <w:tc>
          <w:tcPr>
            <w:tcW w:w="1626" w:type="dxa"/>
            <w:vAlign w:val="center"/>
          </w:tcPr>
          <w:p w:rsidR="00261459" w:rsidRPr="00261459" w:rsidRDefault="00261459" w:rsidP="00261459">
            <w:pPr>
              <w:pStyle w:val="TableHead0"/>
              <w:keepLines/>
              <w:tabs>
                <w:tab w:val="clear" w:pos="284"/>
                <w:tab w:val="clear" w:pos="851"/>
                <w:tab w:val="clear" w:pos="1418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snapToGrid w:val="0"/>
              <w:spacing w:before="120" w:after="120" w:line="240" w:lineRule="auto"/>
              <w:rPr>
                <w:rFonts w:cstheme="minorHAnsi"/>
                <w:szCs w:val="24"/>
                <w:lang w:val="ru-RU"/>
              </w:rPr>
            </w:pPr>
            <w:r>
              <w:rPr>
                <w:rFonts w:cstheme="minorHAnsi"/>
                <w:szCs w:val="24"/>
                <w:lang w:val="ru-RU"/>
              </w:rPr>
              <w:t>Сектор</w:t>
            </w:r>
          </w:p>
        </w:tc>
        <w:tc>
          <w:tcPr>
            <w:tcW w:w="2106" w:type="dxa"/>
            <w:vAlign w:val="center"/>
          </w:tcPr>
          <w:p w:rsidR="00261459" w:rsidRPr="00261459" w:rsidRDefault="00261459" w:rsidP="00261459">
            <w:pPr>
              <w:pStyle w:val="TableHead0"/>
              <w:keepLines/>
              <w:tabs>
                <w:tab w:val="clear" w:pos="284"/>
                <w:tab w:val="clear" w:pos="851"/>
                <w:tab w:val="clear" w:pos="1418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snapToGrid w:val="0"/>
              <w:spacing w:before="120" w:after="120" w:line="240" w:lineRule="auto"/>
              <w:rPr>
                <w:rFonts w:cstheme="minorHAnsi"/>
                <w:szCs w:val="24"/>
                <w:lang w:val="ru-RU"/>
              </w:rPr>
            </w:pPr>
            <w:r>
              <w:rPr>
                <w:rFonts w:cstheme="minorHAnsi"/>
                <w:szCs w:val="24"/>
                <w:lang w:val="ru-RU"/>
              </w:rPr>
              <w:t>Рекомендация Генерального секретаря</w:t>
            </w:r>
          </w:p>
        </w:tc>
      </w:tr>
      <w:tr w:rsidR="00E12BA9" w:rsidRPr="00B23E92" w:rsidTr="00261459">
        <w:trPr>
          <w:cantSplit/>
          <w:trHeight w:val="345"/>
          <w:jc w:val="center"/>
        </w:trPr>
        <w:tc>
          <w:tcPr>
            <w:tcW w:w="5510" w:type="dxa"/>
            <w:vAlign w:val="center"/>
          </w:tcPr>
          <w:p w:rsidR="00E12BA9" w:rsidRPr="00B23E92" w:rsidRDefault="00E12BA9" w:rsidP="00084722">
            <w:pPr>
              <w:pStyle w:val="TableText0"/>
              <w:spacing w:before="120" w:after="120"/>
              <w:jc w:val="center"/>
              <w:rPr>
                <w:rFonts w:cstheme="minorHAnsi"/>
                <w:b/>
                <w:iCs/>
                <w:szCs w:val="24"/>
                <w:lang w:val="fr-CA"/>
              </w:rPr>
            </w:pPr>
            <w:r w:rsidRPr="00B23E92">
              <w:rPr>
                <w:rFonts w:cstheme="minorHAnsi"/>
                <w:b/>
                <w:iCs/>
                <w:szCs w:val="24"/>
                <w:lang w:val="fr-CA"/>
              </w:rPr>
              <w:t>Telecommunications User Interface e.V. (T-UI</w:t>
            </w:r>
            <w:r>
              <w:rPr>
                <w:rFonts w:cstheme="minorHAnsi"/>
                <w:b/>
                <w:iCs/>
                <w:szCs w:val="24"/>
                <w:lang w:val="fr-CA"/>
              </w:rPr>
              <w:t>)</w:t>
            </w:r>
          </w:p>
        </w:tc>
        <w:tc>
          <w:tcPr>
            <w:tcW w:w="1626" w:type="dxa"/>
            <w:vAlign w:val="center"/>
          </w:tcPr>
          <w:p w:rsidR="00E12BA9" w:rsidRPr="00A234EA" w:rsidRDefault="00AC6E13" w:rsidP="00084722">
            <w:pPr>
              <w:pStyle w:val="TableText0"/>
              <w:spacing w:before="120" w:after="120"/>
              <w:jc w:val="center"/>
              <w:rPr>
                <w:rFonts w:cstheme="minorHAnsi"/>
                <w:szCs w:val="24"/>
                <w:lang w:val="fr-CA"/>
              </w:rPr>
            </w:pPr>
            <w:r>
              <w:rPr>
                <w:rFonts w:cstheme="minorHAnsi"/>
                <w:szCs w:val="24"/>
                <w:lang w:val="fr-CA"/>
              </w:rPr>
              <w:t>МСЭ-</w:t>
            </w:r>
            <w:r w:rsidR="00E12BA9" w:rsidRPr="00A234EA">
              <w:rPr>
                <w:rFonts w:cstheme="minorHAnsi"/>
                <w:szCs w:val="24"/>
                <w:lang w:val="fr-CA"/>
              </w:rPr>
              <w:t>T</w:t>
            </w:r>
          </w:p>
        </w:tc>
        <w:tc>
          <w:tcPr>
            <w:tcW w:w="2106" w:type="dxa"/>
            <w:vAlign w:val="center"/>
          </w:tcPr>
          <w:p w:rsidR="00E12BA9" w:rsidRPr="00261459" w:rsidRDefault="00261459" w:rsidP="00084722">
            <w:pPr>
              <w:pStyle w:val="TableText0"/>
              <w:spacing w:before="120" w:after="120"/>
              <w:jc w:val="center"/>
              <w:rPr>
                <w:rFonts w:cstheme="minorHAnsi"/>
                <w:szCs w:val="24"/>
                <w:lang w:val="ru-RU"/>
              </w:rPr>
            </w:pPr>
            <w:r>
              <w:rPr>
                <w:rFonts w:cstheme="minorHAnsi"/>
                <w:szCs w:val="24"/>
                <w:lang w:val="ru-RU"/>
              </w:rPr>
              <w:t>НЕТ</w:t>
            </w:r>
          </w:p>
        </w:tc>
      </w:tr>
    </w:tbl>
    <w:p w:rsidR="00E12BA9" w:rsidRPr="00D2485C" w:rsidRDefault="00261459" w:rsidP="003F0696">
      <w:pPr>
        <w:widowControl w:val="0"/>
        <w:snapToGrid w:val="0"/>
        <w:spacing w:before="240" w:after="120"/>
        <w:rPr>
          <w:highlight w:val="green"/>
          <w:lang w:val="ru-RU" w:eastAsia="ko-KR"/>
        </w:rPr>
      </w:pPr>
      <w:r w:rsidRPr="00743C95">
        <w:rPr>
          <w:rFonts w:cs="Calibri"/>
          <w:b/>
          <w:lang w:val="ru-RU"/>
        </w:rPr>
        <w:t>Замечания</w:t>
      </w:r>
      <w:r w:rsidR="00E12BA9" w:rsidRPr="00743C95">
        <w:rPr>
          <w:rFonts w:cs="Calibri"/>
          <w:lang w:val="ru-RU"/>
        </w:rPr>
        <w:t xml:space="preserve">: </w:t>
      </w:r>
      <w:r w:rsidR="00E12BA9">
        <w:rPr>
          <w:lang w:eastAsia="ko-KR"/>
        </w:rPr>
        <w:t>Telecommunications</w:t>
      </w:r>
      <w:r w:rsidR="00E12BA9" w:rsidRPr="00743C95">
        <w:rPr>
          <w:lang w:val="ru-RU" w:eastAsia="ko-KR"/>
        </w:rPr>
        <w:t xml:space="preserve"> </w:t>
      </w:r>
      <w:r w:rsidR="00E12BA9">
        <w:rPr>
          <w:lang w:eastAsia="ko-KR"/>
        </w:rPr>
        <w:t>User</w:t>
      </w:r>
      <w:r w:rsidR="00E12BA9" w:rsidRPr="00743C95">
        <w:rPr>
          <w:lang w:val="ru-RU" w:eastAsia="ko-KR"/>
        </w:rPr>
        <w:t xml:space="preserve"> </w:t>
      </w:r>
      <w:r w:rsidR="00E12BA9">
        <w:rPr>
          <w:lang w:eastAsia="ko-KR"/>
        </w:rPr>
        <w:t>Interface</w:t>
      </w:r>
      <w:r w:rsidR="00E12BA9" w:rsidRPr="00743C95">
        <w:rPr>
          <w:lang w:val="ru-RU" w:eastAsia="ko-KR"/>
        </w:rPr>
        <w:t xml:space="preserve"> </w:t>
      </w:r>
      <w:r w:rsidR="00E12BA9">
        <w:rPr>
          <w:lang w:eastAsia="ko-KR"/>
        </w:rPr>
        <w:t>e</w:t>
      </w:r>
      <w:r w:rsidR="00E12BA9" w:rsidRPr="00743C95">
        <w:rPr>
          <w:lang w:val="ru-RU" w:eastAsia="ko-KR"/>
        </w:rPr>
        <w:t>.</w:t>
      </w:r>
      <w:r w:rsidR="00E12BA9">
        <w:rPr>
          <w:lang w:eastAsia="ko-KR"/>
        </w:rPr>
        <w:t>V</w:t>
      </w:r>
      <w:r w:rsidR="00E12BA9" w:rsidRPr="00743C95">
        <w:rPr>
          <w:lang w:val="ru-RU" w:eastAsia="ko-KR"/>
        </w:rPr>
        <w:t xml:space="preserve">. </w:t>
      </w:r>
      <w:r w:rsidR="00727B1D">
        <w:rPr>
          <w:lang w:val="ru-RU" w:eastAsia="ko-KR"/>
        </w:rPr>
        <w:t>− некоммерческая ассоциация</w:t>
      </w:r>
      <w:r w:rsidR="00743C95" w:rsidRPr="00743C95">
        <w:rPr>
          <w:lang w:val="ru-RU" w:eastAsia="ko-KR"/>
        </w:rPr>
        <w:t xml:space="preserve"> </w:t>
      </w:r>
      <w:r w:rsidR="00443D09">
        <w:rPr>
          <w:lang w:val="ru-RU" w:eastAsia="ko-KR"/>
        </w:rPr>
        <w:t>в области электросвяз</w:t>
      </w:r>
      <w:r w:rsidR="00727B1D">
        <w:rPr>
          <w:lang w:val="ru-RU" w:eastAsia="ko-KR"/>
        </w:rPr>
        <w:t>и</w:t>
      </w:r>
      <w:r w:rsidR="00743C95" w:rsidRPr="00743C95">
        <w:rPr>
          <w:lang w:val="ru-RU" w:eastAsia="ko-KR"/>
        </w:rPr>
        <w:t xml:space="preserve"> с индивидуальным членством, зарегистрированн</w:t>
      </w:r>
      <w:r w:rsidR="00443D09">
        <w:rPr>
          <w:lang w:val="ru-RU" w:eastAsia="ko-KR"/>
        </w:rPr>
        <w:t>ая</w:t>
      </w:r>
      <w:r w:rsidR="00743C95" w:rsidRPr="00743C95">
        <w:rPr>
          <w:lang w:val="ru-RU" w:eastAsia="ko-KR"/>
        </w:rPr>
        <w:t xml:space="preserve"> в </w:t>
      </w:r>
      <w:r w:rsidR="00FB127D">
        <w:rPr>
          <w:lang w:val="ru-RU" w:eastAsia="ko-KR"/>
        </w:rPr>
        <w:t>городе Оффенбах</w:t>
      </w:r>
      <w:r w:rsidR="00743C95" w:rsidRPr="00743C95">
        <w:rPr>
          <w:lang w:val="ru-RU" w:eastAsia="ko-KR"/>
        </w:rPr>
        <w:t xml:space="preserve">, Германия. Целью </w:t>
      </w:r>
      <w:r w:rsidR="00AF3C06">
        <w:rPr>
          <w:lang w:val="ru-RU" w:eastAsia="ko-KR"/>
        </w:rPr>
        <w:t>а</w:t>
      </w:r>
      <w:r w:rsidR="00743C95" w:rsidRPr="00743C95">
        <w:rPr>
          <w:lang w:val="ru-RU" w:eastAsia="ko-KR"/>
        </w:rPr>
        <w:t>сс</w:t>
      </w:r>
      <w:r w:rsidR="00AF3C06">
        <w:rPr>
          <w:lang w:val="ru-RU" w:eastAsia="ko-KR"/>
        </w:rPr>
        <w:t>оциации является поддержка научно-исследовательской деятельности</w:t>
      </w:r>
      <w:r w:rsidR="00743C95" w:rsidRPr="00743C95">
        <w:rPr>
          <w:lang w:val="ru-RU" w:eastAsia="ko-KR"/>
        </w:rPr>
        <w:t>, образо</w:t>
      </w:r>
      <w:r w:rsidR="00104677">
        <w:rPr>
          <w:lang w:val="ru-RU" w:eastAsia="ko-KR"/>
        </w:rPr>
        <w:t>вания, людей и профессиональной</w:t>
      </w:r>
      <w:r w:rsidR="00743C95" w:rsidRPr="00743C95">
        <w:rPr>
          <w:lang w:val="ru-RU" w:eastAsia="ko-KR"/>
        </w:rPr>
        <w:t xml:space="preserve"> </w:t>
      </w:r>
      <w:r w:rsidR="00104677" w:rsidRPr="00FE45C1">
        <w:rPr>
          <w:lang w:val="ru-RU" w:eastAsia="ko-KR"/>
        </w:rPr>
        <w:t>подготовки</w:t>
      </w:r>
      <w:r w:rsidR="00911492" w:rsidRPr="00FE45C1">
        <w:rPr>
          <w:lang w:val="ru-RU" w:eastAsia="ko-KR"/>
        </w:rPr>
        <w:t xml:space="preserve"> </w:t>
      </w:r>
      <w:r w:rsidR="00317C41">
        <w:rPr>
          <w:lang w:val="ru-RU" w:eastAsia="ko-KR"/>
        </w:rPr>
        <w:t xml:space="preserve">применительно к необходимому научно-техническому взаимодействию по вопросам </w:t>
      </w:r>
      <w:r w:rsidR="00107573" w:rsidRPr="00FE45C1">
        <w:rPr>
          <w:lang w:val="ru-RU" w:eastAsia="ko-KR"/>
        </w:rPr>
        <w:t>связи</w:t>
      </w:r>
      <w:r w:rsidR="00743C95" w:rsidRPr="00FE45C1">
        <w:rPr>
          <w:lang w:val="ru-RU" w:eastAsia="ko-KR"/>
        </w:rPr>
        <w:t xml:space="preserve"> </w:t>
      </w:r>
      <w:r w:rsidR="000F62B8" w:rsidRPr="00FE45C1">
        <w:rPr>
          <w:lang w:val="ru-RU" w:eastAsia="ko-KR"/>
        </w:rPr>
        <w:t>между системой и пользователем</w:t>
      </w:r>
      <w:r w:rsidR="00743C95" w:rsidRPr="00FE45C1">
        <w:rPr>
          <w:lang w:val="ru-RU" w:eastAsia="ko-KR"/>
        </w:rPr>
        <w:t xml:space="preserve"> (пол</w:t>
      </w:r>
      <w:r w:rsidR="009B723B" w:rsidRPr="00FE45C1">
        <w:rPr>
          <w:lang w:val="ru-RU" w:eastAsia="ko-KR"/>
        </w:rPr>
        <w:t xml:space="preserve">ьзовательский интерфейс), </w:t>
      </w:r>
      <w:r w:rsidR="00743C95" w:rsidRPr="00FE45C1">
        <w:rPr>
          <w:lang w:val="ru-RU" w:eastAsia="ko-KR"/>
        </w:rPr>
        <w:t>включая естественные</w:t>
      </w:r>
      <w:r w:rsidR="00317C41">
        <w:rPr>
          <w:lang w:val="ru-RU" w:eastAsia="ko-KR"/>
        </w:rPr>
        <w:t xml:space="preserve"> </w:t>
      </w:r>
      <w:r w:rsidR="00743C95" w:rsidRPr="00FE45C1">
        <w:rPr>
          <w:lang w:val="ru-RU" w:eastAsia="ko-KR"/>
        </w:rPr>
        <w:t xml:space="preserve">скрытые выражения </w:t>
      </w:r>
      <w:r w:rsidR="002239DF" w:rsidRPr="00FE45C1">
        <w:rPr>
          <w:lang w:val="ru-RU" w:eastAsia="ko-KR"/>
        </w:rPr>
        <w:t xml:space="preserve">в области </w:t>
      </w:r>
      <w:r w:rsidR="00743C95" w:rsidRPr="00FE45C1">
        <w:rPr>
          <w:lang w:val="ru-RU" w:eastAsia="ko-KR"/>
        </w:rPr>
        <w:t>информационных технологий (</w:t>
      </w:r>
      <w:r w:rsidR="00911492" w:rsidRPr="00FE45C1">
        <w:rPr>
          <w:lang w:val="ru-RU" w:eastAsia="ko-KR"/>
        </w:rPr>
        <w:t>электросвязь</w:t>
      </w:r>
      <w:r w:rsidR="00743C95" w:rsidRPr="00FE45C1">
        <w:rPr>
          <w:lang w:val="ru-RU" w:eastAsia="ko-KR"/>
        </w:rPr>
        <w:t>). В</w:t>
      </w:r>
      <w:r w:rsidR="00317C41">
        <w:rPr>
          <w:lang w:val="ru-RU" w:eastAsia="ko-KR"/>
        </w:rPr>
        <w:t> </w:t>
      </w:r>
      <w:r w:rsidR="00743C95" w:rsidRPr="00FE45C1">
        <w:rPr>
          <w:lang w:val="ru-RU" w:eastAsia="ko-KR"/>
        </w:rPr>
        <w:t>настоящее время</w:t>
      </w:r>
      <w:r w:rsidR="00743C95" w:rsidRPr="00743C95">
        <w:rPr>
          <w:lang w:val="ru-RU" w:eastAsia="ko-KR"/>
        </w:rPr>
        <w:t xml:space="preserve"> его член</w:t>
      </w:r>
      <w:r w:rsidR="00944F39">
        <w:rPr>
          <w:lang w:val="ru-RU" w:eastAsia="ko-KR"/>
        </w:rPr>
        <w:t>ами являются</w:t>
      </w:r>
      <w:r w:rsidR="00743C95" w:rsidRPr="00743C95">
        <w:rPr>
          <w:lang w:val="ru-RU" w:eastAsia="ko-KR"/>
        </w:rPr>
        <w:t xml:space="preserve"> </w:t>
      </w:r>
      <w:r w:rsidR="00944F39">
        <w:rPr>
          <w:lang w:val="ru-RU" w:eastAsia="ko-KR"/>
        </w:rPr>
        <w:t>16 </w:t>
      </w:r>
      <w:r w:rsidR="00743C95" w:rsidRPr="00743C95">
        <w:rPr>
          <w:lang w:val="ru-RU" w:eastAsia="ko-KR"/>
        </w:rPr>
        <w:t xml:space="preserve">человек (15 из Германии и 1 из </w:t>
      </w:r>
      <w:r w:rsidR="008235F8">
        <w:rPr>
          <w:lang w:val="ru-RU" w:eastAsia="ko-KR"/>
        </w:rPr>
        <w:t>Соединенного Королевства</w:t>
      </w:r>
      <w:r w:rsidR="00743C95" w:rsidRPr="00743C95">
        <w:rPr>
          <w:lang w:val="ru-RU" w:eastAsia="ko-KR"/>
        </w:rPr>
        <w:t xml:space="preserve">). Большинство этих людей обладают опытом в области </w:t>
      </w:r>
      <w:r w:rsidR="004B3135">
        <w:rPr>
          <w:lang w:val="ru-RU" w:eastAsia="ko-KR"/>
        </w:rPr>
        <w:t>электросв</w:t>
      </w:r>
      <w:r w:rsidR="00616662">
        <w:rPr>
          <w:lang w:val="ru-RU" w:eastAsia="ko-KR"/>
        </w:rPr>
        <w:t>яз</w:t>
      </w:r>
      <w:r w:rsidR="004B3135">
        <w:rPr>
          <w:lang w:val="ru-RU" w:eastAsia="ko-KR"/>
        </w:rPr>
        <w:t>и</w:t>
      </w:r>
      <w:r w:rsidR="00743C95" w:rsidRPr="00743C95">
        <w:rPr>
          <w:lang w:val="ru-RU" w:eastAsia="ko-KR"/>
        </w:rPr>
        <w:t xml:space="preserve"> и </w:t>
      </w:r>
      <w:r w:rsidR="00D951A3">
        <w:rPr>
          <w:lang w:val="ru-RU" w:eastAsia="ko-KR"/>
        </w:rPr>
        <w:t>имеют отношение к другим</w:t>
      </w:r>
      <w:r w:rsidR="00743C95" w:rsidRPr="00743C95">
        <w:rPr>
          <w:lang w:val="ru-RU" w:eastAsia="ko-KR"/>
        </w:rPr>
        <w:t xml:space="preserve"> </w:t>
      </w:r>
      <w:r w:rsidR="00D951A3" w:rsidRPr="00CD684E">
        <w:rPr>
          <w:lang w:val="ru-RU" w:eastAsia="ko-KR"/>
        </w:rPr>
        <w:t>организациям</w:t>
      </w:r>
      <w:r w:rsidR="00E652A6" w:rsidRPr="00CD684E">
        <w:rPr>
          <w:lang w:val="ru-RU" w:eastAsia="ko-KR"/>
        </w:rPr>
        <w:t xml:space="preserve"> по разработке стандартов</w:t>
      </w:r>
      <w:r w:rsidR="00E1753F">
        <w:rPr>
          <w:lang w:val="ru-RU" w:eastAsia="ko-KR"/>
        </w:rPr>
        <w:t>, таким</w:t>
      </w:r>
      <w:r w:rsidR="00743C95" w:rsidRPr="00743C95">
        <w:rPr>
          <w:lang w:val="ru-RU" w:eastAsia="ko-KR"/>
        </w:rPr>
        <w:t xml:space="preserve"> как </w:t>
      </w:r>
      <w:r w:rsidR="001F4F69">
        <w:rPr>
          <w:lang w:val="ru-RU" w:eastAsia="ko-KR"/>
        </w:rPr>
        <w:t>ЕТСИ</w:t>
      </w:r>
      <w:r w:rsidR="00743C95" w:rsidRPr="00743C95">
        <w:rPr>
          <w:lang w:val="ru-RU" w:eastAsia="ko-KR"/>
        </w:rPr>
        <w:t xml:space="preserve">, </w:t>
      </w:r>
      <w:r w:rsidR="00743C95" w:rsidRPr="00CD684E">
        <w:rPr>
          <w:lang w:val="ru-RU" w:eastAsia="ko-KR"/>
        </w:rPr>
        <w:t>IETF</w:t>
      </w:r>
      <w:r w:rsidR="00743C95" w:rsidRPr="00743C95">
        <w:rPr>
          <w:lang w:val="ru-RU" w:eastAsia="ko-KR"/>
        </w:rPr>
        <w:t xml:space="preserve">, </w:t>
      </w:r>
      <w:r w:rsidR="003B1816">
        <w:rPr>
          <w:lang w:val="ru-RU" w:eastAsia="ko-KR"/>
        </w:rPr>
        <w:t>МЭК</w:t>
      </w:r>
      <w:r w:rsidR="00743C95" w:rsidRPr="00743C95">
        <w:rPr>
          <w:lang w:val="ru-RU" w:eastAsia="ko-KR"/>
        </w:rPr>
        <w:t xml:space="preserve">, </w:t>
      </w:r>
      <w:r w:rsidR="00980059">
        <w:rPr>
          <w:lang w:val="ru-RU" w:eastAsia="ko-KR"/>
        </w:rPr>
        <w:t>ИСО</w:t>
      </w:r>
      <w:r w:rsidR="00743C95" w:rsidRPr="00743C95">
        <w:rPr>
          <w:lang w:val="ru-RU" w:eastAsia="ko-KR"/>
        </w:rPr>
        <w:t xml:space="preserve"> и </w:t>
      </w:r>
      <w:r w:rsidR="00743C95" w:rsidRPr="00CD684E">
        <w:rPr>
          <w:lang w:val="ru-RU" w:eastAsia="ko-KR"/>
        </w:rPr>
        <w:t>CEN</w:t>
      </w:r>
      <w:r w:rsidR="00CE61AE">
        <w:rPr>
          <w:lang w:val="ru-RU" w:eastAsia="ko-KR"/>
        </w:rPr>
        <w:t>/</w:t>
      </w:r>
      <w:r w:rsidR="00743C95" w:rsidRPr="00CD684E">
        <w:rPr>
          <w:lang w:val="ru-RU" w:eastAsia="ko-KR"/>
        </w:rPr>
        <w:t>CENELEC</w:t>
      </w:r>
      <w:r w:rsidR="00743C95" w:rsidRPr="00743C95">
        <w:rPr>
          <w:lang w:val="ru-RU" w:eastAsia="ko-KR"/>
        </w:rPr>
        <w:t xml:space="preserve">. </w:t>
      </w:r>
      <w:r w:rsidR="00743C95" w:rsidRPr="00415C17">
        <w:rPr>
          <w:lang w:val="ru-RU" w:eastAsia="ko-KR"/>
        </w:rPr>
        <w:t xml:space="preserve">Секретариат считает, что </w:t>
      </w:r>
      <w:r w:rsidR="008C3081" w:rsidRPr="00CD684E">
        <w:rPr>
          <w:lang w:val="ru-RU" w:eastAsia="ko-KR"/>
        </w:rPr>
        <w:t>Telecommunications</w:t>
      </w:r>
      <w:r w:rsidR="008C3081" w:rsidRPr="00743C95">
        <w:rPr>
          <w:lang w:val="ru-RU" w:eastAsia="ko-KR"/>
        </w:rPr>
        <w:t xml:space="preserve"> </w:t>
      </w:r>
      <w:r w:rsidR="008C3081" w:rsidRPr="00CD684E">
        <w:rPr>
          <w:lang w:val="ru-RU" w:eastAsia="ko-KR"/>
        </w:rPr>
        <w:t>User</w:t>
      </w:r>
      <w:r w:rsidR="008C3081" w:rsidRPr="00743C95">
        <w:rPr>
          <w:lang w:val="ru-RU" w:eastAsia="ko-KR"/>
        </w:rPr>
        <w:t xml:space="preserve"> </w:t>
      </w:r>
      <w:r w:rsidR="008C3081" w:rsidRPr="00CD684E">
        <w:rPr>
          <w:lang w:val="ru-RU" w:eastAsia="ko-KR"/>
        </w:rPr>
        <w:t>Interface</w:t>
      </w:r>
      <w:r w:rsidR="008C3081" w:rsidRPr="00743C95">
        <w:rPr>
          <w:lang w:val="ru-RU" w:eastAsia="ko-KR"/>
        </w:rPr>
        <w:t xml:space="preserve"> </w:t>
      </w:r>
      <w:r w:rsidR="008C3081" w:rsidRPr="00CD684E">
        <w:rPr>
          <w:lang w:val="ru-RU" w:eastAsia="ko-KR"/>
        </w:rPr>
        <w:t>e</w:t>
      </w:r>
      <w:r w:rsidR="008C3081" w:rsidRPr="00743C95">
        <w:rPr>
          <w:lang w:val="ru-RU" w:eastAsia="ko-KR"/>
        </w:rPr>
        <w:t>.</w:t>
      </w:r>
      <w:r w:rsidR="008C3081" w:rsidRPr="00CD684E">
        <w:rPr>
          <w:lang w:val="ru-RU" w:eastAsia="ko-KR"/>
        </w:rPr>
        <w:t>V</w:t>
      </w:r>
      <w:r w:rsidR="008C3081" w:rsidRPr="00743C95">
        <w:rPr>
          <w:lang w:val="ru-RU" w:eastAsia="ko-KR"/>
        </w:rPr>
        <w:t>.</w:t>
      </w:r>
      <w:r w:rsidR="00743C95" w:rsidRPr="00415C17">
        <w:rPr>
          <w:lang w:val="ru-RU" w:eastAsia="ko-KR"/>
        </w:rPr>
        <w:t xml:space="preserve"> </w:t>
      </w:r>
      <w:r w:rsidR="007D0DD3" w:rsidRPr="00CD684E">
        <w:rPr>
          <w:lang w:val="ru-RU" w:eastAsia="ko-KR"/>
        </w:rPr>
        <w:t xml:space="preserve">не удовлетворяет критериям Совета для </w:t>
      </w:r>
      <w:r w:rsidR="007D0DD3" w:rsidRPr="00CD684E">
        <w:rPr>
          <w:lang w:val="ru-RU" w:eastAsia="ko-KR"/>
        </w:rPr>
        <w:lastRenderedPageBreak/>
        <w:t>предоста</w:t>
      </w:r>
      <w:r w:rsidR="007D0DD3">
        <w:rPr>
          <w:rFonts w:cstheme="minorHAnsi"/>
          <w:szCs w:val="24"/>
          <w:lang w:val="ru-RU"/>
        </w:rPr>
        <w:t>вления освобождения</w:t>
      </w:r>
      <w:r w:rsidR="007D0DD3">
        <w:rPr>
          <w:rFonts w:cs="Calibri"/>
          <w:lang w:val="ru-RU"/>
        </w:rPr>
        <w:t xml:space="preserve"> по линии МСЭ-Т</w:t>
      </w:r>
      <w:r w:rsidR="005A269D">
        <w:rPr>
          <w:rFonts w:cs="Calibri"/>
          <w:lang w:val="ru-RU"/>
        </w:rPr>
        <w:t xml:space="preserve"> </w:t>
      </w:r>
      <w:r w:rsidR="007D0DD3">
        <w:rPr>
          <w:rFonts w:cs="Calibri"/>
          <w:lang w:val="ru-RU"/>
        </w:rPr>
        <w:t>из-за недостаточного международного</w:t>
      </w:r>
      <w:r w:rsidR="007D0DD3" w:rsidRPr="00214983">
        <w:rPr>
          <w:rFonts w:cs="Calibri"/>
          <w:lang w:val="ru-RU"/>
        </w:rPr>
        <w:t>/регионального членства</w:t>
      </w:r>
      <w:r w:rsidR="00415C17">
        <w:rPr>
          <w:lang w:val="ru-RU" w:eastAsia="ko-KR"/>
        </w:rPr>
        <w:t>.</w:t>
      </w:r>
    </w:p>
    <w:p w:rsidR="00E12BA9" w:rsidRDefault="00E12BA9" w:rsidP="00E12BA9">
      <w:pPr>
        <w:snapToGrid w:val="0"/>
        <w:spacing w:before="240"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3</w:t>
      </w:r>
      <w:r w:rsidRPr="009D7C70">
        <w:rPr>
          <w:rFonts w:cstheme="minorHAnsi"/>
          <w:szCs w:val="24"/>
        </w:rPr>
        <w:t>.</w:t>
      </w:r>
      <w:r>
        <w:rPr>
          <w:rFonts w:cstheme="minorHAnsi"/>
          <w:szCs w:val="24"/>
        </w:rPr>
        <w:t>5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10"/>
        <w:gridCol w:w="1626"/>
        <w:gridCol w:w="2106"/>
      </w:tblGrid>
      <w:tr w:rsidR="00261459" w:rsidRPr="00B34A19" w:rsidTr="00261459">
        <w:trPr>
          <w:cantSplit/>
          <w:trHeight w:val="381"/>
          <w:jc w:val="center"/>
        </w:trPr>
        <w:tc>
          <w:tcPr>
            <w:tcW w:w="5510" w:type="dxa"/>
            <w:vAlign w:val="center"/>
          </w:tcPr>
          <w:p w:rsidR="00261459" w:rsidRPr="00261459" w:rsidRDefault="00261459" w:rsidP="00261459">
            <w:pPr>
              <w:pStyle w:val="TableHead0"/>
              <w:keepLines/>
              <w:tabs>
                <w:tab w:val="clear" w:pos="284"/>
                <w:tab w:val="clear" w:pos="851"/>
                <w:tab w:val="clear" w:pos="1418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snapToGrid w:val="0"/>
              <w:spacing w:before="120" w:after="120" w:line="240" w:lineRule="auto"/>
              <w:rPr>
                <w:rFonts w:cstheme="minorHAnsi"/>
                <w:szCs w:val="24"/>
                <w:lang w:val="ru-RU"/>
              </w:rPr>
            </w:pPr>
            <w:r>
              <w:rPr>
                <w:rFonts w:cstheme="minorHAnsi"/>
                <w:szCs w:val="24"/>
                <w:lang w:val="ru-RU"/>
              </w:rPr>
              <w:t>Организация</w:t>
            </w:r>
          </w:p>
        </w:tc>
        <w:tc>
          <w:tcPr>
            <w:tcW w:w="1626" w:type="dxa"/>
            <w:vAlign w:val="center"/>
          </w:tcPr>
          <w:p w:rsidR="00261459" w:rsidRPr="00261459" w:rsidRDefault="00261459" w:rsidP="00261459">
            <w:pPr>
              <w:pStyle w:val="TableHead0"/>
              <w:keepLines/>
              <w:tabs>
                <w:tab w:val="clear" w:pos="284"/>
                <w:tab w:val="clear" w:pos="851"/>
                <w:tab w:val="clear" w:pos="1418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snapToGrid w:val="0"/>
              <w:spacing w:before="120" w:after="120" w:line="240" w:lineRule="auto"/>
              <w:rPr>
                <w:rFonts w:cstheme="minorHAnsi"/>
                <w:szCs w:val="24"/>
                <w:lang w:val="ru-RU"/>
              </w:rPr>
            </w:pPr>
            <w:r>
              <w:rPr>
                <w:rFonts w:cstheme="minorHAnsi"/>
                <w:szCs w:val="24"/>
                <w:lang w:val="ru-RU"/>
              </w:rPr>
              <w:t>Сектор</w:t>
            </w:r>
          </w:p>
        </w:tc>
        <w:tc>
          <w:tcPr>
            <w:tcW w:w="2106" w:type="dxa"/>
            <w:vAlign w:val="center"/>
          </w:tcPr>
          <w:p w:rsidR="00261459" w:rsidRPr="00261459" w:rsidRDefault="00261459" w:rsidP="00261459">
            <w:pPr>
              <w:pStyle w:val="TableHead0"/>
              <w:keepLines/>
              <w:tabs>
                <w:tab w:val="clear" w:pos="284"/>
                <w:tab w:val="clear" w:pos="851"/>
                <w:tab w:val="clear" w:pos="1418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snapToGrid w:val="0"/>
              <w:spacing w:before="120" w:after="120" w:line="240" w:lineRule="auto"/>
              <w:rPr>
                <w:rFonts w:cstheme="minorHAnsi"/>
                <w:szCs w:val="24"/>
                <w:lang w:val="ru-RU"/>
              </w:rPr>
            </w:pPr>
            <w:r>
              <w:rPr>
                <w:rFonts w:cstheme="minorHAnsi"/>
                <w:szCs w:val="24"/>
                <w:lang w:val="ru-RU"/>
              </w:rPr>
              <w:t>Рекомендация Генерального секретаря</w:t>
            </w:r>
          </w:p>
        </w:tc>
      </w:tr>
      <w:tr w:rsidR="00E12BA9" w:rsidRPr="00CD4D98" w:rsidTr="00261459">
        <w:trPr>
          <w:cantSplit/>
          <w:trHeight w:val="840"/>
          <w:jc w:val="center"/>
        </w:trPr>
        <w:tc>
          <w:tcPr>
            <w:tcW w:w="5510" w:type="dxa"/>
            <w:vAlign w:val="center"/>
          </w:tcPr>
          <w:p w:rsidR="00E12BA9" w:rsidRPr="00415C17" w:rsidRDefault="00415C17" w:rsidP="00415C17">
            <w:pPr>
              <w:pStyle w:val="TableText0"/>
              <w:spacing w:before="120" w:after="60"/>
              <w:rPr>
                <w:rFonts w:cstheme="minorHAnsi"/>
                <w:b/>
                <w:iCs/>
                <w:szCs w:val="24"/>
                <w:lang w:val="ru-RU"/>
              </w:rPr>
            </w:pPr>
            <w:r w:rsidRPr="00317C41">
              <w:rPr>
                <w:rFonts w:cstheme="minorHAnsi"/>
                <w:b/>
                <w:iCs/>
                <w:szCs w:val="24"/>
                <w:lang w:val="ru-RU"/>
              </w:rPr>
              <w:t xml:space="preserve">Научно-исследовательская и образовательная сеть арабских государств </w:t>
            </w:r>
            <w:r w:rsidR="00E12BA9" w:rsidRPr="00317C41">
              <w:rPr>
                <w:rFonts w:cstheme="minorHAnsi"/>
                <w:b/>
                <w:iCs/>
                <w:szCs w:val="24"/>
                <w:lang w:val="ru-RU"/>
              </w:rPr>
              <w:t>(</w:t>
            </w:r>
            <w:r w:rsidR="00E12BA9" w:rsidRPr="003B6AE2">
              <w:rPr>
                <w:rFonts w:cstheme="minorHAnsi"/>
                <w:b/>
                <w:iCs/>
                <w:szCs w:val="24"/>
              </w:rPr>
              <w:t>ASREN</w:t>
            </w:r>
            <w:r w:rsidR="00E12BA9" w:rsidRPr="00415C17">
              <w:rPr>
                <w:rFonts w:cstheme="minorHAnsi"/>
                <w:b/>
                <w:iCs/>
                <w:szCs w:val="24"/>
                <w:lang w:val="ru-RU"/>
              </w:rPr>
              <w:t>)</w:t>
            </w:r>
          </w:p>
        </w:tc>
        <w:tc>
          <w:tcPr>
            <w:tcW w:w="1626" w:type="dxa"/>
            <w:vAlign w:val="center"/>
          </w:tcPr>
          <w:p w:rsidR="00E12BA9" w:rsidRPr="00CD4D98" w:rsidRDefault="00AC6E13" w:rsidP="00084722">
            <w:pPr>
              <w:pStyle w:val="TableText0"/>
              <w:spacing w:before="0" w:after="60"/>
              <w:jc w:val="center"/>
              <w:rPr>
                <w:rFonts w:cstheme="minorHAnsi"/>
                <w:szCs w:val="24"/>
                <w:lang w:val="fr-CA"/>
              </w:rPr>
            </w:pPr>
            <w:r>
              <w:rPr>
                <w:rFonts w:cstheme="minorHAnsi"/>
                <w:szCs w:val="24"/>
                <w:lang w:val="fr-CA"/>
              </w:rPr>
              <w:t>МСЭ-</w:t>
            </w:r>
            <w:r w:rsidR="00E12BA9" w:rsidRPr="00CD4D98">
              <w:rPr>
                <w:rFonts w:cstheme="minorHAnsi"/>
                <w:szCs w:val="24"/>
                <w:lang w:val="fr-CA"/>
              </w:rPr>
              <w:t>R</w:t>
            </w:r>
          </w:p>
          <w:p w:rsidR="00E12BA9" w:rsidRPr="00CD4D98" w:rsidRDefault="00AC6E13" w:rsidP="00084722">
            <w:pPr>
              <w:pStyle w:val="TableText0"/>
              <w:spacing w:before="0" w:after="60"/>
              <w:jc w:val="center"/>
              <w:rPr>
                <w:rFonts w:cstheme="minorHAnsi"/>
                <w:szCs w:val="24"/>
                <w:lang w:val="fr-CA"/>
              </w:rPr>
            </w:pPr>
            <w:r>
              <w:rPr>
                <w:rFonts w:cstheme="minorHAnsi"/>
                <w:szCs w:val="24"/>
                <w:lang w:val="fr-CA"/>
              </w:rPr>
              <w:t>МСЭ-</w:t>
            </w:r>
            <w:r w:rsidR="00E12BA9" w:rsidRPr="00CD4D98">
              <w:rPr>
                <w:rFonts w:cstheme="minorHAnsi"/>
                <w:szCs w:val="24"/>
                <w:lang w:val="fr-CA"/>
              </w:rPr>
              <w:t>T</w:t>
            </w:r>
          </w:p>
          <w:p w:rsidR="00E12BA9" w:rsidRPr="00CD4D98" w:rsidRDefault="00AC6E13" w:rsidP="00084722">
            <w:pPr>
              <w:pStyle w:val="TableText0"/>
              <w:spacing w:before="0" w:after="60"/>
              <w:jc w:val="center"/>
              <w:rPr>
                <w:rFonts w:cstheme="minorHAnsi"/>
                <w:szCs w:val="24"/>
                <w:lang w:val="fr-CA"/>
              </w:rPr>
            </w:pPr>
            <w:r>
              <w:rPr>
                <w:rFonts w:cstheme="minorHAnsi"/>
                <w:szCs w:val="24"/>
                <w:lang w:val="fr-CA"/>
              </w:rPr>
              <w:t>МСЭ-</w:t>
            </w:r>
            <w:r w:rsidR="00E12BA9" w:rsidRPr="00CD4D98">
              <w:rPr>
                <w:rFonts w:cstheme="minorHAnsi"/>
                <w:szCs w:val="24"/>
                <w:lang w:val="fr-CA"/>
              </w:rPr>
              <w:t>D</w:t>
            </w:r>
          </w:p>
        </w:tc>
        <w:tc>
          <w:tcPr>
            <w:tcW w:w="2106" w:type="dxa"/>
          </w:tcPr>
          <w:p w:rsidR="00E12BA9" w:rsidRPr="00261459" w:rsidRDefault="00261459" w:rsidP="00084722">
            <w:pPr>
              <w:pStyle w:val="TableText0"/>
              <w:spacing w:before="0" w:after="60"/>
              <w:jc w:val="center"/>
              <w:rPr>
                <w:rFonts w:cstheme="minorHAnsi"/>
                <w:szCs w:val="24"/>
                <w:lang w:val="ru-RU"/>
              </w:rPr>
            </w:pPr>
            <w:r>
              <w:rPr>
                <w:rFonts w:cstheme="minorHAnsi"/>
                <w:szCs w:val="24"/>
                <w:lang w:val="ru-RU"/>
              </w:rPr>
              <w:t>ДА</w:t>
            </w:r>
          </w:p>
          <w:p w:rsidR="00E12BA9" w:rsidRPr="00261459" w:rsidRDefault="00261459" w:rsidP="00084722">
            <w:pPr>
              <w:pStyle w:val="TableText0"/>
              <w:spacing w:before="0" w:after="60"/>
              <w:jc w:val="center"/>
              <w:rPr>
                <w:rFonts w:cstheme="minorHAnsi"/>
                <w:szCs w:val="24"/>
                <w:lang w:val="ru-RU"/>
              </w:rPr>
            </w:pPr>
            <w:r>
              <w:rPr>
                <w:rFonts w:cstheme="minorHAnsi"/>
                <w:szCs w:val="24"/>
                <w:lang w:val="ru-RU"/>
              </w:rPr>
              <w:t>ДА</w:t>
            </w:r>
          </w:p>
          <w:p w:rsidR="00E12BA9" w:rsidRPr="00261459" w:rsidRDefault="00261459" w:rsidP="00084722">
            <w:pPr>
              <w:pStyle w:val="TableText0"/>
              <w:spacing w:before="0" w:after="60"/>
              <w:jc w:val="center"/>
              <w:rPr>
                <w:rFonts w:cstheme="minorHAnsi"/>
                <w:szCs w:val="24"/>
                <w:lang w:val="ru-RU"/>
              </w:rPr>
            </w:pPr>
            <w:r>
              <w:rPr>
                <w:rFonts w:cstheme="minorHAnsi"/>
                <w:szCs w:val="24"/>
                <w:lang w:val="ru-RU"/>
              </w:rPr>
              <w:t>ДА</w:t>
            </w:r>
          </w:p>
        </w:tc>
      </w:tr>
    </w:tbl>
    <w:p w:rsidR="00E12BA9" w:rsidRPr="00D058E3" w:rsidRDefault="00261459" w:rsidP="003F0696">
      <w:pPr>
        <w:snapToGrid w:val="0"/>
        <w:spacing w:before="240" w:after="120"/>
        <w:rPr>
          <w:rFonts w:cs="Calibri"/>
          <w:lang w:val="ru-RU"/>
        </w:rPr>
      </w:pPr>
      <w:r w:rsidRPr="00415C17">
        <w:rPr>
          <w:rFonts w:cs="Calibri"/>
          <w:b/>
          <w:lang w:val="ru-RU"/>
        </w:rPr>
        <w:t>Замечания</w:t>
      </w:r>
      <w:r w:rsidR="00E12BA9" w:rsidRPr="00415C17">
        <w:rPr>
          <w:rFonts w:cs="Calibri"/>
          <w:lang w:val="ru-RU"/>
        </w:rPr>
        <w:t xml:space="preserve">: </w:t>
      </w:r>
      <w:r w:rsidR="00415C17" w:rsidRPr="00415C17">
        <w:rPr>
          <w:rFonts w:cs="Calibri"/>
          <w:lang w:val="ru-RU"/>
        </w:rPr>
        <w:t>Научно-исследовательская и образовательная сеть арабских государств (</w:t>
      </w:r>
      <w:r w:rsidR="00415C17" w:rsidRPr="00415C17">
        <w:rPr>
          <w:rFonts w:cs="Calibri"/>
        </w:rPr>
        <w:t>ASREN</w:t>
      </w:r>
      <w:r w:rsidR="00415C17" w:rsidRPr="00415C17">
        <w:rPr>
          <w:rFonts w:cs="Calibri"/>
          <w:lang w:val="ru-RU"/>
        </w:rPr>
        <w:t>)</w:t>
      </w:r>
      <w:r w:rsidR="00415C17">
        <w:rPr>
          <w:rFonts w:cs="Calibri"/>
          <w:lang w:val="ru-RU"/>
        </w:rPr>
        <w:t xml:space="preserve"> </w:t>
      </w:r>
      <w:r w:rsidR="00CC100B" w:rsidRPr="00CC100B">
        <w:rPr>
          <w:rFonts w:cs="Calibri"/>
          <w:lang w:val="ru-RU"/>
        </w:rPr>
        <w:t>−</w:t>
      </w:r>
      <w:r w:rsidR="00CC100B">
        <w:rPr>
          <w:rFonts w:cs="Calibri"/>
          <w:lang w:val="ru-RU"/>
        </w:rPr>
        <w:t xml:space="preserve"> международная организация, ответственная</w:t>
      </w:r>
      <w:r w:rsidR="00415C17" w:rsidRPr="00415C17">
        <w:rPr>
          <w:rFonts w:cs="Calibri"/>
          <w:lang w:val="ru-RU"/>
        </w:rPr>
        <w:t xml:space="preserve"> за создание панарабской исследова</w:t>
      </w:r>
      <w:r w:rsidR="007E25E1">
        <w:rPr>
          <w:rFonts w:cs="Calibri"/>
          <w:lang w:val="ru-RU"/>
        </w:rPr>
        <w:t>тельской и образовательной</w:t>
      </w:r>
      <w:r w:rsidR="007E25E1" w:rsidRPr="007E25E1">
        <w:rPr>
          <w:rFonts w:cs="Calibri"/>
          <w:lang w:val="ru-RU"/>
        </w:rPr>
        <w:t xml:space="preserve"> </w:t>
      </w:r>
      <w:r w:rsidR="007E25E1" w:rsidRPr="00415C17">
        <w:rPr>
          <w:rFonts w:cs="Calibri"/>
          <w:lang w:val="ru-RU"/>
        </w:rPr>
        <w:t>сети</w:t>
      </w:r>
      <w:r w:rsidR="00415C17" w:rsidRPr="00415C17">
        <w:rPr>
          <w:rFonts w:cs="Calibri"/>
          <w:lang w:val="ru-RU"/>
        </w:rPr>
        <w:t xml:space="preserve">, </w:t>
      </w:r>
      <w:r w:rsidR="00EB056F">
        <w:rPr>
          <w:rFonts w:cs="Calibri"/>
          <w:lang w:val="ru-RU"/>
        </w:rPr>
        <w:t>которая</w:t>
      </w:r>
      <w:r w:rsidR="00415C17" w:rsidRPr="00415C17">
        <w:rPr>
          <w:rFonts w:cs="Calibri"/>
          <w:lang w:val="ru-RU"/>
        </w:rPr>
        <w:t xml:space="preserve"> сотрудничает с различными региональными и международными </w:t>
      </w:r>
      <w:r w:rsidR="003B1D12" w:rsidRPr="00415C17">
        <w:rPr>
          <w:rFonts w:cs="Calibri"/>
          <w:lang w:val="ru-RU"/>
        </w:rPr>
        <w:t>исследова</w:t>
      </w:r>
      <w:r w:rsidR="003B1D12">
        <w:rPr>
          <w:rFonts w:cs="Calibri"/>
          <w:lang w:val="ru-RU"/>
        </w:rPr>
        <w:t>тельскими и образовательными</w:t>
      </w:r>
      <w:r w:rsidR="003B1D12" w:rsidRPr="007E25E1">
        <w:rPr>
          <w:rFonts w:cs="Calibri"/>
          <w:lang w:val="ru-RU"/>
        </w:rPr>
        <w:t xml:space="preserve"> </w:t>
      </w:r>
      <w:r w:rsidR="003B1D12">
        <w:rPr>
          <w:rFonts w:cs="Calibri"/>
          <w:lang w:val="ru-RU"/>
        </w:rPr>
        <w:t>сетями</w:t>
      </w:r>
      <w:r w:rsidR="00415C17" w:rsidRPr="00415C17">
        <w:rPr>
          <w:rFonts w:cs="Calibri"/>
          <w:lang w:val="ru-RU"/>
        </w:rPr>
        <w:t xml:space="preserve">. ASREN </w:t>
      </w:r>
      <w:r w:rsidR="00946E62">
        <w:rPr>
          <w:rFonts w:cs="Calibri"/>
          <w:lang w:val="ru-RU"/>
        </w:rPr>
        <w:t>ведет работу</w:t>
      </w:r>
      <w:r w:rsidR="00415C17" w:rsidRPr="00415C17">
        <w:rPr>
          <w:rFonts w:cs="Calibri"/>
          <w:lang w:val="ru-RU"/>
        </w:rPr>
        <w:t xml:space="preserve"> с 22 арабскими странами, в частности с </w:t>
      </w:r>
      <w:r w:rsidR="004C0BF7">
        <w:rPr>
          <w:rFonts w:cs="Calibri"/>
          <w:lang w:val="ru-RU"/>
        </w:rPr>
        <w:t>н</w:t>
      </w:r>
      <w:r w:rsidR="00415C17" w:rsidRPr="00415C17">
        <w:rPr>
          <w:rFonts w:cs="Calibri"/>
          <w:lang w:val="ru-RU"/>
        </w:rPr>
        <w:t xml:space="preserve">ациональными исследовательскими и образовательными сетями (NREN), которые охватывают все университеты и исследовательские институты в арабском регионе. ASREN уже является </w:t>
      </w:r>
      <w:r w:rsidR="00CD7F49">
        <w:rPr>
          <w:rFonts w:cs="Calibri"/>
          <w:lang w:val="ru-RU"/>
        </w:rPr>
        <w:t>Академической организацией −</w:t>
      </w:r>
      <w:r w:rsidR="00CD7F49">
        <w:rPr>
          <w:rFonts w:cs="Calibri"/>
          <w:vertAlign w:val="subscript"/>
          <w:lang w:val="ru-RU"/>
        </w:rPr>
        <w:t xml:space="preserve"> </w:t>
      </w:r>
      <w:r w:rsidR="00CD7F49">
        <w:rPr>
          <w:rFonts w:cs="Calibri"/>
          <w:lang w:val="ru-RU"/>
        </w:rPr>
        <w:t>Ч</w:t>
      </w:r>
      <w:r w:rsidR="00415C17" w:rsidRPr="00415C17">
        <w:rPr>
          <w:rFonts w:cs="Calibri"/>
          <w:lang w:val="ru-RU"/>
        </w:rPr>
        <w:t xml:space="preserve">леном </w:t>
      </w:r>
      <w:r w:rsidR="004A1503">
        <w:rPr>
          <w:rFonts w:cs="Calibri"/>
          <w:lang w:val="ru-RU"/>
        </w:rPr>
        <w:t xml:space="preserve">и </w:t>
      </w:r>
      <w:r w:rsidR="007C7DA8">
        <w:rPr>
          <w:rFonts w:cs="Calibri"/>
          <w:lang w:val="ru-RU"/>
        </w:rPr>
        <w:t>испытывает затруднения с уплатой взносов</w:t>
      </w:r>
      <w:r w:rsidR="003F0696">
        <w:rPr>
          <w:rFonts w:cs="Calibri"/>
          <w:lang w:val="ru-RU"/>
        </w:rPr>
        <w:t>. В</w:t>
      </w:r>
      <w:r w:rsidR="003F0696">
        <w:rPr>
          <w:rFonts w:cs="Calibri"/>
          <w:lang w:val="en-US"/>
        </w:rPr>
        <w:t> </w:t>
      </w:r>
      <w:r w:rsidR="00415C17" w:rsidRPr="00415C17">
        <w:rPr>
          <w:rFonts w:cs="Calibri"/>
          <w:lang w:val="ru-RU"/>
        </w:rPr>
        <w:t xml:space="preserve">настоящее время </w:t>
      </w:r>
      <w:r w:rsidR="008C4D9F">
        <w:rPr>
          <w:rFonts w:cs="Calibri"/>
          <w:lang w:val="ru-RU"/>
        </w:rPr>
        <w:t>ее членство</w:t>
      </w:r>
      <w:r w:rsidR="00415C17" w:rsidRPr="00415C17">
        <w:rPr>
          <w:rFonts w:cs="Calibri"/>
          <w:lang w:val="ru-RU"/>
        </w:rPr>
        <w:t xml:space="preserve"> </w:t>
      </w:r>
      <w:r w:rsidR="00DE27A4">
        <w:rPr>
          <w:rFonts w:cs="Calibri"/>
          <w:lang w:val="ru-RU"/>
        </w:rPr>
        <w:t>на 2019 год</w:t>
      </w:r>
      <w:r w:rsidR="008C4D9F" w:rsidRPr="008C4D9F">
        <w:rPr>
          <w:rFonts w:cs="Calibri"/>
          <w:lang w:val="ru-RU"/>
        </w:rPr>
        <w:t xml:space="preserve"> </w:t>
      </w:r>
      <w:r w:rsidR="008C4D9F" w:rsidRPr="00415C17">
        <w:rPr>
          <w:rFonts w:cs="Calibri"/>
          <w:lang w:val="ru-RU"/>
        </w:rPr>
        <w:t>приостановле</w:t>
      </w:r>
      <w:r w:rsidR="008C4D9F">
        <w:rPr>
          <w:rFonts w:cs="Calibri"/>
          <w:lang w:val="ru-RU"/>
        </w:rPr>
        <w:t>но</w:t>
      </w:r>
      <w:r w:rsidR="00DE27A4">
        <w:rPr>
          <w:rFonts w:cs="Calibri"/>
          <w:lang w:val="ru-RU"/>
        </w:rPr>
        <w:t xml:space="preserve">, но </w:t>
      </w:r>
      <w:r w:rsidR="001E030A">
        <w:rPr>
          <w:rFonts w:cs="Calibri"/>
          <w:lang w:val="ru-RU"/>
        </w:rPr>
        <w:t>она погасила</w:t>
      </w:r>
      <w:r w:rsidR="00DE27A4">
        <w:rPr>
          <w:rFonts w:cs="Calibri"/>
          <w:lang w:val="ru-RU"/>
        </w:rPr>
        <w:t xml:space="preserve"> свои</w:t>
      </w:r>
      <w:r w:rsidR="00415C17" w:rsidRPr="00415C17">
        <w:rPr>
          <w:rFonts w:cs="Calibri"/>
          <w:lang w:val="ru-RU"/>
        </w:rPr>
        <w:t xml:space="preserve"> </w:t>
      </w:r>
      <w:r w:rsidR="00DE27A4">
        <w:rPr>
          <w:rFonts w:cs="Calibri"/>
          <w:lang w:val="ru-RU"/>
        </w:rPr>
        <w:t>задолженности з</w:t>
      </w:r>
      <w:r w:rsidR="00415C17" w:rsidRPr="00415C17">
        <w:rPr>
          <w:rFonts w:cs="Calibri"/>
          <w:lang w:val="ru-RU"/>
        </w:rPr>
        <w:t xml:space="preserve">а 2018 год. Секретариат считает, что ASREN </w:t>
      </w:r>
      <w:r w:rsidR="000C137D">
        <w:rPr>
          <w:rFonts w:cstheme="minorHAnsi"/>
          <w:szCs w:val="24"/>
          <w:lang w:val="ru-RU"/>
        </w:rPr>
        <w:t>удовлетворяет</w:t>
      </w:r>
      <w:r w:rsidR="000C137D" w:rsidRPr="00512DE4">
        <w:rPr>
          <w:rFonts w:cstheme="minorHAnsi"/>
          <w:szCs w:val="24"/>
          <w:lang w:val="ru-RU"/>
        </w:rPr>
        <w:t xml:space="preserve"> критериям </w:t>
      </w:r>
      <w:r w:rsidR="000C137D">
        <w:rPr>
          <w:rFonts w:cstheme="minorHAnsi"/>
          <w:szCs w:val="24"/>
          <w:lang w:val="ru-RU"/>
        </w:rPr>
        <w:t>Совета для предоставления освобождения</w:t>
      </w:r>
      <w:r w:rsidR="000C137D" w:rsidRPr="00512DE4">
        <w:rPr>
          <w:rFonts w:cstheme="minorHAnsi"/>
          <w:szCs w:val="24"/>
          <w:lang w:val="ru-RU"/>
        </w:rPr>
        <w:t xml:space="preserve"> </w:t>
      </w:r>
      <w:r w:rsidR="000C137D">
        <w:rPr>
          <w:rFonts w:cstheme="minorHAnsi"/>
          <w:szCs w:val="24"/>
          <w:lang w:val="ru-RU"/>
        </w:rPr>
        <w:t>по линиям</w:t>
      </w:r>
      <w:r w:rsidR="000C137D" w:rsidRPr="00415C17">
        <w:rPr>
          <w:rFonts w:cs="Calibri"/>
          <w:lang w:val="ru-RU"/>
        </w:rPr>
        <w:t xml:space="preserve"> </w:t>
      </w:r>
      <w:r w:rsidR="000C137D">
        <w:rPr>
          <w:rFonts w:cs="Calibri"/>
          <w:lang w:val="ru-RU"/>
        </w:rPr>
        <w:t>МСЭ-R/T/</w:t>
      </w:r>
      <w:r w:rsidR="00415C17" w:rsidRPr="00415C17">
        <w:rPr>
          <w:rFonts w:cs="Calibri"/>
          <w:lang w:val="ru-RU"/>
        </w:rPr>
        <w:t xml:space="preserve">D. Рекомендуется предоставить это </w:t>
      </w:r>
      <w:r w:rsidR="00CC2159">
        <w:rPr>
          <w:rFonts w:cstheme="minorHAnsi"/>
          <w:szCs w:val="24"/>
          <w:lang w:val="ru-RU"/>
        </w:rPr>
        <w:t xml:space="preserve">освобождение </w:t>
      </w:r>
      <w:r w:rsidR="00D058E3">
        <w:rPr>
          <w:rFonts w:cs="Calibri"/>
          <w:lang w:val="ru-RU"/>
        </w:rPr>
        <w:t>с 1 января 2019 года</w:t>
      </w:r>
      <w:r w:rsidR="00E12BA9" w:rsidRPr="00D058E3">
        <w:rPr>
          <w:lang w:val="ru-RU"/>
        </w:rPr>
        <w:t>.</w:t>
      </w:r>
    </w:p>
    <w:p w:rsidR="00E12BA9" w:rsidRDefault="00E12BA9" w:rsidP="00E12BA9">
      <w:pPr>
        <w:snapToGrid w:val="0"/>
        <w:spacing w:before="240"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3</w:t>
      </w:r>
      <w:r w:rsidRPr="009D7C70">
        <w:rPr>
          <w:rFonts w:cstheme="minorHAnsi"/>
          <w:szCs w:val="24"/>
        </w:rPr>
        <w:t>.</w:t>
      </w:r>
      <w:r>
        <w:rPr>
          <w:rFonts w:cstheme="minorHAnsi"/>
          <w:szCs w:val="24"/>
        </w:rPr>
        <w:t>6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10"/>
        <w:gridCol w:w="1626"/>
        <w:gridCol w:w="2106"/>
      </w:tblGrid>
      <w:tr w:rsidR="00261459" w:rsidRPr="00B34A19" w:rsidTr="00261459">
        <w:trPr>
          <w:cantSplit/>
          <w:trHeight w:val="399"/>
          <w:jc w:val="center"/>
        </w:trPr>
        <w:tc>
          <w:tcPr>
            <w:tcW w:w="5510" w:type="dxa"/>
            <w:vAlign w:val="center"/>
          </w:tcPr>
          <w:p w:rsidR="00261459" w:rsidRPr="00261459" w:rsidRDefault="00261459" w:rsidP="00261459">
            <w:pPr>
              <w:pStyle w:val="TableHead0"/>
              <w:keepLines/>
              <w:tabs>
                <w:tab w:val="clear" w:pos="284"/>
                <w:tab w:val="clear" w:pos="851"/>
                <w:tab w:val="clear" w:pos="1418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snapToGrid w:val="0"/>
              <w:spacing w:before="120" w:after="120" w:line="240" w:lineRule="auto"/>
              <w:rPr>
                <w:rFonts w:cstheme="minorHAnsi"/>
                <w:szCs w:val="24"/>
                <w:lang w:val="ru-RU"/>
              </w:rPr>
            </w:pPr>
            <w:r>
              <w:rPr>
                <w:rFonts w:cstheme="minorHAnsi"/>
                <w:szCs w:val="24"/>
                <w:lang w:val="ru-RU"/>
              </w:rPr>
              <w:t>Организация</w:t>
            </w:r>
          </w:p>
        </w:tc>
        <w:tc>
          <w:tcPr>
            <w:tcW w:w="1626" w:type="dxa"/>
            <w:vAlign w:val="center"/>
          </w:tcPr>
          <w:p w:rsidR="00261459" w:rsidRPr="00261459" w:rsidRDefault="00261459" w:rsidP="00261459">
            <w:pPr>
              <w:pStyle w:val="TableHead0"/>
              <w:keepLines/>
              <w:tabs>
                <w:tab w:val="clear" w:pos="284"/>
                <w:tab w:val="clear" w:pos="851"/>
                <w:tab w:val="clear" w:pos="1418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snapToGrid w:val="0"/>
              <w:spacing w:before="120" w:after="120" w:line="240" w:lineRule="auto"/>
              <w:rPr>
                <w:rFonts w:cstheme="minorHAnsi"/>
                <w:szCs w:val="24"/>
                <w:lang w:val="ru-RU"/>
              </w:rPr>
            </w:pPr>
            <w:r>
              <w:rPr>
                <w:rFonts w:cstheme="minorHAnsi"/>
                <w:szCs w:val="24"/>
                <w:lang w:val="ru-RU"/>
              </w:rPr>
              <w:t>Сектор</w:t>
            </w:r>
          </w:p>
        </w:tc>
        <w:tc>
          <w:tcPr>
            <w:tcW w:w="2106" w:type="dxa"/>
            <w:vAlign w:val="center"/>
          </w:tcPr>
          <w:p w:rsidR="00261459" w:rsidRPr="00261459" w:rsidRDefault="00261459" w:rsidP="00261459">
            <w:pPr>
              <w:pStyle w:val="TableHead0"/>
              <w:keepLines/>
              <w:tabs>
                <w:tab w:val="clear" w:pos="284"/>
                <w:tab w:val="clear" w:pos="851"/>
                <w:tab w:val="clear" w:pos="1418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snapToGrid w:val="0"/>
              <w:spacing w:before="120" w:after="120" w:line="240" w:lineRule="auto"/>
              <w:rPr>
                <w:rFonts w:cstheme="minorHAnsi"/>
                <w:szCs w:val="24"/>
                <w:lang w:val="ru-RU"/>
              </w:rPr>
            </w:pPr>
            <w:r>
              <w:rPr>
                <w:rFonts w:cstheme="minorHAnsi"/>
                <w:szCs w:val="24"/>
                <w:lang w:val="ru-RU"/>
              </w:rPr>
              <w:t>Рекомендация Генерального секретаря</w:t>
            </w:r>
          </w:p>
        </w:tc>
      </w:tr>
      <w:tr w:rsidR="00E12BA9" w:rsidRPr="00CD4D98" w:rsidTr="00261459">
        <w:trPr>
          <w:cantSplit/>
          <w:trHeight w:val="489"/>
          <w:jc w:val="center"/>
        </w:trPr>
        <w:tc>
          <w:tcPr>
            <w:tcW w:w="5510" w:type="dxa"/>
            <w:vAlign w:val="center"/>
          </w:tcPr>
          <w:p w:rsidR="00E12BA9" w:rsidRPr="00CD4D98" w:rsidRDefault="00D260DB" w:rsidP="00D260DB">
            <w:pPr>
              <w:pStyle w:val="TableText0"/>
              <w:spacing w:before="120" w:after="120"/>
              <w:jc w:val="center"/>
              <w:rPr>
                <w:rFonts w:cstheme="minorHAnsi"/>
                <w:b/>
                <w:iCs/>
                <w:szCs w:val="24"/>
              </w:rPr>
            </w:pPr>
            <w:r>
              <w:rPr>
                <w:rFonts w:cs="Calibri"/>
                <w:b/>
                <w:lang w:val="ru-RU"/>
              </w:rPr>
              <w:t xml:space="preserve">Фонд </w:t>
            </w:r>
            <w:r w:rsidR="00E12BA9">
              <w:rPr>
                <w:rFonts w:cs="Calibri"/>
                <w:b/>
              </w:rPr>
              <w:t>OI</w:t>
            </w:r>
            <w:r w:rsidR="00E12BA9" w:rsidRPr="00CD4D98">
              <w:rPr>
                <w:rFonts w:cs="Calibri"/>
                <w:b/>
              </w:rPr>
              <w:t xml:space="preserve">STE </w:t>
            </w:r>
          </w:p>
        </w:tc>
        <w:tc>
          <w:tcPr>
            <w:tcW w:w="1626" w:type="dxa"/>
            <w:vAlign w:val="center"/>
          </w:tcPr>
          <w:p w:rsidR="00E12BA9" w:rsidRPr="00CD4D98" w:rsidRDefault="00AC6E13" w:rsidP="00084722">
            <w:pPr>
              <w:pStyle w:val="TableText0"/>
              <w:spacing w:before="120" w:after="120"/>
              <w:jc w:val="center"/>
              <w:rPr>
                <w:rFonts w:cstheme="minorHAnsi"/>
                <w:szCs w:val="24"/>
                <w:lang w:val="fr-CA"/>
              </w:rPr>
            </w:pPr>
            <w:r>
              <w:rPr>
                <w:rFonts w:cstheme="minorHAnsi"/>
                <w:szCs w:val="24"/>
                <w:lang w:val="fr-CA"/>
              </w:rPr>
              <w:t>МСЭ-</w:t>
            </w:r>
            <w:r w:rsidR="00E12BA9" w:rsidRPr="00CD4D98">
              <w:rPr>
                <w:rFonts w:cstheme="minorHAnsi"/>
                <w:szCs w:val="24"/>
                <w:lang w:val="fr-CA"/>
              </w:rPr>
              <w:t>D</w:t>
            </w:r>
          </w:p>
        </w:tc>
        <w:tc>
          <w:tcPr>
            <w:tcW w:w="2106" w:type="dxa"/>
            <w:vAlign w:val="center"/>
          </w:tcPr>
          <w:p w:rsidR="00E12BA9" w:rsidRPr="00AC6E13" w:rsidRDefault="00AC6E13" w:rsidP="00084722">
            <w:pPr>
              <w:pStyle w:val="TableText0"/>
              <w:spacing w:before="120" w:after="120"/>
              <w:jc w:val="center"/>
              <w:rPr>
                <w:rFonts w:cstheme="minorHAnsi"/>
                <w:szCs w:val="24"/>
                <w:lang w:val="ru-RU"/>
              </w:rPr>
            </w:pPr>
            <w:r>
              <w:rPr>
                <w:rFonts w:cstheme="minorHAnsi"/>
                <w:szCs w:val="24"/>
                <w:lang w:val="ru-RU"/>
              </w:rPr>
              <w:t>НЕТ</w:t>
            </w:r>
          </w:p>
        </w:tc>
      </w:tr>
    </w:tbl>
    <w:p w:rsidR="00E12BA9" w:rsidRPr="008B0C98" w:rsidRDefault="00261459" w:rsidP="003F0696">
      <w:pPr>
        <w:snapToGrid w:val="0"/>
        <w:spacing w:before="240" w:after="120"/>
        <w:rPr>
          <w:rFonts w:cs="Calibri"/>
          <w:lang w:val="ru-RU"/>
        </w:rPr>
      </w:pPr>
      <w:r w:rsidRPr="00214983">
        <w:rPr>
          <w:rFonts w:cs="Calibri"/>
          <w:b/>
          <w:lang w:val="ru-RU"/>
        </w:rPr>
        <w:t>Замечания</w:t>
      </w:r>
      <w:r w:rsidR="00E12BA9" w:rsidRPr="00214983">
        <w:rPr>
          <w:rFonts w:cs="Calibri"/>
          <w:lang w:val="ru-RU"/>
        </w:rPr>
        <w:t xml:space="preserve">: </w:t>
      </w:r>
      <w:r w:rsidR="00D260DB">
        <w:rPr>
          <w:rFonts w:cs="Calibri"/>
          <w:lang w:val="ru-RU"/>
        </w:rPr>
        <w:t xml:space="preserve">Фонд </w:t>
      </w:r>
      <w:r w:rsidR="00E12BA9">
        <w:rPr>
          <w:rFonts w:cs="Calibri"/>
        </w:rPr>
        <w:t>OISTE</w:t>
      </w:r>
      <w:r w:rsidR="00E12BA9" w:rsidRPr="00214983">
        <w:rPr>
          <w:rFonts w:cs="Calibri"/>
          <w:lang w:val="ru-RU"/>
        </w:rPr>
        <w:t xml:space="preserve"> </w:t>
      </w:r>
      <w:r w:rsidR="00214983" w:rsidRPr="00214983">
        <w:rPr>
          <w:rFonts w:cs="Calibri"/>
          <w:lang w:val="ru-RU"/>
        </w:rPr>
        <w:t>был</w:t>
      </w:r>
      <w:r w:rsidR="00A02548">
        <w:rPr>
          <w:rFonts w:cs="Calibri"/>
          <w:lang w:val="ru-RU"/>
        </w:rPr>
        <w:t xml:space="preserve"> основан</w:t>
      </w:r>
      <w:r w:rsidR="00214983" w:rsidRPr="00214983">
        <w:rPr>
          <w:rFonts w:cs="Calibri"/>
          <w:lang w:val="ru-RU"/>
        </w:rPr>
        <w:t xml:space="preserve"> </w:t>
      </w:r>
      <w:r w:rsidR="00A230A6">
        <w:rPr>
          <w:rFonts w:cs="Calibri"/>
          <w:lang w:val="ru-RU"/>
        </w:rPr>
        <w:t>в Женеве в 1998 году. OISTE создан</w:t>
      </w:r>
      <w:r w:rsidR="00214983" w:rsidRPr="00214983">
        <w:rPr>
          <w:rFonts w:cs="Calibri"/>
          <w:lang w:val="ru-RU"/>
        </w:rPr>
        <w:t xml:space="preserve"> с целью содействия использованию и принятию международных стандартов для защиты электронных транзакций, расширения использования цифровой сертификации и обеспечения </w:t>
      </w:r>
      <w:r w:rsidR="006A6F4F">
        <w:rPr>
          <w:rFonts w:cs="Calibri"/>
          <w:lang w:val="ru-RU"/>
        </w:rPr>
        <w:t>функциональной совместимости</w:t>
      </w:r>
      <w:r w:rsidR="00214983" w:rsidRPr="00214983">
        <w:rPr>
          <w:rFonts w:cs="Calibri"/>
          <w:lang w:val="ru-RU"/>
        </w:rPr>
        <w:t xml:space="preserve"> систем электронных транзакций органов</w:t>
      </w:r>
      <w:r w:rsidR="00CC7179">
        <w:rPr>
          <w:rFonts w:cs="Calibri"/>
          <w:lang w:val="ru-RU"/>
        </w:rPr>
        <w:t xml:space="preserve"> по сертификации</w:t>
      </w:r>
      <w:r w:rsidR="00214983" w:rsidRPr="00214983">
        <w:rPr>
          <w:rFonts w:cs="Calibri"/>
          <w:lang w:val="ru-RU"/>
        </w:rPr>
        <w:t xml:space="preserve">. Секретариат считает, что Фонд OISTE не </w:t>
      </w:r>
      <w:r w:rsidR="00AF3F1D">
        <w:rPr>
          <w:rFonts w:cstheme="minorHAnsi"/>
          <w:szCs w:val="24"/>
          <w:lang w:val="ru-RU"/>
        </w:rPr>
        <w:t>удовлетворяет</w:t>
      </w:r>
      <w:r w:rsidR="00AF3F1D" w:rsidRPr="00512DE4">
        <w:rPr>
          <w:rFonts w:cstheme="minorHAnsi"/>
          <w:szCs w:val="24"/>
          <w:lang w:val="ru-RU"/>
        </w:rPr>
        <w:t xml:space="preserve"> критериям </w:t>
      </w:r>
      <w:r w:rsidR="00AF3F1D">
        <w:rPr>
          <w:rFonts w:cstheme="minorHAnsi"/>
          <w:szCs w:val="24"/>
          <w:lang w:val="ru-RU"/>
        </w:rPr>
        <w:t>предоставления освобождения</w:t>
      </w:r>
      <w:r w:rsidR="00D260DB">
        <w:rPr>
          <w:rFonts w:cs="Calibri"/>
          <w:lang w:val="ru-RU"/>
        </w:rPr>
        <w:t xml:space="preserve"> из-за отсутствия международного</w:t>
      </w:r>
      <w:r w:rsidR="00214983" w:rsidRPr="00214983">
        <w:rPr>
          <w:rFonts w:cs="Calibri"/>
          <w:lang w:val="ru-RU"/>
        </w:rPr>
        <w:t>/регионального членства</w:t>
      </w:r>
      <w:r w:rsidR="00E12BA9" w:rsidRPr="008B0C98">
        <w:rPr>
          <w:rFonts w:cs="Calibri"/>
          <w:lang w:val="ru-RU"/>
        </w:rPr>
        <w:t>.</w:t>
      </w:r>
    </w:p>
    <w:p w:rsidR="00E12BA9" w:rsidRDefault="00E12BA9" w:rsidP="00E12BA9">
      <w:pPr>
        <w:snapToGrid w:val="0"/>
        <w:spacing w:before="240" w:after="120"/>
      </w:pPr>
      <w:r>
        <w:t>3.7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10"/>
        <w:gridCol w:w="1626"/>
        <w:gridCol w:w="2106"/>
      </w:tblGrid>
      <w:tr w:rsidR="00261459" w:rsidRPr="00B34A19" w:rsidTr="00261459">
        <w:trPr>
          <w:cantSplit/>
          <w:trHeight w:val="372"/>
          <w:jc w:val="center"/>
        </w:trPr>
        <w:tc>
          <w:tcPr>
            <w:tcW w:w="5510" w:type="dxa"/>
            <w:vAlign w:val="center"/>
          </w:tcPr>
          <w:p w:rsidR="00261459" w:rsidRPr="00261459" w:rsidRDefault="00261459" w:rsidP="00261459">
            <w:pPr>
              <w:pStyle w:val="TableHead0"/>
              <w:keepLines/>
              <w:tabs>
                <w:tab w:val="clear" w:pos="284"/>
                <w:tab w:val="clear" w:pos="851"/>
                <w:tab w:val="clear" w:pos="1418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snapToGrid w:val="0"/>
              <w:spacing w:before="120" w:after="120" w:line="240" w:lineRule="auto"/>
              <w:rPr>
                <w:rFonts w:cstheme="minorHAnsi"/>
                <w:szCs w:val="24"/>
                <w:lang w:val="ru-RU"/>
              </w:rPr>
            </w:pPr>
            <w:r>
              <w:rPr>
                <w:rFonts w:cstheme="minorHAnsi"/>
                <w:szCs w:val="24"/>
                <w:lang w:val="ru-RU"/>
              </w:rPr>
              <w:t>Организация</w:t>
            </w:r>
          </w:p>
        </w:tc>
        <w:tc>
          <w:tcPr>
            <w:tcW w:w="1626" w:type="dxa"/>
            <w:vAlign w:val="center"/>
          </w:tcPr>
          <w:p w:rsidR="00261459" w:rsidRPr="00261459" w:rsidRDefault="00261459" w:rsidP="00261459">
            <w:pPr>
              <w:pStyle w:val="TableHead0"/>
              <w:keepLines/>
              <w:tabs>
                <w:tab w:val="clear" w:pos="284"/>
                <w:tab w:val="clear" w:pos="851"/>
                <w:tab w:val="clear" w:pos="1418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snapToGrid w:val="0"/>
              <w:spacing w:before="120" w:after="120" w:line="240" w:lineRule="auto"/>
              <w:rPr>
                <w:rFonts w:cstheme="minorHAnsi"/>
                <w:szCs w:val="24"/>
                <w:lang w:val="ru-RU"/>
              </w:rPr>
            </w:pPr>
            <w:r>
              <w:rPr>
                <w:rFonts w:cstheme="minorHAnsi"/>
                <w:szCs w:val="24"/>
                <w:lang w:val="ru-RU"/>
              </w:rPr>
              <w:t>Сектор</w:t>
            </w:r>
          </w:p>
        </w:tc>
        <w:tc>
          <w:tcPr>
            <w:tcW w:w="2106" w:type="dxa"/>
            <w:vAlign w:val="center"/>
          </w:tcPr>
          <w:p w:rsidR="00261459" w:rsidRPr="00261459" w:rsidRDefault="00261459" w:rsidP="00261459">
            <w:pPr>
              <w:pStyle w:val="TableHead0"/>
              <w:keepLines/>
              <w:tabs>
                <w:tab w:val="clear" w:pos="284"/>
                <w:tab w:val="clear" w:pos="851"/>
                <w:tab w:val="clear" w:pos="1418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snapToGrid w:val="0"/>
              <w:spacing w:before="120" w:after="120" w:line="240" w:lineRule="auto"/>
              <w:rPr>
                <w:rFonts w:cstheme="minorHAnsi"/>
                <w:szCs w:val="24"/>
                <w:lang w:val="ru-RU"/>
              </w:rPr>
            </w:pPr>
            <w:r>
              <w:rPr>
                <w:rFonts w:cstheme="minorHAnsi"/>
                <w:szCs w:val="24"/>
                <w:lang w:val="ru-RU"/>
              </w:rPr>
              <w:t>Рекомендация Генерального секретаря</w:t>
            </w:r>
          </w:p>
        </w:tc>
      </w:tr>
      <w:tr w:rsidR="00E12BA9" w:rsidRPr="00CD4D98" w:rsidTr="00261459">
        <w:trPr>
          <w:cantSplit/>
          <w:trHeight w:val="462"/>
          <w:jc w:val="center"/>
        </w:trPr>
        <w:tc>
          <w:tcPr>
            <w:tcW w:w="5510" w:type="dxa"/>
            <w:vAlign w:val="center"/>
          </w:tcPr>
          <w:p w:rsidR="00E12BA9" w:rsidRPr="00293C26" w:rsidRDefault="00E12BA9" w:rsidP="006928C3">
            <w:pPr>
              <w:pStyle w:val="TableText0"/>
              <w:keepNext/>
              <w:keepLines/>
              <w:spacing w:before="120" w:after="120"/>
              <w:jc w:val="center"/>
              <w:rPr>
                <w:rFonts w:cstheme="minorHAnsi"/>
                <w:b/>
                <w:iCs/>
                <w:szCs w:val="24"/>
                <w:lang w:val="fr-CA"/>
              </w:rPr>
            </w:pPr>
            <w:r w:rsidRPr="00293C26">
              <w:rPr>
                <w:rFonts w:cs="Calibri"/>
                <w:b/>
                <w:iCs/>
                <w:lang w:val="fr-CA"/>
              </w:rPr>
              <w:lastRenderedPageBreak/>
              <w:t>Association Mondiale pour les Orphelins</w:t>
            </w:r>
            <w:r w:rsidRPr="00293C26">
              <w:rPr>
                <w:rFonts w:cs="Calibri"/>
                <w:b/>
                <w:lang w:val="fr-CA"/>
              </w:rPr>
              <w:t> (A.M.OR)</w:t>
            </w:r>
          </w:p>
        </w:tc>
        <w:tc>
          <w:tcPr>
            <w:tcW w:w="1626" w:type="dxa"/>
            <w:vAlign w:val="center"/>
          </w:tcPr>
          <w:p w:rsidR="00E12BA9" w:rsidRPr="00CD4D98" w:rsidRDefault="00AC6E13" w:rsidP="00084722">
            <w:pPr>
              <w:pStyle w:val="TableText0"/>
              <w:keepNext/>
              <w:keepLines/>
              <w:spacing w:before="120" w:after="120"/>
              <w:jc w:val="center"/>
              <w:rPr>
                <w:rFonts w:cstheme="minorHAnsi"/>
                <w:szCs w:val="24"/>
                <w:lang w:val="fr-CA"/>
              </w:rPr>
            </w:pPr>
            <w:r>
              <w:rPr>
                <w:rFonts w:cstheme="minorHAnsi"/>
                <w:szCs w:val="24"/>
                <w:lang w:val="fr-CA"/>
              </w:rPr>
              <w:t>МСЭ-</w:t>
            </w:r>
            <w:r w:rsidR="00E12BA9" w:rsidRPr="00CD4D98">
              <w:rPr>
                <w:rFonts w:cstheme="minorHAnsi"/>
                <w:szCs w:val="24"/>
                <w:lang w:val="fr-CA"/>
              </w:rPr>
              <w:t>D</w:t>
            </w:r>
          </w:p>
        </w:tc>
        <w:tc>
          <w:tcPr>
            <w:tcW w:w="2106" w:type="dxa"/>
            <w:vAlign w:val="center"/>
          </w:tcPr>
          <w:p w:rsidR="00E12BA9" w:rsidRPr="00AC6E13" w:rsidRDefault="00AC6E13" w:rsidP="00084722">
            <w:pPr>
              <w:pStyle w:val="TableText0"/>
              <w:keepNext/>
              <w:keepLines/>
              <w:spacing w:before="120" w:after="120"/>
              <w:jc w:val="center"/>
              <w:rPr>
                <w:rFonts w:cstheme="minorHAnsi"/>
                <w:szCs w:val="24"/>
                <w:lang w:val="ru-RU"/>
              </w:rPr>
            </w:pPr>
            <w:r>
              <w:rPr>
                <w:rFonts w:cstheme="minorHAnsi"/>
                <w:szCs w:val="24"/>
                <w:lang w:val="ru-RU"/>
              </w:rPr>
              <w:t>НЕТ</w:t>
            </w:r>
          </w:p>
        </w:tc>
      </w:tr>
    </w:tbl>
    <w:p w:rsidR="008D36F6" w:rsidRPr="0076473A" w:rsidRDefault="00E12BA9" w:rsidP="0076473A">
      <w:pPr>
        <w:rPr>
          <w:lang w:val="ru-RU"/>
        </w:rPr>
      </w:pPr>
      <w:r w:rsidRPr="008437C1">
        <w:rPr>
          <w:i/>
          <w:iCs/>
        </w:rPr>
        <w:t>Association</w:t>
      </w:r>
      <w:r w:rsidRPr="005A701D">
        <w:rPr>
          <w:i/>
          <w:iCs/>
          <w:lang w:val="ru-RU"/>
        </w:rPr>
        <w:t xml:space="preserve"> </w:t>
      </w:r>
      <w:r w:rsidRPr="008437C1">
        <w:rPr>
          <w:i/>
          <w:iCs/>
        </w:rPr>
        <w:t>Mondiale</w:t>
      </w:r>
      <w:r w:rsidRPr="005A701D">
        <w:rPr>
          <w:i/>
          <w:iCs/>
          <w:lang w:val="ru-RU"/>
        </w:rPr>
        <w:t xml:space="preserve"> </w:t>
      </w:r>
      <w:r w:rsidRPr="008437C1">
        <w:rPr>
          <w:i/>
          <w:iCs/>
        </w:rPr>
        <w:t>pour</w:t>
      </w:r>
      <w:r w:rsidRPr="005A701D">
        <w:rPr>
          <w:i/>
          <w:iCs/>
          <w:lang w:val="ru-RU"/>
        </w:rPr>
        <w:t xml:space="preserve"> </w:t>
      </w:r>
      <w:r w:rsidRPr="008437C1">
        <w:rPr>
          <w:i/>
          <w:iCs/>
        </w:rPr>
        <w:t>les</w:t>
      </w:r>
      <w:r w:rsidRPr="005A701D">
        <w:rPr>
          <w:i/>
          <w:iCs/>
          <w:lang w:val="ru-RU"/>
        </w:rPr>
        <w:t xml:space="preserve"> </w:t>
      </w:r>
      <w:r w:rsidRPr="008437C1">
        <w:rPr>
          <w:i/>
          <w:iCs/>
        </w:rPr>
        <w:t>Orphelins</w:t>
      </w:r>
      <w:r w:rsidRPr="008437C1">
        <w:t> </w:t>
      </w:r>
      <w:r w:rsidRPr="005A701D">
        <w:rPr>
          <w:lang w:val="ru-RU"/>
        </w:rPr>
        <w:t>(</w:t>
      </w:r>
      <w:r w:rsidRPr="008437C1">
        <w:t>A</w:t>
      </w:r>
      <w:r w:rsidRPr="005A701D">
        <w:rPr>
          <w:lang w:val="ru-RU"/>
        </w:rPr>
        <w:t>.</w:t>
      </w:r>
      <w:r w:rsidRPr="008437C1">
        <w:t>M</w:t>
      </w:r>
      <w:r w:rsidRPr="005A701D">
        <w:rPr>
          <w:lang w:val="ru-RU"/>
        </w:rPr>
        <w:t>.</w:t>
      </w:r>
      <w:r w:rsidRPr="008437C1">
        <w:t>OR</w:t>
      </w:r>
      <w:r w:rsidRPr="005A701D">
        <w:rPr>
          <w:lang w:val="ru-RU"/>
        </w:rPr>
        <w:t>)</w:t>
      </w:r>
      <w:r w:rsidR="005A701D" w:rsidRPr="005A701D">
        <w:rPr>
          <w:lang w:val="ru-RU"/>
        </w:rPr>
        <w:t xml:space="preserve"> является некоммерческой неправительственной организацией с консультативным статусом </w:t>
      </w:r>
      <w:r w:rsidR="006D432C">
        <w:rPr>
          <w:lang w:val="ru-RU"/>
        </w:rPr>
        <w:t xml:space="preserve">в </w:t>
      </w:r>
      <w:r w:rsidR="005A701D" w:rsidRPr="005A701D">
        <w:rPr>
          <w:lang w:val="ru-RU"/>
        </w:rPr>
        <w:t xml:space="preserve">ЭКОСОС, которая верит в потенциал всех людей. </w:t>
      </w:r>
      <w:r w:rsidR="006D432C">
        <w:rPr>
          <w:lang w:val="ru-RU"/>
        </w:rPr>
        <w:t>Организация реализует проект</w:t>
      </w:r>
      <w:r w:rsidR="005A701D" w:rsidRPr="005A701D">
        <w:rPr>
          <w:lang w:val="ru-RU"/>
        </w:rPr>
        <w:t xml:space="preserve"> </w:t>
      </w:r>
      <w:r w:rsidR="005A701D" w:rsidRPr="005A701D">
        <w:t>HiTech</w:t>
      </w:r>
      <w:r w:rsidR="005A701D" w:rsidRPr="005A701D">
        <w:rPr>
          <w:lang w:val="ru-RU"/>
        </w:rPr>
        <w:t>4</w:t>
      </w:r>
      <w:r w:rsidR="005A701D" w:rsidRPr="005A701D">
        <w:t>Orphans</w:t>
      </w:r>
      <w:r w:rsidR="005A701D" w:rsidRPr="005A701D">
        <w:rPr>
          <w:lang w:val="ru-RU"/>
        </w:rPr>
        <w:t xml:space="preserve">, чтобы помочь студентам-сиротам </w:t>
      </w:r>
      <w:r w:rsidR="00774AB4">
        <w:rPr>
          <w:lang w:val="ru-RU"/>
        </w:rPr>
        <w:t>приобретать</w:t>
      </w:r>
      <w:r w:rsidR="005A701D" w:rsidRPr="005A701D">
        <w:rPr>
          <w:lang w:val="ru-RU"/>
        </w:rPr>
        <w:t xml:space="preserve"> и </w:t>
      </w:r>
      <w:r w:rsidR="00774AB4">
        <w:rPr>
          <w:lang w:val="ru-RU"/>
        </w:rPr>
        <w:t>оттачивать навык</w:t>
      </w:r>
      <w:r w:rsidR="005A701D" w:rsidRPr="005A701D">
        <w:rPr>
          <w:lang w:val="ru-RU"/>
        </w:rPr>
        <w:t xml:space="preserve">и в области </w:t>
      </w:r>
      <w:r w:rsidR="00D8759C">
        <w:rPr>
          <w:lang w:val="ru-RU"/>
        </w:rPr>
        <w:t>ИТ</w:t>
      </w:r>
      <w:r w:rsidR="005A701D" w:rsidRPr="005A701D">
        <w:rPr>
          <w:lang w:val="ru-RU"/>
        </w:rPr>
        <w:t xml:space="preserve">. Секретариат считает, что </w:t>
      </w:r>
      <w:r w:rsidR="005A701D" w:rsidRPr="005A701D">
        <w:t>A</w:t>
      </w:r>
      <w:r w:rsidR="005A701D" w:rsidRPr="005A701D">
        <w:rPr>
          <w:lang w:val="ru-RU"/>
        </w:rPr>
        <w:t>.</w:t>
      </w:r>
      <w:r w:rsidR="005A701D" w:rsidRPr="005A701D">
        <w:t>M</w:t>
      </w:r>
      <w:r w:rsidR="005A701D" w:rsidRPr="005A701D">
        <w:rPr>
          <w:lang w:val="ru-RU"/>
        </w:rPr>
        <w:t>.</w:t>
      </w:r>
      <w:r w:rsidR="005A701D" w:rsidRPr="005A701D">
        <w:t>OR</w:t>
      </w:r>
      <w:r w:rsidR="005A701D" w:rsidRPr="005A701D">
        <w:rPr>
          <w:lang w:val="ru-RU"/>
        </w:rPr>
        <w:t xml:space="preserve"> </w:t>
      </w:r>
      <w:r w:rsidR="007D0DD3" w:rsidRPr="00214983">
        <w:rPr>
          <w:rFonts w:cs="Calibri"/>
          <w:lang w:val="ru-RU"/>
        </w:rPr>
        <w:t xml:space="preserve">не </w:t>
      </w:r>
      <w:r w:rsidR="007D0DD3">
        <w:rPr>
          <w:rFonts w:cstheme="minorHAnsi"/>
          <w:szCs w:val="24"/>
          <w:lang w:val="ru-RU"/>
        </w:rPr>
        <w:t>удовлетворяет</w:t>
      </w:r>
      <w:r w:rsidR="007D0DD3" w:rsidRPr="00512DE4">
        <w:rPr>
          <w:rFonts w:cstheme="minorHAnsi"/>
          <w:szCs w:val="24"/>
          <w:lang w:val="ru-RU"/>
        </w:rPr>
        <w:t xml:space="preserve"> критериям </w:t>
      </w:r>
      <w:r w:rsidR="007D0DD3">
        <w:rPr>
          <w:rFonts w:cstheme="minorHAnsi"/>
          <w:szCs w:val="24"/>
          <w:lang w:val="ru-RU"/>
        </w:rPr>
        <w:t>предоставления освобождения</w:t>
      </w:r>
      <w:r w:rsidR="007D0DD3">
        <w:rPr>
          <w:rFonts w:cs="Calibri"/>
          <w:lang w:val="ru-RU"/>
        </w:rPr>
        <w:t xml:space="preserve"> из-за недостаточного международного</w:t>
      </w:r>
      <w:r w:rsidR="007D0DD3" w:rsidRPr="00214983">
        <w:rPr>
          <w:rFonts w:cs="Calibri"/>
          <w:lang w:val="ru-RU"/>
        </w:rPr>
        <w:t>/регионального членства</w:t>
      </w:r>
      <w:r w:rsidRPr="0076473A">
        <w:rPr>
          <w:rFonts w:cs="Calibri"/>
          <w:lang w:val="ru-RU"/>
        </w:rPr>
        <w:t>.</w:t>
      </w:r>
    </w:p>
    <w:p w:rsidR="009F54E9" w:rsidRPr="0076473A" w:rsidRDefault="009F54E9" w:rsidP="009F54E9">
      <w:pPr>
        <w:rPr>
          <w:lang w:val="ru-RU"/>
        </w:rPr>
      </w:pPr>
      <w:r w:rsidRPr="0076473A">
        <w:rPr>
          <w:lang w:val="ru-RU"/>
        </w:rPr>
        <w:br w:type="page"/>
      </w:r>
    </w:p>
    <w:p w:rsidR="008D36F6" w:rsidRPr="00774F37" w:rsidRDefault="009F54E9" w:rsidP="009F54E9">
      <w:pPr>
        <w:pStyle w:val="AnnexNo"/>
        <w:rPr>
          <w:lang w:val="ru-RU"/>
        </w:rPr>
      </w:pPr>
      <w:r w:rsidRPr="00774F37">
        <w:rPr>
          <w:lang w:val="ru-RU"/>
        </w:rPr>
        <w:lastRenderedPageBreak/>
        <w:t>приложение</w:t>
      </w:r>
    </w:p>
    <w:p w:rsidR="00507649" w:rsidRPr="00774F37" w:rsidRDefault="00507649" w:rsidP="00507649">
      <w:pPr>
        <w:pStyle w:val="Annextitle"/>
        <w:rPr>
          <w:lang w:val="ru-RU"/>
        </w:rPr>
      </w:pPr>
      <w:r w:rsidRPr="00774F37">
        <w:rPr>
          <w:lang w:val="ru-RU"/>
        </w:rPr>
        <w:t>Освобождение организаций международного характера</w:t>
      </w:r>
      <w:r w:rsidRPr="00774F37">
        <w:rPr>
          <w:lang w:val="ru-RU"/>
        </w:rPr>
        <w:br/>
        <w:t>от уплаты членских взносов</w:t>
      </w:r>
    </w:p>
    <w:p w:rsidR="00507649" w:rsidRPr="00774F37" w:rsidRDefault="003547FF" w:rsidP="00507649">
      <w:pPr>
        <w:pStyle w:val="Normalaftertitle"/>
        <w:rPr>
          <w:lang w:val="ru-RU"/>
        </w:rPr>
      </w:pPr>
      <w:r w:rsidRPr="00774F37">
        <w:rPr>
          <w:lang w:val="ru-RU"/>
        </w:rPr>
        <w:t>На протяжении</w:t>
      </w:r>
      <w:r w:rsidR="00507649" w:rsidRPr="00774F37">
        <w:rPr>
          <w:lang w:val="ru-RU"/>
        </w:rPr>
        <w:t xml:space="preserve"> ряда лет Совет освобождает некоторые организации международного характера от их финансовых обязательств по оплате расходов конференций и собраний МСЭ.</w:t>
      </w:r>
    </w:p>
    <w:p w:rsidR="00507649" w:rsidRPr="00774F37" w:rsidRDefault="00507649" w:rsidP="00507649">
      <w:pPr>
        <w:pStyle w:val="Heading1"/>
        <w:rPr>
          <w:lang w:val="ru-RU"/>
        </w:rPr>
      </w:pPr>
      <w:r w:rsidRPr="00774F37">
        <w:rPr>
          <w:lang w:val="ru-RU"/>
        </w:rPr>
        <w:t>1</w:t>
      </w:r>
      <w:r w:rsidRPr="00774F37">
        <w:rPr>
          <w:lang w:val="ru-RU"/>
        </w:rPr>
        <w:tab/>
        <w:t>Критерии и руководящие принципы</w:t>
      </w:r>
    </w:p>
    <w:p w:rsidR="00507649" w:rsidRPr="00774F37" w:rsidRDefault="00507649" w:rsidP="00507649">
      <w:pPr>
        <w:rPr>
          <w:lang w:val="ru-RU"/>
        </w:rPr>
      </w:pPr>
      <w:r w:rsidRPr="00774F37">
        <w:rPr>
          <w:lang w:val="ru-RU"/>
        </w:rPr>
        <w:t>1.1</w:t>
      </w:r>
      <w:r w:rsidRPr="00774F37">
        <w:rPr>
          <w:lang w:val="ru-RU"/>
        </w:rPr>
        <w:tab/>
        <w:t>В соответствии с п. 476 Конвенции Совет может освобождать "на взаимной основе" организации международного характера от уплаты членских взносов. Термин "на взаимной основе" применяется с тем, чтобы отразить взаимные и аналогичные выгоды, которые могут быть получены как МСЭ, так и конкретной организацией в результате участия последней в соответствующей деятельности МСЭ.</w:t>
      </w:r>
    </w:p>
    <w:p w:rsidR="00507649" w:rsidRPr="00774F37" w:rsidRDefault="00507649" w:rsidP="001E4615">
      <w:pPr>
        <w:rPr>
          <w:lang w:val="ru-RU"/>
        </w:rPr>
      </w:pPr>
      <w:r w:rsidRPr="00774F37">
        <w:rPr>
          <w:lang w:val="ru-RU"/>
        </w:rPr>
        <w:t>1.2</w:t>
      </w:r>
      <w:r w:rsidRPr="00774F37">
        <w:rPr>
          <w:lang w:val="ru-RU"/>
        </w:rPr>
        <w:tab/>
      </w:r>
      <w:r w:rsidR="001E4615" w:rsidRPr="00774F37">
        <w:rPr>
          <w:lang w:val="ru-RU"/>
        </w:rPr>
        <w:t>Ч</w:t>
      </w:r>
      <w:r w:rsidRPr="00774F37">
        <w:rPr>
          <w:lang w:val="ru-RU"/>
        </w:rPr>
        <w:t xml:space="preserve">тобы удовлетворять условиям, обеспечивающим такую взаимную основу, организация должна отвечать </w:t>
      </w:r>
      <w:r w:rsidRPr="00774F37">
        <w:rPr>
          <w:i/>
          <w:iCs/>
          <w:lang w:val="ru-RU"/>
        </w:rPr>
        <w:t>всем</w:t>
      </w:r>
      <w:r w:rsidRPr="00774F37">
        <w:rPr>
          <w:lang w:val="ru-RU"/>
        </w:rPr>
        <w:t xml:space="preserve"> представленным ниже критериям:</w:t>
      </w:r>
    </w:p>
    <w:p w:rsidR="00507649" w:rsidRPr="00774F37" w:rsidRDefault="00507649" w:rsidP="00600C14">
      <w:pPr>
        <w:pStyle w:val="enumlev1"/>
        <w:rPr>
          <w:lang w:val="ru-RU"/>
        </w:rPr>
      </w:pPr>
      <w:r w:rsidRPr="00774F37">
        <w:rPr>
          <w:lang w:val="ru-RU"/>
        </w:rPr>
        <w:t>−</w:t>
      </w:r>
      <w:r w:rsidRPr="00774F37">
        <w:rPr>
          <w:lang w:val="ru-RU"/>
        </w:rPr>
        <w:tab/>
        <w:t>быть организацией международного характера, действующей в области электросвязи;</w:t>
      </w:r>
    </w:p>
    <w:p w:rsidR="00507649" w:rsidRPr="00774F37" w:rsidRDefault="00507649" w:rsidP="00507649">
      <w:pPr>
        <w:pStyle w:val="enumlev1"/>
        <w:rPr>
          <w:lang w:val="ru-RU"/>
        </w:rPr>
      </w:pPr>
      <w:r w:rsidRPr="00774F37">
        <w:rPr>
          <w:lang w:val="ru-RU"/>
        </w:rPr>
        <w:t>−</w:t>
      </w:r>
      <w:r w:rsidRPr="00774F37">
        <w:rPr>
          <w:lang w:val="ru-RU"/>
        </w:rPr>
        <w:tab/>
        <w:t>быть юридически признанной некоммерческой организацией и представлять членов, которые также имеют некоммерческий статус;</w:t>
      </w:r>
    </w:p>
    <w:p w:rsidR="00507649" w:rsidRPr="00774F37" w:rsidRDefault="00507649" w:rsidP="00507649">
      <w:pPr>
        <w:pStyle w:val="enumlev1"/>
        <w:rPr>
          <w:lang w:val="ru-RU"/>
        </w:rPr>
      </w:pPr>
      <w:r w:rsidRPr="00774F37">
        <w:rPr>
          <w:lang w:val="ru-RU"/>
        </w:rPr>
        <w:t>−</w:t>
      </w:r>
      <w:r w:rsidRPr="00774F37">
        <w:rPr>
          <w:lang w:val="ru-RU"/>
        </w:rPr>
        <w:tab/>
        <w:t>иметь в своем составе значительное количество членов, быть представленной и осуществлять деятельность в нескольких Государствах-Членах, участие которых в деятельности МСЭ было бы выгодным для целей Союза;</w:t>
      </w:r>
    </w:p>
    <w:p w:rsidR="00507649" w:rsidRPr="00774F37" w:rsidRDefault="00507649" w:rsidP="00507649">
      <w:pPr>
        <w:pStyle w:val="enumlev1"/>
        <w:rPr>
          <w:lang w:val="ru-RU"/>
        </w:rPr>
      </w:pPr>
      <w:r w:rsidRPr="00774F37">
        <w:rPr>
          <w:lang w:val="ru-RU"/>
        </w:rPr>
        <w:t>−</w:t>
      </w:r>
      <w:r w:rsidRPr="00774F37">
        <w:rPr>
          <w:lang w:val="ru-RU"/>
        </w:rPr>
        <w:tab/>
        <w:t>давать МСЭ возможность быть представленным на собраниях данной организации и участвовать в них на бесплатной основе и с правами и преимуществами, предоставляемыми членам такой организации;</w:t>
      </w:r>
    </w:p>
    <w:p w:rsidR="00507649" w:rsidRPr="00774F37" w:rsidRDefault="00507649" w:rsidP="00507649">
      <w:pPr>
        <w:pStyle w:val="enumlev1"/>
        <w:rPr>
          <w:lang w:val="ru-RU"/>
        </w:rPr>
      </w:pPr>
      <w:r w:rsidRPr="00774F37">
        <w:rPr>
          <w:lang w:val="ru-RU"/>
        </w:rPr>
        <w:t>−</w:t>
      </w:r>
      <w:r w:rsidRPr="00774F37">
        <w:rPr>
          <w:lang w:val="ru-RU"/>
        </w:rPr>
        <w:tab/>
        <w:t>давать МСЭ возможность доступа к соответствующей документации, включая информацию, которая предоставляется только членам такой организации</w:t>
      </w:r>
      <w:r w:rsidRPr="00774F37">
        <w:rPr>
          <w:rStyle w:val="FootnoteReference"/>
          <w:lang w:val="ru-RU"/>
        </w:rPr>
        <w:footnoteReference w:customMarkFollows="1" w:id="1"/>
        <w:t>1</w:t>
      </w:r>
      <w:r w:rsidRPr="00774F37">
        <w:rPr>
          <w:lang w:val="ru-RU"/>
        </w:rPr>
        <w:t>.</w:t>
      </w:r>
    </w:p>
    <w:p w:rsidR="00507649" w:rsidRPr="00774F37" w:rsidRDefault="00507649" w:rsidP="00507649">
      <w:pPr>
        <w:rPr>
          <w:lang w:val="ru-RU"/>
        </w:rPr>
      </w:pPr>
      <w:r w:rsidRPr="00774F37">
        <w:rPr>
          <w:lang w:val="ru-RU"/>
        </w:rPr>
        <w:t>1.3</w:t>
      </w:r>
      <w:r w:rsidRPr="00774F37">
        <w:rPr>
          <w:lang w:val="ru-RU"/>
        </w:rPr>
        <w:tab/>
        <w:t>Принимая решение о предоставлении освобождения от уплаты членских взносов, Совет должен учитывать высказанные Генеральным секретарем мнения. В таких мнениях должны быть отражены:</w:t>
      </w:r>
    </w:p>
    <w:p w:rsidR="00507649" w:rsidRPr="00774F37" w:rsidRDefault="00507649" w:rsidP="00507649">
      <w:pPr>
        <w:pStyle w:val="enumlev1"/>
        <w:rPr>
          <w:lang w:val="ru-RU"/>
        </w:rPr>
      </w:pPr>
      <w:r w:rsidRPr="00774F37">
        <w:rPr>
          <w:lang w:val="ru-RU"/>
        </w:rPr>
        <w:t>−</w:t>
      </w:r>
      <w:r w:rsidRPr="00774F37">
        <w:rPr>
          <w:lang w:val="ru-RU"/>
        </w:rPr>
        <w:tab/>
        <w:t>преимущества, которые МСЭ получит от участия данной организации в деятельности Союза;</w:t>
      </w:r>
    </w:p>
    <w:p w:rsidR="00507649" w:rsidRPr="00774F37" w:rsidRDefault="00507649" w:rsidP="00507649">
      <w:pPr>
        <w:pStyle w:val="enumlev1"/>
        <w:rPr>
          <w:lang w:val="ru-RU"/>
        </w:rPr>
      </w:pPr>
      <w:r w:rsidRPr="00774F37">
        <w:rPr>
          <w:lang w:val="ru-RU"/>
        </w:rPr>
        <w:lastRenderedPageBreak/>
        <w:t>−</w:t>
      </w:r>
      <w:r w:rsidRPr="00774F37">
        <w:rPr>
          <w:lang w:val="ru-RU"/>
        </w:rPr>
        <w:tab/>
        <w:t>выгоды, возникающие в связи с участием МСЭ в деятельности данной организации.</w:t>
      </w:r>
    </w:p>
    <w:p w:rsidR="00507649" w:rsidRPr="00774F37" w:rsidRDefault="00507649" w:rsidP="00507649">
      <w:pPr>
        <w:pStyle w:val="Heading1"/>
        <w:rPr>
          <w:lang w:val="ru-RU"/>
        </w:rPr>
      </w:pPr>
      <w:r w:rsidRPr="00774F37">
        <w:rPr>
          <w:lang w:val="ru-RU"/>
        </w:rPr>
        <w:t>2</w:t>
      </w:r>
      <w:r w:rsidRPr="00774F37">
        <w:rPr>
          <w:lang w:val="ru-RU"/>
        </w:rPr>
        <w:tab/>
        <w:t>Процедура</w:t>
      </w:r>
    </w:p>
    <w:p w:rsidR="00507649" w:rsidRPr="00774F37" w:rsidRDefault="00507649" w:rsidP="00507649">
      <w:pPr>
        <w:rPr>
          <w:lang w:val="ru-RU"/>
        </w:rPr>
      </w:pPr>
      <w:r w:rsidRPr="00774F37">
        <w:rPr>
          <w:lang w:val="ru-RU"/>
        </w:rPr>
        <w:t>2.1</w:t>
      </w:r>
      <w:r w:rsidRPr="00774F37">
        <w:rPr>
          <w:lang w:val="ru-RU"/>
        </w:rPr>
        <w:tab/>
        <w:t>Каждая заявка на предоставление освобождения от уплаты должна подаваться Генеральному секретарю в письменном виде. Она должна быть представлена на рассмотрение Совету вместе с обоснованиями, подтверждающими ее правомерность (п. 1.2), и комментариями Генерального секретаря (п. 1.3).</w:t>
      </w:r>
    </w:p>
    <w:p w:rsidR="00507649" w:rsidRPr="00774F37" w:rsidRDefault="00507649" w:rsidP="00507649">
      <w:pPr>
        <w:rPr>
          <w:lang w:val="ru-RU"/>
        </w:rPr>
      </w:pPr>
      <w:r w:rsidRPr="00774F37">
        <w:rPr>
          <w:lang w:val="ru-RU"/>
        </w:rPr>
        <w:t>2.2</w:t>
      </w:r>
      <w:r w:rsidRPr="00774F37">
        <w:rPr>
          <w:lang w:val="ru-RU"/>
        </w:rPr>
        <w:tab/>
        <w:t>Генеральный секретарь изучает заявку на предоставление освобождения от уплаты на основе критериев, изложенных в пп. 1.2 и 1.3, выше, и представляет, если это целесообразно, отчет на ближайшей сессии Совета.</w:t>
      </w:r>
    </w:p>
    <w:p w:rsidR="00507649" w:rsidRPr="00774F37" w:rsidRDefault="00507649" w:rsidP="001E4615">
      <w:pPr>
        <w:rPr>
          <w:lang w:val="ru-RU"/>
        </w:rPr>
      </w:pPr>
      <w:r w:rsidRPr="00774F37">
        <w:rPr>
          <w:lang w:val="ru-RU"/>
        </w:rPr>
        <w:t>2.3</w:t>
      </w:r>
      <w:r w:rsidRPr="00774F37">
        <w:rPr>
          <w:lang w:val="ru-RU"/>
        </w:rPr>
        <w:tab/>
        <w:t xml:space="preserve">В случае утверждения Советом заявки на освобождение от уплаты членских взносов это решение вступает в силу незамедлительно с даты пленарного заседания, на котором оно было принято. Если Совет не принял иного решения в исключительных обстоятельствах, освобождение не должно предоставляться задним числом. Объединения, освобожденные Советом от уплаты членских взносов, </w:t>
      </w:r>
      <w:r w:rsidR="001E4615" w:rsidRPr="00774F37">
        <w:rPr>
          <w:lang w:val="ru-RU"/>
        </w:rPr>
        <w:t>остаются</w:t>
      </w:r>
      <w:r w:rsidRPr="00774F37">
        <w:rPr>
          <w:lang w:val="ru-RU"/>
        </w:rPr>
        <w:t xml:space="preserve"> ответственны</w:t>
      </w:r>
      <w:r w:rsidR="001E4615" w:rsidRPr="00774F37">
        <w:rPr>
          <w:lang w:val="ru-RU"/>
        </w:rPr>
        <w:t>ми</w:t>
      </w:r>
      <w:r w:rsidRPr="00774F37">
        <w:rPr>
          <w:lang w:val="ru-RU"/>
        </w:rPr>
        <w:t xml:space="preserve"> за любые суммы, причита</w:t>
      </w:r>
      <w:r w:rsidR="001E4615" w:rsidRPr="00774F37">
        <w:rPr>
          <w:lang w:val="ru-RU"/>
        </w:rPr>
        <w:t>вшиеся</w:t>
      </w:r>
      <w:r w:rsidRPr="00774F37">
        <w:rPr>
          <w:lang w:val="ru-RU"/>
        </w:rPr>
        <w:t xml:space="preserve"> к уплате до даты вступления в силу освобождения от уплаты членских взносов.</w:t>
      </w:r>
    </w:p>
    <w:p w:rsidR="00507649" w:rsidRPr="00774F37" w:rsidRDefault="00507649" w:rsidP="001E4615">
      <w:pPr>
        <w:rPr>
          <w:lang w:val="ru-RU"/>
        </w:rPr>
      </w:pPr>
      <w:r w:rsidRPr="00774F37">
        <w:rPr>
          <w:lang w:val="ru-RU"/>
        </w:rPr>
        <w:t>2.4</w:t>
      </w:r>
      <w:r w:rsidRPr="00774F37">
        <w:rPr>
          <w:lang w:val="ru-RU"/>
        </w:rPr>
        <w:tab/>
        <w:t xml:space="preserve">Освобождение действительно до следующей полномочной конференции, хотя Совет в любое время может решить отменить статус освобождения от уплаты членских взносов в отношении объединения, которое более не </w:t>
      </w:r>
      <w:r w:rsidR="001E4615" w:rsidRPr="00774F37">
        <w:rPr>
          <w:lang w:val="ru-RU"/>
        </w:rPr>
        <w:t>удовлетворяет</w:t>
      </w:r>
      <w:r w:rsidRPr="00774F37">
        <w:rPr>
          <w:lang w:val="ru-RU"/>
        </w:rPr>
        <w:t xml:space="preserve"> указанным выше критериям. Каждая полномочная конференция будет рассматривать перечень объединений, освобожденных от уплаты, и решать, какие из них будут продолжать пользоваться статусом организаций, освобожденных от уплаты.</w:t>
      </w:r>
    </w:p>
    <w:p w:rsidR="00507649" w:rsidRPr="00774F37" w:rsidRDefault="00507649" w:rsidP="00507649">
      <w:pPr>
        <w:rPr>
          <w:lang w:val="ru-RU"/>
        </w:rPr>
      </w:pPr>
      <w:r w:rsidRPr="00774F37">
        <w:rPr>
          <w:lang w:val="ru-RU"/>
        </w:rPr>
        <w:t>2.5</w:t>
      </w:r>
      <w:r w:rsidRPr="00774F37">
        <w:rPr>
          <w:lang w:val="ru-RU"/>
        </w:rPr>
        <w:tab/>
        <w:t>Перечень объединений, освобожденных от уплаты членских взносов, должен быть размещен для публичного доступа на веб-сайте МСЭ.</w:t>
      </w:r>
    </w:p>
    <w:p w:rsidR="00507649" w:rsidRPr="00774F37" w:rsidRDefault="00507649" w:rsidP="00507649">
      <w:pPr>
        <w:spacing w:before="720"/>
        <w:jc w:val="center"/>
        <w:rPr>
          <w:lang w:val="ru-RU"/>
        </w:rPr>
      </w:pPr>
      <w:r w:rsidRPr="00774F37">
        <w:rPr>
          <w:lang w:val="ru-RU"/>
        </w:rPr>
        <w:t>______________</w:t>
      </w:r>
    </w:p>
    <w:sectPr w:rsidR="00507649" w:rsidRPr="00774F37" w:rsidSect="003163C9">
      <w:headerReference w:type="default" r:id="rId16"/>
      <w:footerReference w:type="default" r:id="rId17"/>
      <w:footerReference w:type="first" r:id="rId18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C1B" w:rsidRDefault="00044C1B">
      <w:r>
        <w:separator/>
      </w:r>
    </w:p>
  </w:endnote>
  <w:endnote w:type="continuationSeparator" w:id="0">
    <w:p w:rsidR="00044C1B" w:rsidRDefault="0004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C1B" w:rsidRPr="000455AE" w:rsidRDefault="007818C0" w:rsidP="003F0696">
    <w:pPr>
      <w:pStyle w:val="Footer"/>
      <w:rPr>
        <w:color w:val="D9D9D9" w:themeColor="background1" w:themeShade="D9"/>
        <w:lang w:val="fr-CH"/>
      </w:rPr>
    </w:pPr>
    <w:r w:rsidRPr="000455AE">
      <w:rPr>
        <w:color w:val="D9D9D9" w:themeColor="background1" w:themeShade="D9"/>
        <w:lang w:val="fr-CH"/>
      </w:rPr>
      <w:fldChar w:fldCharType="begin"/>
    </w:r>
    <w:r w:rsidRPr="000455AE">
      <w:rPr>
        <w:color w:val="D9D9D9" w:themeColor="background1" w:themeShade="D9"/>
        <w:lang w:val="fr-CH"/>
      </w:rPr>
      <w:instrText xml:space="preserve"> FILENAME \p  \* MERGEFORMAT </w:instrText>
    </w:r>
    <w:r w:rsidRPr="000455AE">
      <w:rPr>
        <w:color w:val="D9D9D9" w:themeColor="background1" w:themeShade="D9"/>
        <w:lang w:val="fr-CH"/>
      </w:rPr>
      <w:fldChar w:fldCharType="separate"/>
    </w:r>
    <w:r w:rsidR="003F0696" w:rsidRPr="000455AE">
      <w:rPr>
        <w:color w:val="D9D9D9" w:themeColor="background1" w:themeShade="D9"/>
        <w:lang w:val="fr-CH"/>
      </w:rPr>
      <w:t>P</w:t>
    </w:r>
    <w:r w:rsidR="003F0696" w:rsidRPr="000455AE">
      <w:rPr>
        <w:color w:val="D9D9D9" w:themeColor="background1" w:themeShade="D9"/>
      </w:rPr>
      <w:t>:\RUS\SG\CONSEIL\C19\000\039R.docx</w:t>
    </w:r>
    <w:r w:rsidRPr="000455AE">
      <w:rPr>
        <w:color w:val="D9D9D9" w:themeColor="background1" w:themeShade="D9"/>
      </w:rPr>
      <w:fldChar w:fldCharType="end"/>
    </w:r>
    <w:r w:rsidR="00044C1B" w:rsidRPr="000455AE">
      <w:rPr>
        <w:color w:val="D9D9D9" w:themeColor="background1" w:themeShade="D9"/>
        <w:lang w:val="fr-CH"/>
      </w:rPr>
      <w:t xml:space="preserve"> (</w:t>
    </w:r>
    <w:r w:rsidR="003F0696" w:rsidRPr="000455AE">
      <w:rPr>
        <w:color w:val="D9D9D9" w:themeColor="background1" w:themeShade="D9"/>
        <w:lang w:val="fr-CH"/>
      </w:rPr>
      <w:t>450259</w:t>
    </w:r>
    <w:r w:rsidR="00044C1B" w:rsidRPr="000455AE">
      <w:rPr>
        <w:color w:val="D9D9D9" w:themeColor="background1" w:themeShade="D9"/>
        <w:lang w:val="fr-CH"/>
      </w:rPr>
      <w:t>)</w:t>
    </w:r>
    <w:r w:rsidR="00044C1B" w:rsidRPr="000455AE">
      <w:rPr>
        <w:color w:val="D9D9D9" w:themeColor="background1" w:themeShade="D9"/>
        <w:lang w:val="fr-CH"/>
      </w:rPr>
      <w:tab/>
    </w:r>
    <w:r w:rsidR="00044C1B" w:rsidRPr="000455AE">
      <w:rPr>
        <w:color w:val="D9D9D9" w:themeColor="background1" w:themeShade="D9"/>
      </w:rPr>
      <w:fldChar w:fldCharType="begin"/>
    </w:r>
    <w:r w:rsidR="00044C1B" w:rsidRPr="000455AE">
      <w:rPr>
        <w:color w:val="D9D9D9" w:themeColor="background1" w:themeShade="D9"/>
      </w:rPr>
      <w:instrText xml:space="preserve"> SAVEDATE \@ DD.MM.YY </w:instrText>
    </w:r>
    <w:r w:rsidR="00044C1B" w:rsidRPr="000455AE">
      <w:rPr>
        <w:color w:val="D9D9D9" w:themeColor="background1" w:themeShade="D9"/>
      </w:rPr>
      <w:fldChar w:fldCharType="separate"/>
    </w:r>
    <w:r w:rsidR="000455AE" w:rsidRPr="000455AE">
      <w:rPr>
        <w:color w:val="D9D9D9" w:themeColor="background1" w:themeShade="D9"/>
      </w:rPr>
      <w:t>21.05.19</w:t>
    </w:r>
    <w:r w:rsidR="00044C1B" w:rsidRPr="000455AE">
      <w:rPr>
        <w:color w:val="D9D9D9" w:themeColor="background1" w:themeShade="D9"/>
      </w:rPr>
      <w:fldChar w:fldCharType="end"/>
    </w:r>
    <w:r w:rsidR="00044C1B" w:rsidRPr="000455AE">
      <w:rPr>
        <w:color w:val="D9D9D9" w:themeColor="background1" w:themeShade="D9"/>
        <w:lang w:val="fr-CH"/>
      </w:rPr>
      <w:tab/>
    </w:r>
    <w:r w:rsidR="00044C1B" w:rsidRPr="000455AE">
      <w:rPr>
        <w:color w:val="D9D9D9" w:themeColor="background1" w:themeShade="D9"/>
      </w:rPr>
      <w:fldChar w:fldCharType="begin"/>
    </w:r>
    <w:r w:rsidR="00044C1B" w:rsidRPr="000455AE">
      <w:rPr>
        <w:color w:val="D9D9D9" w:themeColor="background1" w:themeShade="D9"/>
      </w:rPr>
      <w:instrText xml:space="preserve"> PRINTDATE \@ DD.MM.YY </w:instrText>
    </w:r>
    <w:r w:rsidR="00044C1B" w:rsidRPr="000455AE">
      <w:rPr>
        <w:color w:val="D9D9D9" w:themeColor="background1" w:themeShade="D9"/>
      </w:rPr>
      <w:fldChar w:fldCharType="separate"/>
    </w:r>
    <w:r w:rsidR="003F0696" w:rsidRPr="000455AE">
      <w:rPr>
        <w:color w:val="D9D9D9" w:themeColor="background1" w:themeShade="D9"/>
      </w:rPr>
      <w:t>14.05.19</w:t>
    </w:r>
    <w:r w:rsidR="00044C1B" w:rsidRPr="000455AE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C1B" w:rsidRDefault="00044C1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44C1B" w:rsidRPr="000455AE" w:rsidRDefault="007818C0" w:rsidP="003F0696">
    <w:pPr>
      <w:pStyle w:val="Footer"/>
      <w:rPr>
        <w:color w:val="D9D9D9" w:themeColor="background1" w:themeShade="D9"/>
        <w:lang w:val="fr-CH"/>
      </w:rPr>
    </w:pPr>
    <w:r w:rsidRPr="000455AE">
      <w:rPr>
        <w:color w:val="D9D9D9" w:themeColor="background1" w:themeShade="D9"/>
        <w:lang w:val="fr-CH"/>
      </w:rPr>
      <w:fldChar w:fldCharType="begin"/>
    </w:r>
    <w:r w:rsidRPr="000455AE">
      <w:rPr>
        <w:color w:val="D9D9D9" w:themeColor="background1" w:themeShade="D9"/>
        <w:lang w:val="fr-CH"/>
      </w:rPr>
      <w:instrText xml:space="preserve"> FILENAME \p  \* MERGEFORMAT </w:instrText>
    </w:r>
    <w:r w:rsidRPr="000455AE">
      <w:rPr>
        <w:color w:val="D9D9D9" w:themeColor="background1" w:themeShade="D9"/>
        <w:lang w:val="fr-CH"/>
      </w:rPr>
      <w:fldChar w:fldCharType="separate"/>
    </w:r>
    <w:r w:rsidR="003F0696" w:rsidRPr="000455AE">
      <w:rPr>
        <w:color w:val="D9D9D9" w:themeColor="background1" w:themeShade="D9"/>
        <w:lang w:val="fr-CH"/>
      </w:rPr>
      <w:t>P</w:t>
    </w:r>
    <w:r w:rsidR="003F0696" w:rsidRPr="000455AE">
      <w:rPr>
        <w:color w:val="D9D9D9" w:themeColor="background1" w:themeShade="D9"/>
      </w:rPr>
      <w:t>:\RUS\SG\CONSEIL\C19\000\039R.docx</w:t>
    </w:r>
    <w:r w:rsidRPr="000455AE">
      <w:rPr>
        <w:color w:val="D9D9D9" w:themeColor="background1" w:themeShade="D9"/>
      </w:rPr>
      <w:fldChar w:fldCharType="end"/>
    </w:r>
    <w:r w:rsidR="003163C9" w:rsidRPr="000455AE">
      <w:rPr>
        <w:color w:val="D9D9D9" w:themeColor="background1" w:themeShade="D9"/>
        <w:lang w:val="fr-CH"/>
      </w:rPr>
      <w:t xml:space="preserve"> (</w:t>
    </w:r>
    <w:r w:rsidR="003F0696" w:rsidRPr="000455AE">
      <w:rPr>
        <w:color w:val="D9D9D9" w:themeColor="background1" w:themeShade="D9"/>
        <w:lang w:val="fr-CH"/>
      </w:rPr>
      <w:t>450259</w:t>
    </w:r>
    <w:r w:rsidR="003163C9" w:rsidRPr="000455AE">
      <w:rPr>
        <w:color w:val="D9D9D9" w:themeColor="background1" w:themeShade="D9"/>
        <w:lang w:val="fr-CH"/>
      </w:rPr>
      <w:t>)</w:t>
    </w:r>
    <w:r w:rsidR="003163C9" w:rsidRPr="000455AE">
      <w:rPr>
        <w:color w:val="D9D9D9" w:themeColor="background1" w:themeShade="D9"/>
        <w:lang w:val="fr-CH"/>
      </w:rPr>
      <w:tab/>
    </w:r>
    <w:r w:rsidR="003163C9" w:rsidRPr="000455AE">
      <w:rPr>
        <w:color w:val="D9D9D9" w:themeColor="background1" w:themeShade="D9"/>
      </w:rPr>
      <w:fldChar w:fldCharType="begin"/>
    </w:r>
    <w:r w:rsidR="003163C9" w:rsidRPr="000455AE">
      <w:rPr>
        <w:color w:val="D9D9D9" w:themeColor="background1" w:themeShade="D9"/>
      </w:rPr>
      <w:instrText xml:space="preserve"> SAVEDATE \@ DD.MM.YY </w:instrText>
    </w:r>
    <w:r w:rsidR="003163C9" w:rsidRPr="000455AE">
      <w:rPr>
        <w:color w:val="D9D9D9" w:themeColor="background1" w:themeShade="D9"/>
      </w:rPr>
      <w:fldChar w:fldCharType="separate"/>
    </w:r>
    <w:r w:rsidR="000455AE" w:rsidRPr="000455AE">
      <w:rPr>
        <w:color w:val="D9D9D9" w:themeColor="background1" w:themeShade="D9"/>
      </w:rPr>
      <w:t>21.05.19</w:t>
    </w:r>
    <w:r w:rsidR="003163C9" w:rsidRPr="000455AE">
      <w:rPr>
        <w:color w:val="D9D9D9" w:themeColor="background1" w:themeShade="D9"/>
      </w:rPr>
      <w:fldChar w:fldCharType="end"/>
    </w:r>
    <w:r w:rsidR="003163C9" w:rsidRPr="000455AE">
      <w:rPr>
        <w:color w:val="D9D9D9" w:themeColor="background1" w:themeShade="D9"/>
        <w:lang w:val="fr-CH"/>
      </w:rPr>
      <w:tab/>
    </w:r>
    <w:r w:rsidR="003163C9" w:rsidRPr="000455AE">
      <w:rPr>
        <w:color w:val="D9D9D9" w:themeColor="background1" w:themeShade="D9"/>
      </w:rPr>
      <w:fldChar w:fldCharType="begin"/>
    </w:r>
    <w:r w:rsidR="003163C9" w:rsidRPr="000455AE">
      <w:rPr>
        <w:color w:val="D9D9D9" w:themeColor="background1" w:themeShade="D9"/>
      </w:rPr>
      <w:instrText xml:space="preserve"> PRINTDATE \@ DD.MM.YY </w:instrText>
    </w:r>
    <w:r w:rsidR="003163C9" w:rsidRPr="000455AE">
      <w:rPr>
        <w:color w:val="D9D9D9" w:themeColor="background1" w:themeShade="D9"/>
      </w:rPr>
      <w:fldChar w:fldCharType="separate"/>
    </w:r>
    <w:r w:rsidR="003F0696" w:rsidRPr="000455AE">
      <w:rPr>
        <w:color w:val="D9D9D9" w:themeColor="background1" w:themeShade="D9"/>
      </w:rPr>
      <w:t>14.05.19</w:t>
    </w:r>
    <w:r w:rsidR="003163C9" w:rsidRPr="000455AE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C1B" w:rsidRDefault="00044C1B">
      <w:r>
        <w:t>____________________</w:t>
      </w:r>
    </w:p>
  </w:footnote>
  <w:footnote w:type="continuationSeparator" w:id="0">
    <w:p w:rsidR="00044C1B" w:rsidRDefault="00044C1B">
      <w:r>
        <w:continuationSeparator/>
      </w:r>
    </w:p>
  </w:footnote>
  <w:footnote w:id="1">
    <w:p w:rsidR="00044C1B" w:rsidRPr="003163C9" w:rsidRDefault="00044C1B" w:rsidP="00507649">
      <w:pPr>
        <w:pStyle w:val="FootnoteText"/>
        <w:rPr>
          <w:lang w:val="ru-RU"/>
        </w:rPr>
      </w:pPr>
      <w:r w:rsidRPr="00BA01B9">
        <w:rPr>
          <w:rStyle w:val="FootnoteReference"/>
          <w:lang w:val="ru-RU"/>
        </w:rPr>
        <w:t>1</w:t>
      </w:r>
      <w:r w:rsidRPr="00BA01B9">
        <w:rPr>
          <w:lang w:val="ru-RU"/>
        </w:rPr>
        <w:t xml:space="preserve"> </w:t>
      </w:r>
      <w:r w:rsidRPr="00BA01B9">
        <w:rPr>
          <w:lang w:val="ru-RU"/>
        </w:rPr>
        <w:tab/>
        <w:t>Это означает предоставление взаимного доступа к информации/документации, аналогичных той информации/документации, которые МСЭ предоставляет своим членам через систему ограниченного доступа TIES.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C1B" w:rsidRDefault="00044C1B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0455AE">
      <w:rPr>
        <w:noProof/>
      </w:rPr>
      <w:t>6</w:t>
    </w:r>
    <w:r>
      <w:rPr>
        <w:noProof/>
      </w:rPr>
      <w:fldChar w:fldCharType="end"/>
    </w:r>
  </w:p>
  <w:p w:rsidR="00044C1B" w:rsidRDefault="00044C1B" w:rsidP="00FB127D">
    <w:pPr>
      <w:pStyle w:val="Header"/>
    </w:pPr>
    <w:r>
      <w:t>C1</w:t>
    </w:r>
    <w:r w:rsidR="00FB127D">
      <w:rPr>
        <w:lang w:val="ru-RU"/>
      </w:rPr>
      <w:t>9</w:t>
    </w:r>
    <w:r>
      <w:t>/</w:t>
    </w:r>
    <w:r w:rsidR="00FB127D">
      <w:rPr>
        <w:lang w:val="ru-RU"/>
      </w:rPr>
      <w:t>39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DA"/>
    <w:rsid w:val="0002183E"/>
    <w:rsid w:val="000310F4"/>
    <w:rsid w:val="00044C1B"/>
    <w:rsid w:val="000455AE"/>
    <w:rsid w:val="000569B4"/>
    <w:rsid w:val="00080E82"/>
    <w:rsid w:val="000A1614"/>
    <w:rsid w:val="000A33C3"/>
    <w:rsid w:val="000B1716"/>
    <w:rsid w:val="000C137D"/>
    <w:rsid w:val="000C72F7"/>
    <w:rsid w:val="000D6B64"/>
    <w:rsid w:val="000E1A77"/>
    <w:rsid w:val="000E568E"/>
    <w:rsid w:val="000F525C"/>
    <w:rsid w:val="000F62B8"/>
    <w:rsid w:val="00104677"/>
    <w:rsid w:val="00107573"/>
    <w:rsid w:val="00145B51"/>
    <w:rsid w:val="0014734F"/>
    <w:rsid w:val="00150703"/>
    <w:rsid w:val="0015710D"/>
    <w:rsid w:val="00163A32"/>
    <w:rsid w:val="00166EC3"/>
    <w:rsid w:val="00190959"/>
    <w:rsid w:val="00192B41"/>
    <w:rsid w:val="001B7B09"/>
    <w:rsid w:val="001E030A"/>
    <w:rsid w:val="001E4615"/>
    <w:rsid w:val="001E6719"/>
    <w:rsid w:val="001F4F69"/>
    <w:rsid w:val="00214983"/>
    <w:rsid w:val="002239DF"/>
    <w:rsid w:val="00225368"/>
    <w:rsid w:val="00227FF0"/>
    <w:rsid w:val="002322BD"/>
    <w:rsid w:val="00235DFF"/>
    <w:rsid w:val="00242A69"/>
    <w:rsid w:val="00243AEE"/>
    <w:rsid w:val="00246067"/>
    <w:rsid w:val="00261459"/>
    <w:rsid w:val="00263162"/>
    <w:rsid w:val="00281E7E"/>
    <w:rsid w:val="00287C6C"/>
    <w:rsid w:val="00291EB6"/>
    <w:rsid w:val="002B2F84"/>
    <w:rsid w:val="002C3ECB"/>
    <w:rsid w:val="002D2F57"/>
    <w:rsid w:val="002D48C5"/>
    <w:rsid w:val="002D5089"/>
    <w:rsid w:val="00314ACB"/>
    <w:rsid w:val="003163C9"/>
    <w:rsid w:val="003171E7"/>
    <w:rsid w:val="00317C41"/>
    <w:rsid w:val="00320B04"/>
    <w:rsid w:val="00321146"/>
    <w:rsid w:val="00344F67"/>
    <w:rsid w:val="00350E88"/>
    <w:rsid w:val="003547FF"/>
    <w:rsid w:val="00371A2E"/>
    <w:rsid w:val="00371E7A"/>
    <w:rsid w:val="00394815"/>
    <w:rsid w:val="003A2292"/>
    <w:rsid w:val="003B1816"/>
    <w:rsid w:val="003B1D12"/>
    <w:rsid w:val="003C5C3F"/>
    <w:rsid w:val="003E72D6"/>
    <w:rsid w:val="003F0696"/>
    <w:rsid w:val="003F099E"/>
    <w:rsid w:val="003F235E"/>
    <w:rsid w:val="004023E0"/>
    <w:rsid w:val="00403DD8"/>
    <w:rsid w:val="00415C17"/>
    <w:rsid w:val="00424131"/>
    <w:rsid w:val="00431DED"/>
    <w:rsid w:val="00442D77"/>
    <w:rsid w:val="00443D09"/>
    <w:rsid w:val="00451010"/>
    <w:rsid w:val="0045686C"/>
    <w:rsid w:val="00461584"/>
    <w:rsid w:val="004648C6"/>
    <w:rsid w:val="004662A9"/>
    <w:rsid w:val="004918C4"/>
    <w:rsid w:val="00497703"/>
    <w:rsid w:val="004A0374"/>
    <w:rsid w:val="004A1503"/>
    <w:rsid w:val="004A45B5"/>
    <w:rsid w:val="004A5C70"/>
    <w:rsid w:val="004B3135"/>
    <w:rsid w:val="004B3EC5"/>
    <w:rsid w:val="004C0BF7"/>
    <w:rsid w:val="004D0129"/>
    <w:rsid w:val="004E0238"/>
    <w:rsid w:val="004E6ED7"/>
    <w:rsid w:val="00505225"/>
    <w:rsid w:val="00507649"/>
    <w:rsid w:val="00512DE4"/>
    <w:rsid w:val="00526235"/>
    <w:rsid w:val="00540382"/>
    <w:rsid w:val="00562595"/>
    <w:rsid w:val="00591610"/>
    <w:rsid w:val="005A269D"/>
    <w:rsid w:val="005A35CB"/>
    <w:rsid w:val="005A64D5"/>
    <w:rsid w:val="005A701D"/>
    <w:rsid w:val="005D671B"/>
    <w:rsid w:val="005E1B84"/>
    <w:rsid w:val="005E54F1"/>
    <w:rsid w:val="005F2648"/>
    <w:rsid w:val="00600C14"/>
    <w:rsid w:val="00601994"/>
    <w:rsid w:val="00616662"/>
    <w:rsid w:val="00630D38"/>
    <w:rsid w:val="00642C67"/>
    <w:rsid w:val="006928C3"/>
    <w:rsid w:val="006938C7"/>
    <w:rsid w:val="006A2559"/>
    <w:rsid w:val="006A6F4F"/>
    <w:rsid w:val="006A6F77"/>
    <w:rsid w:val="006C7AE6"/>
    <w:rsid w:val="006D432C"/>
    <w:rsid w:val="006E2D42"/>
    <w:rsid w:val="006E6D48"/>
    <w:rsid w:val="00703676"/>
    <w:rsid w:val="00707304"/>
    <w:rsid w:val="00727B1D"/>
    <w:rsid w:val="00732269"/>
    <w:rsid w:val="00743C95"/>
    <w:rsid w:val="00761F14"/>
    <w:rsid w:val="0076473A"/>
    <w:rsid w:val="00774AB4"/>
    <w:rsid w:val="00774F37"/>
    <w:rsid w:val="007774EA"/>
    <w:rsid w:val="007818C0"/>
    <w:rsid w:val="00783C6F"/>
    <w:rsid w:val="00785ABD"/>
    <w:rsid w:val="00787C6A"/>
    <w:rsid w:val="0079299D"/>
    <w:rsid w:val="007935CC"/>
    <w:rsid w:val="007A2DD4"/>
    <w:rsid w:val="007A4492"/>
    <w:rsid w:val="007C7DA8"/>
    <w:rsid w:val="007D0DD3"/>
    <w:rsid w:val="007D38B5"/>
    <w:rsid w:val="007D6F63"/>
    <w:rsid w:val="007E25E1"/>
    <w:rsid w:val="007E512E"/>
    <w:rsid w:val="007E64CA"/>
    <w:rsid w:val="007E7EA0"/>
    <w:rsid w:val="00807255"/>
    <w:rsid w:val="0081023E"/>
    <w:rsid w:val="008173AA"/>
    <w:rsid w:val="008235F8"/>
    <w:rsid w:val="00836728"/>
    <w:rsid w:val="00836A7F"/>
    <w:rsid w:val="00840A14"/>
    <w:rsid w:val="008727DC"/>
    <w:rsid w:val="00890447"/>
    <w:rsid w:val="008A4B52"/>
    <w:rsid w:val="008B0C98"/>
    <w:rsid w:val="008B62B4"/>
    <w:rsid w:val="008C0590"/>
    <w:rsid w:val="008C3081"/>
    <w:rsid w:val="008C4D9F"/>
    <w:rsid w:val="008D2D7B"/>
    <w:rsid w:val="008D36F6"/>
    <w:rsid w:val="008E0737"/>
    <w:rsid w:val="008E12F6"/>
    <w:rsid w:val="008E37A4"/>
    <w:rsid w:val="008E4564"/>
    <w:rsid w:val="008E57A7"/>
    <w:rsid w:val="008F52E0"/>
    <w:rsid w:val="008F7C2C"/>
    <w:rsid w:val="00911492"/>
    <w:rsid w:val="00937EA5"/>
    <w:rsid w:val="00940E96"/>
    <w:rsid w:val="00944F39"/>
    <w:rsid w:val="00946E62"/>
    <w:rsid w:val="009656D4"/>
    <w:rsid w:val="00980059"/>
    <w:rsid w:val="009851DB"/>
    <w:rsid w:val="009917D8"/>
    <w:rsid w:val="00995518"/>
    <w:rsid w:val="009B0BAE"/>
    <w:rsid w:val="009B2D53"/>
    <w:rsid w:val="009B47D8"/>
    <w:rsid w:val="009B5394"/>
    <w:rsid w:val="009B723B"/>
    <w:rsid w:val="009C1C89"/>
    <w:rsid w:val="009F3448"/>
    <w:rsid w:val="009F43B7"/>
    <w:rsid w:val="009F54E9"/>
    <w:rsid w:val="00A003A7"/>
    <w:rsid w:val="00A011D9"/>
    <w:rsid w:val="00A01CF9"/>
    <w:rsid w:val="00A02548"/>
    <w:rsid w:val="00A030D5"/>
    <w:rsid w:val="00A230A6"/>
    <w:rsid w:val="00A515BC"/>
    <w:rsid w:val="00A62B99"/>
    <w:rsid w:val="00A6538F"/>
    <w:rsid w:val="00A71773"/>
    <w:rsid w:val="00A80A06"/>
    <w:rsid w:val="00A873C9"/>
    <w:rsid w:val="00AC6E13"/>
    <w:rsid w:val="00AD46F0"/>
    <w:rsid w:val="00AE2C85"/>
    <w:rsid w:val="00AF3C06"/>
    <w:rsid w:val="00AF3F1D"/>
    <w:rsid w:val="00B078CE"/>
    <w:rsid w:val="00B12A37"/>
    <w:rsid w:val="00B131E0"/>
    <w:rsid w:val="00B243B8"/>
    <w:rsid w:val="00B2462F"/>
    <w:rsid w:val="00B35CCC"/>
    <w:rsid w:val="00B43FD8"/>
    <w:rsid w:val="00B51AEE"/>
    <w:rsid w:val="00B63EF2"/>
    <w:rsid w:val="00B84060"/>
    <w:rsid w:val="00B94115"/>
    <w:rsid w:val="00B95F4D"/>
    <w:rsid w:val="00BA7D89"/>
    <w:rsid w:val="00BC0D39"/>
    <w:rsid w:val="00BC32CA"/>
    <w:rsid w:val="00BC7BC0"/>
    <w:rsid w:val="00BD57B7"/>
    <w:rsid w:val="00BE63E2"/>
    <w:rsid w:val="00C20E25"/>
    <w:rsid w:val="00C351A3"/>
    <w:rsid w:val="00C433AF"/>
    <w:rsid w:val="00C45BFB"/>
    <w:rsid w:val="00C62DED"/>
    <w:rsid w:val="00CC100B"/>
    <w:rsid w:val="00CC2159"/>
    <w:rsid w:val="00CC7179"/>
    <w:rsid w:val="00CD2009"/>
    <w:rsid w:val="00CD559F"/>
    <w:rsid w:val="00CD5F42"/>
    <w:rsid w:val="00CD684E"/>
    <w:rsid w:val="00CD7F49"/>
    <w:rsid w:val="00CE61AE"/>
    <w:rsid w:val="00CF629C"/>
    <w:rsid w:val="00CF74B1"/>
    <w:rsid w:val="00D058E3"/>
    <w:rsid w:val="00D20AF1"/>
    <w:rsid w:val="00D2485C"/>
    <w:rsid w:val="00D260DB"/>
    <w:rsid w:val="00D27ACB"/>
    <w:rsid w:val="00D47781"/>
    <w:rsid w:val="00D74E57"/>
    <w:rsid w:val="00D8759C"/>
    <w:rsid w:val="00D926DA"/>
    <w:rsid w:val="00D92EEA"/>
    <w:rsid w:val="00D951A3"/>
    <w:rsid w:val="00DA5D4E"/>
    <w:rsid w:val="00DA673E"/>
    <w:rsid w:val="00DD1A59"/>
    <w:rsid w:val="00DD7C7C"/>
    <w:rsid w:val="00DE27A4"/>
    <w:rsid w:val="00E00BC0"/>
    <w:rsid w:val="00E12BA9"/>
    <w:rsid w:val="00E1753F"/>
    <w:rsid w:val="00E176BA"/>
    <w:rsid w:val="00E25EE6"/>
    <w:rsid w:val="00E33BD4"/>
    <w:rsid w:val="00E368F3"/>
    <w:rsid w:val="00E423EC"/>
    <w:rsid w:val="00E55121"/>
    <w:rsid w:val="00E642D7"/>
    <w:rsid w:val="00E652A6"/>
    <w:rsid w:val="00E70674"/>
    <w:rsid w:val="00E723F8"/>
    <w:rsid w:val="00EA1B7A"/>
    <w:rsid w:val="00EB056F"/>
    <w:rsid w:val="00EB09F3"/>
    <w:rsid w:val="00EB3CB1"/>
    <w:rsid w:val="00EB4FCB"/>
    <w:rsid w:val="00EC6BC5"/>
    <w:rsid w:val="00EE7E55"/>
    <w:rsid w:val="00EF109B"/>
    <w:rsid w:val="00F008B6"/>
    <w:rsid w:val="00F02B73"/>
    <w:rsid w:val="00F078F7"/>
    <w:rsid w:val="00F25DB8"/>
    <w:rsid w:val="00F32BB7"/>
    <w:rsid w:val="00F35137"/>
    <w:rsid w:val="00F35898"/>
    <w:rsid w:val="00F5225B"/>
    <w:rsid w:val="00F70AFA"/>
    <w:rsid w:val="00F90A94"/>
    <w:rsid w:val="00FB127D"/>
    <w:rsid w:val="00FB5A2F"/>
    <w:rsid w:val="00FB5BFF"/>
    <w:rsid w:val="00FE45C1"/>
    <w:rsid w:val="00FE5701"/>
    <w:rsid w:val="00FE7232"/>
    <w:rsid w:val="00FF6F21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108CD609-796D-49C1-9357-DEA08AAE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59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D559F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CD559F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CD559F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CD559F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CD559F"/>
    <w:pPr>
      <w:outlineLvl w:val="4"/>
    </w:pPr>
  </w:style>
  <w:style w:type="paragraph" w:styleId="Heading6">
    <w:name w:val="heading 6"/>
    <w:basedOn w:val="Heading4"/>
    <w:next w:val="Normal"/>
    <w:qFormat/>
    <w:rsid w:val="00CD559F"/>
    <w:pPr>
      <w:outlineLvl w:val="5"/>
    </w:pPr>
  </w:style>
  <w:style w:type="paragraph" w:styleId="Heading7">
    <w:name w:val="heading 7"/>
    <w:basedOn w:val="Heading6"/>
    <w:next w:val="Normal"/>
    <w:qFormat/>
    <w:rsid w:val="00CD559F"/>
    <w:pPr>
      <w:outlineLvl w:val="6"/>
    </w:pPr>
  </w:style>
  <w:style w:type="paragraph" w:styleId="Heading8">
    <w:name w:val="heading 8"/>
    <w:basedOn w:val="Heading6"/>
    <w:next w:val="Normal"/>
    <w:qFormat/>
    <w:rsid w:val="00CD559F"/>
    <w:pPr>
      <w:outlineLvl w:val="7"/>
    </w:pPr>
  </w:style>
  <w:style w:type="paragraph" w:styleId="Heading9">
    <w:name w:val="heading 9"/>
    <w:basedOn w:val="Heading6"/>
    <w:next w:val="Normal"/>
    <w:qFormat/>
    <w:rsid w:val="00CD559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CD559F"/>
  </w:style>
  <w:style w:type="paragraph" w:styleId="TOC4">
    <w:name w:val="toc 4"/>
    <w:basedOn w:val="TOC3"/>
    <w:rsid w:val="00CD559F"/>
    <w:pPr>
      <w:spacing w:before="80"/>
    </w:pPr>
  </w:style>
  <w:style w:type="paragraph" w:styleId="TOC3">
    <w:name w:val="toc 3"/>
    <w:basedOn w:val="TOC2"/>
    <w:rsid w:val="00CD559F"/>
  </w:style>
  <w:style w:type="paragraph" w:styleId="TOC2">
    <w:name w:val="toc 2"/>
    <w:basedOn w:val="TOC1"/>
    <w:rsid w:val="00CD559F"/>
    <w:pPr>
      <w:spacing w:before="160"/>
    </w:pPr>
  </w:style>
  <w:style w:type="paragraph" w:styleId="TOC1">
    <w:name w:val="toc 1"/>
    <w:basedOn w:val="Normal"/>
    <w:rsid w:val="00CD559F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CD559F"/>
  </w:style>
  <w:style w:type="paragraph" w:styleId="TOC6">
    <w:name w:val="toc 6"/>
    <w:basedOn w:val="TOC4"/>
    <w:rsid w:val="00CD559F"/>
  </w:style>
  <w:style w:type="paragraph" w:styleId="TOC5">
    <w:name w:val="toc 5"/>
    <w:basedOn w:val="TOC4"/>
    <w:rsid w:val="00CD559F"/>
  </w:style>
  <w:style w:type="paragraph" w:styleId="Index7">
    <w:name w:val="index 7"/>
    <w:basedOn w:val="Normal"/>
    <w:next w:val="Normal"/>
    <w:rsid w:val="00CD559F"/>
    <w:pPr>
      <w:ind w:left="1698"/>
    </w:pPr>
  </w:style>
  <w:style w:type="paragraph" w:styleId="Index6">
    <w:name w:val="index 6"/>
    <w:basedOn w:val="Normal"/>
    <w:next w:val="Normal"/>
    <w:rsid w:val="00CD559F"/>
    <w:pPr>
      <w:ind w:left="1415"/>
    </w:pPr>
  </w:style>
  <w:style w:type="paragraph" w:styleId="Index5">
    <w:name w:val="index 5"/>
    <w:basedOn w:val="Normal"/>
    <w:next w:val="Normal"/>
    <w:rsid w:val="00CD559F"/>
    <w:pPr>
      <w:ind w:left="1132"/>
    </w:pPr>
  </w:style>
  <w:style w:type="paragraph" w:styleId="Index4">
    <w:name w:val="index 4"/>
    <w:basedOn w:val="Normal"/>
    <w:next w:val="Normal"/>
    <w:rsid w:val="00CD559F"/>
    <w:pPr>
      <w:ind w:left="849"/>
    </w:pPr>
  </w:style>
  <w:style w:type="paragraph" w:styleId="Index3">
    <w:name w:val="index 3"/>
    <w:basedOn w:val="Normal"/>
    <w:next w:val="Normal"/>
    <w:rsid w:val="00CD559F"/>
    <w:pPr>
      <w:ind w:left="566"/>
    </w:pPr>
  </w:style>
  <w:style w:type="paragraph" w:styleId="Index2">
    <w:name w:val="index 2"/>
    <w:basedOn w:val="Normal"/>
    <w:next w:val="Normal"/>
    <w:rsid w:val="00CD559F"/>
    <w:pPr>
      <w:ind w:left="283"/>
    </w:pPr>
  </w:style>
  <w:style w:type="paragraph" w:styleId="Index1">
    <w:name w:val="index 1"/>
    <w:basedOn w:val="Normal"/>
    <w:next w:val="Normal"/>
    <w:rsid w:val="00CD559F"/>
  </w:style>
  <w:style w:type="character" w:styleId="LineNumber">
    <w:name w:val="line number"/>
    <w:basedOn w:val="DefaultParagraphFont"/>
    <w:rsid w:val="00CD559F"/>
  </w:style>
  <w:style w:type="paragraph" w:styleId="IndexHeading">
    <w:name w:val="index heading"/>
    <w:basedOn w:val="Normal"/>
    <w:next w:val="Index1"/>
    <w:rsid w:val="00CD559F"/>
  </w:style>
  <w:style w:type="paragraph" w:styleId="Footer">
    <w:name w:val="footer"/>
    <w:basedOn w:val="Normal"/>
    <w:rsid w:val="00CD559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CD559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CD559F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D559F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CD559F"/>
    <w:pPr>
      <w:ind w:left="794"/>
    </w:pPr>
  </w:style>
  <w:style w:type="paragraph" w:customStyle="1" w:styleId="enumlev1">
    <w:name w:val="enumlev1"/>
    <w:basedOn w:val="Normal"/>
    <w:link w:val="enumlev1Char"/>
    <w:rsid w:val="00CD559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CD559F"/>
    <w:pPr>
      <w:ind w:left="1191" w:hanging="397"/>
    </w:pPr>
  </w:style>
  <w:style w:type="paragraph" w:customStyle="1" w:styleId="enumlev3">
    <w:name w:val="enumlev3"/>
    <w:basedOn w:val="enumlev2"/>
    <w:rsid w:val="00CD559F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CD559F"/>
    <w:pPr>
      <w:spacing w:before="320"/>
    </w:pPr>
  </w:style>
  <w:style w:type="paragraph" w:customStyle="1" w:styleId="Equation">
    <w:name w:val="Equation"/>
    <w:basedOn w:val="Normal"/>
    <w:rsid w:val="00CD559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CD559F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CD559F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CD559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CD559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CD559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CD559F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CD559F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CD559F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CD559F"/>
  </w:style>
  <w:style w:type="paragraph" w:customStyle="1" w:styleId="Data">
    <w:name w:val="Data"/>
    <w:basedOn w:val="Subject"/>
    <w:next w:val="Subject"/>
    <w:rsid w:val="00CD559F"/>
  </w:style>
  <w:style w:type="paragraph" w:customStyle="1" w:styleId="Reasons">
    <w:name w:val="Reasons"/>
    <w:basedOn w:val="Normal"/>
    <w:rsid w:val="00CD559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CD559F"/>
    <w:rPr>
      <w:color w:val="0000FF"/>
      <w:u w:val="single"/>
    </w:rPr>
  </w:style>
  <w:style w:type="paragraph" w:customStyle="1" w:styleId="FirstFooter">
    <w:name w:val="FirstFooter"/>
    <w:basedOn w:val="Footer"/>
    <w:rsid w:val="00CD559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CD559F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CD559F"/>
  </w:style>
  <w:style w:type="paragraph" w:customStyle="1" w:styleId="Headingb">
    <w:name w:val="Heading_b"/>
    <w:basedOn w:val="Heading3"/>
    <w:next w:val="Normal"/>
    <w:rsid w:val="00CD559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CD559F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CD559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CD559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CD559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D559F"/>
    <w:rPr>
      <w:b/>
    </w:rPr>
  </w:style>
  <w:style w:type="paragraph" w:customStyle="1" w:styleId="dnum">
    <w:name w:val="dnum"/>
    <w:basedOn w:val="Normal"/>
    <w:rsid w:val="00CD559F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CD559F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CD559F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CD559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CD559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CD559F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CD559F"/>
  </w:style>
  <w:style w:type="paragraph" w:customStyle="1" w:styleId="Appendixtitle">
    <w:name w:val="Appendix_title"/>
    <w:basedOn w:val="Annextitle"/>
    <w:next w:val="Appendixref"/>
    <w:rsid w:val="00CD559F"/>
  </w:style>
  <w:style w:type="paragraph" w:customStyle="1" w:styleId="Appendixref">
    <w:name w:val="Appendix_ref"/>
    <w:basedOn w:val="Annexref"/>
    <w:next w:val="Normalaftertitle"/>
    <w:rsid w:val="00CD559F"/>
  </w:style>
  <w:style w:type="paragraph" w:customStyle="1" w:styleId="Call">
    <w:name w:val="Call"/>
    <w:basedOn w:val="Normal"/>
    <w:next w:val="Normal"/>
    <w:rsid w:val="00CD559F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CD559F"/>
    <w:rPr>
      <w:vertAlign w:val="superscript"/>
    </w:rPr>
  </w:style>
  <w:style w:type="paragraph" w:customStyle="1" w:styleId="Equationlegend">
    <w:name w:val="Equation_legend"/>
    <w:basedOn w:val="Normal"/>
    <w:rsid w:val="00CD559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CD559F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CD559F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CD559F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D559F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CD559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CD559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D559F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CD559F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CD559F"/>
    <w:pPr>
      <w:spacing w:before="160"/>
    </w:pPr>
    <w:rPr>
      <w:b w:val="0"/>
    </w:rPr>
  </w:style>
  <w:style w:type="character" w:styleId="PageNumber">
    <w:name w:val="page number"/>
    <w:basedOn w:val="DefaultParagraphFont"/>
    <w:rsid w:val="00CD559F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CD559F"/>
  </w:style>
  <w:style w:type="paragraph" w:customStyle="1" w:styleId="Parttitle">
    <w:name w:val="Part_title"/>
    <w:basedOn w:val="Annextitle"/>
    <w:next w:val="Partref"/>
    <w:rsid w:val="00CD559F"/>
  </w:style>
  <w:style w:type="paragraph" w:customStyle="1" w:styleId="Partref">
    <w:name w:val="Part_ref"/>
    <w:basedOn w:val="Annexref"/>
    <w:next w:val="Normalaftertitle"/>
    <w:rsid w:val="00CD559F"/>
  </w:style>
  <w:style w:type="paragraph" w:customStyle="1" w:styleId="RecNo">
    <w:name w:val="Rec_No"/>
    <w:basedOn w:val="Normal"/>
    <w:next w:val="Rectitle"/>
    <w:rsid w:val="00CD559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CD559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CD559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D559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559F"/>
  </w:style>
  <w:style w:type="paragraph" w:customStyle="1" w:styleId="QuestionNo">
    <w:name w:val="Question_No"/>
    <w:basedOn w:val="RecNo"/>
    <w:next w:val="Questiontitle"/>
    <w:rsid w:val="00CD559F"/>
  </w:style>
  <w:style w:type="paragraph" w:customStyle="1" w:styleId="Questionref">
    <w:name w:val="Question_ref"/>
    <w:basedOn w:val="Recref"/>
    <w:next w:val="Questiondate"/>
    <w:rsid w:val="00CD559F"/>
  </w:style>
  <w:style w:type="paragraph" w:customStyle="1" w:styleId="Questiontitle">
    <w:name w:val="Question_title"/>
    <w:basedOn w:val="Rectitle"/>
    <w:next w:val="Questionref"/>
    <w:rsid w:val="00CD559F"/>
  </w:style>
  <w:style w:type="paragraph" w:customStyle="1" w:styleId="Reftext">
    <w:name w:val="Ref_text"/>
    <w:basedOn w:val="Normal"/>
    <w:rsid w:val="00CD559F"/>
    <w:pPr>
      <w:ind w:left="794" w:hanging="794"/>
    </w:pPr>
  </w:style>
  <w:style w:type="paragraph" w:customStyle="1" w:styleId="Reftitle">
    <w:name w:val="Ref_title"/>
    <w:basedOn w:val="Normal"/>
    <w:next w:val="Reftext"/>
    <w:rsid w:val="00CD559F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D559F"/>
  </w:style>
  <w:style w:type="paragraph" w:customStyle="1" w:styleId="RepNo">
    <w:name w:val="Rep_No"/>
    <w:basedOn w:val="RecNo"/>
    <w:next w:val="Reptitle"/>
    <w:rsid w:val="00CD559F"/>
  </w:style>
  <w:style w:type="paragraph" w:customStyle="1" w:styleId="Reptitle">
    <w:name w:val="Rep_title"/>
    <w:basedOn w:val="Rectitle"/>
    <w:next w:val="Repref"/>
    <w:rsid w:val="00CD559F"/>
  </w:style>
  <w:style w:type="paragraph" w:customStyle="1" w:styleId="Repref">
    <w:name w:val="Rep_ref"/>
    <w:basedOn w:val="Recref"/>
    <w:next w:val="Repdate"/>
    <w:rsid w:val="00CD559F"/>
  </w:style>
  <w:style w:type="paragraph" w:customStyle="1" w:styleId="Resdate">
    <w:name w:val="Res_date"/>
    <w:basedOn w:val="Recdate"/>
    <w:next w:val="Normalaftertitle"/>
    <w:rsid w:val="00CD559F"/>
  </w:style>
  <w:style w:type="paragraph" w:customStyle="1" w:styleId="ResNo">
    <w:name w:val="Res_No"/>
    <w:basedOn w:val="RecNo"/>
    <w:next w:val="Restitle"/>
    <w:rsid w:val="00CD559F"/>
  </w:style>
  <w:style w:type="paragraph" w:customStyle="1" w:styleId="Restitle">
    <w:name w:val="Res_title"/>
    <w:basedOn w:val="Rectitle"/>
    <w:next w:val="Resref"/>
    <w:rsid w:val="00CD559F"/>
  </w:style>
  <w:style w:type="paragraph" w:customStyle="1" w:styleId="Resref">
    <w:name w:val="Res_ref"/>
    <w:basedOn w:val="Recref"/>
    <w:next w:val="Resdate"/>
    <w:rsid w:val="00CD559F"/>
  </w:style>
  <w:style w:type="paragraph" w:customStyle="1" w:styleId="SectionNo">
    <w:name w:val="Section_No"/>
    <w:basedOn w:val="AnnexNo"/>
    <w:next w:val="Sectiontitle"/>
    <w:rsid w:val="00CD559F"/>
  </w:style>
  <w:style w:type="paragraph" w:customStyle="1" w:styleId="Sectiontitle">
    <w:name w:val="Section_title"/>
    <w:basedOn w:val="Normal"/>
    <w:next w:val="Normalaftertitle"/>
    <w:rsid w:val="00CD559F"/>
    <w:rPr>
      <w:sz w:val="26"/>
    </w:rPr>
  </w:style>
  <w:style w:type="paragraph" w:customStyle="1" w:styleId="SpecialFooter">
    <w:name w:val="Special Footer"/>
    <w:basedOn w:val="Footer"/>
    <w:rsid w:val="00CD559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CD559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D559F"/>
    <w:pPr>
      <w:spacing w:before="120"/>
    </w:pPr>
  </w:style>
  <w:style w:type="paragraph" w:customStyle="1" w:styleId="Tableref">
    <w:name w:val="Table_ref"/>
    <w:basedOn w:val="Normal"/>
    <w:next w:val="Tabletitle"/>
    <w:rsid w:val="00CD559F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CD559F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CD559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D559F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CD559F"/>
    <w:rPr>
      <w:b/>
    </w:rPr>
  </w:style>
  <w:style w:type="paragraph" w:customStyle="1" w:styleId="Chaptitle">
    <w:name w:val="Chap_title"/>
    <w:basedOn w:val="Arttitle"/>
    <w:next w:val="Normalaftertitle"/>
    <w:rsid w:val="00CD559F"/>
  </w:style>
  <w:style w:type="character" w:customStyle="1" w:styleId="NormalaftertitleChar">
    <w:name w:val="Normal after title Char"/>
    <w:link w:val="Normalaftertitle"/>
    <w:locked/>
    <w:rsid w:val="00507649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CD559F"/>
    <w:rPr>
      <w:rFonts w:ascii="Calibri" w:hAnsi="Calibri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507649"/>
    <w:rPr>
      <w:rFonts w:ascii="Calibri" w:hAnsi="Calibri"/>
      <w:b/>
      <w:sz w:val="26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507649"/>
    <w:rPr>
      <w:rFonts w:ascii="Calibri" w:hAnsi="Calibri"/>
      <w:sz w:val="22"/>
      <w:lang w:val="en-GB" w:eastAsia="en-US"/>
    </w:rPr>
  </w:style>
  <w:style w:type="paragraph" w:customStyle="1" w:styleId="Default">
    <w:name w:val="Default"/>
    <w:rsid w:val="007E64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Head0">
    <w:name w:val="Table_Head"/>
    <w:basedOn w:val="Normal"/>
    <w:rsid w:val="00E12BA9"/>
    <w:pPr>
      <w:keepNext/>
      <w:tabs>
        <w:tab w:val="clear" w:pos="794"/>
        <w:tab w:val="clear" w:pos="1191"/>
        <w:tab w:val="clear" w:pos="1588"/>
        <w:tab w:val="clear" w:pos="1985"/>
        <w:tab w:val="left" w:pos="284"/>
        <w:tab w:val="left" w:pos="851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80" w:after="80" w:line="259" w:lineRule="auto"/>
      <w:jc w:val="center"/>
      <w:textAlignment w:val="auto"/>
    </w:pPr>
    <w:rPr>
      <w:rFonts w:asciiTheme="minorHAnsi" w:eastAsiaTheme="minorEastAsia" w:hAnsiTheme="minorHAnsi" w:cstheme="minorBidi"/>
      <w:b/>
      <w:szCs w:val="22"/>
      <w:lang w:eastAsia="zh-CN"/>
    </w:rPr>
  </w:style>
  <w:style w:type="paragraph" w:customStyle="1" w:styleId="TableText0">
    <w:name w:val="Table_Text"/>
    <w:basedOn w:val="Normal"/>
    <w:rsid w:val="00E12BA9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851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 w:line="259" w:lineRule="auto"/>
      <w:textAlignment w:val="auto"/>
    </w:pPr>
    <w:rPr>
      <w:rFonts w:asciiTheme="minorHAnsi" w:eastAsiaTheme="minorEastAsia" w:hAnsiTheme="minorHAnsi" w:cstheme="minorBidi"/>
      <w:szCs w:val="22"/>
      <w:lang w:eastAsia="zh-CN"/>
    </w:rPr>
  </w:style>
  <w:style w:type="character" w:styleId="Emphasis">
    <w:name w:val="Emphasis"/>
    <w:basedOn w:val="DefaultParagraphFont"/>
    <w:uiPriority w:val="20"/>
    <w:qFormat/>
    <w:rsid w:val="00EA1B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2019/Documents/basic-texts/Convention-R.pdf" TargetMode="External"/><Relationship Id="rId13" Type="http://schemas.openxmlformats.org/officeDocument/2006/relationships/hyperlink" Target="https://www.itu.int/md/S03-CL-C-0040/en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02-CL-C-0094/e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itudoc/gs/council/c01/docs/026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md/S05-CL-C-0040/en" TargetMode="External"/><Relationship Id="rId10" Type="http://schemas.openxmlformats.org/officeDocument/2006/relationships/hyperlink" Target="https://www.itu.int/itudoc/gs/council/c00/docs/28rev1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pub/S-CONF-PLEN-2015" TargetMode="External"/><Relationship Id="rId14" Type="http://schemas.openxmlformats.org/officeDocument/2006/relationships/hyperlink" Target="http://www.itu.int/md/S03-ADCL-C-0003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</TotalTime>
  <Pages>6</Pages>
  <Words>1430</Words>
  <Characters>10918</Characters>
  <Application>Microsoft Office Word</Application>
  <DocSecurity>4</DocSecurity>
  <Lines>90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12324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Requests for exemption from any financial contribution to defraying expenses relating to participation in the work of ITU</dc:title>
  <dc:subject>Council 2019</dc:subject>
  <dc:creator>Maloletkova, Svetlana</dc:creator>
  <cp:keywords>C2019, C19</cp:keywords>
  <dc:description/>
  <cp:lastModifiedBy>Brouard, Ricarda</cp:lastModifiedBy>
  <cp:revision>2</cp:revision>
  <cp:lastPrinted>2019-05-14T09:12:00Z</cp:lastPrinted>
  <dcterms:created xsi:type="dcterms:W3CDTF">2019-05-22T08:29:00Z</dcterms:created>
  <dcterms:modified xsi:type="dcterms:W3CDTF">2019-05-22T08:29:00Z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