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E3228B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E3228B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E3228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E3228B">
              <w:rPr>
                <w:b/>
              </w:rPr>
              <w:t>ADM 1</w:t>
            </w:r>
          </w:p>
        </w:tc>
        <w:tc>
          <w:tcPr>
            <w:tcW w:w="3120" w:type="dxa"/>
          </w:tcPr>
          <w:p w:rsidR="002A2188" w:rsidRPr="00E85629" w:rsidRDefault="002A2188" w:rsidP="00E3228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E3228B">
              <w:rPr>
                <w:b/>
              </w:rPr>
              <w:t>43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E3228B" w:rsidP="008441A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 </w:t>
            </w:r>
            <w:r w:rsidR="008441AC">
              <w:rPr>
                <w:b/>
              </w:rPr>
              <w:t>April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E3228B" w:rsidP="00464B6C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="00D04E39" w:rsidRPr="00D04E39">
              <w:t xml:space="preserve">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E3228B" w:rsidP="00464B6C">
            <w:pPr>
              <w:pStyle w:val="Title1"/>
            </w:pPr>
            <w:bookmarkStart w:id="7" w:name="dtitle1" w:colFirst="0" w:colLast="0"/>
            <w:bookmarkEnd w:id="6"/>
            <w:r w:rsidRPr="00E3228B">
              <w:t>CHOICE OF CLASS OF CONTRIBUTION FOR DEFRAYING THE UNION’S EXPENSES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F86A1E" w:rsidP="00E70EAC">
            <w:pPr>
              <w:jc w:val="both"/>
            </w:pPr>
            <w:r>
              <w:t xml:space="preserve">This document </w:t>
            </w:r>
            <w:r w:rsidR="00E3228B" w:rsidRPr="00E3228B">
              <w:t>inform</w:t>
            </w:r>
            <w:r>
              <w:t>s</w:t>
            </w:r>
            <w:r w:rsidR="00E3228B" w:rsidRPr="00E3228B">
              <w:t xml:space="preserve"> the Council of the choice of class of contribution of Member States and Sector Members for the period 1 January 2020 to 31 December 2023.</w:t>
            </w:r>
          </w:p>
          <w:p w:rsidR="002A2188" w:rsidRPr="00813E5E" w:rsidRDefault="002A2188" w:rsidP="00E70EAC">
            <w:pPr>
              <w:pStyle w:val="Headingb"/>
              <w:jc w:val="both"/>
            </w:pPr>
            <w:r w:rsidRPr="00813E5E">
              <w:t>Action required</w:t>
            </w:r>
          </w:p>
          <w:p w:rsidR="002A2188" w:rsidRPr="00813E5E" w:rsidRDefault="00E3228B" w:rsidP="00E70EAC">
            <w:pPr>
              <w:jc w:val="both"/>
            </w:pPr>
            <w:r w:rsidRPr="001A7909">
              <w:rPr>
                <w:szCs w:val="24"/>
              </w:rPr>
              <w:t xml:space="preserve">The Council is invited to </w:t>
            </w:r>
            <w:r w:rsidRPr="001A7909">
              <w:rPr>
                <w:b/>
                <w:bCs/>
                <w:szCs w:val="24"/>
              </w:rPr>
              <w:t>take note</w:t>
            </w:r>
            <w:r w:rsidRPr="001A7909">
              <w:rPr>
                <w:szCs w:val="24"/>
              </w:rPr>
              <w:t xml:space="preserve"> of this document.</w:t>
            </w:r>
          </w:p>
          <w:p w:rsidR="002A2188" w:rsidRPr="00813E5E" w:rsidRDefault="002A2188" w:rsidP="00D04E3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:rsidR="002A2188" w:rsidRPr="00813E5E" w:rsidRDefault="00E3228B" w:rsidP="00E3228B">
            <w:pPr>
              <w:spacing w:after="120"/>
              <w:rPr>
                <w:i/>
                <w:iCs/>
              </w:rPr>
            </w:pPr>
            <w:r w:rsidRPr="000E1AB2">
              <w:rPr>
                <w:bCs/>
                <w:i/>
                <w:iCs/>
                <w:szCs w:val="24"/>
              </w:rPr>
              <w:t xml:space="preserve">CS </w:t>
            </w:r>
            <w:hyperlink r:id="rId9" w:history="1">
              <w:r w:rsidRPr="00D00EFA">
                <w:rPr>
                  <w:rStyle w:val="Hyperlink"/>
                  <w:bCs/>
                  <w:i/>
                  <w:iCs/>
                  <w:color w:val="0070C0"/>
                  <w:szCs w:val="24"/>
                </w:rPr>
                <w:t>161E</w:t>
              </w:r>
            </w:hyperlink>
            <w:r w:rsidRPr="000E1AB2">
              <w:rPr>
                <w:bCs/>
                <w:i/>
                <w:iCs/>
                <w:szCs w:val="24"/>
              </w:rPr>
              <w:t>,</w:t>
            </w:r>
            <w:r w:rsidRPr="000E1AB2">
              <w:t xml:space="preserve"> </w:t>
            </w:r>
            <w:hyperlink r:id="rId10" w:history="1">
              <w:r w:rsidRPr="00D00EFA">
                <w:rPr>
                  <w:rStyle w:val="Hyperlink"/>
                  <w:bCs/>
                  <w:i/>
                  <w:iCs/>
                  <w:color w:val="0070C0"/>
                  <w:szCs w:val="24"/>
                </w:rPr>
                <w:t>161F</w:t>
              </w:r>
            </w:hyperlink>
            <w:r w:rsidRPr="000E1AB2">
              <w:rPr>
                <w:bCs/>
                <w:i/>
                <w:iCs/>
                <w:szCs w:val="24"/>
              </w:rPr>
              <w:t xml:space="preserve">, </w:t>
            </w:r>
            <w:hyperlink r:id="rId11" w:history="1">
              <w:r w:rsidRPr="00D00EFA">
                <w:rPr>
                  <w:rStyle w:val="Hyperlink"/>
                  <w:bCs/>
                  <w:i/>
                  <w:iCs/>
                  <w:color w:val="0070C0"/>
                  <w:szCs w:val="24"/>
                </w:rPr>
                <w:t>161H</w:t>
              </w:r>
            </w:hyperlink>
            <w:r w:rsidRPr="000E1AB2">
              <w:rPr>
                <w:bCs/>
                <w:i/>
                <w:iCs/>
                <w:szCs w:val="24"/>
              </w:rPr>
              <w:t xml:space="preserve"> and </w:t>
            </w:r>
            <w:hyperlink r:id="rId12" w:history="1">
              <w:r w:rsidRPr="00D00EFA">
                <w:rPr>
                  <w:rStyle w:val="Hyperlink"/>
                  <w:bCs/>
                  <w:i/>
                  <w:iCs/>
                  <w:color w:val="0070C0"/>
                  <w:szCs w:val="24"/>
                </w:rPr>
                <w:t>161I</w:t>
              </w:r>
            </w:hyperlink>
            <w:r w:rsidRPr="000E1AB2">
              <w:rPr>
                <w:bCs/>
                <w:i/>
                <w:iCs/>
                <w:szCs w:val="24"/>
              </w:rPr>
              <w:t xml:space="preserve"> (Article 28).</w:t>
            </w:r>
            <w:r w:rsidRPr="000E1AB2">
              <w:rPr>
                <w:bCs/>
                <w:i/>
                <w:iCs/>
                <w:szCs w:val="24"/>
              </w:rPr>
              <w:br/>
            </w:r>
            <w:r w:rsidRPr="000E1AB2">
              <w:rPr>
                <w:i/>
                <w:iCs/>
                <w:szCs w:val="24"/>
              </w:rPr>
              <w:t xml:space="preserve">CV </w:t>
            </w:r>
            <w:hyperlink r:id="rId13" w:history="1">
              <w:r w:rsidRPr="00D00EFA">
                <w:rPr>
                  <w:rStyle w:val="Hyperlink"/>
                  <w:i/>
                  <w:iCs/>
                  <w:color w:val="0070C0"/>
                  <w:szCs w:val="24"/>
                </w:rPr>
                <w:t>468</w:t>
              </w:r>
            </w:hyperlink>
            <w:r w:rsidRPr="000E1AB2">
              <w:rPr>
                <w:i/>
                <w:iCs/>
                <w:szCs w:val="24"/>
              </w:rPr>
              <w:t xml:space="preserve"> (Article 33); </w:t>
            </w:r>
            <w:hyperlink r:id="rId14" w:history="1">
              <w:r w:rsidRPr="00D00EFA">
                <w:rPr>
                  <w:rStyle w:val="Hyperlink"/>
                  <w:i/>
                  <w:iCs/>
                  <w:color w:val="0070C0"/>
                  <w:szCs w:val="24"/>
                </w:rPr>
                <w:t>Decision 5</w:t>
              </w:r>
            </w:hyperlink>
            <w:r w:rsidRPr="000E1AB2">
              <w:rPr>
                <w:i/>
                <w:iCs/>
                <w:szCs w:val="24"/>
              </w:rPr>
              <w:t xml:space="preserve"> (Rev. Dubai, 2018)</w:t>
            </w:r>
          </w:p>
        </w:tc>
      </w:tr>
    </w:tbl>
    <w:p w:rsidR="00E3228B" w:rsidRPr="0025466C" w:rsidRDefault="00E3228B" w:rsidP="00E70EAC">
      <w:pPr>
        <w:spacing w:before="600" w:after="120"/>
        <w:jc w:val="both"/>
      </w:pPr>
      <w:bookmarkStart w:id="8" w:name="dstart"/>
      <w:bookmarkStart w:id="9" w:name="dbreak"/>
      <w:bookmarkEnd w:id="8"/>
      <w:bookmarkEnd w:id="9"/>
      <w:r w:rsidRPr="0025466C">
        <w:t>1</w:t>
      </w:r>
      <w:r w:rsidR="00E70EAC">
        <w:t>.</w:t>
      </w:r>
      <w:r w:rsidRPr="0025466C">
        <w:tab/>
        <w:t xml:space="preserve">During its </w:t>
      </w:r>
      <w:r>
        <w:t xml:space="preserve">first </w:t>
      </w:r>
      <w:r w:rsidRPr="0025466C">
        <w:t>plenary meeting, the P</w:t>
      </w:r>
      <w:r>
        <w:t>lenipotentiary Conference (Dubai, 2018), held from 29 October to 16</w:t>
      </w:r>
      <w:r w:rsidRPr="0025466C">
        <w:t xml:space="preserve"> November</w:t>
      </w:r>
      <w:r>
        <w:t xml:space="preserve"> 2018</w:t>
      </w:r>
      <w:r w:rsidRPr="0025466C">
        <w:t>, set the amount of the contributory unit at</w:t>
      </w:r>
      <w:r>
        <w:t xml:space="preserve"> CHF 318 000 for the period 2020-2023</w:t>
      </w:r>
      <w:r w:rsidRPr="0025466C">
        <w:t>.</w:t>
      </w:r>
    </w:p>
    <w:p w:rsidR="00E3228B" w:rsidRPr="0025466C" w:rsidRDefault="00E3228B" w:rsidP="00E70EAC">
      <w:pPr>
        <w:spacing w:after="120"/>
        <w:jc w:val="both"/>
      </w:pPr>
      <w:r w:rsidRPr="0025466C">
        <w:t>2</w:t>
      </w:r>
      <w:r w:rsidR="00E70EAC">
        <w:t>.</w:t>
      </w:r>
      <w:r w:rsidRPr="0025466C">
        <w:tab/>
        <w:t>Pursuant to the decisions taken at the aforementioned plenary meeting, each Member State was invited to announce its choice of</w:t>
      </w:r>
      <w:r>
        <w:t xml:space="preserve"> class of contribution by Wednesday, 31</w:t>
      </w:r>
      <w:r w:rsidRPr="0025466C">
        <w:t xml:space="preserve"> Oct</w:t>
      </w:r>
      <w:r>
        <w:t>ober 2018</w:t>
      </w:r>
      <w:r w:rsidRPr="0025466C">
        <w:t xml:space="preserve"> at 23</w:t>
      </w:r>
      <w:r>
        <w:t>:</w:t>
      </w:r>
      <w:r w:rsidRPr="0025466C">
        <w:t>59 hours, Geneva time. Member States having failed to notify the Secretary-General of their decision by that date retained the class of contribution previously chosen.</w:t>
      </w:r>
    </w:p>
    <w:p w:rsidR="00E3228B" w:rsidRPr="0025466C" w:rsidRDefault="00E3228B" w:rsidP="00E70EAC">
      <w:pPr>
        <w:spacing w:after="120"/>
        <w:jc w:val="both"/>
      </w:pPr>
      <w:r>
        <w:t>3</w:t>
      </w:r>
      <w:r w:rsidR="00E70EAC">
        <w:t>.</w:t>
      </w:r>
      <w:r>
        <w:tab/>
        <w:t>In a communication dated 3</w:t>
      </w:r>
      <w:r w:rsidRPr="0025466C">
        <w:t xml:space="preserve"> </w:t>
      </w:r>
      <w:r>
        <w:t>December 2018</w:t>
      </w:r>
      <w:r w:rsidRPr="0025466C">
        <w:t xml:space="preserve">, the Secretary-General informed Sector Members of the definitive upper limit of the amount of the contributory unit </w:t>
      </w:r>
      <w:r>
        <w:t>and invited them to notify, by 15 February 2019</w:t>
      </w:r>
      <w:r w:rsidRPr="0025466C">
        <w:t>, their choice of class of contributi</w:t>
      </w:r>
      <w:r>
        <w:t>on for the period 1 January 2020 to 31 December 2023</w:t>
      </w:r>
      <w:r w:rsidRPr="0025466C">
        <w:t>. Sector Members having failed to notify the Secretary-General of their decision by that date retained the class of contribution previously chosen.</w:t>
      </w:r>
    </w:p>
    <w:p w:rsidR="00E3228B" w:rsidRPr="0025466C" w:rsidRDefault="00E3228B" w:rsidP="00E70EAC">
      <w:pPr>
        <w:spacing w:after="120"/>
        <w:jc w:val="both"/>
      </w:pPr>
      <w:r w:rsidRPr="0025466C">
        <w:t>4</w:t>
      </w:r>
      <w:r w:rsidR="00E70EAC">
        <w:t>.</w:t>
      </w:r>
      <w:r w:rsidRPr="0025466C">
        <w:tab/>
        <w:t>Annex 1 contains a comparative table of the classes of contribution chosen by Member States between the Plenipo</w:t>
      </w:r>
      <w:r>
        <w:t>tentiary Conference (Busan, 2014</w:t>
      </w:r>
      <w:r w:rsidRPr="0025466C">
        <w:t>) and the Plenipotentiary C</w:t>
      </w:r>
      <w:r>
        <w:t>onference (Dubai, 2018).</w:t>
      </w:r>
    </w:p>
    <w:p w:rsidR="00E3228B" w:rsidRPr="0025466C" w:rsidRDefault="00E3228B" w:rsidP="00E70EAC">
      <w:pPr>
        <w:spacing w:after="120"/>
        <w:jc w:val="both"/>
      </w:pPr>
      <w:r w:rsidRPr="0025466C">
        <w:lastRenderedPageBreak/>
        <w:t>5</w:t>
      </w:r>
      <w:r w:rsidR="00E70EAC">
        <w:t>.</w:t>
      </w:r>
      <w:r w:rsidRPr="0025466C">
        <w:tab/>
        <w:t>Annex 2 shows the evolution in the contributory units chosen by Sector Members and the evolution i</w:t>
      </w:r>
      <w:r>
        <w:t>n the number of Associates and Academic I</w:t>
      </w:r>
      <w:r w:rsidRPr="0025466C">
        <w:t>nstitutions between the Plenipo</w:t>
      </w:r>
      <w:r>
        <w:t>tentiary Conference (Busan, 2014</w:t>
      </w:r>
      <w:r w:rsidRPr="0025466C">
        <w:t>) and the Plenipotentiary C</w:t>
      </w:r>
      <w:r>
        <w:t>onference (Dubai, 2018).</w:t>
      </w:r>
    </w:p>
    <w:p w:rsidR="00E3228B" w:rsidRPr="0025466C" w:rsidRDefault="00E3228B" w:rsidP="00E70EAC">
      <w:pPr>
        <w:spacing w:before="240" w:after="120"/>
        <w:jc w:val="both"/>
      </w:pPr>
      <w:r w:rsidRPr="0025466C">
        <w:t>6</w:t>
      </w:r>
      <w:r w:rsidR="00E70EAC">
        <w:t>.</w:t>
      </w:r>
      <w:r w:rsidRPr="0025466C">
        <w:tab/>
        <w:t>The number of Member State</w:t>
      </w:r>
      <w:r>
        <w:t>s’</w:t>
      </w:r>
      <w:r w:rsidRPr="0025466C">
        <w:t xml:space="preserve"> contributory units has changed as follows:</w:t>
      </w:r>
    </w:p>
    <w:tbl>
      <w:tblPr>
        <w:tblW w:w="7660" w:type="dxa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1360"/>
      </w:tblGrid>
      <w:tr w:rsidR="00E3228B" w:rsidRPr="0025466C" w:rsidTr="00161B5D">
        <w:trPr>
          <w:trHeight w:val="106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28B" w:rsidRPr="0025466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28B" w:rsidRPr="0025466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No. of units 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br/>
              <w:t xml:space="preserve">      </w:t>
            </w: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PP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-14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28B" w:rsidRPr="0025466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t>No. of units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br/>
              <w:t>PP-18</w:t>
            </w:r>
            <w:r>
              <w:rPr>
                <w:rFonts w:cs="Arial"/>
                <w:b/>
                <w:bCs/>
                <w:sz w:val="22"/>
                <w:szCs w:val="22"/>
                <w:lang w:eastAsia="zh-CN"/>
              </w:rPr>
              <w:br/>
              <w:t>(2020-2023</w:t>
            </w: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28B" w:rsidRPr="0025466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Difference</w:t>
            </w:r>
          </w:p>
        </w:tc>
      </w:tr>
      <w:tr w:rsidR="00E3228B" w:rsidRPr="00E957B7" w:rsidTr="00161B5D">
        <w:trPr>
          <w:trHeight w:val="39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28B" w:rsidRPr="0025466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25466C">
              <w:rPr>
                <w:rFonts w:cs="Arial"/>
                <w:b/>
                <w:bCs/>
                <w:sz w:val="22"/>
                <w:szCs w:val="22"/>
                <w:lang w:eastAsia="zh-CN"/>
              </w:rPr>
              <w:t>Member States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28B" w:rsidRPr="00F4531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4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0E0BCB">
              <w:rPr>
                <w:rFonts w:cs="Arial"/>
                <w:sz w:val="22"/>
                <w:szCs w:val="22"/>
                <w:lang w:eastAsia="zh-CN"/>
              </w:rPr>
              <w:t xml:space="preserve">        </w:t>
            </w:r>
            <w:r>
              <w:rPr>
                <w:rFonts w:cs="Arial"/>
                <w:sz w:val="22"/>
                <w:szCs w:val="22"/>
                <w:lang w:eastAsia="zh-CN"/>
              </w:rPr>
              <w:t>334</w:t>
            </w:r>
            <w:r w:rsidRPr="000E0BCB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zh-CN"/>
              </w:rPr>
              <w:t xml:space="preserve"> 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28B" w:rsidRPr="00F4531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22"/>
                <w:szCs w:val="22"/>
                <w:lang w:eastAsia="zh-CN"/>
              </w:rPr>
            </w:pPr>
            <w:r w:rsidRPr="00F45314">
              <w:rPr>
                <w:rFonts w:cs="Arial"/>
                <w:sz w:val="22"/>
                <w:szCs w:val="22"/>
                <w:lang w:eastAsia="zh-CN"/>
              </w:rPr>
              <w:t>343 11/16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28B" w:rsidRPr="00E957B7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E957B7">
              <w:rPr>
                <w:rFonts w:cs="Arial"/>
                <w:b/>
                <w:bCs/>
                <w:sz w:val="22"/>
                <w:szCs w:val="22"/>
                <w:lang w:eastAsia="zh-CN"/>
              </w:rPr>
              <w:t>+ 9 7/16</w:t>
            </w:r>
          </w:p>
        </w:tc>
      </w:tr>
    </w:tbl>
    <w:p w:rsidR="00E3228B" w:rsidRPr="000E0BCB" w:rsidRDefault="00E3228B" w:rsidP="000301EE">
      <w:pPr>
        <w:rPr>
          <w:lang w:eastAsia="zh-CN"/>
        </w:rPr>
      </w:pPr>
      <w:r w:rsidRPr="0025466C">
        <w:rPr>
          <w:lang w:eastAsia="zh-CN"/>
        </w:rPr>
        <w:t>7</w:t>
      </w:r>
      <w:r w:rsidR="00E70EAC">
        <w:rPr>
          <w:lang w:eastAsia="zh-CN"/>
        </w:rPr>
        <w:t>.</w:t>
      </w:r>
      <w:r w:rsidRPr="0025466C">
        <w:rPr>
          <w:lang w:eastAsia="zh-CN"/>
        </w:rPr>
        <w:tab/>
      </w:r>
      <w:r>
        <w:rPr>
          <w:lang w:eastAsia="zh-CN"/>
        </w:rPr>
        <w:t>The above figures reveal</w:t>
      </w:r>
      <w:r w:rsidRPr="000E0BCB">
        <w:rPr>
          <w:lang w:eastAsia="zh-CN"/>
        </w:rPr>
        <w:t xml:space="preserve"> that the number of Member State</w:t>
      </w:r>
      <w:r>
        <w:rPr>
          <w:lang w:eastAsia="zh-CN"/>
        </w:rPr>
        <w:t>s’</w:t>
      </w:r>
      <w:r w:rsidRPr="000E0BCB">
        <w:rPr>
          <w:lang w:eastAsia="zh-CN"/>
        </w:rPr>
        <w:t xml:space="preserve"> contributory units rose from </w:t>
      </w:r>
      <w:r>
        <w:rPr>
          <w:lang w:eastAsia="zh-CN"/>
        </w:rPr>
        <w:t>334 1/4</w:t>
      </w:r>
      <w:r w:rsidRPr="000E0BCB">
        <w:rPr>
          <w:lang w:eastAsia="zh-CN"/>
        </w:rPr>
        <w:t xml:space="preserve"> to 343 11/16, an </w:t>
      </w:r>
      <w:r>
        <w:rPr>
          <w:lang w:eastAsia="zh-CN"/>
        </w:rPr>
        <w:t>increase of 9 7/16 units (3%</w:t>
      </w:r>
      <w:r w:rsidRPr="000E0BCB">
        <w:rPr>
          <w:lang w:eastAsia="zh-CN"/>
        </w:rPr>
        <w:t>).</w:t>
      </w:r>
    </w:p>
    <w:p w:rsidR="00E3228B" w:rsidRDefault="00E3228B" w:rsidP="000301EE">
      <w:pPr>
        <w:spacing w:before="360"/>
        <w:rPr>
          <w:lang w:eastAsia="zh-CN"/>
        </w:rPr>
      </w:pPr>
      <w:r w:rsidRPr="0025466C">
        <w:rPr>
          <w:lang w:eastAsia="zh-CN"/>
        </w:rPr>
        <w:t>8</w:t>
      </w:r>
      <w:r w:rsidR="00E70EAC">
        <w:rPr>
          <w:lang w:eastAsia="zh-CN"/>
        </w:rPr>
        <w:t>.</w:t>
      </w:r>
      <w:r w:rsidRPr="0025466C">
        <w:rPr>
          <w:lang w:eastAsia="zh-CN"/>
        </w:rPr>
        <w:tab/>
        <w:t>The number of Sector Member</w:t>
      </w:r>
      <w:r>
        <w:rPr>
          <w:lang w:eastAsia="zh-CN"/>
        </w:rPr>
        <w:t>s’</w:t>
      </w:r>
      <w:r w:rsidRPr="0025466C">
        <w:rPr>
          <w:lang w:eastAsia="zh-CN"/>
        </w:rPr>
        <w:t xml:space="preserve"> contributory units has changed as follows: </w:t>
      </w:r>
    </w:p>
    <w:p w:rsidR="00E3228B" w:rsidRDefault="00E3228B" w:rsidP="00E3228B">
      <w:pPr>
        <w:tabs>
          <w:tab w:val="left" w:pos="3969"/>
        </w:tabs>
        <w:rPr>
          <w:rFonts w:cs="Arial"/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ab/>
      </w:r>
      <w:r>
        <w:rPr>
          <w:b/>
          <w:bCs/>
          <w:sz w:val="22"/>
          <w:szCs w:val="22"/>
          <w:lang w:eastAsia="zh-CN"/>
        </w:rPr>
        <w:tab/>
      </w:r>
      <w:r>
        <w:rPr>
          <w:b/>
          <w:bCs/>
          <w:sz w:val="22"/>
          <w:szCs w:val="22"/>
          <w:lang w:eastAsia="zh-CN"/>
        </w:rPr>
        <w:tab/>
        <w:t xml:space="preserve">     </w:t>
      </w:r>
      <w:r w:rsidRPr="005743B5">
        <w:rPr>
          <w:b/>
          <w:bCs/>
          <w:sz w:val="22"/>
          <w:szCs w:val="22"/>
          <w:lang w:eastAsia="zh-CN"/>
        </w:rPr>
        <w:t>Sector Members</w:t>
      </w:r>
      <w:r>
        <w:rPr>
          <w:b/>
          <w:bCs/>
          <w:sz w:val="22"/>
          <w:szCs w:val="22"/>
          <w:lang w:eastAsia="zh-CN"/>
        </w:rPr>
        <w:tab/>
        <w:t xml:space="preserve">  </w:t>
      </w:r>
      <w:r>
        <w:rPr>
          <w:rFonts w:cs="Arial"/>
          <w:b/>
          <w:bCs/>
          <w:sz w:val="22"/>
          <w:szCs w:val="22"/>
          <w:lang w:eastAsia="zh-CN"/>
        </w:rPr>
        <w:t>No. of units</w:t>
      </w:r>
      <w:r>
        <w:rPr>
          <w:rFonts w:cs="Arial"/>
          <w:b/>
          <w:bCs/>
          <w:sz w:val="22"/>
          <w:szCs w:val="22"/>
          <w:lang w:eastAsia="zh-CN"/>
        </w:rPr>
        <w:tab/>
        <w:t>No. of units</w:t>
      </w:r>
      <w:r>
        <w:rPr>
          <w:rFonts w:cs="Arial"/>
          <w:b/>
          <w:bCs/>
          <w:sz w:val="22"/>
          <w:szCs w:val="22"/>
          <w:lang w:eastAsia="zh-CN"/>
        </w:rPr>
        <w:tab/>
        <w:t xml:space="preserve">      Difference</w:t>
      </w:r>
    </w:p>
    <w:p w:rsidR="00E3228B" w:rsidRPr="005743B5" w:rsidRDefault="00E3228B" w:rsidP="00E3228B">
      <w:pPr>
        <w:tabs>
          <w:tab w:val="left" w:pos="3969"/>
        </w:tabs>
        <w:rPr>
          <w:b/>
          <w:bCs/>
          <w:sz w:val="22"/>
          <w:szCs w:val="22"/>
          <w:lang w:eastAsia="zh-CN"/>
        </w:rPr>
      </w:pPr>
      <w:r>
        <w:rPr>
          <w:rFonts w:cs="Arial"/>
          <w:b/>
          <w:bCs/>
          <w:sz w:val="22"/>
          <w:szCs w:val="22"/>
          <w:lang w:eastAsia="zh-CN"/>
        </w:rPr>
        <w:tab/>
      </w:r>
      <w:r>
        <w:rPr>
          <w:rFonts w:cs="Arial"/>
          <w:b/>
          <w:bCs/>
          <w:sz w:val="22"/>
          <w:szCs w:val="22"/>
          <w:lang w:eastAsia="zh-CN"/>
        </w:rPr>
        <w:tab/>
      </w:r>
      <w:r>
        <w:rPr>
          <w:rFonts w:cs="Arial"/>
          <w:b/>
          <w:bCs/>
          <w:sz w:val="22"/>
          <w:szCs w:val="22"/>
          <w:lang w:eastAsia="zh-CN"/>
        </w:rPr>
        <w:tab/>
      </w:r>
      <w:r>
        <w:rPr>
          <w:rFonts w:cs="Arial"/>
          <w:b/>
          <w:bCs/>
          <w:sz w:val="22"/>
          <w:szCs w:val="22"/>
          <w:lang w:eastAsia="zh-CN"/>
        </w:rPr>
        <w:tab/>
      </w:r>
      <w:r>
        <w:rPr>
          <w:rFonts w:cs="Arial"/>
          <w:b/>
          <w:bCs/>
          <w:sz w:val="22"/>
          <w:szCs w:val="22"/>
          <w:lang w:eastAsia="zh-CN"/>
        </w:rPr>
        <w:tab/>
      </w:r>
      <w:r>
        <w:rPr>
          <w:rFonts w:cs="Arial"/>
          <w:b/>
          <w:bCs/>
          <w:sz w:val="22"/>
          <w:szCs w:val="22"/>
          <w:lang w:eastAsia="zh-CN"/>
        </w:rPr>
        <w:tab/>
        <w:t xml:space="preserve">      PP-14</w:t>
      </w:r>
      <w:r>
        <w:rPr>
          <w:rFonts w:cs="Arial"/>
          <w:b/>
          <w:bCs/>
          <w:sz w:val="22"/>
          <w:szCs w:val="22"/>
          <w:lang w:eastAsia="zh-CN"/>
        </w:rPr>
        <w:tab/>
      </w:r>
      <w:r>
        <w:rPr>
          <w:rFonts w:cs="Arial"/>
          <w:b/>
          <w:bCs/>
          <w:sz w:val="22"/>
          <w:szCs w:val="22"/>
          <w:lang w:eastAsia="zh-CN"/>
        </w:rPr>
        <w:tab/>
        <w:t xml:space="preserve">      PP-18</w:t>
      </w:r>
    </w:p>
    <w:tbl>
      <w:tblPr>
        <w:tblW w:w="7108" w:type="dxa"/>
        <w:jc w:val="center"/>
        <w:tblLook w:val="04A0" w:firstRow="1" w:lastRow="0" w:firstColumn="1" w:lastColumn="0" w:noHBand="0" w:noVBand="1"/>
      </w:tblPr>
      <w:tblGrid>
        <w:gridCol w:w="2694"/>
        <w:gridCol w:w="1180"/>
        <w:gridCol w:w="804"/>
        <w:gridCol w:w="1180"/>
        <w:gridCol w:w="1250"/>
      </w:tblGrid>
      <w:tr w:rsidR="00E3228B" w:rsidRPr="00545683" w:rsidTr="00161B5D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ITU-R Sector Members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100 1/2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98  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-2    </w:t>
            </w:r>
          </w:p>
        </w:tc>
      </w:tr>
      <w:tr w:rsidR="00E3228B" w:rsidRPr="00545683" w:rsidTr="00161B5D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ITU-T Sector Members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105 1/5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98 1/2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-7    </w:t>
            </w:r>
          </w:p>
        </w:tc>
      </w:tr>
      <w:tr w:rsidR="00E3228B" w:rsidRPr="00545683" w:rsidTr="00161B5D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ITU-D Sector Members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25 2/3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22 1/2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545683"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 xml:space="preserve">-3 </w:t>
            </w: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½</w:t>
            </w:r>
          </w:p>
        </w:tc>
      </w:tr>
      <w:tr w:rsidR="00E3228B" w:rsidRPr="00545683" w:rsidTr="00161B5D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>231 1/2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>218 1/2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9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-13    </w:t>
            </w:r>
          </w:p>
        </w:tc>
      </w:tr>
    </w:tbl>
    <w:p w:rsidR="00E3228B" w:rsidRPr="000E0BCB" w:rsidRDefault="00E3228B" w:rsidP="00E70EAC">
      <w:pPr>
        <w:spacing w:before="240"/>
        <w:jc w:val="both"/>
        <w:rPr>
          <w:lang w:eastAsia="zh-CN"/>
        </w:rPr>
      </w:pPr>
      <w:r w:rsidRPr="0025466C">
        <w:rPr>
          <w:lang w:eastAsia="zh-CN"/>
        </w:rPr>
        <w:t>9</w:t>
      </w:r>
      <w:r w:rsidR="00E70EAC">
        <w:rPr>
          <w:lang w:eastAsia="zh-CN"/>
        </w:rPr>
        <w:t>.</w:t>
      </w:r>
      <w:r w:rsidRPr="0025466C">
        <w:rPr>
          <w:lang w:eastAsia="zh-CN"/>
        </w:rPr>
        <w:tab/>
      </w:r>
      <w:r w:rsidRPr="000E0BCB">
        <w:rPr>
          <w:lang w:eastAsia="zh-CN"/>
        </w:rPr>
        <w:t>The number of Sector Member</w:t>
      </w:r>
      <w:r>
        <w:rPr>
          <w:lang w:eastAsia="zh-CN"/>
        </w:rPr>
        <w:t>s’</w:t>
      </w:r>
      <w:r w:rsidRPr="000E0BCB">
        <w:rPr>
          <w:lang w:eastAsia="zh-CN"/>
        </w:rPr>
        <w:t xml:space="preserve"> units fell from 2</w:t>
      </w:r>
      <w:r>
        <w:rPr>
          <w:lang w:eastAsia="zh-CN"/>
        </w:rPr>
        <w:t xml:space="preserve">31 1/2 to 218 1/2 </w:t>
      </w:r>
      <w:r w:rsidRPr="000E0BCB">
        <w:rPr>
          <w:lang w:eastAsia="zh-CN"/>
        </w:rPr>
        <w:t>between PP-14 and</w:t>
      </w:r>
      <w:r>
        <w:rPr>
          <w:lang w:eastAsia="zh-CN"/>
        </w:rPr>
        <w:br/>
      </w:r>
      <w:r w:rsidRPr="000E0BCB">
        <w:rPr>
          <w:lang w:eastAsia="zh-CN"/>
        </w:rPr>
        <w:t>PP-18</w:t>
      </w:r>
      <w:r>
        <w:rPr>
          <w:lang w:eastAsia="zh-CN"/>
        </w:rPr>
        <w:t>, a decrease of 13</w:t>
      </w:r>
      <w:r w:rsidRPr="000E0BCB">
        <w:rPr>
          <w:lang w:eastAsia="zh-CN"/>
        </w:rPr>
        <w:t xml:space="preserve"> units (6%).</w:t>
      </w:r>
    </w:p>
    <w:p w:rsidR="00E3228B" w:rsidRPr="002A2F10" w:rsidRDefault="00E3228B" w:rsidP="00E70EAC">
      <w:pPr>
        <w:jc w:val="both"/>
        <w:rPr>
          <w:lang w:eastAsia="zh-CN"/>
        </w:rPr>
      </w:pPr>
      <w:r w:rsidRPr="002A2F10">
        <w:rPr>
          <w:lang w:eastAsia="zh-CN"/>
        </w:rPr>
        <w:t>10</w:t>
      </w:r>
      <w:r w:rsidR="00E70EAC">
        <w:rPr>
          <w:lang w:eastAsia="zh-CN"/>
        </w:rPr>
        <w:t>.</w:t>
      </w:r>
      <w:r w:rsidRPr="002A2F10">
        <w:rPr>
          <w:lang w:eastAsia="zh-CN"/>
        </w:rPr>
        <w:tab/>
        <w:t xml:space="preserve">The number of Associates rose from </w:t>
      </w:r>
      <w:r>
        <w:rPr>
          <w:lang w:eastAsia="zh-CN"/>
        </w:rPr>
        <w:t>152 to 194</w:t>
      </w:r>
      <w:r w:rsidRPr="002A2F10">
        <w:rPr>
          <w:lang w:eastAsia="zh-CN"/>
        </w:rPr>
        <w:t xml:space="preserve"> between PP-14</w:t>
      </w:r>
      <w:r>
        <w:rPr>
          <w:lang w:eastAsia="zh-CN"/>
        </w:rPr>
        <w:t xml:space="preserve"> and PP-1</w:t>
      </w:r>
      <w:r w:rsidRPr="002A2F10">
        <w:rPr>
          <w:lang w:eastAsia="zh-CN"/>
        </w:rPr>
        <w:t>8, an increase of 2</w:t>
      </w:r>
      <w:r>
        <w:rPr>
          <w:lang w:eastAsia="zh-CN"/>
        </w:rPr>
        <w:t>8</w:t>
      </w:r>
      <w:r w:rsidRPr="002A2F10">
        <w:rPr>
          <w:lang w:eastAsia="zh-CN"/>
        </w:rPr>
        <w:t>% (see Annex 2).</w:t>
      </w:r>
    </w:p>
    <w:p w:rsidR="00E3228B" w:rsidRDefault="00E3228B" w:rsidP="00E70EAC">
      <w:pPr>
        <w:keepLines/>
        <w:jc w:val="both"/>
        <w:rPr>
          <w:lang w:eastAsia="zh-CN"/>
        </w:rPr>
      </w:pPr>
      <w:r w:rsidRPr="0025466C">
        <w:rPr>
          <w:lang w:eastAsia="zh-CN"/>
        </w:rPr>
        <w:t>11</w:t>
      </w:r>
      <w:r w:rsidR="00E70EAC">
        <w:rPr>
          <w:lang w:eastAsia="zh-CN"/>
        </w:rPr>
        <w:t>.</w:t>
      </w:r>
      <w:r w:rsidRPr="0025466C">
        <w:rPr>
          <w:lang w:eastAsia="zh-CN"/>
        </w:rPr>
        <w:tab/>
      </w:r>
      <w:r w:rsidRPr="002A2F10">
        <w:rPr>
          <w:lang w:eastAsia="zh-CN"/>
        </w:rPr>
        <w:t xml:space="preserve">The number of Academic Institutions rose from </w:t>
      </w:r>
      <w:r>
        <w:rPr>
          <w:lang w:eastAsia="zh-CN"/>
        </w:rPr>
        <w:t>83 to 146</w:t>
      </w:r>
      <w:r w:rsidRPr="002A2F10">
        <w:rPr>
          <w:lang w:eastAsia="zh-CN"/>
        </w:rPr>
        <w:t xml:space="preserve"> between PP-14 and PP-18</w:t>
      </w:r>
      <w:r>
        <w:rPr>
          <w:lang w:eastAsia="zh-CN"/>
        </w:rPr>
        <w:t>, an increase of 76%</w:t>
      </w:r>
      <w:r w:rsidRPr="002A2F10">
        <w:rPr>
          <w:lang w:eastAsia="zh-CN"/>
        </w:rPr>
        <w:t xml:space="preserve"> (see Annex 2).</w:t>
      </w:r>
    </w:p>
    <w:p w:rsidR="00E3228B" w:rsidRPr="00741256" w:rsidRDefault="00E3228B" w:rsidP="00E3228B">
      <w:pPr>
        <w:keepLines/>
        <w:spacing w:before="1920"/>
        <w:rPr>
          <w:lang w:eastAsia="zh-CN"/>
        </w:rPr>
      </w:pPr>
      <w:r w:rsidRPr="0025466C">
        <w:rPr>
          <w:b/>
          <w:bCs/>
          <w:lang w:eastAsia="zh-CN"/>
        </w:rPr>
        <w:t>Annexes:</w:t>
      </w:r>
      <w:r w:rsidRPr="0025466C">
        <w:rPr>
          <w:lang w:eastAsia="zh-CN"/>
        </w:rPr>
        <w:t xml:space="preserve"> 2</w:t>
      </w:r>
      <w:r w:rsidRPr="0025466C">
        <w:rPr>
          <w:lang w:eastAsia="zh-CN"/>
        </w:rPr>
        <w:br w:type="page"/>
      </w:r>
    </w:p>
    <w:p w:rsidR="00E3228B" w:rsidRDefault="00E3228B" w:rsidP="00E3228B">
      <w:pPr>
        <w:spacing w:before="760" w:after="600"/>
        <w:jc w:val="center"/>
        <w:rPr>
          <w:rFonts w:cs="Arial"/>
          <w:b/>
          <w:bCs/>
          <w:sz w:val="22"/>
          <w:szCs w:val="22"/>
          <w:lang w:eastAsia="zh-CN"/>
        </w:rPr>
      </w:pPr>
      <w:r w:rsidRPr="00551445">
        <w:rPr>
          <w:caps/>
          <w:sz w:val="28"/>
          <w:lang w:eastAsia="zh-CN"/>
        </w:rPr>
        <w:lastRenderedPageBreak/>
        <w:t>ANNEX 1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3140"/>
        <w:gridCol w:w="1340"/>
        <w:gridCol w:w="1620"/>
        <w:gridCol w:w="1340"/>
        <w:gridCol w:w="1360"/>
      </w:tblGrid>
      <w:tr w:rsidR="00E3228B" w:rsidRPr="002A7DF1" w:rsidTr="00161B5D">
        <w:trPr>
          <w:trHeight w:val="153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MEMBER STATES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No. of units PP-14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Changes between PP-14 and PP-18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No. of units PP-18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Afghanistan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Albania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Algeria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Andorra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Angola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-  1/8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Antigua and Barbuda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Argentina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Armenia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Australia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Austria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Azerbaijan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Bahamas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Bahrain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Bangladesh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Barbados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Belarus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Belgium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Belize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Benin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Bhutan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Bolivia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Bosnia and Herzegovina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Botswana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Brazil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Brunei Darussalam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Bulgaria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Burkina Faso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Burundi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Cambodia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Cameroon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Canada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-2      </w:t>
            </w:r>
          </w:p>
        </w:tc>
      </w:tr>
      <w:tr w:rsidR="00E3228B" w:rsidRPr="002A7DF1" w:rsidTr="00161B5D">
        <w:trPr>
          <w:trHeight w:val="237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Cabo Verde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Central African Republic</w:t>
            </w:r>
          </w:p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</w:p>
        </w:tc>
      </w:tr>
    </w:tbl>
    <w:p w:rsidR="00E3228B" w:rsidRDefault="00E3228B" w:rsidP="00E3228B">
      <w:r>
        <w:br w:type="page"/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3140"/>
        <w:gridCol w:w="1340"/>
        <w:gridCol w:w="1620"/>
        <w:gridCol w:w="1340"/>
        <w:gridCol w:w="1360"/>
      </w:tblGrid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Chad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Chile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8530C3" w:rsidRPr="008530C3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China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6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20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6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Colombia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Comoros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Congo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Costa Rica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8530C3" w:rsidRPr="008530C3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Côte d'Ivoire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8530C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8530C3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1  3/4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Croatia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Cuba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Cyprus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Czech Republic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Dem. Rep. of the Congo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Dem. People's Rep. of Korea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Denmark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 1/2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 1/2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Djibouti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Dominica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Dominican Republic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Ecuador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Egypt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El Salvador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Equatorial Guinea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Eritrea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Estonia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Eswatini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Ethiopia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6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Federation of Saint Kitts and Nevis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Fiji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Finland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France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Gabon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Gambia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Georgia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Germany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Ghana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Greece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Grenada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Guatemala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Guinea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-  1/8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Guinea-Bissau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Guyana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Haiti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Honduras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Hungary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Iceland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India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Indonesia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Iran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Iraq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Ireland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Israel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Italy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Jamaica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Japan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Jordan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Kazakhstan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Kenya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Kiribati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Korea (Republic. of)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786024" w:rsidRPr="00786024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78602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786024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Kuwait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78602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B050"/>
                <w:sz w:val="22"/>
                <w:szCs w:val="22"/>
                <w:lang w:val="en-US" w:eastAsia="zh-CN"/>
              </w:rPr>
            </w:pPr>
            <w:r w:rsidRPr="00786024">
              <w:rPr>
                <w:rFonts w:cs="Calibri"/>
                <w:color w:val="00B05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78602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786024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2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78602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786024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5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786024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786024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2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Kyrgyzstan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6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Lao People's Democratic Republic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Latvia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Lebanon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Lesotho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Liberia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Libyan Arab Jamahiriya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Liechtenstein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Lithuania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Luxembourg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Madagascar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Malawi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Malaysia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Maldives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Mali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Malta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Marshall Islands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Mauritania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Mauritius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Mexico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Micronesia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Moldova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Monaco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Mongolia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Montenegro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Morocco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Mozambique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Myanmar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Namibia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Nauru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lastRenderedPageBreak/>
              <w:t xml:space="preserve">Nepal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Netherlands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New Zealand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Nicaragua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Niger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Nigeria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Norway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Oman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5F388C" w:rsidRPr="005F388C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Pakistan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color w:val="00B05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1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2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1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Panama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Papua New Guinea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5F388C" w:rsidRPr="005F388C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Paraguay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color w:val="00B050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 1/4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  1/4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Peru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Philippines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Poland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5F388C" w:rsidRPr="005F388C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Portugal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000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color w:val="FF0000"/>
                <w:sz w:val="22"/>
                <w:szCs w:val="22"/>
                <w:lang w:val="en-US" w:eastAsia="zh-CN"/>
              </w:rPr>
              <w:t>1 1/2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FF0000"/>
                <w:sz w:val="22"/>
                <w:szCs w:val="22"/>
                <w:lang w:val="en-US" w:eastAsia="zh-CN"/>
              </w:rPr>
              <w:t xml:space="preserve">-  1/2 </w:t>
            </w:r>
          </w:p>
        </w:tc>
      </w:tr>
      <w:tr w:rsidR="005F388C" w:rsidRPr="005F388C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Qatar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color w:val="00B05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1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2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1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Republic of North Macedonia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Romania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1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Russian Federation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Rwanda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Saint Lucia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6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Saint Vincent and the Grenadines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Samoa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San Marino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Sao Tome and Principe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Saudi Arabia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Senegal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Serbia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Seychelles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Sierra Leone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Singapore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Slovakia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Slovenia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Solomon Islands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Somalia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South Africa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South Sudan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Spain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Sri Lanka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Sudan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Suriname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Sweden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Switzerland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Syrian Arab Republic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bookmarkStart w:id="10" w:name="_GoBack"/>
            <w:bookmarkEnd w:id="10"/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Tajikistan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Tanzania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Thailand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1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Timor-Leste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5F388C" w:rsidRPr="005F388C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F388C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Togo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color w:val="00B050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5F388C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</w:pPr>
            <w:r w:rsidRPr="005F388C">
              <w:rPr>
                <w:rFonts w:cs="Calibri"/>
                <w:b/>
                <w:bCs/>
                <w:color w:val="00B050"/>
                <w:sz w:val="22"/>
                <w:szCs w:val="22"/>
                <w:lang w:val="en-US" w:eastAsia="zh-CN"/>
              </w:rPr>
              <w:t xml:space="preserve">  3/16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Tonga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Trinidad and Tobago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Tunisia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Turkey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Turkmenistan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Tuvalu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Uganda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Ukraine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United Arab Emirates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United Kingdom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E322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United States of America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Uruguay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Uzbekistan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Vanuatu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Vatican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Venezuela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Vietnam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Yemen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Zambia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Zimbabwe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sz w:val="22"/>
                <w:szCs w:val="22"/>
                <w:lang w:val="en-US" w:eastAsia="zh-CN"/>
              </w:rPr>
              <w:t xml:space="preserve">0      </w:t>
            </w:r>
          </w:p>
        </w:tc>
      </w:tr>
      <w:tr w:rsidR="00E3228B" w:rsidRPr="002A7DF1" w:rsidTr="00161B5D">
        <w:trPr>
          <w:trHeight w:val="37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334  1/4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10 1/4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343 11/16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8B" w:rsidRPr="002A7DF1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2A7DF1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9  7/16</w:t>
            </w:r>
          </w:p>
        </w:tc>
      </w:tr>
    </w:tbl>
    <w:p w:rsidR="00E3228B" w:rsidRPr="0025466C" w:rsidRDefault="00E3228B" w:rsidP="00E322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Arial"/>
          <w:b/>
          <w:bCs/>
          <w:sz w:val="22"/>
          <w:szCs w:val="22"/>
          <w:lang w:eastAsia="zh-CN"/>
        </w:rPr>
        <w:sectPr w:rsidR="00E3228B" w:rsidRPr="0025466C" w:rsidSect="004D1851">
          <w:headerReference w:type="default" r:id="rId15"/>
          <w:footerReference w:type="first" r:id="rId1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E3228B" w:rsidRPr="001C466F" w:rsidRDefault="00E3228B" w:rsidP="00E3228B">
      <w:pPr>
        <w:spacing w:before="720"/>
        <w:jc w:val="center"/>
        <w:rPr>
          <w:caps/>
          <w:sz w:val="28"/>
        </w:rPr>
      </w:pPr>
      <w:r w:rsidRPr="001C466F">
        <w:rPr>
          <w:caps/>
          <w:sz w:val="28"/>
        </w:rPr>
        <w:lastRenderedPageBreak/>
        <w:t>aNNEX 2</w:t>
      </w:r>
    </w:p>
    <w:p w:rsidR="00E3228B" w:rsidRPr="0025466C" w:rsidRDefault="00E3228B" w:rsidP="00E3228B">
      <w:pPr>
        <w:jc w:val="center"/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240"/>
        <w:gridCol w:w="1240"/>
      </w:tblGrid>
      <w:tr w:rsidR="00E3228B" w:rsidRPr="00545683" w:rsidTr="00161B5D">
        <w:trPr>
          <w:trHeight w:val="106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Sector Members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No. of units</w:t>
            </w:r>
          </w:p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PP-</w:t>
            </w: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No. of units</w:t>
            </w:r>
          </w:p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PP-</w:t>
            </w: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</w:p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 in 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ITU-R Sector Members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100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98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-3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-3%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ITU-T Sector Members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105 1/5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98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-7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-6%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ITU-D Sector Members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25 2/3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22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-3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-13%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231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218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-13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-6%</w:t>
            </w:r>
          </w:p>
        </w:tc>
      </w:tr>
      <w:tr w:rsidR="00E3228B" w:rsidRPr="00545683" w:rsidTr="00161B5D">
        <w:trPr>
          <w:trHeight w:val="435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</w:tr>
      <w:tr w:rsidR="00E3228B" w:rsidRPr="00545683" w:rsidTr="00161B5D">
        <w:trPr>
          <w:trHeight w:val="106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Associates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Number      </w:t>
            </w: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PP-</w:t>
            </w: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Number      PP-</w:t>
            </w: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</w:p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 in 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ITU-R Associates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15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21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6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40%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ITU-T Associates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129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161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32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25%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ITU-D Associates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8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12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4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50%</w:t>
            </w:r>
          </w:p>
        </w:tc>
      </w:tr>
      <w:tr w:rsidR="00E3228B" w:rsidRPr="00545683" w:rsidTr="00161B5D">
        <w:trPr>
          <w:trHeight w:val="402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Total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152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194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42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28%</w:t>
            </w:r>
          </w:p>
        </w:tc>
      </w:tr>
      <w:tr w:rsidR="00E3228B" w:rsidRPr="00545683" w:rsidTr="00161B5D">
        <w:trPr>
          <w:trHeight w:val="435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E3228B" w:rsidRPr="00545683" w:rsidTr="00161B5D">
        <w:trPr>
          <w:trHeight w:val="106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 xml:space="preserve">Academic Institutions                         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Number      PP-</w:t>
            </w: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Number      PP-</w:t>
            </w: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8B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</w:p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Difference in %</w:t>
            </w:r>
          </w:p>
        </w:tc>
      </w:tr>
      <w:tr w:rsidR="00E3228B" w:rsidRPr="00545683" w:rsidTr="00161B5D">
        <w:trPr>
          <w:trHeight w:val="39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b/>
                <w:bCs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83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146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 xml:space="preserve">63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8B" w:rsidRPr="00545683" w:rsidRDefault="00E3228B" w:rsidP="00161B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2"/>
                <w:szCs w:val="22"/>
                <w:lang w:val="en-US" w:eastAsia="zh-CN"/>
              </w:rPr>
            </w:pPr>
            <w:r w:rsidRPr="00545683">
              <w:rPr>
                <w:rFonts w:cs="Calibri"/>
                <w:sz w:val="22"/>
                <w:szCs w:val="22"/>
                <w:lang w:val="en-US" w:eastAsia="zh-CN"/>
              </w:rPr>
              <w:t>76%</w:t>
            </w:r>
          </w:p>
        </w:tc>
      </w:tr>
    </w:tbl>
    <w:p w:rsidR="00E3228B" w:rsidRPr="0025466C" w:rsidRDefault="00E3228B" w:rsidP="00E3228B">
      <w:pPr>
        <w:spacing w:before="840"/>
        <w:jc w:val="center"/>
      </w:pPr>
      <w:r w:rsidRPr="0025466C">
        <w:t>________________</w:t>
      </w:r>
    </w:p>
    <w:sectPr w:rsidR="00E3228B" w:rsidRPr="0025466C" w:rsidSect="004D1851">
      <w:headerReference w:type="default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0" w:rsidRDefault="001859E0">
      <w:r>
        <w:separator/>
      </w:r>
    </w:p>
  </w:endnote>
  <w:endnote w:type="continuationSeparator" w:id="0">
    <w:p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B" w:rsidRDefault="00E3228B" w:rsidP="00433D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3228B" w:rsidRPr="00E3228B" w:rsidRDefault="00E3228B" w:rsidP="000E1AB2">
    <w:pPr>
      <w:pStyle w:val="Footer"/>
      <w:rPr>
        <w:color w:val="D9D9D9" w:themeColor="background1" w:themeShade="D9"/>
        <w:lang w:val="en-US"/>
      </w:rPr>
    </w:pPr>
    <w:r w:rsidRPr="00E3228B">
      <w:rPr>
        <w:color w:val="D9D9D9" w:themeColor="background1" w:themeShade="D9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786024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CB18FF">
      <w:tab/>
    </w:r>
    <w:r w:rsidR="00CB18FF">
      <w:tab/>
    </w:r>
    <w:r w:rsidR="008530C3">
      <w:fldChar w:fldCharType="begin"/>
    </w:r>
    <w:r w:rsidR="008530C3">
      <w:instrText xml:space="preserve"> DATE   \* MERGEFORMAT </w:instrText>
    </w:r>
    <w:r w:rsidR="008530C3">
      <w:fldChar w:fldCharType="separate"/>
    </w:r>
    <w:r w:rsidR="008441AC">
      <w:t>04/04/2019</w:t>
    </w:r>
    <w:r w:rsidR="008530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Pr="00E70EAC" w:rsidRDefault="00322D0D" w:rsidP="00E70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0" w:rsidRDefault="001859E0">
      <w:r>
        <w:t>____________________</w:t>
      </w:r>
    </w:p>
  </w:footnote>
  <w:footnote w:type="continuationSeparator" w:id="0">
    <w:p w:rsidR="001859E0" w:rsidRDefault="0018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B" w:rsidRDefault="00E3228B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86024">
      <w:rPr>
        <w:noProof/>
      </w:rPr>
      <w:t>6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86024">
      <w:rPr>
        <w:noProof/>
      </w:rPr>
      <w:t>8</w:t>
    </w:r>
    <w:r>
      <w:rPr>
        <w:noProof/>
      </w:rPr>
      <w:fldChar w:fldCharType="end"/>
    </w:r>
  </w:p>
  <w:p w:rsidR="00E3228B" w:rsidRDefault="00E3228B" w:rsidP="00E957B7">
    <w:pPr>
      <w:pStyle w:val="Header"/>
    </w:pPr>
    <w:r>
      <w:t>C19/43-E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3228B">
      <w:rPr>
        <w:noProof/>
      </w:rPr>
      <w:t>9</w:t>
    </w:r>
    <w:r>
      <w:rPr>
        <w:noProof/>
      </w:rPr>
      <w:fldChar w:fldCharType="end"/>
    </w:r>
  </w:p>
  <w:p w:rsidR="00322D0D" w:rsidRPr="00623AE3" w:rsidRDefault="00FA4575" w:rsidP="005243FF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/xx-E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B" w:rsidRDefault="00E3228B" w:rsidP="00E3228B">
    <w:pPr>
      <w:pStyle w:val="Header"/>
    </w:pPr>
    <w:r>
      <w:fldChar w:fldCharType="begin"/>
    </w:r>
    <w:r>
      <w:instrText>PAGE</w:instrText>
    </w:r>
    <w:r>
      <w:fldChar w:fldCharType="separate"/>
    </w:r>
    <w:r w:rsidR="00786024">
      <w:rPr>
        <w:noProof/>
      </w:rPr>
      <w:t>8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86024">
      <w:rPr>
        <w:noProof/>
      </w:rPr>
      <w:t>8</w:t>
    </w:r>
    <w:r>
      <w:rPr>
        <w:noProof/>
      </w:rPr>
      <w:fldChar w:fldCharType="end"/>
    </w:r>
  </w:p>
  <w:p w:rsidR="00E3228B" w:rsidRDefault="00E3228B" w:rsidP="00E3228B">
    <w:pPr>
      <w:pStyle w:val="Header"/>
    </w:pPr>
    <w:r>
      <w:t>C19/43-E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301E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5F388C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86024"/>
    <w:rsid w:val="00793188"/>
    <w:rsid w:val="00794D34"/>
    <w:rsid w:val="00813E5E"/>
    <w:rsid w:val="0083581B"/>
    <w:rsid w:val="008441AC"/>
    <w:rsid w:val="008530C3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0EFA"/>
    <w:rsid w:val="00D04E39"/>
    <w:rsid w:val="00D06183"/>
    <w:rsid w:val="00D22C42"/>
    <w:rsid w:val="00D65041"/>
    <w:rsid w:val="00DB384B"/>
    <w:rsid w:val="00E10E80"/>
    <w:rsid w:val="00E124F0"/>
    <w:rsid w:val="00E3228B"/>
    <w:rsid w:val="00E60F04"/>
    <w:rsid w:val="00E70EAC"/>
    <w:rsid w:val="00E854E4"/>
    <w:rsid w:val="00EB0D6F"/>
    <w:rsid w:val="00EB2232"/>
    <w:rsid w:val="00EC5337"/>
    <w:rsid w:val="00F2150A"/>
    <w:rsid w:val="00F231D8"/>
    <w:rsid w:val="00F46C5F"/>
    <w:rsid w:val="00F86A1E"/>
    <w:rsid w:val="00F94A63"/>
    <w:rsid w:val="00FA1C28"/>
    <w:rsid w:val="00FA4575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uiPriority w:val="99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E3228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E3228B"/>
    <w:rPr>
      <w:vertAlign w:val="superscript"/>
    </w:rPr>
  </w:style>
  <w:style w:type="paragraph" w:customStyle="1" w:styleId="firstfooter0">
    <w:name w:val="firstfooter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rsid w:val="00E3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E322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lang w:val="en-US" w:eastAsia="zh-CN"/>
    </w:rPr>
  </w:style>
  <w:style w:type="paragraph" w:customStyle="1" w:styleId="xl66">
    <w:name w:val="xl66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val="en-US" w:eastAsia="zh-CN"/>
    </w:rPr>
  </w:style>
  <w:style w:type="paragraph" w:customStyle="1" w:styleId="xl67">
    <w:name w:val="xl67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zh-CN"/>
    </w:rPr>
  </w:style>
  <w:style w:type="paragraph" w:customStyle="1" w:styleId="xl68">
    <w:name w:val="xl68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Cs w:val="24"/>
      <w:lang w:val="en-US" w:eastAsia="zh-CN"/>
    </w:rPr>
  </w:style>
  <w:style w:type="paragraph" w:customStyle="1" w:styleId="xl69">
    <w:name w:val="xl69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0">
    <w:name w:val="xl70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339966"/>
      <w:szCs w:val="24"/>
      <w:lang w:val="en-US" w:eastAsia="zh-CN"/>
    </w:rPr>
  </w:style>
  <w:style w:type="paragraph" w:customStyle="1" w:styleId="xl71">
    <w:name w:val="xl71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en-US" w:eastAsia="zh-CN"/>
    </w:rPr>
  </w:style>
  <w:style w:type="paragraph" w:customStyle="1" w:styleId="xl72">
    <w:name w:val="xl72"/>
    <w:basedOn w:val="Normal"/>
    <w:rsid w:val="00E322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73">
    <w:name w:val="xl73"/>
    <w:basedOn w:val="Normal"/>
    <w:rsid w:val="00E3228B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74">
    <w:name w:val="xl74"/>
    <w:basedOn w:val="Normal"/>
    <w:rsid w:val="00E3228B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75">
    <w:name w:val="xl75"/>
    <w:basedOn w:val="Normal"/>
    <w:rsid w:val="00E3228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76">
    <w:name w:val="xl76"/>
    <w:basedOn w:val="Normal"/>
    <w:rsid w:val="00E3228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77">
    <w:name w:val="xl77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FF"/>
      <w:szCs w:val="24"/>
      <w:lang w:val="en-US" w:eastAsia="zh-CN"/>
    </w:rPr>
  </w:style>
  <w:style w:type="paragraph" w:customStyle="1" w:styleId="xl78">
    <w:name w:val="xl78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Cs w:val="24"/>
      <w:lang w:val="en-US" w:eastAsia="zh-CN"/>
    </w:rPr>
  </w:style>
  <w:style w:type="paragraph" w:customStyle="1" w:styleId="xl79">
    <w:name w:val="xl79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Cs w:val="24"/>
      <w:lang w:val="en-US" w:eastAsia="zh-CN"/>
    </w:rPr>
  </w:style>
  <w:style w:type="paragraph" w:customStyle="1" w:styleId="xl80">
    <w:name w:val="xl80"/>
    <w:basedOn w:val="Normal"/>
    <w:rsid w:val="00E3228B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1">
    <w:name w:val="xl81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FF"/>
      <w:szCs w:val="24"/>
      <w:lang w:val="en-US" w:eastAsia="zh-CN"/>
    </w:rPr>
  </w:style>
  <w:style w:type="paragraph" w:customStyle="1" w:styleId="xl82">
    <w:name w:val="xl82"/>
    <w:basedOn w:val="Normal"/>
    <w:rsid w:val="00E3228B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3">
    <w:name w:val="xl83"/>
    <w:basedOn w:val="Normal"/>
    <w:rsid w:val="00E3228B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84">
    <w:name w:val="xl84"/>
    <w:basedOn w:val="Normal"/>
    <w:rsid w:val="00E3228B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5">
    <w:name w:val="xl85"/>
    <w:basedOn w:val="Normal"/>
    <w:rsid w:val="00E322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6">
    <w:name w:val="xl86"/>
    <w:basedOn w:val="Normal"/>
    <w:rsid w:val="00E322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87">
    <w:name w:val="xl87"/>
    <w:basedOn w:val="Normal"/>
    <w:rsid w:val="00E3228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val="en-US" w:eastAsia="zh-CN"/>
    </w:rPr>
  </w:style>
  <w:style w:type="paragraph" w:customStyle="1" w:styleId="xl88">
    <w:name w:val="xl88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xl89">
    <w:name w:val="xl89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90">
    <w:name w:val="xl90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1">
    <w:name w:val="xl91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92">
    <w:name w:val="xl92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3">
    <w:name w:val="xl93"/>
    <w:basedOn w:val="Normal"/>
    <w:rsid w:val="00E322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4">
    <w:name w:val="xl94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5">
    <w:name w:val="xl95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6">
    <w:name w:val="xl96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97">
    <w:name w:val="xl97"/>
    <w:basedOn w:val="Normal"/>
    <w:rsid w:val="00E322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8">
    <w:name w:val="xl98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99">
    <w:name w:val="xl99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00">
    <w:name w:val="xl100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101">
    <w:name w:val="xl101"/>
    <w:basedOn w:val="Normal"/>
    <w:rsid w:val="00E322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2">
    <w:name w:val="xl102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3">
    <w:name w:val="xl103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4">
    <w:name w:val="xl104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5">
    <w:name w:val="xl105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F0"/>
      <w:sz w:val="16"/>
      <w:szCs w:val="16"/>
      <w:lang w:val="en-US" w:eastAsia="zh-CN"/>
    </w:rPr>
  </w:style>
  <w:style w:type="paragraph" w:customStyle="1" w:styleId="xl106">
    <w:name w:val="xl106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07">
    <w:name w:val="xl107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08">
    <w:name w:val="xl108"/>
    <w:basedOn w:val="Normal"/>
    <w:rsid w:val="00E322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xl109">
    <w:name w:val="xl109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  <w:lang w:val="en-US" w:eastAsia="zh-CN"/>
    </w:rPr>
  </w:style>
  <w:style w:type="paragraph" w:customStyle="1" w:styleId="xl110">
    <w:name w:val="xl110"/>
    <w:basedOn w:val="Normal"/>
    <w:rsid w:val="00E322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1">
    <w:name w:val="xl111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2">
    <w:name w:val="xl112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3">
    <w:name w:val="xl113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4">
    <w:name w:val="xl114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5">
    <w:name w:val="xl115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B050"/>
      <w:sz w:val="16"/>
      <w:szCs w:val="16"/>
      <w:lang w:val="en-US" w:eastAsia="zh-CN"/>
    </w:rPr>
  </w:style>
  <w:style w:type="paragraph" w:customStyle="1" w:styleId="xl116">
    <w:name w:val="xl116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color w:val="00B050"/>
      <w:sz w:val="16"/>
      <w:szCs w:val="16"/>
      <w:lang w:val="en-US" w:eastAsia="zh-CN"/>
    </w:rPr>
  </w:style>
  <w:style w:type="paragraph" w:customStyle="1" w:styleId="xl117">
    <w:name w:val="xl117"/>
    <w:basedOn w:val="Normal"/>
    <w:rsid w:val="00E32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B050"/>
      <w:sz w:val="16"/>
      <w:szCs w:val="16"/>
      <w:lang w:val="en-US" w:eastAsia="zh-CN"/>
    </w:rPr>
  </w:style>
  <w:style w:type="paragraph" w:customStyle="1" w:styleId="xl118">
    <w:name w:val="xl118"/>
    <w:basedOn w:val="Normal"/>
    <w:rsid w:val="00E3228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E322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28B"/>
    <w:rPr>
      <w:rFonts w:ascii="Tahoma" w:hAnsi="Tahoma" w:cs="Tahoma"/>
      <w:sz w:val="16"/>
      <w:szCs w:val="16"/>
      <w:lang w:val="en-GB" w:eastAsia="en-US"/>
    </w:rPr>
  </w:style>
  <w:style w:type="paragraph" w:customStyle="1" w:styleId="xl119">
    <w:name w:val="xl119"/>
    <w:basedOn w:val="Normal"/>
    <w:rsid w:val="00E3228B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S-CONF-ACTF-201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S-CONF-ACTF-201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ACTF-20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pub/S-CONF-ACTF-201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ACTF-2018" TargetMode="External"/><Relationship Id="rId14" Type="http://schemas.openxmlformats.org/officeDocument/2006/relationships/hyperlink" Target="https://www.itu.int/en/council/Documents/basic-texts/DEC-005-E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7C8F-AB8B-4C24-B716-BE68B538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1475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of class of contribution for defraying the Union’s expenses</dc:title>
  <dc:subject>Council 2019</dc:subject>
  <dc:creator>Brouard, Ricarda</dc:creator>
  <cp:keywords>C2019, C19</cp:keywords>
  <dc:description/>
  <cp:lastModifiedBy>Janin, Patricia</cp:lastModifiedBy>
  <cp:revision>10</cp:revision>
  <cp:lastPrinted>2000-07-18T13:30:00Z</cp:lastPrinted>
  <dcterms:created xsi:type="dcterms:W3CDTF">2019-03-13T13:26:00Z</dcterms:created>
  <dcterms:modified xsi:type="dcterms:W3CDTF">2019-04-04T08:40:00Z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