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14:paraId="4BDF1466" w14:textId="77777777">
        <w:trPr>
          <w:cantSplit/>
        </w:trPr>
        <w:tc>
          <w:tcPr>
            <w:tcW w:w="6912" w:type="dxa"/>
          </w:tcPr>
          <w:p w14:paraId="4FBE36FA" w14:textId="77777777" w:rsidR="00093EEB" w:rsidRPr="000B0D00" w:rsidRDefault="00093EEB" w:rsidP="00007A18">
            <w:pPr>
              <w:spacing w:before="360"/>
              <w:rPr>
                <w:szCs w:val="24"/>
              </w:rPr>
            </w:pPr>
            <w:bookmarkStart w:id="0" w:name="dc06"/>
            <w:bookmarkStart w:id="1" w:name="dbluepink" w:colFirst="0" w:colLast="0"/>
            <w:bookmarkEnd w:id="0"/>
            <w:r w:rsidRPr="00093EEB">
              <w:rPr>
                <w:b/>
                <w:bCs/>
                <w:sz w:val="30"/>
                <w:szCs w:val="30"/>
              </w:rPr>
              <w:t>Consejo 201</w:t>
            </w:r>
            <w:r w:rsidR="00C2727F">
              <w:rPr>
                <w:b/>
                <w:bCs/>
                <w:sz w:val="30"/>
                <w:szCs w:val="30"/>
              </w:rPr>
              <w:t>9</w:t>
            </w:r>
            <w:r w:rsidRPr="00093EEB">
              <w:rPr>
                <w:b/>
                <w:bCs/>
                <w:sz w:val="26"/>
                <w:szCs w:val="26"/>
              </w:rPr>
              <w:br/>
            </w:r>
            <w:r w:rsidRPr="00093EEB">
              <w:rPr>
                <w:b/>
                <w:bCs/>
                <w:szCs w:val="24"/>
              </w:rPr>
              <w:t>Ginebra, 1</w:t>
            </w:r>
            <w:r w:rsidR="00C2727F">
              <w:rPr>
                <w:b/>
                <w:bCs/>
                <w:szCs w:val="24"/>
              </w:rPr>
              <w:t>0</w:t>
            </w:r>
            <w:r w:rsidRPr="00093EEB">
              <w:rPr>
                <w:b/>
                <w:bCs/>
                <w:szCs w:val="24"/>
              </w:rPr>
              <w:t>-2</w:t>
            </w:r>
            <w:r w:rsidR="00C2727F">
              <w:rPr>
                <w:b/>
                <w:bCs/>
                <w:szCs w:val="24"/>
              </w:rPr>
              <w:t>0</w:t>
            </w:r>
            <w:r w:rsidRPr="00093EEB">
              <w:rPr>
                <w:b/>
                <w:bCs/>
                <w:szCs w:val="24"/>
              </w:rPr>
              <w:t xml:space="preserve"> de </w:t>
            </w:r>
            <w:r w:rsidR="00C2727F">
              <w:rPr>
                <w:b/>
                <w:bCs/>
                <w:szCs w:val="24"/>
              </w:rPr>
              <w:t>junio</w:t>
            </w:r>
            <w:r w:rsidRPr="00093EEB">
              <w:rPr>
                <w:b/>
                <w:bCs/>
                <w:szCs w:val="24"/>
              </w:rPr>
              <w:t xml:space="preserve"> de 201</w:t>
            </w:r>
            <w:r w:rsidR="00C2727F">
              <w:rPr>
                <w:b/>
                <w:bCs/>
                <w:szCs w:val="24"/>
              </w:rPr>
              <w:t>9</w:t>
            </w:r>
          </w:p>
        </w:tc>
        <w:tc>
          <w:tcPr>
            <w:tcW w:w="3261" w:type="dxa"/>
          </w:tcPr>
          <w:p w14:paraId="4F500510" w14:textId="77777777" w:rsidR="00093EEB" w:rsidRPr="000B0D00" w:rsidRDefault="00093EEB" w:rsidP="00007A18">
            <w:pPr>
              <w:spacing w:before="0"/>
              <w:jc w:val="right"/>
              <w:rPr>
                <w:szCs w:val="24"/>
              </w:rPr>
            </w:pPr>
            <w:bookmarkStart w:id="2" w:name="ditulogo"/>
            <w:bookmarkEnd w:id="2"/>
            <w:r w:rsidRPr="00093EEB">
              <w:rPr>
                <w:rFonts w:cstheme="minorHAnsi"/>
                <w:b/>
                <w:bCs/>
                <w:noProof/>
                <w:szCs w:val="24"/>
                <w:lang w:val="es-ES" w:eastAsia="zh-CN"/>
              </w:rPr>
              <w:drawing>
                <wp:inline distT="0" distB="0" distL="0" distR="0" wp14:anchorId="7BD86A88" wp14:editId="387BE183">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14:paraId="509D9987" w14:textId="77777777">
        <w:trPr>
          <w:cantSplit/>
          <w:trHeight w:val="20"/>
        </w:trPr>
        <w:tc>
          <w:tcPr>
            <w:tcW w:w="10173" w:type="dxa"/>
            <w:gridSpan w:val="2"/>
            <w:tcBorders>
              <w:bottom w:val="single" w:sz="12" w:space="0" w:color="auto"/>
            </w:tcBorders>
          </w:tcPr>
          <w:p w14:paraId="481E61E0" w14:textId="77777777" w:rsidR="00093EEB" w:rsidRPr="00EB1212" w:rsidRDefault="00093EEB" w:rsidP="00007A18">
            <w:pPr>
              <w:spacing w:before="0"/>
              <w:rPr>
                <w:b/>
                <w:bCs/>
                <w:szCs w:val="24"/>
              </w:rPr>
            </w:pPr>
          </w:p>
        </w:tc>
      </w:tr>
      <w:tr w:rsidR="00093EEB" w:rsidRPr="000B0D00" w14:paraId="479414EF" w14:textId="77777777">
        <w:trPr>
          <w:cantSplit/>
          <w:trHeight w:val="20"/>
        </w:trPr>
        <w:tc>
          <w:tcPr>
            <w:tcW w:w="6912" w:type="dxa"/>
            <w:tcBorders>
              <w:top w:val="single" w:sz="12" w:space="0" w:color="auto"/>
            </w:tcBorders>
          </w:tcPr>
          <w:p w14:paraId="4917B100" w14:textId="77777777" w:rsidR="00093EEB" w:rsidRPr="000B0D00" w:rsidRDefault="00093EEB" w:rsidP="00007A18">
            <w:pPr>
              <w:tabs>
                <w:tab w:val="clear" w:pos="2268"/>
                <w:tab w:val="left" w:pos="1560"/>
                <w:tab w:val="left" w:pos="2269"/>
                <w:tab w:val="left" w:pos="3544"/>
                <w:tab w:val="left" w:pos="3969"/>
              </w:tabs>
              <w:spacing w:before="0"/>
              <w:rPr>
                <w:b/>
                <w:smallCaps/>
                <w:szCs w:val="24"/>
              </w:rPr>
            </w:pPr>
          </w:p>
        </w:tc>
        <w:tc>
          <w:tcPr>
            <w:tcW w:w="3261" w:type="dxa"/>
            <w:tcBorders>
              <w:top w:val="single" w:sz="12" w:space="0" w:color="auto"/>
            </w:tcBorders>
          </w:tcPr>
          <w:p w14:paraId="2CEE287D" w14:textId="77777777" w:rsidR="00093EEB" w:rsidRPr="000B0D00" w:rsidRDefault="00093EEB" w:rsidP="00007A18">
            <w:pPr>
              <w:spacing w:before="0"/>
              <w:rPr>
                <w:b/>
                <w:bCs/>
                <w:szCs w:val="24"/>
              </w:rPr>
            </w:pPr>
          </w:p>
        </w:tc>
      </w:tr>
      <w:tr w:rsidR="00093EEB" w:rsidRPr="000B0D00" w14:paraId="20950758" w14:textId="77777777">
        <w:trPr>
          <w:cantSplit/>
          <w:trHeight w:val="20"/>
        </w:trPr>
        <w:tc>
          <w:tcPr>
            <w:tcW w:w="6912" w:type="dxa"/>
            <w:shd w:val="clear" w:color="auto" w:fill="auto"/>
          </w:tcPr>
          <w:p w14:paraId="16F3E048" w14:textId="77777777" w:rsidR="00093EEB" w:rsidRPr="00093EEB" w:rsidRDefault="006A3152" w:rsidP="00007A18">
            <w:pPr>
              <w:tabs>
                <w:tab w:val="clear" w:pos="2268"/>
                <w:tab w:val="left" w:pos="1560"/>
                <w:tab w:val="left" w:pos="2269"/>
                <w:tab w:val="left" w:pos="3544"/>
                <w:tab w:val="left" w:pos="3969"/>
              </w:tabs>
              <w:spacing w:before="0"/>
              <w:rPr>
                <w:rFonts w:cs="Times"/>
                <w:b/>
                <w:szCs w:val="24"/>
              </w:rPr>
            </w:pPr>
            <w:bookmarkStart w:id="3" w:name="dnum" w:colFirst="1" w:colLast="1"/>
            <w:bookmarkStart w:id="4" w:name="dmeeting" w:colFirst="0" w:colLast="0"/>
            <w:r w:rsidRPr="007D0809">
              <w:rPr>
                <w:rFonts w:cs="Times"/>
                <w:b/>
                <w:szCs w:val="24"/>
              </w:rPr>
              <w:t>Punto del orden del día: ADM 1</w:t>
            </w:r>
            <w:r>
              <w:rPr>
                <w:rFonts w:cs="Times"/>
                <w:b/>
                <w:szCs w:val="24"/>
              </w:rPr>
              <w:t>6</w:t>
            </w:r>
          </w:p>
        </w:tc>
        <w:tc>
          <w:tcPr>
            <w:tcW w:w="3261" w:type="dxa"/>
          </w:tcPr>
          <w:p w14:paraId="24EFDA43" w14:textId="77777777" w:rsidR="00093EEB" w:rsidRPr="00093EEB" w:rsidRDefault="00093EEB" w:rsidP="00007A18">
            <w:pPr>
              <w:spacing w:before="0"/>
              <w:rPr>
                <w:b/>
                <w:bCs/>
                <w:szCs w:val="24"/>
              </w:rPr>
            </w:pPr>
            <w:r>
              <w:rPr>
                <w:b/>
                <w:bCs/>
                <w:szCs w:val="24"/>
              </w:rPr>
              <w:t>Documento C1</w:t>
            </w:r>
            <w:r w:rsidR="00C2727F">
              <w:rPr>
                <w:b/>
                <w:bCs/>
                <w:szCs w:val="24"/>
              </w:rPr>
              <w:t>9</w:t>
            </w:r>
            <w:r>
              <w:rPr>
                <w:b/>
                <w:bCs/>
                <w:szCs w:val="24"/>
              </w:rPr>
              <w:t>/</w:t>
            </w:r>
            <w:r w:rsidR="006A3152">
              <w:rPr>
                <w:b/>
                <w:bCs/>
                <w:szCs w:val="24"/>
              </w:rPr>
              <w:t>44</w:t>
            </w:r>
            <w:r>
              <w:rPr>
                <w:b/>
                <w:bCs/>
                <w:szCs w:val="24"/>
              </w:rPr>
              <w:t>-S</w:t>
            </w:r>
          </w:p>
        </w:tc>
      </w:tr>
      <w:tr w:rsidR="00093EEB" w:rsidRPr="000B0D00" w14:paraId="554E925A" w14:textId="77777777">
        <w:trPr>
          <w:cantSplit/>
          <w:trHeight w:val="20"/>
        </w:trPr>
        <w:tc>
          <w:tcPr>
            <w:tcW w:w="6912" w:type="dxa"/>
            <w:shd w:val="clear" w:color="auto" w:fill="auto"/>
          </w:tcPr>
          <w:p w14:paraId="10478DFE" w14:textId="77777777" w:rsidR="00093EEB" w:rsidRPr="000B0D00" w:rsidRDefault="00093EEB" w:rsidP="00007A18">
            <w:pPr>
              <w:shd w:val="solid" w:color="FFFFFF" w:fill="FFFFFF"/>
              <w:spacing w:before="0"/>
              <w:rPr>
                <w:smallCaps/>
                <w:szCs w:val="24"/>
              </w:rPr>
            </w:pPr>
            <w:bookmarkStart w:id="5" w:name="ddate" w:colFirst="1" w:colLast="1"/>
            <w:bookmarkEnd w:id="3"/>
            <w:bookmarkEnd w:id="4"/>
          </w:p>
        </w:tc>
        <w:tc>
          <w:tcPr>
            <w:tcW w:w="3261" w:type="dxa"/>
          </w:tcPr>
          <w:p w14:paraId="241F06A4" w14:textId="77777777" w:rsidR="00093EEB" w:rsidRPr="00093EEB" w:rsidRDefault="006A3152" w:rsidP="00007A18">
            <w:pPr>
              <w:spacing w:before="0"/>
              <w:rPr>
                <w:b/>
                <w:bCs/>
                <w:szCs w:val="24"/>
              </w:rPr>
            </w:pPr>
            <w:r w:rsidRPr="006A3152">
              <w:rPr>
                <w:b/>
                <w:bCs/>
                <w:szCs w:val="24"/>
              </w:rPr>
              <w:t>15 de mayo de 2019</w:t>
            </w:r>
          </w:p>
        </w:tc>
      </w:tr>
      <w:tr w:rsidR="00093EEB" w:rsidRPr="000B0D00" w14:paraId="7840F427" w14:textId="77777777">
        <w:trPr>
          <w:cantSplit/>
          <w:trHeight w:val="20"/>
        </w:trPr>
        <w:tc>
          <w:tcPr>
            <w:tcW w:w="6912" w:type="dxa"/>
            <w:shd w:val="clear" w:color="auto" w:fill="auto"/>
          </w:tcPr>
          <w:p w14:paraId="42515931" w14:textId="77777777" w:rsidR="00093EEB" w:rsidRPr="000B0D00" w:rsidRDefault="00093EEB" w:rsidP="00007A18">
            <w:pPr>
              <w:shd w:val="solid" w:color="FFFFFF" w:fill="FFFFFF"/>
              <w:spacing w:before="0"/>
              <w:rPr>
                <w:smallCaps/>
                <w:szCs w:val="24"/>
              </w:rPr>
            </w:pPr>
            <w:bookmarkStart w:id="6" w:name="dorlang" w:colFirst="1" w:colLast="1"/>
            <w:bookmarkEnd w:id="5"/>
          </w:p>
        </w:tc>
        <w:tc>
          <w:tcPr>
            <w:tcW w:w="3261" w:type="dxa"/>
          </w:tcPr>
          <w:p w14:paraId="45D7861E" w14:textId="77777777" w:rsidR="00093EEB" w:rsidRPr="00093EEB" w:rsidRDefault="00093EEB" w:rsidP="00007A18">
            <w:pPr>
              <w:spacing w:before="0"/>
              <w:rPr>
                <w:b/>
                <w:bCs/>
                <w:szCs w:val="24"/>
              </w:rPr>
            </w:pPr>
            <w:r>
              <w:rPr>
                <w:b/>
                <w:bCs/>
                <w:szCs w:val="24"/>
              </w:rPr>
              <w:t>Original: inglés</w:t>
            </w:r>
          </w:p>
        </w:tc>
      </w:tr>
      <w:tr w:rsidR="00093EEB" w:rsidRPr="000B0D00" w14:paraId="26A8CB89" w14:textId="77777777">
        <w:trPr>
          <w:cantSplit/>
        </w:trPr>
        <w:tc>
          <w:tcPr>
            <w:tcW w:w="10173" w:type="dxa"/>
            <w:gridSpan w:val="2"/>
          </w:tcPr>
          <w:p w14:paraId="6EE37267" w14:textId="77777777" w:rsidR="00093EEB" w:rsidRPr="000B0D00" w:rsidRDefault="006A3152" w:rsidP="00007A18">
            <w:pPr>
              <w:pStyle w:val="Source"/>
            </w:pPr>
            <w:bookmarkStart w:id="7" w:name="dsource" w:colFirst="0" w:colLast="0"/>
            <w:bookmarkEnd w:id="1"/>
            <w:bookmarkEnd w:id="6"/>
            <w:r w:rsidRPr="007D0809">
              <w:t>Informe del Secretario General</w:t>
            </w:r>
          </w:p>
        </w:tc>
      </w:tr>
      <w:tr w:rsidR="00093EEB" w:rsidRPr="000B0D00" w14:paraId="55FFEA23" w14:textId="77777777">
        <w:trPr>
          <w:cantSplit/>
        </w:trPr>
        <w:tc>
          <w:tcPr>
            <w:tcW w:w="10173" w:type="dxa"/>
            <w:gridSpan w:val="2"/>
          </w:tcPr>
          <w:p w14:paraId="349512D3" w14:textId="77777777" w:rsidR="00093EEB" w:rsidRPr="000B0D00" w:rsidRDefault="006A3152" w:rsidP="00007A18">
            <w:pPr>
              <w:pStyle w:val="Title1"/>
            </w:pPr>
            <w:bookmarkStart w:id="8" w:name="dtitle1" w:colFirst="0" w:colLast="0"/>
            <w:bookmarkEnd w:id="7"/>
            <w:r w:rsidRPr="007D0809">
              <w:t>INFORME DEL AUDITOR INTERNO SOBRE ACTIVIDADES DE AUDITORÍA INTERNA</w:t>
            </w:r>
          </w:p>
        </w:tc>
      </w:tr>
      <w:bookmarkEnd w:id="8"/>
    </w:tbl>
    <w:p w14:paraId="55C6377A" w14:textId="77777777" w:rsidR="00093EEB" w:rsidRPr="000B0D00" w:rsidRDefault="00093EEB" w:rsidP="00007A1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0B0D00" w14:paraId="2F79C5B1"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304B1957" w14:textId="77777777" w:rsidR="00093EEB" w:rsidRPr="000B0D00" w:rsidRDefault="00093EEB" w:rsidP="00007A18">
            <w:pPr>
              <w:pStyle w:val="Headingb"/>
              <w:rPr>
                <w:lang w:val="es-ES"/>
              </w:rPr>
            </w:pPr>
            <w:r w:rsidRPr="000B0D00">
              <w:rPr>
                <w:lang w:val="es-ES"/>
              </w:rPr>
              <w:t>Resumen</w:t>
            </w:r>
          </w:p>
          <w:p w14:paraId="4C17E629" w14:textId="77777777" w:rsidR="00093EEB" w:rsidRPr="000B0D00" w:rsidRDefault="006A3152" w:rsidP="00007A18">
            <w:pPr>
              <w:rPr>
                <w:lang w:val="es-ES"/>
              </w:rPr>
            </w:pPr>
            <w:r w:rsidRPr="007D0809">
              <w:t>El presente Informe se refiere a las actividades de Auditoría Interna en el periodo comprendido entre marzo de 201</w:t>
            </w:r>
            <w:r>
              <w:t>8</w:t>
            </w:r>
            <w:r w:rsidRPr="007D0809">
              <w:t xml:space="preserve"> y </w:t>
            </w:r>
            <w:r>
              <w:t>abril</w:t>
            </w:r>
            <w:r w:rsidRPr="007D0809">
              <w:t xml:space="preserve"> de 201</w:t>
            </w:r>
            <w:r>
              <w:t>9</w:t>
            </w:r>
            <w:r w:rsidRPr="007D0809">
              <w:t>.</w:t>
            </w:r>
          </w:p>
          <w:p w14:paraId="4BE59EA4" w14:textId="77777777" w:rsidR="00093EEB" w:rsidRPr="000B0D00" w:rsidRDefault="00093EEB" w:rsidP="00007A18">
            <w:pPr>
              <w:pStyle w:val="Headingb"/>
              <w:rPr>
                <w:lang w:val="es-ES"/>
              </w:rPr>
            </w:pPr>
            <w:r w:rsidRPr="000B0D00">
              <w:rPr>
                <w:lang w:val="es-ES"/>
              </w:rPr>
              <w:t>Acción solicitada</w:t>
            </w:r>
          </w:p>
          <w:p w14:paraId="4303DB0F" w14:textId="77777777" w:rsidR="00093EEB" w:rsidRPr="000B0D00" w:rsidRDefault="006A3152" w:rsidP="00007A18">
            <w:pPr>
              <w:rPr>
                <w:lang w:val="es-ES"/>
              </w:rPr>
            </w:pPr>
            <w:r w:rsidRPr="007D0809">
              <w:t xml:space="preserve">Se transmite el presente Informe al Consejo para </w:t>
            </w:r>
            <w:r w:rsidRPr="007D0809">
              <w:rPr>
                <w:b/>
                <w:bCs/>
              </w:rPr>
              <w:t>examen</w:t>
            </w:r>
            <w:r w:rsidRPr="007D0809">
              <w:t>.</w:t>
            </w:r>
          </w:p>
          <w:p w14:paraId="05F7B45B" w14:textId="77777777" w:rsidR="00093EEB" w:rsidRPr="000B0D00" w:rsidRDefault="00093EEB" w:rsidP="00007A18">
            <w:pPr>
              <w:pStyle w:val="Table"/>
              <w:keepNext w:val="0"/>
              <w:spacing w:before="0" w:after="0"/>
              <w:rPr>
                <w:caps w:val="0"/>
                <w:sz w:val="22"/>
                <w:lang w:val="es-ES"/>
              </w:rPr>
            </w:pPr>
            <w:r w:rsidRPr="000B0D00">
              <w:rPr>
                <w:caps w:val="0"/>
                <w:sz w:val="22"/>
                <w:lang w:val="es-ES"/>
              </w:rPr>
              <w:t>____________</w:t>
            </w:r>
          </w:p>
          <w:p w14:paraId="0ACEBBBD" w14:textId="77777777" w:rsidR="00093EEB" w:rsidRPr="000B0D00" w:rsidRDefault="00093EEB" w:rsidP="00007A18">
            <w:pPr>
              <w:pStyle w:val="Headingb"/>
              <w:rPr>
                <w:lang w:val="es-ES"/>
              </w:rPr>
            </w:pPr>
            <w:r w:rsidRPr="000B0D00">
              <w:rPr>
                <w:lang w:val="es-ES"/>
              </w:rPr>
              <w:t>Referencia</w:t>
            </w:r>
            <w:r w:rsidR="006A3152">
              <w:rPr>
                <w:lang w:val="es-ES"/>
              </w:rPr>
              <w:t>s</w:t>
            </w:r>
          </w:p>
          <w:p w14:paraId="3804E95F" w14:textId="32907095" w:rsidR="00093EEB" w:rsidRPr="000B0D00" w:rsidRDefault="00390B2A" w:rsidP="00007A18">
            <w:pPr>
              <w:spacing w:after="120"/>
              <w:rPr>
                <w:i/>
                <w:iCs/>
                <w:lang w:val="es-ES"/>
              </w:rPr>
            </w:pPr>
            <w:hyperlink r:id="rId8" w:history="1">
              <w:r w:rsidR="006A3152" w:rsidRPr="00EC63EB">
                <w:rPr>
                  <w:rStyle w:val="Hyperlink"/>
                  <w:i/>
                  <w:iCs/>
                </w:rPr>
                <w:t>Reglamento Financiero y Reglas Financieras de la UIT (2018), Artículo 29</w:t>
              </w:r>
            </w:hyperlink>
          </w:p>
        </w:tc>
      </w:tr>
    </w:tbl>
    <w:p w14:paraId="77D52D72" w14:textId="77777777" w:rsidR="006A3152" w:rsidRPr="006A3152" w:rsidRDefault="006A3152" w:rsidP="00007A18">
      <w:pPr>
        <w:pStyle w:val="Heading1"/>
      </w:pPr>
      <w:r w:rsidRPr="006A3152">
        <w:t>Introducción</w:t>
      </w:r>
    </w:p>
    <w:p w14:paraId="483D706A" w14:textId="2AD33C00" w:rsidR="006A3152" w:rsidRPr="007D0809" w:rsidRDefault="006A3152" w:rsidP="00007A18">
      <w:r w:rsidRPr="007D0809">
        <w:t>1</w:t>
      </w:r>
      <w:r w:rsidRPr="007D0809">
        <w:tab/>
        <w:t>El presente Informe se transmite al Consejo y responde al Artículo 29 del Reglamento Financiero de la UIT (2010). De conformidad con la Carta de Auditoría Interna</w:t>
      </w:r>
      <w:r w:rsidR="00461248" w:rsidRPr="00461248">
        <w:t xml:space="preserve"> </w:t>
      </w:r>
      <w:r w:rsidR="00461248" w:rsidRPr="007D0809">
        <w:t>de la UIT</w:t>
      </w:r>
      <w:r w:rsidRPr="007D0809">
        <w:rPr>
          <w:rStyle w:val="FootnoteReference"/>
        </w:rPr>
        <w:footnoteReference w:id="1"/>
      </w:r>
      <w:r w:rsidRPr="007D0809">
        <w:t>, el presente Informe se sometió al Secretario General antes de someterlo a la consideración del Consejo. El actual Informe se refiere a actividades realizadas durante el periodo comprendido entre marzo de 201</w:t>
      </w:r>
      <w:r>
        <w:t>8</w:t>
      </w:r>
      <w:r w:rsidRPr="007D0809">
        <w:t xml:space="preserve"> y </w:t>
      </w:r>
      <w:r>
        <w:t>abril</w:t>
      </w:r>
      <w:r w:rsidRPr="007D0809">
        <w:t xml:space="preserve"> de 201</w:t>
      </w:r>
      <w:r>
        <w:t>9</w:t>
      </w:r>
      <w:r w:rsidRPr="007D0809">
        <w:t>.</w:t>
      </w:r>
    </w:p>
    <w:p w14:paraId="780E720A" w14:textId="5E1165BB" w:rsidR="006A3152" w:rsidRPr="007D0809" w:rsidRDefault="00244964" w:rsidP="00007A18">
      <w:r>
        <w:t>2</w:t>
      </w:r>
      <w:r>
        <w:tab/>
      </w:r>
      <w:r w:rsidR="006A3152" w:rsidRPr="007D0809">
        <w:t>Durante el periodo de informe, la Unidad de Auditoría Interna estuvo compuesta por dos funcionarios</w:t>
      </w:r>
      <w:r>
        <w:t xml:space="preserve"> de categoría profesional</w:t>
      </w:r>
      <w:r w:rsidRPr="0076425C">
        <w:t xml:space="preserve"> – </w:t>
      </w:r>
      <w:r>
        <w:t>un P</w:t>
      </w:r>
      <w:r w:rsidR="006A3152" w:rsidRPr="007D0809">
        <w:t>5 (Jefe de l</w:t>
      </w:r>
      <w:r>
        <w:t>a Unidad) y un P</w:t>
      </w:r>
      <w:r w:rsidR="006A3152">
        <w:t>3</w:t>
      </w:r>
      <w:r w:rsidR="006A3152" w:rsidRPr="007D0809">
        <w:t xml:space="preserve"> </w:t>
      </w:r>
      <w:r w:rsidR="006A3152">
        <w:t xml:space="preserve">(Auditor </w:t>
      </w:r>
      <w:r>
        <w:t>Interno), así como un P</w:t>
      </w:r>
      <w:r w:rsidR="006A3152">
        <w:t>2 (</w:t>
      </w:r>
      <w:r w:rsidR="006A3152" w:rsidRPr="007D0809">
        <w:t xml:space="preserve">Auditor Interno subalterno), </w:t>
      </w:r>
      <w:r w:rsidR="006A3152" w:rsidRPr="007D0809">
        <w:rPr>
          <w:rFonts w:asciiTheme="minorHAnsi" w:hAnsiTheme="minorHAnsi" w:cstheme="minorHAnsi"/>
          <w:szCs w:val="24"/>
        </w:rPr>
        <w:t xml:space="preserve">hasta que la persona que ocupaba el puesto </w:t>
      </w:r>
      <w:r w:rsidR="006A3152">
        <w:rPr>
          <w:rFonts w:asciiTheme="minorHAnsi" w:hAnsiTheme="minorHAnsi" w:cstheme="minorHAnsi"/>
          <w:szCs w:val="24"/>
        </w:rPr>
        <w:t xml:space="preserve">abandonó la UIT el 31 de julio de 2018 y fue sustituida temporalmente el 2 </w:t>
      </w:r>
      <w:r>
        <w:rPr>
          <w:rFonts w:asciiTheme="minorHAnsi" w:hAnsiTheme="minorHAnsi" w:cstheme="minorHAnsi"/>
          <w:szCs w:val="24"/>
        </w:rPr>
        <w:t>de febrero de 2019. El puesto P</w:t>
      </w:r>
      <w:r w:rsidR="006A3152">
        <w:rPr>
          <w:rFonts w:asciiTheme="minorHAnsi" w:hAnsiTheme="minorHAnsi" w:cstheme="minorHAnsi"/>
          <w:szCs w:val="24"/>
        </w:rPr>
        <w:t>2 se anunció como empleo d</w:t>
      </w:r>
      <w:r w:rsidR="006A3152" w:rsidRPr="006C0B14">
        <w:rPr>
          <w:rFonts w:asciiTheme="minorHAnsi" w:hAnsiTheme="minorHAnsi" w:cstheme="minorHAnsi"/>
          <w:szCs w:val="24"/>
        </w:rPr>
        <w:t>e periodo fijo</w:t>
      </w:r>
      <w:r w:rsidR="006A3152" w:rsidRPr="007D0809">
        <w:t>. La unidad contó todo el tiempo con un puesto de servicios generales (Asistente de auditoría) a tiempo completo.</w:t>
      </w:r>
      <w:r w:rsidR="006A3152">
        <w:t xml:space="preserve"> </w:t>
      </w:r>
      <w:r w:rsidR="006A3152" w:rsidRPr="007D0809">
        <w:rPr>
          <w:rFonts w:asciiTheme="minorHAnsi" w:hAnsiTheme="minorHAnsi" w:cstheme="minorHAnsi"/>
          <w:color w:val="000000"/>
          <w:szCs w:val="24"/>
        </w:rPr>
        <w:t xml:space="preserve">Por consiguiente, </w:t>
      </w:r>
      <w:r w:rsidR="006A3152" w:rsidRPr="007D0809">
        <w:t xml:space="preserve">la Unidad consta actualmente de tres puestos de categoría </w:t>
      </w:r>
      <w:r w:rsidR="006A3152" w:rsidRPr="006C0B14">
        <w:t>profesional</w:t>
      </w:r>
      <w:r w:rsidR="006A3152" w:rsidRPr="007D0809">
        <w:t xml:space="preserve"> y un puesto de servicios generales.</w:t>
      </w:r>
    </w:p>
    <w:p w14:paraId="5D39DA2C" w14:textId="455E2BB7" w:rsidR="006A3152" w:rsidRPr="007D0809" w:rsidRDefault="006A3152" w:rsidP="00B31677">
      <w:pPr>
        <w:keepNext/>
        <w:keepLines/>
      </w:pPr>
      <w:r w:rsidRPr="007D0809">
        <w:lastRenderedPageBreak/>
        <w:t>3</w:t>
      </w:r>
      <w:r w:rsidRPr="007D0809">
        <w:tab/>
        <w:t>La Auditoría Interna confirma que lleva a cabo sus auditorías de conformidad con las Normas Internacionales para la Práctica Profesional de Auditoría Interna y el Código Ético establecidos por el Instituto de Auditores Internos (IIA)</w:t>
      </w:r>
      <w:r w:rsidRPr="007D0809">
        <w:rPr>
          <w:rStyle w:val="FootnoteReference"/>
        </w:rPr>
        <w:footnoteReference w:id="2"/>
      </w:r>
      <w:r w:rsidRPr="007D0809">
        <w:t>, así como las disposiciones de la Carta de Auditoría Interna</w:t>
      </w:r>
      <w:r w:rsidR="00B31677" w:rsidRPr="00B31677">
        <w:t xml:space="preserve"> </w:t>
      </w:r>
      <w:r w:rsidR="00B31677" w:rsidRPr="007D0809">
        <w:t>de la UIT</w:t>
      </w:r>
      <w:r w:rsidRPr="007D0809">
        <w:rPr>
          <w:rStyle w:val="FootnoteReference"/>
        </w:rPr>
        <w:footnoteReference w:id="3"/>
      </w:r>
      <w:r w:rsidRPr="007D0809">
        <w:t>. Además, la Auditoría Interna confirma que durante el periodo auditado su personal no tuvo autoridad de gestión ni responsabilidad sobre ninguna de las actividades auditadas y no realizó funciones de contabilidad u operacionales en la UIT.</w:t>
      </w:r>
    </w:p>
    <w:p w14:paraId="0F73C399" w14:textId="77777777" w:rsidR="006A3152" w:rsidRPr="007D0809" w:rsidRDefault="006A3152" w:rsidP="00006895">
      <w:pPr>
        <w:pStyle w:val="Heading1"/>
      </w:pPr>
      <w:r w:rsidRPr="007D0809">
        <w:t>Orientación y ámbito de las actividades de Auditoría Interna</w:t>
      </w:r>
    </w:p>
    <w:p w14:paraId="6723707D" w14:textId="77777777" w:rsidR="006A3152" w:rsidRPr="007D0809" w:rsidRDefault="006A3152" w:rsidP="00007A18">
      <w:r w:rsidRPr="007D0809">
        <w:t>4</w:t>
      </w:r>
      <w:r w:rsidRPr="007D0809">
        <w:tab/>
        <w:t xml:space="preserve">De conformidad con la Carta de Auditoría Interna, el Comité Asesor Independiente sobre la Gestión (CAIG) examinó en </w:t>
      </w:r>
      <w:r>
        <w:t xml:space="preserve">su 18ª reunión </w:t>
      </w:r>
      <w:r w:rsidRPr="007D0809">
        <w:t>el plan de Auditoría Interna propuesto para 201</w:t>
      </w:r>
      <w:r>
        <w:t>8</w:t>
      </w:r>
      <w:r w:rsidRPr="007D0809">
        <w:t xml:space="preserve">, que fue aprobado </w:t>
      </w:r>
      <w:r w:rsidRPr="004E0FD4">
        <w:t xml:space="preserve">el 24 de enero de 2018 </w:t>
      </w:r>
      <w:r>
        <w:t xml:space="preserve">por el Secretario General. Con respecto a 2019, la propuesta de plan de auditoría interna se formuló al principio del año, previa consulta con los funcionarios electos. El CAIG lo revisó en su 21ª reunión y el Secretario lo aprobó el 26 de marzo de 2019. </w:t>
      </w:r>
      <w:r w:rsidRPr="00C90F3A">
        <w:rPr>
          <w:rFonts w:asciiTheme="minorHAnsi" w:hAnsiTheme="minorHAnsi" w:cstheme="minorHAnsi"/>
          <w:szCs w:val="24"/>
        </w:rPr>
        <w:t xml:space="preserve">Además de los compromisos de garantía, en la Carta de Auditoría Interna también se dispone que </w:t>
      </w:r>
      <w:r w:rsidRPr="00C90F3A">
        <w:rPr>
          <w:rFonts w:asciiTheme="minorHAnsi" w:hAnsiTheme="minorHAnsi" w:cstheme="minorHAnsi"/>
          <w:i/>
          <w:iCs/>
          <w:szCs w:val="24"/>
        </w:rPr>
        <w:t>la Auditoría Interna estudiará las alegaciones o presunciones de fraude o gestión indebida y que podrá proporcionar servicios de consultoría en la UIT</w:t>
      </w:r>
      <w:r w:rsidRPr="007D0809">
        <w:rPr>
          <w:rFonts w:asciiTheme="minorHAnsi" w:hAnsiTheme="minorHAnsi" w:cstheme="minorHAnsi"/>
          <w:szCs w:val="24"/>
        </w:rPr>
        <w:t>.</w:t>
      </w:r>
    </w:p>
    <w:p w14:paraId="559F562F" w14:textId="71750E2B" w:rsidR="006A3152" w:rsidRPr="007D0809" w:rsidRDefault="006A3152" w:rsidP="00756EF9">
      <w:r w:rsidRPr="007D0809">
        <w:t>5</w:t>
      </w:r>
      <w:r w:rsidRPr="007D0809">
        <w:tab/>
        <w:t>La Auditoría Interna comparte sistemáticamente copias de los informes de Auditoría Interna con el Auditor Externo de la UIT y el CAIG. De conformidad con el Reglamento Financiero de la UIT (Art</w:t>
      </w:r>
      <w:r w:rsidR="00756EF9">
        <w:t>ículo</w:t>
      </w:r>
      <w:r w:rsidRPr="007D0809">
        <w:t xml:space="preserve"> 29, punto 5), los Informes Finales de Auditoría Interna pueden ponerse a disposición de los Estados Miembros o de sus representantes designados. Desde octubre de 2015 existe un mecanismo que facilita el acceso a los Informes de Auditoría Interna.</w:t>
      </w:r>
      <w:r w:rsidRPr="007D0809">
        <w:rPr>
          <w:rFonts w:asciiTheme="minorHAnsi" w:hAnsiTheme="minorHAnsi" w:cs="Calibri"/>
        </w:rPr>
        <w:t xml:space="preserve"> </w:t>
      </w:r>
      <w:r w:rsidRPr="007D0809">
        <w:t xml:space="preserve">Durante el periodo auditado </w:t>
      </w:r>
      <w:r>
        <w:t xml:space="preserve">no </w:t>
      </w:r>
      <w:r w:rsidRPr="007D0809">
        <w:t>se recibi</w:t>
      </w:r>
      <w:r>
        <w:t xml:space="preserve">ó ninguna </w:t>
      </w:r>
      <w:r w:rsidRPr="007D0809">
        <w:t>solicitud para consultar informes de la Auditoría Interna a través del mecanismo en línea.</w:t>
      </w:r>
    </w:p>
    <w:p w14:paraId="5CBA1CB1" w14:textId="77777777" w:rsidR="006A3152" w:rsidRPr="007D0809" w:rsidRDefault="006A3152" w:rsidP="00D7736B">
      <w:pPr>
        <w:pStyle w:val="Heading1"/>
      </w:pPr>
      <w:r w:rsidRPr="007D0809">
        <w:t>Objetivos y conclusiones de los compromisos de garantía</w:t>
      </w:r>
    </w:p>
    <w:p w14:paraId="6AEBA769" w14:textId="6B1741CD" w:rsidR="006A3152" w:rsidRPr="007D0809" w:rsidRDefault="006A3152" w:rsidP="00007A18">
      <w:r w:rsidRPr="007D0809">
        <w:t>6</w:t>
      </w:r>
      <w:r w:rsidRPr="007D0809">
        <w:tab/>
        <w:t>Los objetivos de los compromisos de garantía eran evaluar</w:t>
      </w:r>
      <w:r w:rsidR="00D7736B">
        <w:t>:</w:t>
      </w:r>
      <w:r w:rsidRPr="007D0809">
        <w:t xml:space="preserve"> </w:t>
      </w:r>
      <w:r w:rsidRPr="007D0809">
        <w:rPr>
          <w:rFonts w:asciiTheme="minorHAnsi" w:hAnsiTheme="minorHAnsi" w:cs="Calibri"/>
        </w:rPr>
        <w:t>i) los aspectos de gobernanza de las operaciones verificadas de la Un</w:t>
      </w:r>
      <w:r w:rsidR="00D7736B">
        <w:rPr>
          <w:rFonts w:asciiTheme="minorHAnsi" w:hAnsiTheme="minorHAnsi" w:cs="Calibri"/>
        </w:rPr>
        <w:t>ión;</w:t>
      </w:r>
      <w:r w:rsidRPr="007D0809">
        <w:rPr>
          <w:rFonts w:asciiTheme="minorHAnsi" w:hAnsiTheme="minorHAnsi" w:cs="Calibri"/>
        </w:rPr>
        <w:t xml:space="preserve"> ii) las prácticas de gestión de riesgos</w:t>
      </w:r>
      <w:r w:rsidR="00D7736B">
        <w:rPr>
          <w:rFonts w:asciiTheme="minorHAnsi" w:hAnsiTheme="minorHAnsi" w:cs="Calibri"/>
        </w:rPr>
        <w:t>;</w:t>
      </w:r>
      <w:r w:rsidRPr="007D0809">
        <w:rPr>
          <w:rFonts w:asciiTheme="minorHAnsi" w:hAnsiTheme="minorHAnsi" w:cs="Calibri"/>
        </w:rPr>
        <w:t xml:space="preserve"> y iii) la eficacia de los controles (internos). </w:t>
      </w:r>
      <w:r w:rsidRPr="007D0809">
        <w:t>La prioridad de las recomendaciones resultantes de los trabajos de auditoría se clasifica de acuerdo con la repercusión y la probabilidad de la deficiencia (alta, media, baja).</w:t>
      </w:r>
    </w:p>
    <w:p w14:paraId="6D8263AC" w14:textId="77777777" w:rsidR="006A3152" w:rsidRPr="007D0809" w:rsidRDefault="006A3152" w:rsidP="00007A18">
      <w:r w:rsidRPr="007D0809">
        <w:t>De acuerdo con los diversos compromisos de garantía cumplidos, la Auditoría Interna llegó a la conclusión de que, globalmente, se necesita mejorar la gobernanza y la gestión de riesgo de los procesos revisados y hacer que los controles sean más eficaces en las diversas esferas auditadas. Una mejora de estos puntos permitiría a la Auditoría Interna dar al Secretario General garantías razonables de la adecuación de la gobernanza y de la efectividad de la gestión de riesgos y del control.</w:t>
      </w:r>
      <w:r w:rsidRPr="007D0809">
        <w:rPr>
          <w:rFonts w:asciiTheme="minorHAnsi" w:hAnsiTheme="minorHAnsi" w:cs="Arial"/>
        </w:rPr>
        <w:t xml:space="preserve"> </w:t>
      </w:r>
      <w:r w:rsidRPr="007D0809">
        <w:t>Se van a aplicar las recomendaciones hechas a la Dirección, con el apoyo del Secretario General, y ello reforzará a la UIT para el cumplimiento de su mandato.</w:t>
      </w:r>
    </w:p>
    <w:p w14:paraId="3E36B97E" w14:textId="77777777" w:rsidR="006A3152" w:rsidRPr="007D0809" w:rsidRDefault="006A3152" w:rsidP="00007A18">
      <w:r w:rsidRPr="007D0809">
        <w:t>7</w:t>
      </w:r>
      <w:r w:rsidRPr="007D0809">
        <w:tab/>
        <w:t>La Auditoría Interna sigue la implementación de las acciones recomendadas, en su caso.</w:t>
      </w:r>
    </w:p>
    <w:p w14:paraId="5476E1ED" w14:textId="77777777" w:rsidR="006A3152" w:rsidRPr="007D0809" w:rsidRDefault="006A3152" w:rsidP="00007A18">
      <w:pPr>
        <w:rPr>
          <w:i/>
          <w:iCs/>
        </w:rPr>
      </w:pPr>
      <w:r w:rsidRPr="007D0809">
        <w:rPr>
          <w:i/>
          <w:iCs/>
        </w:rPr>
        <w:br w:type="page"/>
      </w:r>
    </w:p>
    <w:p w14:paraId="6FC6220D" w14:textId="77777777" w:rsidR="006A3152" w:rsidRPr="007D0809" w:rsidRDefault="006A3152" w:rsidP="00440E94">
      <w:pPr>
        <w:pStyle w:val="Headingi"/>
      </w:pPr>
      <w:r w:rsidRPr="007D0809">
        <w:lastRenderedPageBreak/>
        <w:t>Se han obtenido los siguientes compromisos de garantía:</w:t>
      </w:r>
    </w:p>
    <w:p w14:paraId="0F742F01" w14:textId="56A28AA7" w:rsidR="006A3152" w:rsidRPr="00440E94" w:rsidRDefault="00440E94" w:rsidP="00440E94">
      <w:pPr>
        <w:pStyle w:val="Headingb"/>
      </w:pPr>
      <w:bookmarkStart w:id="9" w:name="lt_pId064"/>
      <w:r w:rsidRPr="00440E94">
        <w:t>A</w:t>
      </w:r>
      <w:r w:rsidR="006A3152" w:rsidRPr="00440E94">
        <w:tab/>
        <w:t>Auditoría de los servicios de traducción</w:t>
      </w:r>
    </w:p>
    <w:p w14:paraId="773BE56B" w14:textId="32CD6025" w:rsidR="006A3152" w:rsidRDefault="00FE4D2D" w:rsidP="00FE4D2D">
      <w:r>
        <w:t>8</w:t>
      </w:r>
      <w:r w:rsidR="006A3152" w:rsidRPr="007D0809">
        <w:tab/>
      </w:r>
      <w:r w:rsidR="006A3152" w:rsidRPr="00371267">
        <w:t>La</w:t>
      </w:r>
      <w:r w:rsidR="006A3152" w:rsidRPr="000B5B45">
        <w:t xml:space="preserve"> Auditoría Interna</w:t>
      </w:r>
      <w:r w:rsidR="006A3152" w:rsidRPr="00371267">
        <w:t xml:space="preserve"> llevó a cabo una auditoría de las actividades de traducción en la UIT </w:t>
      </w:r>
      <w:r w:rsidR="006A3152">
        <w:t>para el</w:t>
      </w:r>
      <w:r w:rsidR="006A3152" w:rsidRPr="00371267">
        <w:t xml:space="preserve"> </w:t>
      </w:r>
      <w:r w:rsidR="006A3152">
        <w:t>p</w:t>
      </w:r>
      <w:r w:rsidR="006A3152" w:rsidRPr="00371267">
        <w:t>er</w:t>
      </w:r>
      <w:r>
        <w:t>i</w:t>
      </w:r>
      <w:r w:rsidR="006A3152" w:rsidRPr="00371267">
        <w:t xml:space="preserve">odo comprendido entre enero de 2014 y diciembre de 2017. </w:t>
      </w:r>
      <w:r w:rsidR="006A3152">
        <w:t>Esa</w:t>
      </w:r>
      <w:r w:rsidR="006A3152" w:rsidRPr="00371267">
        <w:t xml:space="preserve"> auditoría </w:t>
      </w:r>
      <w:r w:rsidR="006A3152">
        <w:t>conllevó</w:t>
      </w:r>
      <w:r w:rsidR="006A3152" w:rsidRPr="00371267">
        <w:t xml:space="preserve"> el examen de las políticas y </w:t>
      </w:r>
      <w:r w:rsidR="006A3152">
        <w:t xml:space="preserve">los </w:t>
      </w:r>
      <w:r w:rsidR="006A3152" w:rsidRPr="00371267">
        <w:t xml:space="preserve">procesos aplicables y la forma en que se </w:t>
      </w:r>
      <w:r w:rsidR="006A3152">
        <w:t>realizan</w:t>
      </w:r>
      <w:r w:rsidR="006A3152" w:rsidRPr="00371267">
        <w:t xml:space="preserve"> las actividades de traducción en la UIT. </w:t>
      </w:r>
      <w:r w:rsidR="006A3152">
        <w:t>En la</w:t>
      </w:r>
      <w:r w:rsidR="006A3152" w:rsidRPr="00371267">
        <w:t xml:space="preserve"> auditoría </w:t>
      </w:r>
      <w:r w:rsidR="006A3152">
        <w:t>fueron objeto de revisión</w:t>
      </w:r>
      <w:r w:rsidR="006A3152" w:rsidRPr="00371267">
        <w:t xml:space="preserve"> la traducción </w:t>
      </w:r>
      <w:r w:rsidR="006A3152">
        <w:t>relativa a</w:t>
      </w:r>
      <w:r w:rsidR="006A3152" w:rsidRPr="00371267">
        <w:t xml:space="preserve"> documentos, publicaciones y páginas web de conferencia</w:t>
      </w:r>
      <w:r w:rsidR="006A3152">
        <w:t>s y eventos</w:t>
      </w:r>
      <w:r w:rsidR="006A3152" w:rsidRPr="00371267">
        <w:t>.</w:t>
      </w:r>
    </w:p>
    <w:p w14:paraId="73EA4994" w14:textId="1A1B7C50" w:rsidR="006A3152" w:rsidRPr="00FE4D2D" w:rsidRDefault="00FE4D2D" w:rsidP="00FE4D2D">
      <w:r>
        <w:t>9</w:t>
      </w:r>
      <w:r>
        <w:tab/>
      </w:r>
      <w:r w:rsidR="006A3152" w:rsidRPr="00FE4D2D">
        <w:t>La Auditoría Interna (AI) llegó a las conclusiones enumeradas a continuación en relación con los aspectos de mayor prioridad</w:t>
      </w:r>
      <w:r>
        <w:t>:</w:t>
      </w:r>
    </w:p>
    <w:p w14:paraId="7E15AF98" w14:textId="684471DF" w:rsidR="006A3152" w:rsidRPr="00633CEB" w:rsidRDefault="00320006" w:rsidP="00320006">
      <w:pPr>
        <w:pStyle w:val="enumlev1"/>
        <w:rPr>
          <w:lang w:val="es-ES"/>
        </w:rPr>
      </w:pPr>
      <w:r w:rsidRPr="00320006">
        <w:rPr>
          <w:lang w:val="es-ES"/>
        </w:rPr>
        <w:t>•</w:t>
      </w:r>
      <w:r>
        <w:rPr>
          <w:lang w:val="es-ES"/>
        </w:rPr>
        <w:tab/>
      </w:r>
      <w:r w:rsidR="006A3152" w:rsidRPr="00633CEB">
        <w:rPr>
          <w:lang w:val="es-ES"/>
        </w:rPr>
        <w:t xml:space="preserve">Las políticas relativas a las actividades de traducción </w:t>
      </w:r>
      <w:r w:rsidR="006A3152">
        <w:rPr>
          <w:lang w:val="es-ES"/>
        </w:rPr>
        <w:t>son,</w:t>
      </w:r>
      <w:r w:rsidR="006A3152" w:rsidRPr="00633CEB">
        <w:rPr>
          <w:lang w:val="es-ES"/>
        </w:rPr>
        <w:t xml:space="preserve"> en gran medida</w:t>
      </w:r>
      <w:r w:rsidR="006A3152">
        <w:rPr>
          <w:lang w:val="es-ES"/>
        </w:rPr>
        <w:t>,</w:t>
      </w:r>
      <w:r w:rsidR="006A3152" w:rsidRPr="00633CEB">
        <w:rPr>
          <w:lang w:val="es-ES"/>
        </w:rPr>
        <w:t xml:space="preserve"> </w:t>
      </w:r>
      <w:r w:rsidR="006A3152">
        <w:rPr>
          <w:lang w:val="es-ES"/>
        </w:rPr>
        <w:t>obsoletas</w:t>
      </w:r>
      <w:r w:rsidR="006A3152" w:rsidRPr="00633CEB">
        <w:rPr>
          <w:lang w:val="es-ES"/>
        </w:rPr>
        <w:t xml:space="preserve"> </w:t>
      </w:r>
      <w:r w:rsidR="006A3152">
        <w:rPr>
          <w:lang w:val="es-ES"/>
        </w:rPr>
        <w:t>y no están plenamente en consonancia con</w:t>
      </w:r>
      <w:r w:rsidR="006A3152" w:rsidRPr="00633CEB">
        <w:rPr>
          <w:lang w:val="es-ES"/>
        </w:rPr>
        <w:t xml:space="preserve"> </w:t>
      </w:r>
      <w:r w:rsidR="006A3152">
        <w:rPr>
          <w:lang w:val="es-ES"/>
        </w:rPr>
        <w:t>los métodos</w:t>
      </w:r>
      <w:r w:rsidR="006A3152" w:rsidRPr="00633CEB">
        <w:rPr>
          <w:lang w:val="es-ES"/>
        </w:rPr>
        <w:t xml:space="preserve"> actuales</w:t>
      </w:r>
      <w:r w:rsidR="006A3152">
        <w:rPr>
          <w:lang w:val="es-ES"/>
        </w:rPr>
        <w:t>, y</w:t>
      </w:r>
      <w:r w:rsidR="006A3152" w:rsidRPr="00633CEB">
        <w:rPr>
          <w:lang w:val="es-ES"/>
        </w:rPr>
        <w:t xml:space="preserve"> otras políticas. Se recomendó </w:t>
      </w:r>
      <w:r w:rsidR="006A3152">
        <w:rPr>
          <w:lang w:val="es-ES"/>
        </w:rPr>
        <w:t>la revisión y actualización de esas políticas. La dirección del departamento encargado señaló</w:t>
      </w:r>
      <w:r w:rsidR="006A3152" w:rsidRPr="00633CEB">
        <w:rPr>
          <w:lang w:val="es-ES"/>
        </w:rPr>
        <w:t xml:space="preserve"> que actualizaría las políticas </w:t>
      </w:r>
      <w:r w:rsidR="006A3152">
        <w:rPr>
          <w:lang w:val="es-ES"/>
        </w:rPr>
        <w:t>a lo largo de</w:t>
      </w:r>
      <w:r>
        <w:rPr>
          <w:lang w:val="es-ES"/>
        </w:rPr>
        <w:t xml:space="preserve"> 2018.</w:t>
      </w:r>
    </w:p>
    <w:p w14:paraId="20FE4BBD" w14:textId="66C9455F" w:rsidR="006A3152" w:rsidRPr="00633CEB" w:rsidRDefault="00320006" w:rsidP="00320006">
      <w:pPr>
        <w:pStyle w:val="enumlev1"/>
        <w:rPr>
          <w:lang w:val="es-ES"/>
        </w:rPr>
      </w:pPr>
      <w:r w:rsidRPr="00320006">
        <w:rPr>
          <w:lang w:val="es-ES"/>
        </w:rPr>
        <w:t>•</w:t>
      </w:r>
      <w:r>
        <w:rPr>
          <w:lang w:val="es-ES"/>
        </w:rPr>
        <w:tab/>
      </w:r>
      <w:r w:rsidR="006A3152">
        <w:rPr>
          <w:lang w:val="es-ES"/>
        </w:rPr>
        <w:t>Por otro lado,</w:t>
      </w:r>
      <w:r w:rsidR="006A3152" w:rsidRPr="00633CEB">
        <w:rPr>
          <w:lang w:val="es-ES"/>
        </w:rPr>
        <w:t xml:space="preserve"> se </w:t>
      </w:r>
      <w:r w:rsidR="006A3152">
        <w:rPr>
          <w:lang w:val="es-ES"/>
        </w:rPr>
        <w:t>pusieron de manifestó varios</w:t>
      </w:r>
      <w:r w:rsidR="006A3152" w:rsidRPr="00633CEB">
        <w:rPr>
          <w:lang w:val="es-ES"/>
        </w:rPr>
        <w:t xml:space="preserve"> aspectos </w:t>
      </w:r>
      <w:r w:rsidR="006A3152">
        <w:rPr>
          <w:lang w:val="es-ES"/>
        </w:rPr>
        <w:t>susceptibles de mejora en relación</w:t>
      </w:r>
      <w:r w:rsidR="006A3152" w:rsidRPr="00633CEB">
        <w:rPr>
          <w:lang w:val="es-ES"/>
        </w:rPr>
        <w:t xml:space="preserve"> con los procesos de traducción y la capacidad interna. </w:t>
      </w:r>
      <w:r w:rsidR="006A3152">
        <w:rPr>
          <w:lang w:val="es-ES"/>
        </w:rPr>
        <w:t>A tenor de ello, s</w:t>
      </w:r>
      <w:r w:rsidR="006A3152" w:rsidRPr="00633CEB">
        <w:rPr>
          <w:lang w:val="es-ES"/>
        </w:rPr>
        <w:t xml:space="preserve">e recomienda </w:t>
      </w:r>
      <w:r w:rsidR="006A3152">
        <w:rPr>
          <w:lang w:val="es-ES"/>
        </w:rPr>
        <w:t xml:space="preserve">estudiar la posibilidad de adaptar </w:t>
      </w:r>
      <w:r w:rsidR="006A3152" w:rsidRPr="00633CEB">
        <w:rPr>
          <w:lang w:val="es-ES"/>
        </w:rPr>
        <w:t xml:space="preserve">la estructura de las </w:t>
      </w:r>
      <w:r w:rsidR="006A3152">
        <w:rPr>
          <w:lang w:val="es-ES"/>
        </w:rPr>
        <w:t>dependencias</w:t>
      </w:r>
      <w:r w:rsidR="006A3152" w:rsidRPr="00633CEB">
        <w:rPr>
          <w:lang w:val="es-ES"/>
        </w:rPr>
        <w:t xml:space="preserve"> </w:t>
      </w:r>
      <w:r w:rsidR="006A3152">
        <w:rPr>
          <w:lang w:val="es-ES"/>
        </w:rPr>
        <w:t>l</w:t>
      </w:r>
      <w:r w:rsidR="006A3152" w:rsidRPr="00633CEB">
        <w:rPr>
          <w:lang w:val="es-ES"/>
        </w:rPr>
        <w:t xml:space="preserve">ingüísticas </w:t>
      </w:r>
      <w:r w:rsidR="006A3152">
        <w:rPr>
          <w:lang w:val="es-ES"/>
        </w:rPr>
        <w:t>a</w:t>
      </w:r>
      <w:r w:rsidR="006A3152" w:rsidRPr="00633CEB">
        <w:rPr>
          <w:lang w:val="es-ES"/>
        </w:rPr>
        <w:t xml:space="preserve"> medio plazo. </w:t>
      </w:r>
      <w:r w:rsidR="006A3152">
        <w:rPr>
          <w:lang w:val="es-ES"/>
        </w:rPr>
        <w:t>También deberían consignarse partidas presupuestarias</w:t>
      </w:r>
      <w:r w:rsidR="006A3152" w:rsidRPr="00633CEB">
        <w:rPr>
          <w:lang w:val="es-ES"/>
        </w:rPr>
        <w:t xml:space="preserve"> para el personal temporal. </w:t>
      </w:r>
      <w:r w:rsidR="006A3152">
        <w:rPr>
          <w:lang w:val="es-ES"/>
        </w:rPr>
        <w:t xml:space="preserve">La dirección del departamento encargado </w:t>
      </w:r>
      <w:r w:rsidR="006A3152" w:rsidRPr="00633CEB">
        <w:rPr>
          <w:lang w:val="es-ES"/>
        </w:rPr>
        <w:t xml:space="preserve">indicó que trabajará en la mejora de la estructura de las </w:t>
      </w:r>
      <w:r w:rsidR="006A3152">
        <w:rPr>
          <w:lang w:val="es-ES"/>
        </w:rPr>
        <w:t>dependencias lingüísticas</w:t>
      </w:r>
      <w:r>
        <w:rPr>
          <w:lang w:val="es-ES"/>
        </w:rPr>
        <w:t>.</w:t>
      </w:r>
    </w:p>
    <w:p w14:paraId="56AC4C54" w14:textId="5A44764B" w:rsidR="006A3152" w:rsidRPr="00633CEB" w:rsidRDefault="00320006" w:rsidP="00320006">
      <w:pPr>
        <w:pStyle w:val="enumlev1"/>
        <w:rPr>
          <w:lang w:val="es-ES"/>
        </w:rPr>
      </w:pPr>
      <w:r w:rsidRPr="00320006">
        <w:rPr>
          <w:lang w:val="es-ES"/>
        </w:rPr>
        <w:t>•</w:t>
      </w:r>
      <w:r>
        <w:rPr>
          <w:lang w:val="es-ES"/>
        </w:rPr>
        <w:tab/>
      </w:r>
      <w:r w:rsidR="006A3152">
        <w:rPr>
          <w:lang w:val="es-ES"/>
        </w:rPr>
        <w:t>No se logró determinar un medio adecuado para seleccionar</w:t>
      </w:r>
      <w:r w:rsidR="006A3152" w:rsidRPr="00633CEB">
        <w:rPr>
          <w:lang w:val="es-ES"/>
        </w:rPr>
        <w:t xml:space="preserve"> proveedores, </w:t>
      </w:r>
      <w:r w:rsidR="006A3152">
        <w:rPr>
          <w:lang w:val="es-ES"/>
        </w:rPr>
        <w:t>en particular con respecto a las</w:t>
      </w:r>
      <w:r w:rsidR="006A3152" w:rsidRPr="00633CEB">
        <w:rPr>
          <w:lang w:val="es-ES"/>
        </w:rPr>
        <w:t xml:space="preserve"> tecnologías emergentes, y muchos de los mecanismos de traducción adoptados</w:t>
      </w:r>
      <w:r w:rsidR="006A3152">
        <w:rPr>
          <w:lang w:val="es-ES"/>
        </w:rPr>
        <w:t xml:space="preserve"> como alternativa</w:t>
      </w:r>
      <w:r w:rsidR="006A3152" w:rsidRPr="00633CEB">
        <w:rPr>
          <w:lang w:val="es-ES"/>
        </w:rPr>
        <w:t xml:space="preserve"> no son eficaces. Se recomienda que se </w:t>
      </w:r>
      <w:r w:rsidR="006A3152">
        <w:rPr>
          <w:lang w:val="es-ES"/>
        </w:rPr>
        <w:t xml:space="preserve">estudie la posibilidad de publicar una </w:t>
      </w:r>
      <w:r w:rsidR="006A3152" w:rsidRPr="007C6FAD">
        <w:rPr>
          <w:lang w:val="es-ES"/>
        </w:rPr>
        <w:t>convocatoria de manifestaciones de interés</w:t>
      </w:r>
      <w:r w:rsidR="006A3152" w:rsidRPr="00633CEB">
        <w:rPr>
          <w:lang w:val="es-ES"/>
        </w:rPr>
        <w:t xml:space="preserve">/licitación </w:t>
      </w:r>
      <w:r w:rsidR="006A3152">
        <w:rPr>
          <w:lang w:val="es-ES"/>
        </w:rPr>
        <w:t>en relación con</w:t>
      </w:r>
      <w:r w:rsidR="006A3152" w:rsidRPr="00633CEB">
        <w:rPr>
          <w:lang w:val="es-ES"/>
        </w:rPr>
        <w:t xml:space="preserve"> mecanismos alternativos de traducción, en lugar de </w:t>
      </w:r>
      <w:r w:rsidR="006A3152">
        <w:rPr>
          <w:lang w:val="es-ES"/>
        </w:rPr>
        <w:t>recurrir directamente a</w:t>
      </w:r>
      <w:r w:rsidR="006A3152" w:rsidRPr="00633CEB">
        <w:rPr>
          <w:lang w:val="es-ES"/>
        </w:rPr>
        <w:t xml:space="preserve"> proveedores.</w:t>
      </w:r>
      <w:r w:rsidR="006A3152" w:rsidRPr="007C6FAD">
        <w:rPr>
          <w:lang w:val="es-ES"/>
        </w:rPr>
        <w:t xml:space="preserve"> La dirección del Departamento de Conferencias y Publicaciones </w:t>
      </w:r>
      <w:r w:rsidR="006A3152">
        <w:rPr>
          <w:lang w:val="es-ES"/>
        </w:rPr>
        <w:t>manifestó</w:t>
      </w:r>
      <w:r w:rsidR="006A3152" w:rsidRPr="00633CEB">
        <w:rPr>
          <w:lang w:val="es-ES"/>
        </w:rPr>
        <w:t xml:space="preserve"> que actualmente </w:t>
      </w:r>
      <w:r w:rsidR="006A3152">
        <w:rPr>
          <w:lang w:val="es-ES"/>
        </w:rPr>
        <w:t>trabaja en la elaboración de una</w:t>
      </w:r>
      <w:r w:rsidR="006A3152" w:rsidRPr="00633CEB">
        <w:rPr>
          <w:lang w:val="es-ES"/>
        </w:rPr>
        <w:t xml:space="preserve"> licitación</w:t>
      </w:r>
      <w:r w:rsidR="006A3152">
        <w:rPr>
          <w:lang w:val="es-ES"/>
        </w:rPr>
        <w:t>, cuya</w:t>
      </w:r>
      <w:r w:rsidR="006A3152" w:rsidRPr="00633CEB">
        <w:rPr>
          <w:lang w:val="es-ES"/>
        </w:rPr>
        <w:t xml:space="preserve"> finalización</w:t>
      </w:r>
      <w:r w:rsidR="006A3152">
        <w:rPr>
          <w:lang w:val="es-ES"/>
        </w:rPr>
        <w:t xml:space="preserve"> está prevista para el primer</w:t>
      </w:r>
      <w:r w:rsidR="006A3152" w:rsidRPr="00633CEB">
        <w:rPr>
          <w:lang w:val="es-ES"/>
        </w:rPr>
        <w:t xml:space="preserve"> trimestre de 2019</w:t>
      </w:r>
      <w:r>
        <w:rPr>
          <w:lang w:val="es-ES"/>
        </w:rPr>
        <w:t>.</w:t>
      </w:r>
    </w:p>
    <w:p w14:paraId="2AF914F9" w14:textId="0F7AEE6B" w:rsidR="006A3152" w:rsidRPr="00320006" w:rsidRDefault="006A3152" w:rsidP="00320006">
      <w:r w:rsidRPr="00320006">
        <w:t>El seguimiento realizado por la AI a principios de 2019 permitió constatar que el plazo previsto para la conclusión de esa labor se había pospuesto hasta finales de 2019.</w:t>
      </w:r>
    </w:p>
    <w:p w14:paraId="30A661DC" w14:textId="77777777" w:rsidR="006A3152" w:rsidRPr="007D0809" w:rsidRDefault="006A3152" w:rsidP="00007A18">
      <w:pPr>
        <w:rPr>
          <w:rFonts w:asciiTheme="minorHAnsi" w:hAnsiTheme="minorHAnsi" w:cstheme="minorHAnsi"/>
          <w:szCs w:val="24"/>
        </w:rPr>
      </w:pPr>
      <w:r w:rsidRPr="00320006">
        <w:t>10</w:t>
      </w:r>
      <w:r w:rsidRPr="00320006">
        <w:tab/>
        <w:t>Globalmente, la Auditoría Interna considera que la gestión de riesgo relativa a las actividades de traducción es adecuada, y que los recursos se usan de manera eficaz y económica. Los procesos de gobernanza y los controles internos son, por lo general, adecuados, si bien precisan mejoras con respecto a las políticas y los procedimientos, así como en relación con determinados aspectos de capacidad interna. Si se abordaran esas cuestiones, el Secretario General podría tener garantías razonables de que, con respecto a las actividades de traducción, la gobernanza y la gestión de</w:t>
      </w:r>
      <w:r w:rsidRPr="00924B3D">
        <w:rPr>
          <w:rFonts w:asciiTheme="minorHAnsi" w:hAnsiTheme="minorHAnsi" w:cstheme="minorHAnsi"/>
          <w:szCs w:val="24"/>
        </w:rPr>
        <w:t xml:space="preserve"> riesgos </w:t>
      </w:r>
      <w:r>
        <w:rPr>
          <w:rFonts w:asciiTheme="minorHAnsi" w:hAnsiTheme="minorHAnsi" w:cstheme="minorHAnsi"/>
          <w:szCs w:val="24"/>
        </w:rPr>
        <w:t xml:space="preserve">son </w:t>
      </w:r>
      <w:r w:rsidRPr="00924B3D">
        <w:rPr>
          <w:rFonts w:asciiTheme="minorHAnsi" w:hAnsiTheme="minorHAnsi" w:cstheme="minorHAnsi"/>
          <w:szCs w:val="24"/>
        </w:rPr>
        <w:t xml:space="preserve">adecuadas, y de que los controles </w:t>
      </w:r>
      <w:r>
        <w:rPr>
          <w:rFonts w:asciiTheme="minorHAnsi" w:hAnsiTheme="minorHAnsi" w:cstheme="minorHAnsi"/>
          <w:szCs w:val="24"/>
        </w:rPr>
        <w:t>tienen lugar de forma eficaz</w:t>
      </w:r>
      <w:r w:rsidRPr="00032FFF">
        <w:rPr>
          <w:rFonts w:asciiTheme="minorHAnsi" w:hAnsiTheme="minorHAnsi" w:cstheme="minorHAnsi"/>
          <w:szCs w:val="24"/>
        </w:rPr>
        <w:t>.</w:t>
      </w:r>
    </w:p>
    <w:p w14:paraId="7A0500BF" w14:textId="77777777" w:rsidR="006A3152" w:rsidRPr="00344F82" w:rsidRDefault="006A3152" w:rsidP="00007A18">
      <w:pPr>
        <w:pStyle w:val="Headingb"/>
      </w:pPr>
      <w:r w:rsidRPr="00344F82">
        <w:t>B</w:t>
      </w:r>
      <w:r w:rsidRPr="00344F82">
        <w:tab/>
        <w:t>Auditoría de las disposiciones sobre horas extraordinarias</w:t>
      </w:r>
    </w:p>
    <w:p w14:paraId="2CFA98B2" w14:textId="68C31FD1" w:rsidR="006A3152" w:rsidRPr="00344F82" w:rsidRDefault="006A3152" w:rsidP="00344F82">
      <w:r w:rsidRPr="00344F82">
        <w:t>11</w:t>
      </w:r>
      <w:r w:rsidRPr="00344F82">
        <w:tab/>
        <w:t>La AI realizó una auditoría de las disposiciones sobre horas extraordinarias en la UIT, que abarcó el per</w:t>
      </w:r>
      <w:r w:rsidR="00344F82">
        <w:t>i</w:t>
      </w:r>
      <w:r w:rsidRPr="00344F82">
        <w:t>odo comprendido de enero de 2015 a abril de 2018. En dicha auditoría se revisó la información relacionada con las políticas, el proceso de autorización, los procedimientos, la observancia y los aspectos de índole económica y eficiencia en relación con el uso de recursos en materia de horas extraordinarias.</w:t>
      </w:r>
      <w:bookmarkEnd w:id="9"/>
    </w:p>
    <w:p w14:paraId="24C0C181" w14:textId="048AB284" w:rsidR="006A3152" w:rsidRPr="00344F82" w:rsidRDefault="00344F82" w:rsidP="00344F82">
      <w:r>
        <w:lastRenderedPageBreak/>
        <w:t>12</w:t>
      </w:r>
      <w:r>
        <w:tab/>
      </w:r>
      <w:r w:rsidR="006A3152" w:rsidRPr="00344F82">
        <w:t>La AI llegó a las conclusiones siguientes en relación con varias cuestiones de carácter prioritario</w:t>
      </w:r>
      <w:r>
        <w:t>:</w:t>
      </w:r>
    </w:p>
    <w:p w14:paraId="11CC275D" w14:textId="29D10EDC" w:rsidR="006A3152" w:rsidRPr="00E21C5D" w:rsidRDefault="00E21C5D" w:rsidP="00E21C5D">
      <w:pPr>
        <w:pStyle w:val="enumlev1"/>
        <w:rPr>
          <w:lang w:val="es-ES"/>
        </w:rPr>
      </w:pPr>
      <w:r w:rsidRPr="00320006">
        <w:rPr>
          <w:lang w:val="es-ES"/>
        </w:rPr>
        <w:t>•</w:t>
      </w:r>
      <w:r>
        <w:rPr>
          <w:lang w:val="es-ES"/>
        </w:rPr>
        <w:tab/>
      </w:r>
      <w:r w:rsidR="006A3152" w:rsidRPr="00E21C5D">
        <w:rPr>
          <w:lang w:val="es-ES"/>
        </w:rPr>
        <w:t>No se dispone de los procedimientos, las directrices y la formación necesarios para gestionar per</w:t>
      </w:r>
      <w:r>
        <w:rPr>
          <w:lang w:val="es-ES"/>
        </w:rPr>
        <w:t>i</w:t>
      </w:r>
      <w:r w:rsidR="006A3152" w:rsidRPr="00E21C5D">
        <w:rPr>
          <w:lang w:val="es-ES"/>
        </w:rPr>
        <w:t>odos de gran carga de trabajo, lo que conlleva que no se utilicen de forma rentable y eficaz los recursos destinados a las actividades de horas extraordinarias. Se recomendó que se presentara a la dirección un examen trimestral sobre pautas de horas extraordinarias, que sirva asimismo de asesoramiento en relación con la situación sobre horas extraordinarias en las dependencias y los departamentos de que se trate</w:t>
      </w:r>
      <w:r>
        <w:rPr>
          <w:lang w:val="es-ES"/>
        </w:rPr>
        <w:t>.</w:t>
      </w:r>
    </w:p>
    <w:p w14:paraId="600EE8C9" w14:textId="659F9D66" w:rsidR="006A3152" w:rsidRPr="00E21C5D" w:rsidRDefault="00E21C5D" w:rsidP="00E21C5D">
      <w:pPr>
        <w:pStyle w:val="enumlev1"/>
        <w:rPr>
          <w:lang w:val="es-ES"/>
        </w:rPr>
      </w:pPr>
      <w:r w:rsidRPr="00320006">
        <w:rPr>
          <w:lang w:val="es-ES"/>
        </w:rPr>
        <w:t>•</w:t>
      </w:r>
      <w:r>
        <w:rPr>
          <w:lang w:val="es-ES"/>
        </w:rPr>
        <w:tab/>
      </w:r>
      <w:r w:rsidR="006A3152" w:rsidRPr="00E21C5D">
        <w:rPr>
          <w:lang w:val="es-ES"/>
        </w:rPr>
        <w:t>Por otro lado, se constató que no siempre se cumple la política de un máximo de 40 horas extraordinarias a lo largo de un mes y de 12 horas por per</w:t>
      </w:r>
      <w:r>
        <w:rPr>
          <w:lang w:val="es-ES"/>
        </w:rPr>
        <w:t>i</w:t>
      </w:r>
      <w:r w:rsidR="006A3152" w:rsidRPr="00E21C5D">
        <w:rPr>
          <w:lang w:val="es-ES"/>
        </w:rPr>
        <w:t>odos de 24 horas. El concepto de circunstancia excepcional para no cumplir esa política no está claramente definido y conlleva la inobservancia de las disposiciones y los procedimientos pertinentes. Se recomendó que, en aras de la salud y la seguridad del personal, se apliquen los límites anteriormente descritos</w:t>
      </w:r>
      <w:r>
        <w:rPr>
          <w:lang w:val="es-ES"/>
        </w:rPr>
        <w:t>.</w:t>
      </w:r>
    </w:p>
    <w:p w14:paraId="3705443B" w14:textId="77777777" w:rsidR="006A3152" w:rsidRPr="008038C8" w:rsidRDefault="006A3152" w:rsidP="008038C8">
      <w:r w:rsidRPr="008038C8">
        <w:t>Recomendaciones aceptadas por la Dirección del Departamento de Gestión de Recursos Humanos (HRMD).</w:t>
      </w:r>
    </w:p>
    <w:p w14:paraId="601763C6" w14:textId="760DA1CD" w:rsidR="006A3152" w:rsidRPr="00767F35" w:rsidRDefault="00767F35" w:rsidP="00767F35">
      <w:r>
        <w:t>13</w:t>
      </w:r>
      <w:r>
        <w:tab/>
      </w:r>
      <w:r w:rsidR="006A3152" w:rsidRPr="00767F35">
        <w:t>Por lo general, la AI considera que los procesos de gobernanza con respecto a las horas extras están obsoletos y que los controles no son adecuados. Con respecto a la gestión del riesgo, la Auditoría Interna opina que los recursos no se utilizan de manera eficiente y rentable. En consecuencia, es necesario introducir mejoras en e</w:t>
      </w:r>
      <w:r>
        <w:t>s</w:t>
      </w:r>
      <w:r w:rsidR="006A3152" w:rsidRPr="00767F35">
        <w:t>tas esferas para ofrecer al Secretario General garantías razonables de que, en relación con los acuerdos sobre horas extraordinarias, las actividades de gobernanza y gestión del riesgo son adecuadas, y de que los controles son eficaces.</w:t>
      </w:r>
    </w:p>
    <w:p w14:paraId="7C5B82AF" w14:textId="46636257" w:rsidR="006A3152" w:rsidRPr="000C6428" w:rsidRDefault="006A3152" w:rsidP="000C6428">
      <w:pPr>
        <w:pStyle w:val="Headingb"/>
      </w:pPr>
      <w:r w:rsidRPr="000C6428">
        <w:t>C</w:t>
      </w:r>
      <w:r w:rsidRPr="000C6428">
        <w:tab/>
        <w:t>Inspección de credenciales del personal</w:t>
      </w:r>
    </w:p>
    <w:p w14:paraId="5DB17905" w14:textId="1B9BF15D" w:rsidR="006A3152" w:rsidRPr="000C6428" w:rsidRDefault="006A3152" w:rsidP="000C6428">
      <w:r w:rsidRPr="000C6428">
        <w:t>1</w:t>
      </w:r>
      <w:bookmarkStart w:id="10" w:name="lt_pId067"/>
      <w:r w:rsidRPr="000C6428">
        <w:t>4</w:t>
      </w:r>
      <w:r w:rsidRPr="000C6428">
        <w:tab/>
      </w:r>
      <w:bookmarkEnd w:id="10"/>
      <w:r w:rsidRPr="000C6428">
        <w:t>La Auditoria Interna (AI) llevó a cabo una inspección de las credenciales del personal de la UIT para el per</w:t>
      </w:r>
      <w:r w:rsidR="000C6428">
        <w:t>i</w:t>
      </w:r>
      <w:r w:rsidRPr="000C6428">
        <w:t>odo comprendido entre enero de 2015 y septiembre de 2018. En esa inspección se examinó la información y documentación sobre calificaciones académicas relativas a la contratación y promoción del personal.</w:t>
      </w:r>
    </w:p>
    <w:p w14:paraId="7C7CA1FC" w14:textId="19898E0F" w:rsidR="006A3152" w:rsidRPr="000C6428" w:rsidRDefault="000C6428" w:rsidP="00007A18">
      <w:r>
        <w:t>15</w:t>
      </w:r>
      <w:r w:rsidR="006A3152" w:rsidRPr="000C6428">
        <w:tab/>
        <w:t>Entre las conclusiones de la AI, cabe destacar las siguientes: los controles internos relacionados con el reconocimiento y la verificación de las credenciales del personal y de los candidatos son, por lo general, adecuados. Se recomendó que se estudiara la posibilidad de aplicar medidas para: i) garantizar la equidad e imparcialidad a lo largo del proceso de selección previa</w:t>
      </w:r>
      <w:r>
        <w:t>; ii) </w:t>
      </w:r>
      <w:r w:rsidR="006A3152" w:rsidRPr="000C6428">
        <w:t>documentar el proceso de evaluación (reconocimiento y verificación) de las credenciales académicas para todas las contrataciones; y iii) verificar la autenticidad de las credenciales. La dirección de HRMD aceptó las recomendaciones en relación con todas las cuestiones (de nivel elevado y medio de prioridad).</w:t>
      </w:r>
    </w:p>
    <w:p w14:paraId="545F3356" w14:textId="1FCC771A" w:rsidR="006A3152" w:rsidRPr="000C6428" w:rsidRDefault="000C6428" w:rsidP="00007A18">
      <w:r>
        <w:t>16</w:t>
      </w:r>
      <w:r w:rsidR="006A3152" w:rsidRPr="000C6428">
        <w:tab/>
        <w:t>Por lo general, la AI considera que los procesos de gobernanza con respecto a las credenciales del personal son apropiados. No obstante, la gestión del riesgo y la eficacia en relación con los controles establecidos son susceptibles de mejora. En consecuencia, ambas actividades deberían mejorarse para ofrecer al Secretario General garantías razonables sobre la idoneidad de las actividades de gobernanza y gestión de riesgos, así como la eficacia de las actividades de control.</w:t>
      </w:r>
    </w:p>
    <w:p w14:paraId="2AAED466" w14:textId="77777777" w:rsidR="006A3152" w:rsidRPr="007D0809" w:rsidRDefault="006A3152" w:rsidP="0058704A">
      <w:pPr>
        <w:pStyle w:val="Heading1"/>
      </w:pPr>
      <w:r>
        <w:lastRenderedPageBreak/>
        <w:t>Investigación</w:t>
      </w:r>
      <w:r w:rsidRPr="007D0809">
        <w:t xml:space="preserve"> de la Auditoría Interna</w:t>
      </w:r>
    </w:p>
    <w:p w14:paraId="10171E81" w14:textId="10C7A020" w:rsidR="006A3152" w:rsidRPr="006D0F04" w:rsidRDefault="006D0F04" w:rsidP="006D0F04">
      <w:r>
        <w:t>17</w:t>
      </w:r>
      <w:r>
        <w:tab/>
      </w:r>
      <w:r w:rsidR="006A3152" w:rsidRPr="006D0F04">
        <w:t xml:space="preserve">La AI llevó a cabo una investigación y dos exámenes preliminares. La investigación guardó relación con una presunción de fraude de un miembro del personal de la Oficina Regional de la UIT para la región de Asia y el Pacífico. El </w:t>
      </w:r>
      <w:r w:rsidRPr="006D0F04">
        <w:t xml:space="preserve">Documento </w:t>
      </w:r>
      <w:hyperlink r:id="rId9" w:history="1">
        <w:r w:rsidR="006A3152" w:rsidRPr="006D0F04">
          <w:rPr>
            <w:rStyle w:val="Hyperlink"/>
          </w:rPr>
          <w:t>C19/INF/14</w:t>
        </w:r>
      </w:hyperlink>
      <w:r w:rsidR="006A3152" w:rsidRPr="006D0F04">
        <w:t xml:space="preserve"> contiene un resumen de los hechos y las medidas correctivas adoptadas hasta la fecha.</w:t>
      </w:r>
    </w:p>
    <w:p w14:paraId="61F9FF59" w14:textId="77777777" w:rsidR="006A3152" w:rsidRPr="006D0F04" w:rsidRDefault="006A3152" w:rsidP="006D0F04">
      <w:r w:rsidRPr="006D0F04">
        <w:t>Los dos exámenes preliminares, no relacionados entre sí, los efectuó la AI, en lugar del Oficial de Ética. El primero trató sobre las acusaciones relativas a un miembro del personal de los servicios generales, presunto participante en actividades de acoso, humillación, amenazas e intimidación en el trabajo; el segundo examen guardó relación con un miembro del personal de categoría profesional, presunto participante en actividades de acoso sexual, intimidación y hostigamiento en el trabajo.</w:t>
      </w:r>
    </w:p>
    <w:p w14:paraId="4EC5D3EB" w14:textId="5EE8A11F" w:rsidR="006A3152" w:rsidRPr="006D0F04" w:rsidRDefault="006A3152" w:rsidP="006D0F04">
      <w:r w:rsidRPr="006D0F04">
        <w:t>De conformidad con los procedimientos de la UIT, una vez concluida la investigación y los dos exámenes preliminares, la AI presentó su informe conf</w:t>
      </w:r>
      <w:r w:rsidR="00172DFD">
        <w:t>idencial al Secretario General.</w:t>
      </w:r>
    </w:p>
    <w:p w14:paraId="165FCF5E" w14:textId="6C96A3DA" w:rsidR="006A3152" w:rsidRPr="004E0FC9" w:rsidRDefault="004E0FC9" w:rsidP="004E0FC9">
      <w:pPr>
        <w:pStyle w:val="Heading1"/>
      </w:pPr>
      <w:r w:rsidRPr="004E0FC9">
        <w:t xml:space="preserve">Servicios de consultoría </w:t>
      </w:r>
      <w:r w:rsidRPr="007D0809">
        <w:t>de la Auditoría Interna</w:t>
      </w:r>
    </w:p>
    <w:p w14:paraId="74A2F953" w14:textId="77777777" w:rsidR="006A3152" w:rsidRPr="00690754" w:rsidRDefault="006A3152" w:rsidP="00690754">
      <w:pPr>
        <w:pStyle w:val="Headingb"/>
      </w:pPr>
      <w:r w:rsidRPr="00690754">
        <w:t>Proceso de selección del Auditor Externo de la UIT</w:t>
      </w:r>
    </w:p>
    <w:p w14:paraId="2B43DD7D" w14:textId="36B13BAE" w:rsidR="006A3152" w:rsidRPr="00ED223E" w:rsidRDefault="00ED223E" w:rsidP="00ED223E">
      <w:r>
        <w:t>18</w:t>
      </w:r>
      <w:r>
        <w:tab/>
      </w:r>
      <w:r w:rsidR="006A3152" w:rsidRPr="00ED223E">
        <w:t xml:space="preserve">A raíz de la recomendación del CAIG, el Secretario General pidió a la AI que dirigiera para la </w:t>
      </w:r>
      <w:r w:rsidRPr="00ED223E">
        <w:t xml:space="preserve">Secretaría </w:t>
      </w:r>
      <w:r w:rsidR="006A3152" w:rsidRPr="00ED223E">
        <w:t>el proceso de selección de un nuevo Auditor Externo. En su reunión de 2018, el Consejo designó las personas recomendadas por las seis organizaciones regionales de telecomunicaciones para formar parte de un Comité de Evaluación e informar al Consejo, en su reunión de 2019, de</w:t>
      </w:r>
      <w:r>
        <w:t xml:space="preserve"> los resultados de su labor.</w:t>
      </w:r>
    </w:p>
    <w:p w14:paraId="6594D375" w14:textId="484B54C8" w:rsidR="006A3152" w:rsidRPr="00ED223E" w:rsidRDefault="00ED223E" w:rsidP="00ED223E">
      <w:r>
        <w:t>19</w:t>
      </w:r>
      <w:r>
        <w:tab/>
      </w:r>
      <w:r w:rsidR="006A3152" w:rsidRPr="00ED223E">
        <w:t>Con el apoyo de la Secretaría de la UIT, el Comité de Evaluación inició su labor en relación con el proceso de licitación destinado a identificar una Institución de Auditoría Suprema (IAS) de un Estado Miembro de la UIT que cumpliese los requisitos estipulados en una petición de propuesta (RfP) para realizar la auditoría de las cuentas de la Unión.</w:t>
      </w:r>
    </w:p>
    <w:p w14:paraId="1981218C" w14:textId="3D919ABC" w:rsidR="006A3152" w:rsidRPr="00ED223E" w:rsidRDefault="00ED223E" w:rsidP="00ED223E">
      <w:r>
        <w:t>20</w:t>
      </w:r>
      <w:r>
        <w:tab/>
      </w:r>
      <w:r w:rsidR="006A3152" w:rsidRPr="00ED223E">
        <w:t>La AI siguió brindando apoyo a lo largo de todo el proceso a los miembros del Comité de Evaluación en el desempeño de su trabajo, y proporcionó orientación sobre cuestiones técnicas de procedimiento y auditoría, según correspondiera. Se presentará al Consejo un informe independiente sobre la labor del Comité de Evaluación para que lo someta a examen.</w:t>
      </w:r>
    </w:p>
    <w:p w14:paraId="09F0BCDF" w14:textId="77777777" w:rsidR="006A3152" w:rsidRPr="007D0809" w:rsidRDefault="006A3152" w:rsidP="00007A18">
      <w:pPr>
        <w:pStyle w:val="Headingb"/>
      </w:pPr>
      <w:r w:rsidRPr="007D0809">
        <w:t>Seguimiento de las recomendaciones de la Auditoría Interna</w:t>
      </w:r>
    </w:p>
    <w:p w14:paraId="738A75A6" w14:textId="77777777" w:rsidR="006A3152" w:rsidRDefault="006A3152" w:rsidP="00007A18">
      <w:r>
        <w:t>21</w:t>
      </w:r>
      <w:r w:rsidRPr="007D0809">
        <w:tab/>
        <w:t>A lo largo del periodo del informe y en cumplimiento de la Norma 2500 del IIA</w:t>
      </w:r>
      <w:r w:rsidRPr="005C3511">
        <w:rPr>
          <w:rStyle w:val="FootnoteReference"/>
        </w:rPr>
        <w:footnoteReference w:id="4"/>
      </w:r>
      <w:r w:rsidRPr="007D0809">
        <w:t xml:space="preserve">, la Auditoría Interna siguió las recomendaciones realizadas por auditorías previas. Se observó un progreso en los últimos 12 meses y las estadísticas sobre la implementación son las siguientes (al </w:t>
      </w:r>
      <w:r>
        <w:t>15</w:t>
      </w:r>
      <w:r w:rsidRPr="007D0809">
        <w:t xml:space="preserve"> de </w:t>
      </w:r>
      <w:r>
        <w:t>mayo de 2019</w:t>
      </w:r>
      <w:r w:rsidRPr="007D0809">
        <w:t>):</w:t>
      </w:r>
    </w:p>
    <w:p w14:paraId="04067B8F" w14:textId="7C8D4064" w:rsidR="00B17976" w:rsidRDefault="00B17976" w:rsidP="00007A18">
      <w:r>
        <w:br w:type="page"/>
      </w:r>
    </w:p>
    <w:tbl>
      <w:tblPr>
        <w:tblW w:w="9619" w:type="dxa"/>
        <w:tblLook w:val="04A0" w:firstRow="1" w:lastRow="0" w:firstColumn="1" w:lastColumn="0" w:noHBand="0" w:noVBand="1"/>
      </w:tblPr>
      <w:tblGrid>
        <w:gridCol w:w="2371"/>
        <w:gridCol w:w="713"/>
        <w:gridCol w:w="628"/>
        <w:gridCol w:w="711"/>
        <w:gridCol w:w="712"/>
        <w:gridCol w:w="712"/>
        <w:gridCol w:w="712"/>
        <w:gridCol w:w="880"/>
        <w:gridCol w:w="622"/>
        <w:gridCol w:w="846"/>
        <w:gridCol w:w="712"/>
      </w:tblGrid>
      <w:tr w:rsidR="00B34025" w:rsidRPr="00E77CA3" w14:paraId="72FA0767" w14:textId="77777777" w:rsidTr="00B34025">
        <w:trPr>
          <w:trHeight w:val="315"/>
        </w:trPr>
        <w:tc>
          <w:tcPr>
            <w:tcW w:w="2371" w:type="dxa"/>
            <w:tcBorders>
              <w:top w:val="single" w:sz="8" w:space="0" w:color="auto"/>
              <w:left w:val="single" w:sz="8" w:space="0" w:color="auto"/>
              <w:bottom w:val="nil"/>
              <w:right w:val="nil"/>
            </w:tcBorders>
            <w:shd w:val="clear" w:color="000000" w:fill="000000"/>
            <w:noWrap/>
            <w:vAlign w:val="bottom"/>
            <w:hideMark/>
          </w:tcPr>
          <w:p w14:paraId="2B5749F1" w14:textId="7FF43E7A" w:rsidR="00B34025" w:rsidRPr="00E77CA3" w:rsidRDefault="00B34025" w:rsidP="00D07017">
            <w:pPr>
              <w:pStyle w:val="Tablehead"/>
              <w:jc w:val="left"/>
              <w:rPr>
                <w:sz w:val="20"/>
              </w:rPr>
            </w:pPr>
            <w:r w:rsidRPr="00B34025">
              <w:rPr>
                <w:sz w:val="20"/>
              </w:rPr>
              <w:lastRenderedPageBreak/>
              <w:t>Año</w:t>
            </w:r>
          </w:p>
        </w:tc>
        <w:tc>
          <w:tcPr>
            <w:tcW w:w="713" w:type="dxa"/>
            <w:tcBorders>
              <w:top w:val="single" w:sz="8" w:space="0" w:color="auto"/>
              <w:left w:val="nil"/>
              <w:bottom w:val="nil"/>
              <w:right w:val="nil"/>
            </w:tcBorders>
            <w:shd w:val="clear" w:color="000000" w:fill="000000"/>
            <w:noWrap/>
            <w:vAlign w:val="bottom"/>
            <w:hideMark/>
          </w:tcPr>
          <w:p w14:paraId="4EBC787E" w14:textId="77777777" w:rsidR="00B34025" w:rsidRPr="00E77CA3" w:rsidRDefault="00B34025" w:rsidP="00D07017">
            <w:pPr>
              <w:pStyle w:val="Tablehead"/>
              <w:rPr>
                <w:sz w:val="20"/>
              </w:rPr>
            </w:pPr>
            <w:r w:rsidRPr="00E77CA3">
              <w:rPr>
                <w:sz w:val="20"/>
              </w:rPr>
              <w:t>2011</w:t>
            </w:r>
          </w:p>
        </w:tc>
        <w:tc>
          <w:tcPr>
            <w:tcW w:w="628" w:type="dxa"/>
            <w:tcBorders>
              <w:top w:val="single" w:sz="8" w:space="0" w:color="auto"/>
              <w:left w:val="nil"/>
              <w:bottom w:val="nil"/>
              <w:right w:val="nil"/>
            </w:tcBorders>
            <w:shd w:val="clear" w:color="000000" w:fill="000000"/>
            <w:noWrap/>
            <w:vAlign w:val="bottom"/>
            <w:hideMark/>
          </w:tcPr>
          <w:p w14:paraId="2F6760BA" w14:textId="77777777" w:rsidR="00B34025" w:rsidRPr="00E77CA3" w:rsidRDefault="00B34025" w:rsidP="00D07017">
            <w:pPr>
              <w:pStyle w:val="Tablehead"/>
              <w:rPr>
                <w:sz w:val="20"/>
              </w:rPr>
            </w:pPr>
            <w:r w:rsidRPr="00E77CA3">
              <w:rPr>
                <w:sz w:val="20"/>
              </w:rPr>
              <w:t>2012</w:t>
            </w:r>
          </w:p>
        </w:tc>
        <w:tc>
          <w:tcPr>
            <w:tcW w:w="711" w:type="dxa"/>
            <w:tcBorders>
              <w:top w:val="single" w:sz="8" w:space="0" w:color="auto"/>
              <w:left w:val="nil"/>
              <w:bottom w:val="nil"/>
              <w:right w:val="nil"/>
            </w:tcBorders>
            <w:shd w:val="clear" w:color="000000" w:fill="000000"/>
            <w:noWrap/>
            <w:vAlign w:val="bottom"/>
            <w:hideMark/>
          </w:tcPr>
          <w:p w14:paraId="2BF68914" w14:textId="77777777" w:rsidR="00B34025" w:rsidRPr="00E77CA3" w:rsidRDefault="00B34025" w:rsidP="00D07017">
            <w:pPr>
              <w:pStyle w:val="Tablehead"/>
              <w:rPr>
                <w:sz w:val="20"/>
              </w:rPr>
            </w:pPr>
            <w:r w:rsidRPr="00E77CA3">
              <w:rPr>
                <w:sz w:val="20"/>
              </w:rPr>
              <w:t>2013</w:t>
            </w:r>
          </w:p>
        </w:tc>
        <w:tc>
          <w:tcPr>
            <w:tcW w:w="712" w:type="dxa"/>
            <w:tcBorders>
              <w:top w:val="single" w:sz="8" w:space="0" w:color="auto"/>
              <w:left w:val="nil"/>
              <w:bottom w:val="nil"/>
              <w:right w:val="nil"/>
            </w:tcBorders>
            <w:shd w:val="clear" w:color="000000" w:fill="000000"/>
            <w:noWrap/>
            <w:vAlign w:val="bottom"/>
            <w:hideMark/>
          </w:tcPr>
          <w:p w14:paraId="2BF57F03" w14:textId="77777777" w:rsidR="00B34025" w:rsidRPr="00E77CA3" w:rsidRDefault="00B34025" w:rsidP="00D07017">
            <w:pPr>
              <w:pStyle w:val="Tablehead"/>
              <w:rPr>
                <w:sz w:val="20"/>
              </w:rPr>
            </w:pPr>
            <w:r w:rsidRPr="00E77CA3">
              <w:rPr>
                <w:sz w:val="20"/>
              </w:rPr>
              <w:t>2014</w:t>
            </w:r>
          </w:p>
        </w:tc>
        <w:tc>
          <w:tcPr>
            <w:tcW w:w="712" w:type="dxa"/>
            <w:tcBorders>
              <w:top w:val="single" w:sz="8" w:space="0" w:color="auto"/>
              <w:left w:val="nil"/>
              <w:bottom w:val="nil"/>
              <w:right w:val="nil"/>
            </w:tcBorders>
            <w:shd w:val="clear" w:color="000000" w:fill="000000"/>
            <w:noWrap/>
            <w:vAlign w:val="bottom"/>
            <w:hideMark/>
          </w:tcPr>
          <w:p w14:paraId="04165928" w14:textId="77777777" w:rsidR="00B34025" w:rsidRPr="00E77CA3" w:rsidRDefault="00B34025" w:rsidP="00D07017">
            <w:pPr>
              <w:pStyle w:val="Tablehead"/>
              <w:rPr>
                <w:sz w:val="20"/>
              </w:rPr>
            </w:pPr>
            <w:r w:rsidRPr="00E77CA3">
              <w:rPr>
                <w:sz w:val="20"/>
              </w:rPr>
              <w:t>2015</w:t>
            </w:r>
          </w:p>
        </w:tc>
        <w:tc>
          <w:tcPr>
            <w:tcW w:w="712" w:type="dxa"/>
            <w:tcBorders>
              <w:top w:val="single" w:sz="8" w:space="0" w:color="auto"/>
              <w:left w:val="nil"/>
              <w:bottom w:val="nil"/>
              <w:right w:val="nil"/>
            </w:tcBorders>
            <w:shd w:val="clear" w:color="000000" w:fill="000000"/>
            <w:noWrap/>
            <w:vAlign w:val="bottom"/>
            <w:hideMark/>
          </w:tcPr>
          <w:p w14:paraId="6866F672" w14:textId="77777777" w:rsidR="00B34025" w:rsidRPr="00E77CA3" w:rsidRDefault="00B34025" w:rsidP="00D07017">
            <w:pPr>
              <w:pStyle w:val="Tablehead"/>
              <w:rPr>
                <w:sz w:val="20"/>
              </w:rPr>
            </w:pPr>
            <w:r w:rsidRPr="00E77CA3">
              <w:rPr>
                <w:sz w:val="20"/>
              </w:rPr>
              <w:t>2016</w:t>
            </w:r>
          </w:p>
        </w:tc>
        <w:tc>
          <w:tcPr>
            <w:tcW w:w="880" w:type="dxa"/>
            <w:tcBorders>
              <w:top w:val="single" w:sz="8" w:space="0" w:color="auto"/>
              <w:left w:val="nil"/>
              <w:bottom w:val="nil"/>
              <w:right w:val="nil"/>
            </w:tcBorders>
            <w:shd w:val="clear" w:color="000000" w:fill="000000"/>
            <w:noWrap/>
            <w:vAlign w:val="bottom"/>
            <w:hideMark/>
          </w:tcPr>
          <w:p w14:paraId="510965FB" w14:textId="77777777" w:rsidR="00B34025" w:rsidRPr="00E77CA3" w:rsidRDefault="00B34025" w:rsidP="00D07017">
            <w:pPr>
              <w:pStyle w:val="Tablehead"/>
              <w:rPr>
                <w:sz w:val="20"/>
              </w:rPr>
            </w:pPr>
            <w:r w:rsidRPr="00E77CA3">
              <w:rPr>
                <w:sz w:val="20"/>
              </w:rPr>
              <w:t>2017</w:t>
            </w:r>
          </w:p>
        </w:tc>
        <w:tc>
          <w:tcPr>
            <w:tcW w:w="622" w:type="dxa"/>
            <w:tcBorders>
              <w:top w:val="single" w:sz="8" w:space="0" w:color="auto"/>
              <w:left w:val="nil"/>
              <w:bottom w:val="single" w:sz="8" w:space="0" w:color="auto"/>
              <w:right w:val="nil"/>
            </w:tcBorders>
            <w:shd w:val="clear" w:color="000000" w:fill="000000"/>
          </w:tcPr>
          <w:p w14:paraId="709A1D9B" w14:textId="77777777" w:rsidR="00B34025" w:rsidRPr="00E77CA3" w:rsidRDefault="00B34025" w:rsidP="00D07017">
            <w:pPr>
              <w:pStyle w:val="Tablehead"/>
              <w:rPr>
                <w:sz w:val="20"/>
              </w:rPr>
            </w:pPr>
            <w:r w:rsidRPr="00E77CA3">
              <w:rPr>
                <w:sz w:val="20"/>
              </w:rPr>
              <w:t>2018</w:t>
            </w:r>
          </w:p>
        </w:tc>
        <w:tc>
          <w:tcPr>
            <w:tcW w:w="846" w:type="dxa"/>
            <w:tcBorders>
              <w:top w:val="single" w:sz="8" w:space="0" w:color="auto"/>
              <w:left w:val="nil"/>
              <w:bottom w:val="single" w:sz="8" w:space="0" w:color="auto"/>
              <w:right w:val="nil"/>
            </w:tcBorders>
            <w:shd w:val="clear" w:color="000000" w:fill="000000"/>
          </w:tcPr>
          <w:p w14:paraId="636EB1D3" w14:textId="77777777" w:rsidR="00B34025" w:rsidRPr="00E77CA3" w:rsidRDefault="00B34025" w:rsidP="00D07017">
            <w:pPr>
              <w:pStyle w:val="Tablehead"/>
              <w:rPr>
                <w:sz w:val="20"/>
              </w:rPr>
            </w:pPr>
            <w:r w:rsidRPr="00E77CA3">
              <w:rPr>
                <w:sz w:val="20"/>
              </w:rPr>
              <w:t>2019(*)</w:t>
            </w:r>
          </w:p>
        </w:tc>
        <w:tc>
          <w:tcPr>
            <w:tcW w:w="712" w:type="dxa"/>
            <w:tcBorders>
              <w:top w:val="single" w:sz="8" w:space="0" w:color="auto"/>
              <w:left w:val="nil"/>
              <w:bottom w:val="nil"/>
              <w:right w:val="single" w:sz="8" w:space="0" w:color="auto"/>
            </w:tcBorders>
            <w:shd w:val="clear" w:color="000000" w:fill="000000"/>
            <w:noWrap/>
            <w:vAlign w:val="bottom"/>
            <w:hideMark/>
          </w:tcPr>
          <w:p w14:paraId="28A8E8DC" w14:textId="77777777" w:rsidR="00B34025" w:rsidRPr="00E77CA3" w:rsidRDefault="00B34025" w:rsidP="00D07017">
            <w:pPr>
              <w:pStyle w:val="Tablehead"/>
              <w:rPr>
                <w:sz w:val="20"/>
              </w:rPr>
            </w:pPr>
            <w:r w:rsidRPr="00E77CA3">
              <w:rPr>
                <w:sz w:val="20"/>
              </w:rPr>
              <w:t xml:space="preserve">Total </w:t>
            </w:r>
          </w:p>
        </w:tc>
      </w:tr>
      <w:tr w:rsidR="00B34025" w:rsidRPr="00100BB2" w14:paraId="23884CC5" w14:textId="77777777" w:rsidTr="00B34025">
        <w:trPr>
          <w:trHeight w:val="300"/>
        </w:trPr>
        <w:tc>
          <w:tcPr>
            <w:tcW w:w="237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CFADF31" w14:textId="72F1F34A" w:rsidR="00B34025" w:rsidRPr="00FB48BF" w:rsidRDefault="00B34025" w:rsidP="00D07017">
            <w:pPr>
              <w:spacing w:before="40" w:after="40"/>
              <w:rPr>
                <w:sz w:val="20"/>
              </w:rPr>
            </w:pPr>
            <w:r w:rsidRPr="00B34025">
              <w:rPr>
                <w:sz w:val="20"/>
              </w:rPr>
              <w:t>Número de informes de auditoría</w:t>
            </w:r>
          </w:p>
        </w:tc>
        <w:tc>
          <w:tcPr>
            <w:tcW w:w="713" w:type="dxa"/>
            <w:tcBorders>
              <w:top w:val="single" w:sz="8" w:space="0" w:color="auto"/>
              <w:left w:val="nil"/>
              <w:bottom w:val="single" w:sz="4" w:space="0" w:color="auto"/>
              <w:right w:val="single" w:sz="4" w:space="0" w:color="auto"/>
            </w:tcBorders>
            <w:shd w:val="clear" w:color="auto" w:fill="auto"/>
            <w:noWrap/>
            <w:vAlign w:val="center"/>
            <w:hideMark/>
          </w:tcPr>
          <w:p w14:paraId="3F5166D8" w14:textId="77777777" w:rsidR="00B34025" w:rsidRPr="00FB48BF" w:rsidRDefault="00B34025" w:rsidP="00D07017">
            <w:pPr>
              <w:spacing w:before="40" w:after="40"/>
              <w:jc w:val="center"/>
              <w:rPr>
                <w:sz w:val="20"/>
              </w:rPr>
            </w:pPr>
            <w:r w:rsidRPr="00FB48BF">
              <w:rPr>
                <w:sz w:val="20"/>
              </w:rPr>
              <w:t>2</w:t>
            </w:r>
          </w:p>
        </w:tc>
        <w:tc>
          <w:tcPr>
            <w:tcW w:w="628" w:type="dxa"/>
            <w:tcBorders>
              <w:top w:val="single" w:sz="8" w:space="0" w:color="auto"/>
              <w:left w:val="nil"/>
              <w:bottom w:val="single" w:sz="4" w:space="0" w:color="auto"/>
              <w:right w:val="single" w:sz="4" w:space="0" w:color="auto"/>
            </w:tcBorders>
            <w:shd w:val="clear" w:color="auto" w:fill="auto"/>
            <w:noWrap/>
            <w:vAlign w:val="center"/>
            <w:hideMark/>
          </w:tcPr>
          <w:p w14:paraId="30E332AE" w14:textId="77777777" w:rsidR="00B34025" w:rsidRPr="00FB48BF" w:rsidRDefault="00B34025" w:rsidP="00D07017">
            <w:pPr>
              <w:spacing w:before="40" w:after="40"/>
              <w:jc w:val="center"/>
              <w:rPr>
                <w:sz w:val="20"/>
              </w:rPr>
            </w:pPr>
            <w:r w:rsidRPr="00FB48BF">
              <w:rPr>
                <w:sz w:val="20"/>
              </w:rPr>
              <w:t>0</w:t>
            </w:r>
          </w:p>
        </w:tc>
        <w:tc>
          <w:tcPr>
            <w:tcW w:w="711" w:type="dxa"/>
            <w:tcBorders>
              <w:top w:val="single" w:sz="8" w:space="0" w:color="auto"/>
              <w:left w:val="nil"/>
              <w:bottom w:val="single" w:sz="4" w:space="0" w:color="auto"/>
              <w:right w:val="single" w:sz="4" w:space="0" w:color="auto"/>
            </w:tcBorders>
            <w:shd w:val="clear" w:color="000000" w:fill="FFFFFF"/>
            <w:noWrap/>
            <w:vAlign w:val="center"/>
            <w:hideMark/>
          </w:tcPr>
          <w:p w14:paraId="171BF842" w14:textId="77777777" w:rsidR="00B34025" w:rsidRPr="00FB48BF" w:rsidRDefault="00B34025" w:rsidP="00D07017">
            <w:pPr>
              <w:spacing w:before="40" w:after="40"/>
              <w:jc w:val="center"/>
              <w:rPr>
                <w:sz w:val="20"/>
              </w:rPr>
            </w:pPr>
            <w:r w:rsidRPr="00FB48BF">
              <w:rPr>
                <w:sz w:val="20"/>
              </w:rPr>
              <w:t>4</w:t>
            </w:r>
          </w:p>
        </w:tc>
        <w:tc>
          <w:tcPr>
            <w:tcW w:w="712" w:type="dxa"/>
            <w:tcBorders>
              <w:top w:val="single" w:sz="8" w:space="0" w:color="auto"/>
              <w:left w:val="nil"/>
              <w:bottom w:val="single" w:sz="4" w:space="0" w:color="auto"/>
              <w:right w:val="nil"/>
            </w:tcBorders>
            <w:shd w:val="clear" w:color="000000" w:fill="FFFFFF"/>
            <w:noWrap/>
            <w:vAlign w:val="center"/>
            <w:hideMark/>
          </w:tcPr>
          <w:p w14:paraId="270FB48D" w14:textId="77777777" w:rsidR="00B34025" w:rsidRPr="00FB48BF" w:rsidRDefault="00B34025" w:rsidP="00D07017">
            <w:pPr>
              <w:spacing w:before="40" w:after="40"/>
              <w:jc w:val="center"/>
              <w:rPr>
                <w:sz w:val="20"/>
              </w:rPr>
            </w:pPr>
            <w:r w:rsidRPr="00FB48BF">
              <w:rPr>
                <w:sz w:val="20"/>
              </w:rPr>
              <w:t>4</w:t>
            </w:r>
          </w:p>
        </w:tc>
        <w:tc>
          <w:tcPr>
            <w:tcW w:w="712" w:type="dxa"/>
            <w:tcBorders>
              <w:top w:val="single" w:sz="8" w:space="0" w:color="auto"/>
              <w:left w:val="single" w:sz="4" w:space="0" w:color="auto"/>
              <w:bottom w:val="single" w:sz="4" w:space="0" w:color="auto"/>
              <w:right w:val="nil"/>
            </w:tcBorders>
            <w:shd w:val="clear" w:color="000000" w:fill="FFFFFF"/>
            <w:noWrap/>
            <w:vAlign w:val="center"/>
            <w:hideMark/>
          </w:tcPr>
          <w:p w14:paraId="208E3E05" w14:textId="77777777" w:rsidR="00B34025" w:rsidRPr="00FB48BF" w:rsidRDefault="00B34025" w:rsidP="00D07017">
            <w:pPr>
              <w:spacing w:before="40" w:after="40"/>
              <w:jc w:val="center"/>
              <w:rPr>
                <w:sz w:val="20"/>
              </w:rPr>
            </w:pPr>
            <w:r w:rsidRPr="00FB48BF">
              <w:rPr>
                <w:sz w:val="20"/>
              </w:rPr>
              <w:t>7</w:t>
            </w:r>
          </w:p>
        </w:tc>
        <w:tc>
          <w:tcPr>
            <w:tcW w:w="712" w:type="dxa"/>
            <w:tcBorders>
              <w:top w:val="single" w:sz="8" w:space="0" w:color="auto"/>
              <w:left w:val="single" w:sz="4" w:space="0" w:color="auto"/>
              <w:bottom w:val="single" w:sz="4" w:space="0" w:color="auto"/>
              <w:right w:val="nil"/>
            </w:tcBorders>
            <w:shd w:val="clear" w:color="000000" w:fill="FFFFFF"/>
            <w:noWrap/>
            <w:vAlign w:val="center"/>
            <w:hideMark/>
          </w:tcPr>
          <w:p w14:paraId="0BEE1385" w14:textId="77777777" w:rsidR="00B34025" w:rsidRPr="00FB48BF" w:rsidRDefault="00B34025" w:rsidP="00D07017">
            <w:pPr>
              <w:spacing w:before="40" w:after="40"/>
              <w:jc w:val="center"/>
              <w:rPr>
                <w:sz w:val="20"/>
              </w:rPr>
            </w:pPr>
            <w:r w:rsidRPr="00FB48BF">
              <w:rPr>
                <w:sz w:val="20"/>
              </w:rPr>
              <w:t>4</w:t>
            </w:r>
          </w:p>
        </w:tc>
        <w:tc>
          <w:tcPr>
            <w:tcW w:w="880" w:type="dxa"/>
            <w:tcBorders>
              <w:top w:val="single" w:sz="8" w:space="0" w:color="auto"/>
              <w:left w:val="single" w:sz="4" w:space="0" w:color="auto"/>
              <w:bottom w:val="single" w:sz="4" w:space="0" w:color="auto"/>
              <w:right w:val="nil"/>
            </w:tcBorders>
            <w:shd w:val="clear" w:color="000000" w:fill="FFFFFF"/>
            <w:noWrap/>
            <w:vAlign w:val="center"/>
            <w:hideMark/>
          </w:tcPr>
          <w:p w14:paraId="476F96A7" w14:textId="77777777" w:rsidR="00B34025" w:rsidRPr="00FB48BF" w:rsidRDefault="00B34025" w:rsidP="00D07017">
            <w:pPr>
              <w:spacing w:before="40" w:after="40"/>
              <w:jc w:val="center"/>
              <w:rPr>
                <w:sz w:val="20"/>
              </w:rPr>
            </w:pPr>
            <w:r>
              <w:rPr>
                <w:sz w:val="20"/>
              </w:rPr>
              <w:t>5</w:t>
            </w:r>
          </w:p>
        </w:tc>
        <w:tc>
          <w:tcPr>
            <w:tcW w:w="622" w:type="dxa"/>
            <w:tcBorders>
              <w:top w:val="single" w:sz="8" w:space="0" w:color="auto"/>
              <w:left w:val="single" w:sz="4" w:space="0" w:color="auto"/>
              <w:bottom w:val="single" w:sz="4" w:space="0" w:color="auto"/>
              <w:right w:val="single" w:sz="4" w:space="0" w:color="auto"/>
            </w:tcBorders>
            <w:shd w:val="clear" w:color="000000" w:fill="auto"/>
            <w:vAlign w:val="center"/>
          </w:tcPr>
          <w:p w14:paraId="1EF36D7F" w14:textId="77777777" w:rsidR="00B34025" w:rsidRPr="00E46005" w:rsidRDefault="00B34025" w:rsidP="00D07017">
            <w:pPr>
              <w:spacing w:before="40" w:after="40"/>
              <w:jc w:val="center"/>
              <w:rPr>
                <w:sz w:val="20"/>
              </w:rPr>
            </w:pPr>
            <w:r w:rsidRPr="00E46005">
              <w:rPr>
                <w:sz w:val="20"/>
              </w:rPr>
              <w:t>4</w:t>
            </w:r>
          </w:p>
        </w:tc>
        <w:tc>
          <w:tcPr>
            <w:tcW w:w="846" w:type="dxa"/>
            <w:tcBorders>
              <w:top w:val="single" w:sz="8" w:space="0" w:color="auto"/>
              <w:left w:val="single" w:sz="4" w:space="0" w:color="auto"/>
              <w:bottom w:val="single" w:sz="4" w:space="0" w:color="auto"/>
              <w:right w:val="single" w:sz="4" w:space="0" w:color="auto"/>
            </w:tcBorders>
            <w:shd w:val="clear" w:color="000000" w:fill="auto"/>
            <w:vAlign w:val="center"/>
          </w:tcPr>
          <w:p w14:paraId="7BBC5908" w14:textId="77777777" w:rsidR="00B34025" w:rsidRPr="00E46005" w:rsidRDefault="00B34025" w:rsidP="00D07017">
            <w:pPr>
              <w:spacing w:before="40" w:after="40"/>
              <w:jc w:val="center"/>
              <w:rPr>
                <w:sz w:val="20"/>
              </w:rPr>
            </w:pPr>
            <w:r w:rsidRPr="00E46005">
              <w:rPr>
                <w:sz w:val="20"/>
              </w:rPr>
              <w:t>2</w:t>
            </w:r>
          </w:p>
        </w:tc>
        <w:tc>
          <w:tcPr>
            <w:tcW w:w="712" w:type="dxa"/>
            <w:tcBorders>
              <w:top w:val="single" w:sz="8" w:space="0" w:color="auto"/>
              <w:left w:val="single" w:sz="4" w:space="0" w:color="auto"/>
              <w:bottom w:val="single" w:sz="4" w:space="0" w:color="auto"/>
              <w:right w:val="single" w:sz="8" w:space="0" w:color="auto"/>
            </w:tcBorders>
            <w:shd w:val="clear" w:color="000000" w:fill="AEAAAA"/>
            <w:noWrap/>
            <w:vAlign w:val="center"/>
            <w:hideMark/>
          </w:tcPr>
          <w:p w14:paraId="03B07515" w14:textId="77777777" w:rsidR="00B34025" w:rsidRPr="00FB48BF" w:rsidRDefault="00B34025" w:rsidP="00D07017">
            <w:pPr>
              <w:spacing w:before="40" w:after="40"/>
              <w:jc w:val="center"/>
              <w:rPr>
                <w:b/>
                <w:bCs/>
                <w:sz w:val="20"/>
              </w:rPr>
            </w:pPr>
            <w:r>
              <w:rPr>
                <w:b/>
                <w:bCs/>
                <w:sz w:val="20"/>
              </w:rPr>
              <w:t>32</w:t>
            </w:r>
          </w:p>
        </w:tc>
      </w:tr>
      <w:tr w:rsidR="00B34025" w:rsidRPr="00100BB2" w14:paraId="348ACD76" w14:textId="77777777" w:rsidTr="00B34025">
        <w:trPr>
          <w:trHeight w:val="300"/>
        </w:trPr>
        <w:tc>
          <w:tcPr>
            <w:tcW w:w="2371" w:type="dxa"/>
            <w:tcBorders>
              <w:top w:val="nil"/>
              <w:left w:val="single" w:sz="8" w:space="0" w:color="auto"/>
              <w:bottom w:val="single" w:sz="4" w:space="0" w:color="auto"/>
              <w:right w:val="single" w:sz="4" w:space="0" w:color="auto"/>
            </w:tcBorders>
            <w:shd w:val="clear" w:color="auto" w:fill="auto"/>
            <w:noWrap/>
            <w:vAlign w:val="bottom"/>
            <w:hideMark/>
          </w:tcPr>
          <w:p w14:paraId="3EF5E680" w14:textId="42C7E685" w:rsidR="00B34025" w:rsidRPr="00FB48BF" w:rsidRDefault="00B34025" w:rsidP="00D07017">
            <w:pPr>
              <w:spacing w:before="40" w:after="40"/>
              <w:rPr>
                <w:sz w:val="20"/>
              </w:rPr>
            </w:pPr>
            <w:r w:rsidRPr="00B34025">
              <w:rPr>
                <w:sz w:val="20"/>
              </w:rPr>
              <w:t>Recomendaciones – Total</w:t>
            </w:r>
          </w:p>
        </w:tc>
        <w:tc>
          <w:tcPr>
            <w:tcW w:w="713" w:type="dxa"/>
            <w:tcBorders>
              <w:top w:val="nil"/>
              <w:left w:val="nil"/>
              <w:bottom w:val="single" w:sz="4" w:space="0" w:color="auto"/>
              <w:right w:val="single" w:sz="4" w:space="0" w:color="auto"/>
            </w:tcBorders>
            <w:shd w:val="clear" w:color="auto" w:fill="auto"/>
            <w:noWrap/>
            <w:vAlign w:val="center"/>
            <w:hideMark/>
          </w:tcPr>
          <w:p w14:paraId="7A989A88" w14:textId="77777777" w:rsidR="00B34025" w:rsidRPr="00FB48BF" w:rsidRDefault="00B34025" w:rsidP="00D07017">
            <w:pPr>
              <w:spacing w:before="40" w:after="40"/>
              <w:jc w:val="center"/>
              <w:rPr>
                <w:sz w:val="20"/>
              </w:rPr>
            </w:pPr>
            <w:r w:rsidRPr="00FB48BF">
              <w:rPr>
                <w:sz w:val="20"/>
              </w:rPr>
              <w:t>17</w:t>
            </w:r>
          </w:p>
        </w:tc>
        <w:tc>
          <w:tcPr>
            <w:tcW w:w="628" w:type="dxa"/>
            <w:tcBorders>
              <w:top w:val="nil"/>
              <w:left w:val="nil"/>
              <w:bottom w:val="single" w:sz="4" w:space="0" w:color="auto"/>
              <w:right w:val="single" w:sz="4" w:space="0" w:color="auto"/>
            </w:tcBorders>
            <w:shd w:val="clear" w:color="auto" w:fill="auto"/>
            <w:noWrap/>
            <w:vAlign w:val="center"/>
            <w:hideMark/>
          </w:tcPr>
          <w:p w14:paraId="4B6D5209" w14:textId="77777777" w:rsidR="00B34025" w:rsidRPr="00FB48BF" w:rsidRDefault="00B34025" w:rsidP="00D07017">
            <w:pPr>
              <w:spacing w:before="40" w:after="40"/>
              <w:jc w:val="center"/>
              <w:rPr>
                <w:sz w:val="20"/>
              </w:rPr>
            </w:pPr>
            <w:r w:rsidRPr="00FB48BF">
              <w:rPr>
                <w:sz w:val="20"/>
              </w:rPr>
              <w:t>–</w:t>
            </w:r>
          </w:p>
        </w:tc>
        <w:tc>
          <w:tcPr>
            <w:tcW w:w="711" w:type="dxa"/>
            <w:tcBorders>
              <w:top w:val="nil"/>
              <w:left w:val="nil"/>
              <w:bottom w:val="single" w:sz="4" w:space="0" w:color="auto"/>
              <w:right w:val="single" w:sz="4" w:space="0" w:color="auto"/>
            </w:tcBorders>
            <w:shd w:val="clear" w:color="000000" w:fill="FFFFFF"/>
            <w:noWrap/>
            <w:vAlign w:val="center"/>
            <w:hideMark/>
          </w:tcPr>
          <w:p w14:paraId="3BF0FC36" w14:textId="77777777" w:rsidR="00B34025" w:rsidRPr="00FB48BF" w:rsidRDefault="00B34025" w:rsidP="00D07017">
            <w:pPr>
              <w:spacing w:before="40" w:after="40"/>
              <w:jc w:val="center"/>
              <w:rPr>
                <w:sz w:val="20"/>
              </w:rPr>
            </w:pPr>
            <w:r w:rsidRPr="00FB48BF">
              <w:rPr>
                <w:sz w:val="20"/>
              </w:rPr>
              <w:t>113</w:t>
            </w:r>
          </w:p>
        </w:tc>
        <w:tc>
          <w:tcPr>
            <w:tcW w:w="712" w:type="dxa"/>
            <w:tcBorders>
              <w:top w:val="nil"/>
              <w:left w:val="nil"/>
              <w:bottom w:val="single" w:sz="4" w:space="0" w:color="auto"/>
              <w:right w:val="nil"/>
            </w:tcBorders>
            <w:shd w:val="clear" w:color="000000" w:fill="FFFFFF"/>
            <w:noWrap/>
            <w:vAlign w:val="center"/>
            <w:hideMark/>
          </w:tcPr>
          <w:p w14:paraId="27086E66" w14:textId="77777777" w:rsidR="00B34025" w:rsidRPr="00FB48BF" w:rsidRDefault="00B34025" w:rsidP="00D07017">
            <w:pPr>
              <w:spacing w:before="40" w:after="40"/>
              <w:jc w:val="center"/>
              <w:rPr>
                <w:sz w:val="20"/>
              </w:rPr>
            </w:pPr>
            <w:r w:rsidRPr="00FB48BF">
              <w:rPr>
                <w:sz w:val="20"/>
              </w:rPr>
              <w:t>55</w:t>
            </w:r>
          </w:p>
        </w:tc>
        <w:tc>
          <w:tcPr>
            <w:tcW w:w="712" w:type="dxa"/>
            <w:tcBorders>
              <w:top w:val="nil"/>
              <w:left w:val="single" w:sz="4" w:space="0" w:color="auto"/>
              <w:bottom w:val="single" w:sz="4" w:space="0" w:color="auto"/>
              <w:right w:val="nil"/>
            </w:tcBorders>
            <w:shd w:val="clear" w:color="000000" w:fill="FFFFFF"/>
            <w:noWrap/>
            <w:vAlign w:val="center"/>
            <w:hideMark/>
          </w:tcPr>
          <w:p w14:paraId="097FFD2D" w14:textId="77777777" w:rsidR="00B34025" w:rsidRPr="00FB48BF" w:rsidRDefault="00B34025" w:rsidP="00D07017">
            <w:pPr>
              <w:spacing w:before="40" w:after="40"/>
              <w:jc w:val="center"/>
              <w:rPr>
                <w:sz w:val="20"/>
              </w:rPr>
            </w:pPr>
            <w:r w:rsidRPr="00FB48BF">
              <w:rPr>
                <w:sz w:val="20"/>
              </w:rPr>
              <w:t>34</w:t>
            </w:r>
          </w:p>
        </w:tc>
        <w:tc>
          <w:tcPr>
            <w:tcW w:w="712" w:type="dxa"/>
            <w:tcBorders>
              <w:top w:val="nil"/>
              <w:left w:val="single" w:sz="4" w:space="0" w:color="auto"/>
              <w:bottom w:val="single" w:sz="4" w:space="0" w:color="auto"/>
              <w:right w:val="nil"/>
            </w:tcBorders>
            <w:shd w:val="clear" w:color="000000" w:fill="FFFFFF"/>
            <w:noWrap/>
            <w:vAlign w:val="center"/>
            <w:hideMark/>
          </w:tcPr>
          <w:p w14:paraId="0E204AB8" w14:textId="77777777" w:rsidR="00B34025" w:rsidRPr="00FB48BF" w:rsidRDefault="00B34025" w:rsidP="00D07017">
            <w:pPr>
              <w:spacing w:before="40" w:after="40"/>
              <w:jc w:val="center"/>
              <w:rPr>
                <w:sz w:val="20"/>
              </w:rPr>
            </w:pPr>
            <w:r w:rsidRPr="00FB48BF">
              <w:rPr>
                <w:sz w:val="20"/>
              </w:rPr>
              <w:t>22</w:t>
            </w:r>
          </w:p>
        </w:tc>
        <w:tc>
          <w:tcPr>
            <w:tcW w:w="880" w:type="dxa"/>
            <w:tcBorders>
              <w:top w:val="nil"/>
              <w:left w:val="single" w:sz="4" w:space="0" w:color="auto"/>
              <w:bottom w:val="single" w:sz="4" w:space="0" w:color="auto"/>
              <w:right w:val="nil"/>
            </w:tcBorders>
            <w:shd w:val="clear" w:color="000000" w:fill="FFFFFF"/>
            <w:noWrap/>
            <w:vAlign w:val="center"/>
            <w:hideMark/>
          </w:tcPr>
          <w:p w14:paraId="07DF1E22" w14:textId="77777777" w:rsidR="00B34025" w:rsidRPr="00FB48BF" w:rsidRDefault="00B34025" w:rsidP="00D07017">
            <w:pPr>
              <w:spacing w:before="40" w:after="40"/>
              <w:jc w:val="center"/>
              <w:rPr>
                <w:sz w:val="20"/>
              </w:rPr>
            </w:pPr>
            <w:r>
              <w:rPr>
                <w:sz w:val="20"/>
              </w:rPr>
              <w:t>30</w:t>
            </w:r>
          </w:p>
        </w:tc>
        <w:tc>
          <w:tcPr>
            <w:tcW w:w="622" w:type="dxa"/>
            <w:tcBorders>
              <w:top w:val="single" w:sz="4" w:space="0" w:color="auto"/>
              <w:left w:val="single" w:sz="4" w:space="0" w:color="auto"/>
              <w:bottom w:val="single" w:sz="4" w:space="0" w:color="auto"/>
              <w:right w:val="single" w:sz="4" w:space="0" w:color="auto"/>
            </w:tcBorders>
            <w:shd w:val="clear" w:color="000000" w:fill="auto"/>
            <w:vAlign w:val="center"/>
          </w:tcPr>
          <w:p w14:paraId="1593B50D" w14:textId="77777777" w:rsidR="00B34025" w:rsidRPr="00E46005" w:rsidRDefault="00B34025" w:rsidP="00D07017">
            <w:pPr>
              <w:spacing w:before="40" w:after="40"/>
              <w:jc w:val="center"/>
              <w:rPr>
                <w:sz w:val="20"/>
              </w:rPr>
            </w:pPr>
            <w:r w:rsidRPr="00E46005">
              <w:rPr>
                <w:sz w:val="20"/>
              </w:rPr>
              <w:t>26</w:t>
            </w:r>
          </w:p>
        </w:tc>
        <w:tc>
          <w:tcPr>
            <w:tcW w:w="846" w:type="dxa"/>
            <w:tcBorders>
              <w:top w:val="single" w:sz="4" w:space="0" w:color="auto"/>
              <w:left w:val="single" w:sz="4" w:space="0" w:color="auto"/>
              <w:bottom w:val="single" w:sz="4" w:space="0" w:color="auto"/>
              <w:right w:val="single" w:sz="4" w:space="0" w:color="auto"/>
            </w:tcBorders>
            <w:shd w:val="clear" w:color="000000" w:fill="auto"/>
            <w:vAlign w:val="center"/>
          </w:tcPr>
          <w:p w14:paraId="5E957E20" w14:textId="77777777" w:rsidR="00B34025" w:rsidRPr="00E46005" w:rsidRDefault="00B34025" w:rsidP="00D07017">
            <w:pPr>
              <w:spacing w:before="40" w:after="40"/>
              <w:jc w:val="center"/>
              <w:rPr>
                <w:sz w:val="20"/>
              </w:rPr>
            </w:pPr>
            <w:r w:rsidRPr="00E46005">
              <w:rPr>
                <w:sz w:val="20"/>
              </w:rPr>
              <w:t>15</w:t>
            </w:r>
          </w:p>
        </w:tc>
        <w:tc>
          <w:tcPr>
            <w:tcW w:w="712" w:type="dxa"/>
            <w:tcBorders>
              <w:top w:val="nil"/>
              <w:left w:val="single" w:sz="4" w:space="0" w:color="auto"/>
              <w:bottom w:val="single" w:sz="4" w:space="0" w:color="auto"/>
              <w:right w:val="single" w:sz="8" w:space="0" w:color="auto"/>
            </w:tcBorders>
            <w:shd w:val="clear" w:color="000000" w:fill="AEAAAA"/>
            <w:noWrap/>
            <w:vAlign w:val="center"/>
            <w:hideMark/>
          </w:tcPr>
          <w:p w14:paraId="281479A1" w14:textId="77777777" w:rsidR="00B34025" w:rsidRPr="00FB48BF" w:rsidRDefault="00B34025" w:rsidP="00D07017">
            <w:pPr>
              <w:spacing w:before="40" w:after="40"/>
              <w:jc w:val="center"/>
              <w:rPr>
                <w:b/>
                <w:bCs/>
                <w:sz w:val="20"/>
              </w:rPr>
            </w:pPr>
            <w:r>
              <w:rPr>
                <w:b/>
                <w:bCs/>
                <w:sz w:val="20"/>
              </w:rPr>
              <w:t>312</w:t>
            </w:r>
          </w:p>
        </w:tc>
      </w:tr>
      <w:tr w:rsidR="00B34025" w:rsidRPr="00100BB2" w14:paraId="4C01AD4D" w14:textId="77777777" w:rsidTr="00B34025">
        <w:trPr>
          <w:trHeight w:val="300"/>
        </w:trPr>
        <w:tc>
          <w:tcPr>
            <w:tcW w:w="2371" w:type="dxa"/>
            <w:tcBorders>
              <w:top w:val="nil"/>
              <w:left w:val="single" w:sz="8" w:space="0" w:color="auto"/>
              <w:bottom w:val="single" w:sz="4" w:space="0" w:color="auto"/>
              <w:right w:val="single" w:sz="4" w:space="0" w:color="auto"/>
            </w:tcBorders>
            <w:shd w:val="clear" w:color="auto" w:fill="auto"/>
            <w:noWrap/>
            <w:vAlign w:val="bottom"/>
            <w:hideMark/>
          </w:tcPr>
          <w:p w14:paraId="4BF8F5A4" w14:textId="2C043946" w:rsidR="00B34025" w:rsidRPr="00FB48BF" w:rsidRDefault="00B34025" w:rsidP="00D07017">
            <w:pPr>
              <w:tabs>
                <w:tab w:val="clear" w:pos="567"/>
                <w:tab w:val="left" w:pos="308"/>
              </w:tabs>
              <w:spacing w:before="40" w:after="40"/>
              <w:rPr>
                <w:sz w:val="20"/>
              </w:rPr>
            </w:pPr>
            <w:r w:rsidRPr="00FB48BF">
              <w:rPr>
                <w:sz w:val="20"/>
              </w:rPr>
              <w:tab/>
            </w:r>
            <w:r w:rsidRPr="00B34025">
              <w:rPr>
                <w:sz w:val="20"/>
              </w:rPr>
              <w:t>En preparación</w:t>
            </w:r>
          </w:p>
        </w:tc>
        <w:tc>
          <w:tcPr>
            <w:tcW w:w="713" w:type="dxa"/>
            <w:tcBorders>
              <w:top w:val="nil"/>
              <w:left w:val="nil"/>
              <w:bottom w:val="single" w:sz="4" w:space="0" w:color="auto"/>
              <w:right w:val="single" w:sz="4" w:space="0" w:color="auto"/>
            </w:tcBorders>
            <w:shd w:val="clear" w:color="000000" w:fill="FFFFFF"/>
            <w:noWrap/>
            <w:vAlign w:val="center"/>
            <w:hideMark/>
          </w:tcPr>
          <w:p w14:paraId="28F48340" w14:textId="77777777" w:rsidR="00B34025" w:rsidRPr="00FB48BF" w:rsidRDefault="00B34025" w:rsidP="00D07017">
            <w:pPr>
              <w:spacing w:before="40" w:after="40"/>
              <w:jc w:val="center"/>
              <w:rPr>
                <w:sz w:val="20"/>
              </w:rPr>
            </w:pPr>
            <w:r w:rsidRPr="00FB48BF">
              <w:rPr>
                <w:sz w:val="20"/>
              </w:rPr>
              <w:t>0</w:t>
            </w:r>
          </w:p>
        </w:tc>
        <w:tc>
          <w:tcPr>
            <w:tcW w:w="628" w:type="dxa"/>
            <w:tcBorders>
              <w:top w:val="nil"/>
              <w:left w:val="nil"/>
              <w:bottom w:val="single" w:sz="4" w:space="0" w:color="auto"/>
              <w:right w:val="single" w:sz="4" w:space="0" w:color="auto"/>
            </w:tcBorders>
            <w:shd w:val="clear" w:color="auto" w:fill="auto"/>
            <w:noWrap/>
            <w:vAlign w:val="center"/>
            <w:hideMark/>
          </w:tcPr>
          <w:p w14:paraId="475BEC97" w14:textId="77777777" w:rsidR="00B34025" w:rsidRPr="00FB48BF" w:rsidRDefault="00B34025" w:rsidP="00D07017">
            <w:pPr>
              <w:spacing w:before="40" w:after="40"/>
              <w:jc w:val="center"/>
              <w:rPr>
                <w:sz w:val="20"/>
              </w:rPr>
            </w:pPr>
            <w:r w:rsidRPr="00FB48BF">
              <w:rPr>
                <w:sz w:val="20"/>
              </w:rPr>
              <w:t>–</w:t>
            </w:r>
          </w:p>
        </w:tc>
        <w:tc>
          <w:tcPr>
            <w:tcW w:w="711" w:type="dxa"/>
            <w:tcBorders>
              <w:top w:val="nil"/>
              <w:left w:val="nil"/>
              <w:bottom w:val="single" w:sz="4" w:space="0" w:color="auto"/>
              <w:right w:val="single" w:sz="4" w:space="0" w:color="auto"/>
            </w:tcBorders>
            <w:shd w:val="clear" w:color="000000" w:fill="FFFFFF"/>
            <w:noWrap/>
            <w:vAlign w:val="center"/>
            <w:hideMark/>
          </w:tcPr>
          <w:p w14:paraId="2C903B7E" w14:textId="77777777" w:rsidR="00B34025" w:rsidRPr="00FB48BF" w:rsidRDefault="00B34025" w:rsidP="00D07017">
            <w:pPr>
              <w:spacing w:before="40" w:after="40"/>
              <w:jc w:val="center"/>
              <w:rPr>
                <w:sz w:val="20"/>
              </w:rPr>
            </w:pPr>
            <w:r>
              <w:rPr>
                <w:sz w:val="20"/>
              </w:rPr>
              <w:t>5</w:t>
            </w:r>
          </w:p>
        </w:tc>
        <w:tc>
          <w:tcPr>
            <w:tcW w:w="712" w:type="dxa"/>
            <w:tcBorders>
              <w:top w:val="nil"/>
              <w:left w:val="nil"/>
              <w:bottom w:val="single" w:sz="4" w:space="0" w:color="auto"/>
              <w:right w:val="nil"/>
            </w:tcBorders>
            <w:shd w:val="clear" w:color="000000" w:fill="FFFFFF"/>
            <w:noWrap/>
            <w:vAlign w:val="center"/>
            <w:hideMark/>
          </w:tcPr>
          <w:p w14:paraId="3447140F" w14:textId="77777777" w:rsidR="00B34025" w:rsidRPr="00FB48BF" w:rsidRDefault="00B34025" w:rsidP="00D07017">
            <w:pPr>
              <w:spacing w:before="40" w:after="40"/>
              <w:jc w:val="center"/>
              <w:rPr>
                <w:sz w:val="20"/>
              </w:rPr>
            </w:pPr>
            <w:r>
              <w:rPr>
                <w:sz w:val="20"/>
              </w:rPr>
              <w:t>2</w:t>
            </w:r>
          </w:p>
        </w:tc>
        <w:tc>
          <w:tcPr>
            <w:tcW w:w="712" w:type="dxa"/>
            <w:tcBorders>
              <w:top w:val="nil"/>
              <w:left w:val="single" w:sz="4" w:space="0" w:color="auto"/>
              <w:bottom w:val="single" w:sz="4" w:space="0" w:color="auto"/>
              <w:right w:val="nil"/>
            </w:tcBorders>
            <w:shd w:val="clear" w:color="000000" w:fill="FFFFFF"/>
            <w:noWrap/>
            <w:vAlign w:val="center"/>
            <w:hideMark/>
          </w:tcPr>
          <w:p w14:paraId="25D961A3" w14:textId="77777777" w:rsidR="00B34025" w:rsidRPr="00FB48BF" w:rsidRDefault="00B34025" w:rsidP="00D07017">
            <w:pPr>
              <w:spacing w:before="40" w:after="40"/>
              <w:jc w:val="center"/>
              <w:rPr>
                <w:sz w:val="20"/>
              </w:rPr>
            </w:pPr>
            <w:r>
              <w:rPr>
                <w:sz w:val="20"/>
              </w:rPr>
              <w:t>4</w:t>
            </w:r>
          </w:p>
        </w:tc>
        <w:tc>
          <w:tcPr>
            <w:tcW w:w="712" w:type="dxa"/>
            <w:tcBorders>
              <w:top w:val="nil"/>
              <w:left w:val="single" w:sz="4" w:space="0" w:color="auto"/>
              <w:bottom w:val="single" w:sz="4" w:space="0" w:color="auto"/>
              <w:right w:val="nil"/>
            </w:tcBorders>
            <w:shd w:val="clear" w:color="000000" w:fill="FFFFFF"/>
            <w:noWrap/>
            <w:vAlign w:val="center"/>
            <w:hideMark/>
          </w:tcPr>
          <w:p w14:paraId="1F836A0E" w14:textId="77777777" w:rsidR="00B34025" w:rsidRPr="00FB48BF" w:rsidRDefault="00B34025" w:rsidP="00D07017">
            <w:pPr>
              <w:spacing w:before="40" w:after="40"/>
              <w:jc w:val="center"/>
              <w:rPr>
                <w:sz w:val="20"/>
              </w:rPr>
            </w:pPr>
            <w:r>
              <w:rPr>
                <w:sz w:val="20"/>
              </w:rPr>
              <w:t>8</w:t>
            </w:r>
          </w:p>
        </w:tc>
        <w:tc>
          <w:tcPr>
            <w:tcW w:w="880" w:type="dxa"/>
            <w:tcBorders>
              <w:top w:val="nil"/>
              <w:left w:val="single" w:sz="4" w:space="0" w:color="auto"/>
              <w:bottom w:val="single" w:sz="4" w:space="0" w:color="auto"/>
              <w:right w:val="nil"/>
            </w:tcBorders>
            <w:shd w:val="clear" w:color="000000" w:fill="FFFFFF"/>
            <w:noWrap/>
            <w:vAlign w:val="center"/>
            <w:hideMark/>
          </w:tcPr>
          <w:p w14:paraId="0F886BA3" w14:textId="77777777" w:rsidR="00B34025" w:rsidRPr="00FB48BF" w:rsidRDefault="00B34025" w:rsidP="00D07017">
            <w:pPr>
              <w:spacing w:before="40" w:after="40"/>
              <w:jc w:val="center"/>
              <w:rPr>
                <w:sz w:val="20"/>
              </w:rPr>
            </w:pPr>
            <w:r>
              <w:rPr>
                <w:sz w:val="20"/>
              </w:rPr>
              <w:t>18</w:t>
            </w:r>
          </w:p>
        </w:tc>
        <w:tc>
          <w:tcPr>
            <w:tcW w:w="622" w:type="dxa"/>
            <w:tcBorders>
              <w:top w:val="single" w:sz="4" w:space="0" w:color="auto"/>
              <w:left w:val="single" w:sz="4" w:space="0" w:color="auto"/>
              <w:bottom w:val="single" w:sz="4" w:space="0" w:color="auto"/>
              <w:right w:val="single" w:sz="4" w:space="0" w:color="auto"/>
            </w:tcBorders>
            <w:shd w:val="clear" w:color="000000" w:fill="auto"/>
            <w:vAlign w:val="center"/>
          </w:tcPr>
          <w:p w14:paraId="7F9609CD" w14:textId="77777777" w:rsidR="00B34025" w:rsidRPr="00E46005" w:rsidRDefault="00B34025" w:rsidP="00D07017">
            <w:pPr>
              <w:spacing w:before="40" w:after="40"/>
              <w:jc w:val="center"/>
              <w:rPr>
                <w:sz w:val="20"/>
              </w:rPr>
            </w:pPr>
            <w:r w:rsidRPr="00E46005">
              <w:rPr>
                <w:sz w:val="20"/>
              </w:rPr>
              <w:t>19</w:t>
            </w:r>
          </w:p>
        </w:tc>
        <w:tc>
          <w:tcPr>
            <w:tcW w:w="846" w:type="dxa"/>
            <w:tcBorders>
              <w:top w:val="single" w:sz="4" w:space="0" w:color="auto"/>
              <w:left w:val="single" w:sz="4" w:space="0" w:color="auto"/>
              <w:bottom w:val="single" w:sz="4" w:space="0" w:color="auto"/>
              <w:right w:val="single" w:sz="4" w:space="0" w:color="auto"/>
            </w:tcBorders>
            <w:shd w:val="clear" w:color="000000" w:fill="auto"/>
            <w:vAlign w:val="center"/>
          </w:tcPr>
          <w:p w14:paraId="3A030984" w14:textId="77777777" w:rsidR="00B34025" w:rsidRPr="00E46005" w:rsidRDefault="00B34025" w:rsidP="00D07017">
            <w:pPr>
              <w:spacing w:before="40" w:after="40"/>
              <w:jc w:val="center"/>
              <w:rPr>
                <w:sz w:val="20"/>
              </w:rPr>
            </w:pPr>
            <w:r w:rsidRPr="00E46005">
              <w:rPr>
                <w:sz w:val="20"/>
              </w:rPr>
              <w:t>15</w:t>
            </w:r>
          </w:p>
        </w:tc>
        <w:tc>
          <w:tcPr>
            <w:tcW w:w="712" w:type="dxa"/>
            <w:tcBorders>
              <w:top w:val="nil"/>
              <w:left w:val="single" w:sz="4" w:space="0" w:color="auto"/>
              <w:bottom w:val="single" w:sz="4" w:space="0" w:color="auto"/>
              <w:right w:val="single" w:sz="8" w:space="0" w:color="auto"/>
            </w:tcBorders>
            <w:shd w:val="clear" w:color="000000" w:fill="AEAAAA"/>
            <w:noWrap/>
            <w:vAlign w:val="center"/>
            <w:hideMark/>
          </w:tcPr>
          <w:p w14:paraId="2190D32A" w14:textId="77777777" w:rsidR="00B34025" w:rsidRPr="00FB48BF" w:rsidRDefault="00B34025" w:rsidP="00D07017">
            <w:pPr>
              <w:spacing w:before="40" w:after="40"/>
              <w:jc w:val="center"/>
              <w:rPr>
                <w:b/>
                <w:bCs/>
                <w:sz w:val="20"/>
              </w:rPr>
            </w:pPr>
            <w:r>
              <w:rPr>
                <w:b/>
                <w:bCs/>
                <w:sz w:val="20"/>
              </w:rPr>
              <w:t>71</w:t>
            </w:r>
          </w:p>
        </w:tc>
      </w:tr>
      <w:tr w:rsidR="00B34025" w:rsidRPr="00100BB2" w14:paraId="09371750" w14:textId="77777777" w:rsidTr="00B34025">
        <w:trPr>
          <w:trHeight w:val="300"/>
        </w:trPr>
        <w:tc>
          <w:tcPr>
            <w:tcW w:w="2371" w:type="dxa"/>
            <w:tcBorders>
              <w:top w:val="nil"/>
              <w:left w:val="single" w:sz="8" w:space="0" w:color="auto"/>
              <w:bottom w:val="single" w:sz="4" w:space="0" w:color="auto"/>
              <w:right w:val="single" w:sz="4" w:space="0" w:color="auto"/>
            </w:tcBorders>
            <w:shd w:val="clear" w:color="auto" w:fill="auto"/>
            <w:noWrap/>
            <w:vAlign w:val="bottom"/>
            <w:hideMark/>
          </w:tcPr>
          <w:p w14:paraId="776241E7" w14:textId="4832B718" w:rsidR="00B34025" w:rsidRPr="00FB48BF" w:rsidRDefault="00B34025" w:rsidP="00D07017">
            <w:pPr>
              <w:tabs>
                <w:tab w:val="clear" w:pos="567"/>
                <w:tab w:val="left" w:pos="308"/>
              </w:tabs>
              <w:spacing w:before="40" w:after="40"/>
              <w:rPr>
                <w:sz w:val="20"/>
              </w:rPr>
            </w:pPr>
            <w:r w:rsidRPr="00FB48BF">
              <w:rPr>
                <w:sz w:val="20"/>
              </w:rPr>
              <w:tab/>
            </w:r>
            <w:r w:rsidRPr="00B34025">
              <w:rPr>
                <w:sz w:val="20"/>
              </w:rPr>
              <w:t>Retrasadas</w:t>
            </w:r>
          </w:p>
        </w:tc>
        <w:tc>
          <w:tcPr>
            <w:tcW w:w="713" w:type="dxa"/>
            <w:tcBorders>
              <w:top w:val="nil"/>
              <w:left w:val="nil"/>
              <w:bottom w:val="single" w:sz="4" w:space="0" w:color="auto"/>
              <w:right w:val="single" w:sz="4" w:space="0" w:color="auto"/>
            </w:tcBorders>
            <w:shd w:val="clear" w:color="000000" w:fill="FFFFFF"/>
            <w:noWrap/>
            <w:vAlign w:val="center"/>
            <w:hideMark/>
          </w:tcPr>
          <w:p w14:paraId="0F874072" w14:textId="77777777" w:rsidR="00B34025" w:rsidRPr="00FB48BF" w:rsidRDefault="00B34025" w:rsidP="00D07017">
            <w:pPr>
              <w:spacing w:before="40" w:after="40"/>
              <w:jc w:val="center"/>
              <w:rPr>
                <w:sz w:val="20"/>
              </w:rPr>
            </w:pPr>
            <w:r w:rsidRPr="00FB48BF">
              <w:rPr>
                <w:sz w:val="20"/>
              </w:rPr>
              <w:t>3</w:t>
            </w:r>
          </w:p>
        </w:tc>
        <w:tc>
          <w:tcPr>
            <w:tcW w:w="628" w:type="dxa"/>
            <w:tcBorders>
              <w:top w:val="nil"/>
              <w:left w:val="nil"/>
              <w:bottom w:val="single" w:sz="4" w:space="0" w:color="auto"/>
              <w:right w:val="single" w:sz="4" w:space="0" w:color="auto"/>
            </w:tcBorders>
            <w:shd w:val="clear" w:color="auto" w:fill="auto"/>
            <w:noWrap/>
            <w:vAlign w:val="center"/>
            <w:hideMark/>
          </w:tcPr>
          <w:p w14:paraId="52BFFCE7" w14:textId="77777777" w:rsidR="00B34025" w:rsidRPr="00FB48BF" w:rsidRDefault="00B34025" w:rsidP="00D07017">
            <w:pPr>
              <w:spacing w:before="40" w:after="40"/>
              <w:jc w:val="center"/>
              <w:rPr>
                <w:sz w:val="20"/>
              </w:rPr>
            </w:pPr>
            <w:r w:rsidRPr="00FB48BF">
              <w:rPr>
                <w:sz w:val="20"/>
              </w:rPr>
              <w:t>–</w:t>
            </w:r>
          </w:p>
        </w:tc>
        <w:tc>
          <w:tcPr>
            <w:tcW w:w="711" w:type="dxa"/>
            <w:tcBorders>
              <w:top w:val="nil"/>
              <w:left w:val="nil"/>
              <w:bottom w:val="single" w:sz="4" w:space="0" w:color="auto"/>
              <w:right w:val="single" w:sz="4" w:space="0" w:color="auto"/>
            </w:tcBorders>
            <w:shd w:val="clear" w:color="000000" w:fill="FFFFFF"/>
            <w:noWrap/>
            <w:vAlign w:val="center"/>
            <w:hideMark/>
          </w:tcPr>
          <w:p w14:paraId="2A55F932" w14:textId="77777777" w:rsidR="00B34025" w:rsidRPr="00FB48BF" w:rsidRDefault="00B34025" w:rsidP="00D07017">
            <w:pPr>
              <w:spacing w:before="40" w:after="40"/>
              <w:jc w:val="center"/>
              <w:rPr>
                <w:sz w:val="20"/>
              </w:rPr>
            </w:pPr>
            <w:r w:rsidRPr="00FB48BF">
              <w:rPr>
                <w:sz w:val="20"/>
              </w:rPr>
              <w:t>0</w:t>
            </w:r>
          </w:p>
        </w:tc>
        <w:tc>
          <w:tcPr>
            <w:tcW w:w="712" w:type="dxa"/>
            <w:tcBorders>
              <w:top w:val="nil"/>
              <w:left w:val="nil"/>
              <w:bottom w:val="single" w:sz="4" w:space="0" w:color="auto"/>
              <w:right w:val="nil"/>
            </w:tcBorders>
            <w:shd w:val="clear" w:color="000000" w:fill="FFFFFF"/>
            <w:noWrap/>
            <w:vAlign w:val="center"/>
            <w:hideMark/>
          </w:tcPr>
          <w:p w14:paraId="3F45AD62" w14:textId="77777777" w:rsidR="00B34025" w:rsidRPr="00FB48BF" w:rsidRDefault="00B34025" w:rsidP="00D07017">
            <w:pPr>
              <w:spacing w:before="40" w:after="40"/>
              <w:jc w:val="center"/>
              <w:rPr>
                <w:sz w:val="20"/>
              </w:rPr>
            </w:pPr>
            <w:r w:rsidRPr="00FB48BF">
              <w:rPr>
                <w:sz w:val="20"/>
              </w:rPr>
              <w:t>0</w:t>
            </w:r>
          </w:p>
        </w:tc>
        <w:tc>
          <w:tcPr>
            <w:tcW w:w="712" w:type="dxa"/>
            <w:tcBorders>
              <w:top w:val="nil"/>
              <w:left w:val="single" w:sz="4" w:space="0" w:color="auto"/>
              <w:bottom w:val="single" w:sz="4" w:space="0" w:color="auto"/>
              <w:right w:val="nil"/>
            </w:tcBorders>
            <w:shd w:val="clear" w:color="000000" w:fill="FFFFFF"/>
            <w:noWrap/>
            <w:vAlign w:val="center"/>
            <w:hideMark/>
          </w:tcPr>
          <w:p w14:paraId="6F19679C" w14:textId="77777777" w:rsidR="00B34025" w:rsidRPr="00FB48BF" w:rsidRDefault="00B34025" w:rsidP="00D07017">
            <w:pPr>
              <w:spacing w:before="40" w:after="40"/>
              <w:jc w:val="center"/>
              <w:rPr>
                <w:sz w:val="20"/>
              </w:rPr>
            </w:pPr>
            <w:r w:rsidRPr="00FB48BF">
              <w:rPr>
                <w:sz w:val="20"/>
              </w:rPr>
              <w:t>0</w:t>
            </w:r>
          </w:p>
        </w:tc>
        <w:tc>
          <w:tcPr>
            <w:tcW w:w="712" w:type="dxa"/>
            <w:tcBorders>
              <w:top w:val="nil"/>
              <w:left w:val="single" w:sz="4" w:space="0" w:color="auto"/>
              <w:bottom w:val="single" w:sz="4" w:space="0" w:color="auto"/>
              <w:right w:val="nil"/>
            </w:tcBorders>
            <w:shd w:val="clear" w:color="000000" w:fill="FFFFFF"/>
            <w:noWrap/>
            <w:vAlign w:val="center"/>
            <w:hideMark/>
          </w:tcPr>
          <w:p w14:paraId="3CA8B1CD" w14:textId="77777777" w:rsidR="00B34025" w:rsidRPr="00FB48BF" w:rsidRDefault="00B34025" w:rsidP="00D07017">
            <w:pPr>
              <w:spacing w:before="40" w:after="40"/>
              <w:jc w:val="center"/>
              <w:rPr>
                <w:sz w:val="20"/>
              </w:rPr>
            </w:pPr>
            <w:r w:rsidRPr="00FB48BF">
              <w:rPr>
                <w:sz w:val="20"/>
              </w:rPr>
              <w:t>0</w:t>
            </w:r>
          </w:p>
        </w:tc>
        <w:tc>
          <w:tcPr>
            <w:tcW w:w="880" w:type="dxa"/>
            <w:tcBorders>
              <w:top w:val="nil"/>
              <w:left w:val="single" w:sz="4" w:space="0" w:color="auto"/>
              <w:bottom w:val="single" w:sz="4" w:space="0" w:color="auto"/>
              <w:right w:val="nil"/>
            </w:tcBorders>
            <w:shd w:val="clear" w:color="000000" w:fill="FFFFFF"/>
            <w:noWrap/>
            <w:vAlign w:val="center"/>
            <w:hideMark/>
          </w:tcPr>
          <w:p w14:paraId="2EB9CF21" w14:textId="77777777" w:rsidR="00B34025" w:rsidRPr="00FB48BF" w:rsidRDefault="00B34025" w:rsidP="00D07017">
            <w:pPr>
              <w:spacing w:before="40" w:after="40"/>
              <w:jc w:val="center"/>
              <w:rPr>
                <w:sz w:val="20"/>
              </w:rPr>
            </w:pPr>
            <w:r w:rsidRPr="00FB48BF">
              <w:rPr>
                <w:sz w:val="20"/>
              </w:rPr>
              <w:t>0</w:t>
            </w:r>
          </w:p>
        </w:tc>
        <w:tc>
          <w:tcPr>
            <w:tcW w:w="622" w:type="dxa"/>
            <w:tcBorders>
              <w:top w:val="single" w:sz="4" w:space="0" w:color="auto"/>
              <w:left w:val="single" w:sz="4" w:space="0" w:color="auto"/>
              <w:bottom w:val="single" w:sz="4" w:space="0" w:color="auto"/>
              <w:right w:val="single" w:sz="4" w:space="0" w:color="auto"/>
            </w:tcBorders>
            <w:shd w:val="clear" w:color="000000" w:fill="auto"/>
            <w:vAlign w:val="center"/>
          </w:tcPr>
          <w:p w14:paraId="294BEDAC" w14:textId="77777777" w:rsidR="00B34025" w:rsidRPr="00E46005" w:rsidRDefault="00B34025" w:rsidP="00D07017">
            <w:pPr>
              <w:spacing w:before="40" w:after="40"/>
              <w:jc w:val="center"/>
              <w:rPr>
                <w:sz w:val="20"/>
              </w:rPr>
            </w:pPr>
            <w:r w:rsidRPr="00E46005">
              <w:rPr>
                <w:sz w:val="20"/>
              </w:rPr>
              <w:t>1</w:t>
            </w:r>
          </w:p>
        </w:tc>
        <w:tc>
          <w:tcPr>
            <w:tcW w:w="846" w:type="dxa"/>
            <w:tcBorders>
              <w:top w:val="single" w:sz="4" w:space="0" w:color="auto"/>
              <w:left w:val="single" w:sz="4" w:space="0" w:color="auto"/>
              <w:bottom w:val="single" w:sz="4" w:space="0" w:color="auto"/>
              <w:right w:val="single" w:sz="4" w:space="0" w:color="auto"/>
            </w:tcBorders>
            <w:shd w:val="clear" w:color="000000" w:fill="auto"/>
            <w:vAlign w:val="center"/>
          </w:tcPr>
          <w:p w14:paraId="60E99A4D" w14:textId="77777777" w:rsidR="00B34025" w:rsidRPr="00E46005" w:rsidRDefault="00B34025" w:rsidP="00D07017">
            <w:pPr>
              <w:spacing w:before="40" w:after="40"/>
              <w:jc w:val="center"/>
              <w:rPr>
                <w:sz w:val="20"/>
              </w:rPr>
            </w:pPr>
            <w:r w:rsidRPr="00E46005">
              <w:rPr>
                <w:sz w:val="20"/>
              </w:rPr>
              <w:t>0</w:t>
            </w:r>
          </w:p>
        </w:tc>
        <w:tc>
          <w:tcPr>
            <w:tcW w:w="712" w:type="dxa"/>
            <w:tcBorders>
              <w:top w:val="nil"/>
              <w:left w:val="single" w:sz="4" w:space="0" w:color="auto"/>
              <w:bottom w:val="single" w:sz="4" w:space="0" w:color="auto"/>
              <w:right w:val="single" w:sz="8" w:space="0" w:color="auto"/>
            </w:tcBorders>
            <w:shd w:val="clear" w:color="000000" w:fill="AEAAAA"/>
            <w:noWrap/>
            <w:vAlign w:val="center"/>
            <w:hideMark/>
          </w:tcPr>
          <w:p w14:paraId="7CD16C5D" w14:textId="77777777" w:rsidR="00B34025" w:rsidRPr="00FB48BF" w:rsidRDefault="00B34025" w:rsidP="00D07017">
            <w:pPr>
              <w:spacing w:before="40" w:after="40"/>
              <w:jc w:val="center"/>
              <w:rPr>
                <w:b/>
                <w:bCs/>
                <w:sz w:val="20"/>
              </w:rPr>
            </w:pPr>
            <w:r>
              <w:rPr>
                <w:b/>
                <w:bCs/>
                <w:sz w:val="20"/>
              </w:rPr>
              <w:t>4</w:t>
            </w:r>
          </w:p>
        </w:tc>
      </w:tr>
      <w:tr w:rsidR="00B34025" w:rsidRPr="00100BB2" w14:paraId="1BF3A35A" w14:textId="77777777" w:rsidTr="00B34025">
        <w:trPr>
          <w:trHeight w:val="315"/>
        </w:trPr>
        <w:tc>
          <w:tcPr>
            <w:tcW w:w="2371" w:type="dxa"/>
            <w:tcBorders>
              <w:top w:val="nil"/>
              <w:left w:val="single" w:sz="8" w:space="0" w:color="auto"/>
              <w:bottom w:val="single" w:sz="8" w:space="0" w:color="auto"/>
              <w:right w:val="single" w:sz="4" w:space="0" w:color="auto"/>
            </w:tcBorders>
            <w:shd w:val="clear" w:color="auto" w:fill="auto"/>
            <w:noWrap/>
            <w:vAlign w:val="bottom"/>
            <w:hideMark/>
          </w:tcPr>
          <w:p w14:paraId="2185FE5A" w14:textId="2CDDD339" w:rsidR="00B34025" w:rsidRPr="00FB48BF" w:rsidRDefault="00B34025" w:rsidP="00D07017">
            <w:pPr>
              <w:tabs>
                <w:tab w:val="clear" w:pos="567"/>
                <w:tab w:val="left" w:pos="308"/>
              </w:tabs>
              <w:spacing w:before="40" w:after="40"/>
              <w:rPr>
                <w:sz w:val="20"/>
              </w:rPr>
            </w:pPr>
            <w:r w:rsidRPr="00FB48BF">
              <w:rPr>
                <w:sz w:val="20"/>
              </w:rPr>
              <w:tab/>
            </w:r>
            <w:r w:rsidRPr="00B34025">
              <w:rPr>
                <w:sz w:val="20"/>
              </w:rPr>
              <w:t>Cerradas</w:t>
            </w:r>
          </w:p>
        </w:tc>
        <w:tc>
          <w:tcPr>
            <w:tcW w:w="713" w:type="dxa"/>
            <w:tcBorders>
              <w:top w:val="nil"/>
              <w:left w:val="nil"/>
              <w:bottom w:val="single" w:sz="8" w:space="0" w:color="auto"/>
              <w:right w:val="single" w:sz="4" w:space="0" w:color="auto"/>
            </w:tcBorders>
            <w:shd w:val="clear" w:color="000000" w:fill="FFFFFF"/>
            <w:noWrap/>
            <w:vAlign w:val="center"/>
            <w:hideMark/>
          </w:tcPr>
          <w:p w14:paraId="2C7B9591" w14:textId="77777777" w:rsidR="00B34025" w:rsidRPr="00FB48BF" w:rsidRDefault="00B34025" w:rsidP="00D07017">
            <w:pPr>
              <w:spacing w:before="40" w:after="40"/>
              <w:jc w:val="center"/>
              <w:rPr>
                <w:sz w:val="20"/>
              </w:rPr>
            </w:pPr>
            <w:r w:rsidRPr="00FB48BF">
              <w:rPr>
                <w:sz w:val="20"/>
              </w:rPr>
              <w:t>14</w:t>
            </w:r>
          </w:p>
        </w:tc>
        <w:tc>
          <w:tcPr>
            <w:tcW w:w="628" w:type="dxa"/>
            <w:tcBorders>
              <w:top w:val="nil"/>
              <w:left w:val="nil"/>
              <w:bottom w:val="single" w:sz="8" w:space="0" w:color="auto"/>
              <w:right w:val="single" w:sz="4" w:space="0" w:color="auto"/>
            </w:tcBorders>
            <w:shd w:val="clear" w:color="auto" w:fill="auto"/>
            <w:noWrap/>
            <w:vAlign w:val="center"/>
            <w:hideMark/>
          </w:tcPr>
          <w:p w14:paraId="1C25B179" w14:textId="77777777" w:rsidR="00B34025" w:rsidRPr="00FB48BF" w:rsidRDefault="00B34025" w:rsidP="00D07017">
            <w:pPr>
              <w:spacing w:before="40" w:after="40"/>
              <w:jc w:val="center"/>
              <w:rPr>
                <w:sz w:val="20"/>
              </w:rPr>
            </w:pPr>
            <w:r w:rsidRPr="00FB48BF">
              <w:rPr>
                <w:sz w:val="20"/>
              </w:rPr>
              <w:t>–</w:t>
            </w:r>
          </w:p>
        </w:tc>
        <w:tc>
          <w:tcPr>
            <w:tcW w:w="711" w:type="dxa"/>
            <w:tcBorders>
              <w:top w:val="nil"/>
              <w:left w:val="nil"/>
              <w:bottom w:val="single" w:sz="8" w:space="0" w:color="auto"/>
              <w:right w:val="single" w:sz="4" w:space="0" w:color="auto"/>
            </w:tcBorders>
            <w:shd w:val="clear" w:color="000000" w:fill="FFFFFF"/>
            <w:noWrap/>
            <w:vAlign w:val="center"/>
            <w:hideMark/>
          </w:tcPr>
          <w:p w14:paraId="6D16219B" w14:textId="77777777" w:rsidR="00B34025" w:rsidRPr="00FB48BF" w:rsidRDefault="00B34025" w:rsidP="00D07017">
            <w:pPr>
              <w:spacing w:before="40" w:after="40"/>
              <w:jc w:val="center"/>
              <w:rPr>
                <w:sz w:val="20"/>
              </w:rPr>
            </w:pPr>
            <w:r w:rsidRPr="00FB48BF">
              <w:rPr>
                <w:sz w:val="20"/>
              </w:rPr>
              <w:t>10</w:t>
            </w:r>
            <w:r>
              <w:rPr>
                <w:sz w:val="20"/>
              </w:rPr>
              <w:t>8</w:t>
            </w:r>
          </w:p>
        </w:tc>
        <w:tc>
          <w:tcPr>
            <w:tcW w:w="712" w:type="dxa"/>
            <w:tcBorders>
              <w:top w:val="nil"/>
              <w:left w:val="nil"/>
              <w:bottom w:val="single" w:sz="8" w:space="0" w:color="auto"/>
              <w:right w:val="nil"/>
            </w:tcBorders>
            <w:shd w:val="clear" w:color="000000" w:fill="FFFFFF"/>
            <w:noWrap/>
            <w:vAlign w:val="center"/>
            <w:hideMark/>
          </w:tcPr>
          <w:p w14:paraId="05142F6C" w14:textId="77777777" w:rsidR="00B34025" w:rsidRPr="00FB48BF" w:rsidRDefault="00B34025" w:rsidP="00D07017">
            <w:pPr>
              <w:spacing w:before="40" w:after="40"/>
              <w:jc w:val="center"/>
              <w:rPr>
                <w:sz w:val="20"/>
              </w:rPr>
            </w:pPr>
            <w:r w:rsidRPr="00FB48BF">
              <w:rPr>
                <w:sz w:val="20"/>
              </w:rPr>
              <w:t>5</w:t>
            </w:r>
            <w:r>
              <w:rPr>
                <w:sz w:val="20"/>
              </w:rPr>
              <w:t>3</w:t>
            </w:r>
          </w:p>
        </w:tc>
        <w:tc>
          <w:tcPr>
            <w:tcW w:w="712" w:type="dxa"/>
            <w:tcBorders>
              <w:top w:val="nil"/>
              <w:left w:val="single" w:sz="4" w:space="0" w:color="auto"/>
              <w:bottom w:val="single" w:sz="8" w:space="0" w:color="auto"/>
              <w:right w:val="nil"/>
            </w:tcBorders>
            <w:shd w:val="clear" w:color="000000" w:fill="FFFFFF"/>
            <w:noWrap/>
            <w:vAlign w:val="center"/>
            <w:hideMark/>
          </w:tcPr>
          <w:p w14:paraId="726BFC4D" w14:textId="77777777" w:rsidR="00B34025" w:rsidRPr="00FB48BF" w:rsidRDefault="00B34025" w:rsidP="00D07017">
            <w:pPr>
              <w:spacing w:before="40" w:after="40"/>
              <w:jc w:val="center"/>
              <w:rPr>
                <w:sz w:val="20"/>
              </w:rPr>
            </w:pPr>
            <w:r>
              <w:rPr>
                <w:sz w:val="20"/>
              </w:rPr>
              <w:t>30</w:t>
            </w:r>
          </w:p>
        </w:tc>
        <w:tc>
          <w:tcPr>
            <w:tcW w:w="712" w:type="dxa"/>
            <w:tcBorders>
              <w:top w:val="nil"/>
              <w:left w:val="single" w:sz="4" w:space="0" w:color="auto"/>
              <w:bottom w:val="single" w:sz="8" w:space="0" w:color="auto"/>
              <w:right w:val="nil"/>
            </w:tcBorders>
            <w:shd w:val="clear" w:color="000000" w:fill="FFFFFF"/>
            <w:noWrap/>
            <w:vAlign w:val="center"/>
            <w:hideMark/>
          </w:tcPr>
          <w:p w14:paraId="33BB0D69" w14:textId="77777777" w:rsidR="00B34025" w:rsidRPr="00FB48BF" w:rsidRDefault="00B34025" w:rsidP="00D07017">
            <w:pPr>
              <w:spacing w:before="40" w:after="40"/>
              <w:jc w:val="center"/>
              <w:rPr>
                <w:sz w:val="20"/>
              </w:rPr>
            </w:pPr>
            <w:r>
              <w:rPr>
                <w:sz w:val="20"/>
              </w:rPr>
              <w:t>14</w:t>
            </w:r>
          </w:p>
        </w:tc>
        <w:tc>
          <w:tcPr>
            <w:tcW w:w="880" w:type="dxa"/>
            <w:tcBorders>
              <w:top w:val="nil"/>
              <w:left w:val="single" w:sz="4" w:space="0" w:color="auto"/>
              <w:bottom w:val="single" w:sz="8" w:space="0" w:color="auto"/>
              <w:right w:val="nil"/>
            </w:tcBorders>
            <w:shd w:val="clear" w:color="000000" w:fill="FFFFFF"/>
            <w:noWrap/>
            <w:vAlign w:val="center"/>
            <w:hideMark/>
          </w:tcPr>
          <w:p w14:paraId="29FE3D4D" w14:textId="77777777" w:rsidR="00B34025" w:rsidRPr="00FB48BF" w:rsidRDefault="00B34025" w:rsidP="00D07017">
            <w:pPr>
              <w:spacing w:before="40" w:after="40"/>
              <w:jc w:val="center"/>
              <w:rPr>
                <w:sz w:val="20"/>
              </w:rPr>
            </w:pPr>
            <w:r>
              <w:rPr>
                <w:sz w:val="20"/>
              </w:rPr>
              <w:t>12</w:t>
            </w:r>
          </w:p>
        </w:tc>
        <w:tc>
          <w:tcPr>
            <w:tcW w:w="622" w:type="dxa"/>
            <w:tcBorders>
              <w:top w:val="single" w:sz="4" w:space="0" w:color="auto"/>
              <w:left w:val="single" w:sz="4" w:space="0" w:color="auto"/>
              <w:bottom w:val="single" w:sz="8" w:space="0" w:color="auto"/>
              <w:right w:val="single" w:sz="4" w:space="0" w:color="auto"/>
            </w:tcBorders>
            <w:shd w:val="clear" w:color="000000" w:fill="auto"/>
            <w:vAlign w:val="center"/>
          </w:tcPr>
          <w:p w14:paraId="198289BE" w14:textId="77777777" w:rsidR="00B34025" w:rsidRPr="00E46005" w:rsidRDefault="00B34025" w:rsidP="00D07017">
            <w:pPr>
              <w:spacing w:before="40" w:after="40"/>
              <w:jc w:val="center"/>
              <w:rPr>
                <w:sz w:val="20"/>
              </w:rPr>
            </w:pPr>
            <w:r w:rsidRPr="00E46005">
              <w:rPr>
                <w:sz w:val="20"/>
              </w:rPr>
              <w:t>6</w:t>
            </w:r>
          </w:p>
        </w:tc>
        <w:tc>
          <w:tcPr>
            <w:tcW w:w="846" w:type="dxa"/>
            <w:tcBorders>
              <w:top w:val="single" w:sz="4" w:space="0" w:color="auto"/>
              <w:left w:val="single" w:sz="4" w:space="0" w:color="auto"/>
              <w:bottom w:val="single" w:sz="8" w:space="0" w:color="auto"/>
              <w:right w:val="single" w:sz="4" w:space="0" w:color="auto"/>
            </w:tcBorders>
            <w:shd w:val="clear" w:color="000000" w:fill="auto"/>
            <w:vAlign w:val="center"/>
          </w:tcPr>
          <w:p w14:paraId="3FEAFE89" w14:textId="77777777" w:rsidR="00B34025" w:rsidRPr="00E46005" w:rsidRDefault="00B34025" w:rsidP="00D07017">
            <w:pPr>
              <w:spacing w:before="40" w:after="40"/>
              <w:jc w:val="center"/>
              <w:rPr>
                <w:sz w:val="20"/>
              </w:rPr>
            </w:pPr>
            <w:r w:rsidRPr="00E46005">
              <w:rPr>
                <w:sz w:val="20"/>
              </w:rPr>
              <w:t>0</w:t>
            </w:r>
          </w:p>
        </w:tc>
        <w:tc>
          <w:tcPr>
            <w:tcW w:w="712" w:type="dxa"/>
            <w:tcBorders>
              <w:top w:val="nil"/>
              <w:left w:val="single" w:sz="4" w:space="0" w:color="auto"/>
              <w:bottom w:val="single" w:sz="8" w:space="0" w:color="auto"/>
              <w:right w:val="single" w:sz="8" w:space="0" w:color="auto"/>
            </w:tcBorders>
            <w:shd w:val="clear" w:color="000000" w:fill="AEAAAA"/>
            <w:noWrap/>
            <w:vAlign w:val="center"/>
            <w:hideMark/>
          </w:tcPr>
          <w:p w14:paraId="3533B6AC" w14:textId="77777777" w:rsidR="00B34025" w:rsidRPr="00FB48BF" w:rsidRDefault="00B34025" w:rsidP="00D07017">
            <w:pPr>
              <w:spacing w:before="40" w:after="40"/>
              <w:jc w:val="center"/>
              <w:rPr>
                <w:b/>
                <w:bCs/>
                <w:sz w:val="20"/>
              </w:rPr>
            </w:pPr>
            <w:r w:rsidRPr="00FB48BF">
              <w:rPr>
                <w:b/>
                <w:bCs/>
                <w:sz w:val="20"/>
              </w:rPr>
              <w:t>2</w:t>
            </w:r>
            <w:r>
              <w:rPr>
                <w:b/>
                <w:bCs/>
                <w:sz w:val="20"/>
              </w:rPr>
              <w:t>37</w:t>
            </w:r>
          </w:p>
        </w:tc>
      </w:tr>
      <w:tr w:rsidR="00B34025" w:rsidRPr="00100BB2" w14:paraId="2BC008BF" w14:textId="77777777" w:rsidTr="00B34025">
        <w:trPr>
          <w:trHeight w:val="105"/>
        </w:trPr>
        <w:tc>
          <w:tcPr>
            <w:tcW w:w="2371" w:type="dxa"/>
            <w:tcBorders>
              <w:top w:val="nil"/>
              <w:left w:val="single" w:sz="8" w:space="0" w:color="auto"/>
              <w:bottom w:val="nil"/>
              <w:right w:val="nil"/>
            </w:tcBorders>
            <w:shd w:val="clear" w:color="auto" w:fill="auto"/>
            <w:noWrap/>
            <w:vAlign w:val="bottom"/>
            <w:hideMark/>
          </w:tcPr>
          <w:p w14:paraId="6CCE7661" w14:textId="77777777" w:rsidR="00B34025" w:rsidRPr="00FB48BF" w:rsidRDefault="00B34025" w:rsidP="00D07017">
            <w:pPr>
              <w:spacing w:before="40" w:after="40"/>
              <w:rPr>
                <w:sz w:val="20"/>
              </w:rPr>
            </w:pPr>
            <w:r w:rsidRPr="00FB48BF">
              <w:rPr>
                <w:sz w:val="20"/>
              </w:rPr>
              <w:t> </w:t>
            </w:r>
          </w:p>
        </w:tc>
        <w:tc>
          <w:tcPr>
            <w:tcW w:w="713" w:type="dxa"/>
            <w:tcBorders>
              <w:top w:val="nil"/>
              <w:left w:val="nil"/>
              <w:bottom w:val="nil"/>
              <w:right w:val="nil"/>
            </w:tcBorders>
            <w:shd w:val="clear" w:color="000000" w:fill="FFFFFF"/>
            <w:noWrap/>
            <w:vAlign w:val="center"/>
            <w:hideMark/>
          </w:tcPr>
          <w:p w14:paraId="47A05A67" w14:textId="77777777" w:rsidR="00B34025" w:rsidRPr="00FB48BF" w:rsidRDefault="00B34025" w:rsidP="00D07017">
            <w:pPr>
              <w:spacing w:before="40" w:after="40"/>
              <w:jc w:val="center"/>
              <w:rPr>
                <w:sz w:val="20"/>
              </w:rPr>
            </w:pPr>
          </w:p>
        </w:tc>
        <w:tc>
          <w:tcPr>
            <w:tcW w:w="628" w:type="dxa"/>
            <w:tcBorders>
              <w:top w:val="nil"/>
              <w:left w:val="nil"/>
              <w:bottom w:val="nil"/>
              <w:right w:val="nil"/>
            </w:tcBorders>
            <w:shd w:val="clear" w:color="auto" w:fill="auto"/>
            <w:noWrap/>
            <w:vAlign w:val="center"/>
            <w:hideMark/>
          </w:tcPr>
          <w:p w14:paraId="6DB9024C" w14:textId="77777777" w:rsidR="00B34025" w:rsidRPr="00FB48BF" w:rsidRDefault="00B34025" w:rsidP="00D07017">
            <w:pPr>
              <w:spacing w:before="40" w:after="40"/>
              <w:jc w:val="center"/>
              <w:rPr>
                <w:sz w:val="20"/>
              </w:rPr>
            </w:pPr>
          </w:p>
        </w:tc>
        <w:tc>
          <w:tcPr>
            <w:tcW w:w="711" w:type="dxa"/>
            <w:tcBorders>
              <w:top w:val="nil"/>
              <w:left w:val="nil"/>
              <w:bottom w:val="nil"/>
              <w:right w:val="nil"/>
            </w:tcBorders>
            <w:shd w:val="clear" w:color="000000" w:fill="FFFFFF"/>
            <w:noWrap/>
            <w:vAlign w:val="center"/>
            <w:hideMark/>
          </w:tcPr>
          <w:p w14:paraId="6D9A187D" w14:textId="77777777" w:rsidR="00B34025" w:rsidRPr="00FB48BF" w:rsidRDefault="00B34025" w:rsidP="00D07017">
            <w:pPr>
              <w:spacing w:before="40" w:after="40"/>
              <w:jc w:val="center"/>
              <w:rPr>
                <w:sz w:val="20"/>
              </w:rPr>
            </w:pPr>
          </w:p>
        </w:tc>
        <w:tc>
          <w:tcPr>
            <w:tcW w:w="712" w:type="dxa"/>
            <w:tcBorders>
              <w:top w:val="nil"/>
              <w:left w:val="nil"/>
              <w:bottom w:val="nil"/>
              <w:right w:val="nil"/>
            </w:tcBorders>
            <w:shd w:val="clear" w:color="000000" w:fill="FFFFFF"/>
            <w:noWrap/>
            <w:vAlign w:val="center"/>
            <w:hideMark/>
          </w:tcPr>
          <w:p w14:paraId="4BAA6F6B" w14:textId="77777777" w:rsidR="00B34025" w:rsidRPr="00FB48BF" w:rsidRDefault="00B34025" w:rsidP="00D07017">
            <w:pPr>
              <w:spacing w:before="40" w:after="40"/>
              <w:jc w:val="center"/>
              <w:rPr>
                <w:sz w:val="20"/>
              </w:rPr>
            </w:pPr>
          </w:p>
        </w:tc>
        <w:tc>
          <w:tcPr>
            <w:tcW w:w="712" w:type="dxa"/>
            <w:tcBorders>
              <w:top w:val="nil"/>
              <w:left w:val="nil"/>
              <w:bottom w:val="nil"/>
              <w:right w:val="nil"/>
            </w:tcBorders>
            <w:shd w:val="clear" w:color="000000" w:fill="FFFFFF"/>
            <w:noWrap/>
            <w:vAlign w:val="center"/>
            <w:hideMark/>
          </w:tcPr>
          <w:p w14:paraId="64812706" w14:textId="77777777" w:rsidR="00B34025" w:rsidRPr="00FB48BF" w:rsidRDefault="00B34025" w:rsidP="00D07017">
            <w:pPr>
              <w:spacing w:before="40" w:after="40"/>
              <w:jc w:val="center"/>
              <w:rPr>
                <w:sz w:val="20"/>
              </w:rPr>
            </w:pPr>
          </w:p>
        </w:tc>
        <w:tc>
          <w:tcPr>
            <w:tcW w:w="712" w:type="dxa"/>
            <w:tcBorders>
              <w:top w:val="nil"/>
              <w:left w:val="nil"/>
              <w:bottom w:val="nil"/>
              <w:right w:val="nil"/>
            </w:tcBorders>
            <w:shd w:val="clear" w:color="000000" w:fill="FFFFFF"/>
            <w:noWrap/>
            <w:vAlign w:val="center"/>
            <w:hideMark/>
          </w:tcPr>
          <w:p w14:paraId="49C2F223" w14:textId="77777777" w:rsidR="00B34025" w:rsidRPr="00FB48BF" w:rsidRDefault="00B34025" w:rsidP="00D07017">
            <w:pPr>
              <w:spacing w:before="40" w:after="40"/>
              <w:jc w:val="center"/>
              <w:rPr>
                <w:sz w:val="20"/>
              </w:rPr>
            </w:pPr>
          </w:p>
        </w:tc>
        <w:tc>
          <w:tcPr>
            <w:tcW w:w="880" w:type="dxa"/>
            <w:tcBorders>
              <w:top w:val="nil"/>
              <w:left w:val="nil"/>
              <w:bottom w:val="nil"/>
              <w:right w:val="nil"/>
            </w:tcBorders>
            <w:shd w:val="clear" w:color="000000" w:fill="FFFFFF"/>
            <w:noWrap/>
            <w:vAlign w:val="center"/>
            <w:hideMark/>
          </w:tcPr>
          <w:p w14:paraId="56D00434" w14:textId="77777777" w:rsidR="00B34025" w:rsidRPr="00FB48BF" w:rsidRDefault="00B34025" w:rsidP="00D07017">
            <w:pPr>
              <w:spacing w:before="40" w:after="40"/>
              <w:jc w:val="center"/>
              <w:rPr>
                <w:sz w:val="20"/>
              </w:rPr>
            </w:pPr>
          </w:p>
        </w:tc>
        <w:tc>
          <w:tcPr>
            <w:tcW w:w="622" w:type="dxa"/>
            <w:tcBorders>
              <w:top w:val="nil"/>
              <w:left w:val="nil"/>
              <w:bottom w:val="nil"/>
              <w:right w:val="nil"/>
            </w:tcBorders>
            <w:shd w:val="clear" w:color="000000" w:fill="FFFFFF"/>
            <w:vAlign w:val="center"/>
          </w:tcPr>
          <w:p w14:paraId="053E106B" w14:textId="77777777" w:rsidR="00B34025" w:rsidRPr="00E46005" w:rsidRDefault="00B34025" w:rsidP="00D07017">
            <w:pPr>
              <w:spacing w:before="40" w:after="40"/>
              <w:jc w:val="center"/>
              <w:rPr>
                <w:sz w:val="20"/>
              </w:rPr>
            </w:pPr>
          </w:p>
        </w:tc>
        <w:tc>
          <w:tcPr>
            <w:tcW w:w="846" w:type="dxa"/>
            <w:tcBorders>
              <w:top w:val="nil"/>
              <w:left w:val="nil"/>
              <w:bottom w:val="nil"/>
              <w:right w:val="nil"/>
            </w:tcBorders>
            <w:shd w:val="clear" w:color="000000" w:fill="FFFFFF"/>
            <w:vAlign w:val="center"/>
          </w:tcPr>
          <w:p w14:paraId="39087DF6" w14:textId="77777777" w:rsidR="00B34025" w:rsidRPr="00E46005" w:rsidRDefault="00B34025" w:rsidP="00D07017">
            <w:pPr>
              <w:spacing w:before="40" w:after="40"/>
              <w:jc w:val="center"/>
              <w:rPr>
                <w:sz w:val="20"/>
              </w:rPr>
            </w:pPr>
          </w:p>
        </w:tc>
        <w:tc>
          <w:tcPr>
            <w:tcW w:w="712" w:type="dxa"/>
            <w:tcBorders>
              <w:top w:val="nil"/>
              <w:left w:val="nil"/>
              <w:bottom w:val="nil"/>
              <w:right w:val="single" w:sz="8" w:space="0" w:color="auto"/>
            </w:tcBorders>
            <w:shd w:val="clear" w:color="000000" w:fill="FFFFFF"/>
            <w:noWrap/>
            <w:vAlign w:val="center"/>
            <w:hideMark/>
          </w:tcPr>
          <w:p w14:paraId="15D51CD6" w14:textId="77777777" w:rsidR="00B34025" w:rsidRPr="00FB48BF" w:rsidRDefault="00B34025" w:rsidP="00D07017">
            <w:pPr>
              <w:spacing w:before="40" w:after="40"/>
              <w:jc w:val="center"/>
              <w:rPr>
                <w:b/>
                <w:bCs/>
                <w:sz w:val="20"/>
              </w:rPr>
            </w:pPr>
          </w:p>
        </w:tc>
      </w:tr>
      <w:tr w:rsidR="00B34025" w:rsidRPr="00100BB2" w14:paraId="40CF54EF" w14:textId="77777777" w:rsidTr="00B34025">
        <w:trPr>
          <w:trHeight w:val="315"/>
        </w:trPr>
        <w:tc>
          <w:tcPr>
            <w:tcW w:w="237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11C5A69" w14:textId="72A0D94E" w:rsidR="00B34025" w:rsidRPr="00FB48BF" w:rsidRDefault="00B34025" w:rsidP="00D07017">
            <w:pPr>
              <w:spacing w:before="40" w:after="40"/>
              <w:rPr>
                <w:sz w:val="20"/>
              </w:rPr>
            </w:pPr>
            <w:r w:rsidRPr="00B34025">
              <w:rPr>
                <w:sz w:val="20"/>
              </w:rPr>
              <w:t>% de recomendaciones en preparación</w:t>
            </w:r>
          </w:p>
        </w:tc>
        <w:tc>
          <w:tcPr>
            <w:tcW w:w="713" w:type="dxa"/>
            <w:tcBorders>
              <w:top w:val="single" w:sz="8" w:space="0" w:color="auto"/>
              <w:left w:val="nil"/>
              <w:bottom w:val="single" w:sz="8" w:space="0" w:color="auto"/>
              <w:right w:val="single" w:sz="4" w:space="0" w:color="auto"/>
            </w:tcBorders>
            <w:shd w:val="clear" w:color="auto" w:fill="auto"/>
            <w:noWrap/>
            <w:vAlign w:val="center"/>
            <w:hideMark/>
          </w:tcPr>
          <w:p w14:paraId="37C52B83" w14:textId="77777777" w:rsidR="00B34025" w:rsidRPr="00FB48BF" w:rsidRDefault="00B34025" w:rsidP="00D07017">
            <w:pPr>
              <w:spacing w:before="40" w:after="40"/>
              <w:jc w:val="center"/>
              <w:rPr>
                <w:sz w:val="20"/>
              </w:rPr>
            </w:pPr>
            <w:r w:rsidRPr="00FB48BF">
              <w:rPr>
                <w:sz w:val="20"/>
              </w:rPr>
              <w:t>0%</w:t>
            </w:r>
          </w:p>
        </w:tc>
        <w:tc>
          <w:tcPr>
            <w:tcW w:w="628" w:type="dxa"/>
            <w:tcBorders>
              <w:top w:val="single" w:sz="8" w:space="0" w:color="auto"/>
              <w:left w:val="nil"/>
              <w:bottom w:val="single" w:sz="8" w:space="0" w:color="auto"/>
              <w:right w:val="single" w:sz="4" w:space="0" w:color="auto"/>
            </w:tcBorders>
            <w:shd w:val="clear" w:color="auto" w:fill="auto"/>
            <w:noWrap/>
            <w:vAlign w:val="center"/>
            <w:hideMark/>
          </w:tcPr>
          <w:p w14:paraId="2223115E" w14:textId="77777777" w:rsidR="00B34025" w:rsidRPr="00FB48BF" w:rsidRDefault="00B34025" w:rsidP="00D07017">
            <w:pPr>
              <w:spacing w:before="40" w:after="40"/>
              <w:jc w:val="center"/>
              <w:rPr>
                <w:sz w:val="20"/>
              </w:rPr>
            </w:pPr>
            <w:r w:rsidRPr="00FB48BF">
              <w:rPr>
                <w:sz w:val="20"/>
              </w:rPr>
              <w:t>–</w:t>
            </w:r>
          </w:p>
        </w:tc>
        <w:tc>
          <w:tcPr>
            <w:tcW w:w="711" w:type="dxa"/>
            <w:tcBorders>
              <w:top w:val="single" w:sz="8" w:space="0" w:color="auto"/>
              <w:left w:val="nil"/>
              <w:bottom w:val="single" w:sz="8" w:space="0" w:color="auto"/>
              <w:right w:val="single" w:sz="4" w:space="0" w:color="auto"/>
            </w:tcBorders>
            <w:shd w:val="clear" w:color="auto" w:fill="auto"/>
            <w:noWrap/>
            <w:vAlign w:val="center"/>
            <w:hideMark/>
          </w:tcPr>
          <w:p w14:paraId="365DFABF" w14:textId="77777777" w:rsidR="00B34025" w:rsidRPr="00FB48BF" w:rsidRDefault="00B34025" w:rsidP="00D07017">
            <w:pPr>
              <w:spacing w:before="40" w:after="40"/>
              <w:jc w:val="center"/>
              <w:rPr>
                <w:sz w:val="20"/>
              </w:rPr>
            </w:pPr>
            <w:r>
              <w:rPr>
                <w:sz w:val="20"/>
              </w:rPr>
              <w:t>4</w:t>
            </w:r>
            <w:r w:rsidRPr="00FB48BF">
              <w:rPr>
                <w:sz w:val="20"/>
              </w:rPr>
              <w:t>%</w:t>
            </w:r>
          </w:p>
        </w:tc>
        <w:tc>
          <w:tcPr>
            <w:tcW w:w="712" w:type="dxa"/>
            <w:tcBorders>
              <w:top w:val="single" w:sz="8" w:space="0" w:color="auto"/>
              <w:left w:val="nil"/>
              <w:bottom w:val="single" w:sz="8" w:space="0" w:color="auto"/>
              <w:right w:val="single" w:sz="4" w:space="0" w:color="auto"/>
            </w:tcBorders>
            <w:shd w:val="clear" w:color="auto" w:fill="auto"/>
            <w:noWrap/>
            <w:vAlign w:val="center"/>
            <w:hideMark/>
          </w:tcPr>
          <w:p w14:paraId="4E6942AF" w14:textId="77777777" w:rsidR="00B34025" w:rsidRPr="00FB48BF" w:rsidRDefault="00B34025" w:rsidP="00D07017">
            <w:pPr>
              <w:spacing w:before="40" w:after="40"/>
              <w:jc w:val="center"/>
              <w:rPr>
                <w:sz w:val="20"/>
              </w:rPr>
            </w:pPr>
            <w:r>
              <w:rPr>
                <w:sz w:val="20"/>
              </w:rPr>
              <w:t>4</w:t>
            </w:r>
            <w:r w:rsidRPr="00FB48BF">
              <w:rPr>
                <w:sz w:val="20"/>
              </w:rPr>
              <w:t>%</w:t>
            </w:r>
          </w:p>
        </w:tc>
        <w:tc>
          <w:tcPr>
            <w:tcW w:w="712" w:type="dxa"/>
            <w:tcBorders>
              <w:top w:val="single" w:sz="8" w:space="0" w:color="auto"/>
              <w:left w:val="nil"/>
              <w:bottom w:val="single" w:sz="8" w:space="0" w:color="auto"/>
              <w:right w:val="single" w:sz="4" w:space="0" w:color="auto"/>
            </w:tcBorders>
            <w:shd w:val="clear" w:color="auto" w:fill="auto"/>
            <w:noWrap/>
            <w:vAlign w:val="center"/>
            <w:hideMark/>
          </w:tcPr>
          <w:p w14:paraId="3730107C" w14:textId="77777777" w:rsidR="00B34025" w:rsidRPr="00FB48BF" w:rsidRDefault="00B34025" w:rsidP="00D07017">
            <w:pPr>
              <w:spacing w:before="40" w:after="40"/>
              <w:jc w:val="center"/>
              <w:rPr>
                <w:sz w:val="20"/>
              </w:rPr>
            </w:pPr>
            <w:r>
              <w:rPr>
                <w:sz w:val="20"/>
              </w:rPr>
              <w:t>12</w:t>
            </w:r>
            <w:r w:rsidRPr="00FB48BF">
              <w:rPr>
                <w:sz w:val="20"/>
              </w:rPr>
              <w:t>%</w:t>
            </w:r>
          </w:p>
        </w:tc>
        <w:tc>
          <w:tcPr>
            <w:tcW w:w="712" w:type="dxa"/>
            <w:tcBorders>
              <w:top w:val="single" w:sz="8" w:space="0" w:color="auto"/>
              <w:left w:val="nil"/>
              <w:bottom w:val="single" w:sz="8" w:space="0" w:color="auto"/>
              <w:right w:val="single" w:sz="4" w:space="0" w:color="auto"/>
            </w:tcBorders>
            <w:shd w:val="clear" w:color="auto" w:fill="auto"/>
            <w:noWrap/>
            <w:vAlign w:val="center"/>
            <w:hideMark/>
          </w:tcPr>
          <w:p w14:paraId="49F547E1" w14:textId="77777777" w:rsidR="00B34025" w:rsidRPr="00FB48BF" w:rsidRDefault="00B34025" w:rsidP="00D07017">
            <w:pPr>
              <w:spacing w:before="40" w:after="40"/>
              <w:jc w:val="center"/>
              <w:rPr>
                <w:sz w:val="20"/>
              </w:rPr>
            </w:pPr>
            <w:r>
              <w:rPr>
                <w:sz w:val="20"/>
              </w:rPr>
              <w:t>36</w:t>
            </w:r>
            <w:r w:rsidRPr="00FB48BF">
              <w:rPr>
                <w:sz w:val="20"/>
              </w:rPr>
              <w:t>%</w:t>
            </w:r>
          </w:p>
        </w:tc>
        <w:tc>
          <w:tcPr>
            <w:tcW w:w="880" w:type="dxa"/>
            <w:tcBorders>
              <w:top w:val="single" w:sz="8" w:space="0" w:color="auto"/>
              <w:left w:val="nil"/>
              <w:bottom w:val="single" w:sz="8" w:space="0" w:color="auto"/>
              <w:right w:val="nil"/>
            </w:tcBorders>
            <w:shd w:val="clear" w:color="auto" w:fill="auto"/>
            <w:noWrap/>
            <w:vAlign w:val="center"/>
            <w:hideMark/>
          </w:tcPr>
          <w:p w14:paraId="61D34C9E" w14:textId="77777777" w:rsidR="00B34025" w:rsidRPr="00FB48BF" w:rsidRDefault="00B34025" w:rsidP="00D07017">
            <w:pPr>
              <w:spacing w:before="40" w:after="40"/>
              <w:jc w:val="center"/>
              <w:rPr>
                <w:sz w:val="20"/>
              </w:rPr>
            </w:pPr>
            <w:r>
              <w:rPr>
                <w:sz w:val="20"/>
              </w:rPr>
              <w:t>6</w:t>
            </w:r>
            <w:r w:rsidRPr="00FB48BF">
              <w:rPr>
                <w:sz w:val="20"/>
              </w:rPr>
              <w:t>0%</w:t>
            </w:r>
          </w:p>
        </w:tc>
        <w:tc>
          <w:tcPr>
            <w:tcW w:w="622" w:type="dxa"/>
            <w:tcBorders>
              <w:top w:val="single" w:sz="8" w:space="0" w:color="auto"/>
              <w:left w:val="single" w:sz="4" w:space="0" w:color="auto"/>
              <w:bottom w:val="single" w:sz="8" w:space="0" w:color="auto"/>
              <w:right w:val="single" w:sz="4" w:space="0" w:color="auto"/>
            </w:tcBorders>
            <w:vAlign w:val="center"/>
          </w:tcPr>
          <w:p w14:paraId="022F26FD" w14:textId="77777777" w:rsidR="00B34025" w:rsidRPr="00E46005" w:rsidRDefault="00B34025" w:rsidP="00D07017">
            <w:pPr>
              <w:spacing w:before="40" w:after="40"/>
              <w:jc w:val="center"/>
              <w:rPr>
                <w:sz w:val="20"/>
              </w:rPr>
            </w:pPr>
            <w:r w:rsidRPr="00E46005">
              <w:rPr>
                <w:sz w:val="20"/>
              </w:rPr>
              <w:t>73%</w:t>
            </w:r>
          </w:p>
        </w:tc>
        <w:tc>
          <w:tcPr>
            <w:tcW w:w="846" w:type="dxa"/>
            <w:tcBorders>
              <w:top w:val="single" w:sz="8" w:space="0" w:color="auto"/>
              <w:left w:val="single" w:sz="4" w:space="0" w:color="auto"/>
              <w:bottom w:val="single" w:sz="8" w:space="0" w:color="auto"/>
              <w:right w:val="single" w:sz="4" w:space="0" w:color="auto"/>
            </w:tcBorders>
            <w:vAlign w:val="center"/>
          </w:tcPr>
          <w:p w14:paraId="65F7665D" w14:textId="77777777" w:rsidR="00B34025" w:rsidRPr="00E46005" w:rsidRDefault="00B34025" w:rsidP="00D07017">
            <w:pPr>
              <w:spacing w:before="40" w:after="40"/>
              <w:jc w:val="center"/>
              <w:rPr>
                <w:sz w:val="20"/>
              </w:rPr>
            </w:pPr>
            <w:r w:rsidRPr="00E46005">
              <w:rPr>
                <w:sz w:val="20"/>
              </w:rPr>
              <w:t>100%</w:t>
            </w:r>
          </w:p>
        </w:tc>
        <w:tc>
          <w:tcPr>
            <w:tcW w:w="712" w:type="dxa"/>
            <w:tcBorders>
              <w:top w:val="single" w:sz="8" w:space="0" w:color="auto"/>
              <w:left w:val="single" w:sz="4" w:space="0" w:color="auto"/>
              <w:bottom w:val="single" w:sz="8" w:space="0" w:color="auto"/>
              <w:right w:val="single" w:sz="8" w:space="0" w:color="auto"/>
            </w:tcBorders>
            <w:shd w:val="clear" w:color="000000" w:fill="AEAAAA"/>
            <w:noWrap/>
            <w:vAlign w:val="center"/>
            <w:hideMark/>
          </w:tcPr>
          <w:p w14:paraId="5F1EEF4D" w14:textId="77777777" w:rsidR="00B34025" w:rsidRPr="00FB48BF" w:rsidRDefault="00B34025" w:rsidP="00D07017">
            <w:pPr>
              <w:spacing w:before="40" w:after="40"/>
              <w:jc w:val="center"/>
              <w:rPr>
                <w:b/>
                <w:bCs/>
                <w:sz w:val="20"/>
              </w:rPr>
            </w:pPr>
            <w:r w:rsidRPr="00FB48BF">
              <w:rPr>
                <w:b/>
                <w:bCs/>
                <w:sz w:val="20"/>
              </w:rPr>
              <w:t>23%</w:t>
            </w:r>
          </w:p>
        </w:tc>
      </w:tr>
      <w:tr w:rsidR="00B34025" w:rsidRPr="00100BB2" w14:paraId="169029FD" w14:textId="77777777" w:rsidTr="00B34025">
        <w:trPr>
          <w:trHeight w:val="315"/>
        </w:trPr>
        <w:tc>
          <w:tcPr>
            <w:tcW w:w="2371" w:type="dxa"/>
            <w:tcBorders>
              <w:top w:val="nil"/>
              <w:left w:val="single" w:sz="8" w:space="0" w:color="auto"/>
              <w:bottom w:val="single" w:sz="8" w:space="0" w:color="auto"/>
              <w:right w:val="single" w:sz="4" w:space="0" w:color="auto"/>
            </w:tcBorders>
            <w:shd w:val="clear" w:color="auto" w:fill="auto"/>
            <w:noWrap/>
            <w:vAlign w:val="bottom"/>
            <w:hideMark/>
          </w:tcPr>
          <w:p w14:paraId="6CFA273E" w14:textId="261B08C8" w:rsidR="00B34025" w:rsidRPr="00FB48BF" w:rsidRDefault="00B34025" w:rsidP="00D07017">
            <w:pPr>
              <w:spacing w:before="40" w:after="40"/>
              <w:rPr>
                <w:sz w:val="20"/>
              </w:rPr>
            </w:pPr>
            <w:r w:rsidRPr="00B34025">
              <w:rPr>
                <w:sz w:val="20"/>
              </w:rPr>
              <w:t>% de recomendaciones retrasadas</w:t>
            </w:r>
          </w:p>
        </w:tc>
        <w:tc>
          <w:tcPr>
            <w:tcW w:w="713" w:type="dxa"/>
            <w:tcBorders>
              <w:top w:val="nil"/>
              <w:left w:val="nil"/>
              <w:bottom w:val="single" w:sz="8" w:space="0" w:color="auto"/>
              <w:right w:val="single" w:sz="4" w:space="0" w:color="auto"/>
            </w:tcBorders>
            <w:shd w:val="clear" w:color="auto" w:fill="auto"/>
            <w:noWrap/>
            <w:vAlign w:val="center"/>
            <w:hideMark/>
          </w:tcPr>
          <w:p w14:paraId="53C06E3B" w14:textId="77777777" w:rsidR="00B34025" w:rsidRPr="00FB48BF" w:rsidRDefault="00B34025" w:rsidP="00D07017">
            <w:pPr>
              <w:spacing w:before="40" w:after="40"/>
              <w:jc w:val="center"/>
              <w:rPr>
                <w:sz w:val="20"/>
              </w:rPr>
            </w:pPr>
            <w:r w:rsidRPr="00FB48BF">
              <w:rPr>
                <w:sz w:val="20"/>
              </w:rPr>
              <w:t>18%</w:t>
            </w:r>
          </w:p>
        </w:tc>
        <w:tc>
          <w:tcPr>
            <w:tcW w:w="628" w:type="dxa"/>
            <w:tcBorders>
              <w:top w:val="nil"/>
              <w:left w:val="nil"/>
              <w:bottom w:val="single" w:sz="8" w:space="0" w:color="auto"/>
              <w:right w:val="single" w:sz="4" w:space="0" w:color="auto"/>
            </w:tcBorders>
            <w:shd w:val="clear" w:color="auto" w:fill="auto"/>
            <w:noWrap/>
            <w:vAlign w:val="center"/>
            <w:hideMark/>
          </w:tcPr>
          <w:p w14:paraId="1851BF41" w14:textId="77777777" w:rsidR="00B34025" w:rsidRPr="00FB48BF" w:rsidRDefault="00B34025" w:rsidP="00D07017">
            <w:pPr>
              <w:spacing w:before="40" w:after="40"/>
              <w:jc w:val="center"/>
              <w:rPr>
                <w:sz w:val="20"/>
              </w:rPr>
            </w:pPr>
            <w:r w:rsidRPr="00FB48BF">
              <w:rPr>
                <w:sz w:val="20"/>
              </w:rPr>
              <w:t>–</w:t>
            </w:r>
          </w:p>
        </w:tc>
        <w:tc>
          <w:tcPr>
            <w:tcW w:w="711" w:type="dxa"/>
            <w:tcBorders>
              <w:top w:val="nil"/>
              <w:left w:val="nil"/>
              <w:bottom w:val="single" w:sz="8" w:space="0" w:color="auto"/>
              <w:right w:val="single" w:sz="4" w:space="0" w:color="auto"/>
            </w:tcBorders>
            <w:shd w:val="clear" w:color="000000" w:fill="FFFFFF"/>
            <w:noWrap/>
            <w:vAlign w:val="center"/>
            <w:hideMark/>
          </w:tcPr>
          <w:p w14:paraId="1322D0B8" w14:textId="77777777" w:rsidR="00B34025" w:rsidRPr="00FB48BF" w:rsidRDefault="00B34025" w:rsidP="00D07017">
            <w:pPr>
              <w:spacing w:before="40" w:after="40"/>
              <w:jc w:val="center"/>
              <w:rPr>
                <w:sz w:val="20"/>
              </w:rPr>
            </w:pPr>
            <w:r w:rsidRPr="00FB48BF">
              <w:rPr>
                <w:sz w:val="20"/>
              </w:rPr>
              <w:t>0%</w:t>
            </w:r>
          </w:p>
        </w:tc>
        <w:tc>
          <w:tcPr>
            <w:tcW w:w="712" w:type="dxa"/>
            <w:tcBorders>
              <w:top w:val="nil"/>
              <w:left w:val="nil"/>
              <w:bottom w:val="single" w:sz="8" w:space="0" w:color="auto"/>
              <w:right w:val="single" w:sz="4" w:space="0" w:color="auto"/>
            </w:tcBorders>
            <w:shd w:val="clear" w:color="000000" w:fill="FFFFFF"/>
            <w:noWrap/>
            <w:vAlign w:val="center"/>
            <w:hideMark/>
          </w:tcPr>
          <w:p w14:paraId="39ADEDD9" w14:textId="77777777" w:rsidR="00B34025" w:rsidRPr="00FB48BF" w:rsidRDefault="00B34025" w:rsidP="00D07017">
            <w:pPr>
              <w:spacing w:before="40" w:after="40"/>
              <w:jc w:val="center"/>
              <w:rPr>
                <w:sz w:val="20"/>
              </w:rPr>
            </w:pPr>
            <w:r w:rsidRPr="00FB48BF">
              <w:rPr>
                <w:sz w:val="20"/>
              </w:rPr>
              <w:t>0%</w:t>
            </w:r>
          </w:p>
        </w:tc>
        <w:tc>
          <w:tcPr>
            <w:tcW w:w="712" w:type="dxa"/>
            <w:tcBorders>
              <w:top w:val="nil"/>
              <w:left w:val="nil"/>
              <w:bottom w:val="single" w:sz="8" w:space="0" w:color="auto"/>
              <w:right w:val="single" w:sz="4" w:space="0" w:color="auto"/>
            </w:tcBorders>
            <w:shd w:val="clear" w:color="auto" w:fill="auto"/>
            <w:noWrap/>
            <w:vAlign w:val="center"/>
            <w:hideMark/>
          </w:tcPr>
          <w:p w14:paraId="608A70DA" w14:textId="77777777" w:rsidR="00B34025" w:rsidRPr="00FB48BF" w:rsidRDefault="00B34025" w:rsidP="00D07017">
            <w:pPr>
              <w:spacing w:before="40" w:after="40"/>
              <w:jc w:val="center"/>
              <w:rPr>
                <w:sz w:val="20"/>
              </w:rPr>
            </w:pPr>
            <w:r w:rsidRPr="00FB48BF">
              <w:rPr>
                <w:sz w:val="20"/>
              </w:rPr>
              <w:t>0%</w:t>
            </w:r>
          </w:p>
        </w:tc>
        <w:tc>
          <w:tcPr>
            <w:tcW w:w="712" w:type="dxa"/>
            <w:tcBorders>
              <w:top w:val="nil"/>
              <w:left w:val="nil"/>
              <w:bottom w:val="single" w:sz="8" w:space="0" w:color="auto"/>
              <w:right w:val="single" w:sz="4" w:space="0" w:color="auto"/>
            </w:tcBorders>
            <w:shd w:val="clear" w:color="auto" w:fill="auto"/>
            <w:noWrap/>
            <w:vAlign w:val="center"/>
            <w:hideMark/>
          </w:tcPr>
          <w:p w14:paraId="3A183EED" w14:textId="77777777" w:rsidR="00B34025" w:rsidRPr="00FB48BF" w:rsidRDefault="00B34025" w:rsidP="00D07017">
            <w:pPr>
              <w:spacing w:before="40" w:after="40"/>
              <w:jc w:val="center"/>
              <w:rPr>
                <w:sz w:val="20"/>
              </w:rPr>
            </w:pPr>
            <w:r w:rsidRPr="00FB48BF">
              <w:rPr>
                <w:sz w:val="20"/>
              </w:rPr>
              <w:t>0%</w:t>
            </w:r>
          </w:p>
        </w:tc>
        <w:tc>
          <w:tcPr>
            <w:tcW w:w="880" w:type="dxa"/>
            <w:tcBorders>
              <w:top w:val="nil"/>
              <w:left w:val="nil"/>
              <w:bottom w:val="single" w:sz="8" w:space="0" w:color="auto"/>
              <w:right w:val="nil"/>
            </w:tcBorders>
            <w:shd w:val="clear" w:color="auto" w:fill="auto"/>
            <w:noWrap/>
            <w:vAlign w:val="center"/>
            <w:hideMark/>
          </w:tcPr>
          <w:p w14:paraId="4F32DADF" w14:textId="77777777" w:rsidR="00B34025" w:rsidRPr="00FB48BF" w:rsidRDefault="00B34025" w:rsidP="00D07017">
            <w:pPr>
              <w:spacing w:before="40" w:after="40"/>
              <w:jc w:val="center"/>
              <w:rPr>
                <w:sz w:val="20"/>
              </w:rPr>
            </w:pPr>
            <w:r w:rsidRPr="00FB48BF">
              <w:rPr>
                <w:sz w:val="20"/>
              </w:rPr>
              <w:t>0%</w:t>
            </w:r>
          </w:p>
        </w:tc>
        <w:tc>
          <w:tcPr>
            <w:tcW w:w="622" w:type="dxa"/>
            <w:tcBorders>
              <w:top w:val="nil"/>
              <w:left w:val="single" w:sz="4" w:space="0" w:color="auto"/>
              <w:bottom w:val="single" w:sz="8" w:space="0" w:color="auto"/>
              <w:right w:val="single" w:sz="4" w:space="0" w:color="auto"/>
            </w:tcBorders>
            <w:vAlign w:val="center"/>
          </w:tcPr>
          <w:p w14:paraId="6D036F81" w14:textId="77777777" w:rsidR="00B34025" w:rsidRPr="00FB48BF" w:rsidRDefault="00B34025" w:rsidP="00D07017">
            <w:pPr>
              <w:spacing w:before="40" w:after="40"/>
              <w:jc w:val="center"/>
              <w:rPr>
                <w:sz w:val="20"/>
              </w:rPr>
            </w:pPr>
            <w:r>
              <w:rPr>
                <w:sz w:val="20"/>
              </w:rPr>
              <w:t>4%</w:t>
            </w:r>
          </w:p>
        </w:tc>
        <w:tc>
          <w:tcPr>
            <w:tcW w:w="846" w:type="dxa"/>
            <w:tcBorders>
              <w:top w:val="nil"/>
              <w:left w:val="single" w:sz="4" w:space="0" w:color="auto"/>
              <w:bottom w:val="single" w:sz="8" w:space="0" w:color="auto"/>
              <w:right w:val="single" w:sz="4" w:space="0" w:color="auto"/>
            </w:tcBorders>
            <w:vAlign w:val="center"/>
          </w:tcPr>
          <w:p w14:paraId="37D9A78B" w14:textId="77777777" w:rsidR="00B34025" w:rsidRPr="00FB48BF" w:rsidRDefault="00B34025" w:rsidP="00D07017">
            <w:pPr>
              <w:spacing w:before="40" w:after="40"/>
              <w:jc w:val="center"/>
              <w:rPr>
                <w:sz w:val="20"/>
              </w:rPr>
            </w:pPr>
            <w:r>
              <w:rPr>
                <w:sz w:val="20"/>
              </w:rPr>
              <w:t>0%</w:t>
            </w:r>
          </w:p>
        </w:tc>
        <w:tc>
          <w:tcPr>
            <w:tcW w:w="712" w:type="dxa"/>
            <w:tcBorders>
              <w:top w:val="nil"/>
              <w:left w:val="single" w:sz="4" w:space="0" w:color="auto"/>
              <w:bottom w:val="single" w:sz="8" w:space="0" w:color="auto"/>
              <w:right w:val="single" w:sz="8" w:space="0" w:color="auto"/>
            </w:tcBorders>
            <w:shd w:val="clear" w:color="000000" w:fill="AEAAAA"/>
            <w:noWrap/>
            <w:vAlign w:val="center"/>
            <w:hideMark/>
          </w:tcPr>
          <w:p w14:paraId="33FD46C1" w14:textId="77777777" w:rsidR="00B34025" w:rsidRPr="00FB48BF" w:rsidRDefault="00B34025" w:rsidP="00D07017">
            <w:pPr>
              <w:spacing w:before="40" w:after="40"/>
              <w:jc w:val="center"/>
              <w:rPr>
                <w:b/>
                <w:bCs/>
                <w:sz w:val="20"/>
              </w:rPr>
            </w:pPr>
            <w:r w:rsidRPr="00FB48BF">
              <w:rPr>
                <w:b/>
                <w:bCs/>
                <w:sz w:val="20"/>
              </w:rPr>
              <w:t>1%</w:t>
            </w:r>
          </w:p>
        </w:tc>
      </w:tr>
      <w:tr w:rsidR="00B34025" w:rsidRPr="00100BB2" w14:paraId="67F2B6F8" w14:textId="77777777" w:rsidTr="00B34025">
        <w:trPr>
          <w:trHeight w:val="315"/>
        </w:trPr>
        <w:tc>
          <w:tcPr>
            <w:tcW w:w="2371" w:type="dxa"/>
            <w:tcBorders>
              <w:top w:val="nil"/>
              <w:left w:val="single" w:sz="8" w:space="0" w:color="auto"/>
              <w:bottom w:val="single" w:sz="8" w:space="0" w:color="auto"/>
              <w:right w:val="single" w:sz="4" w:space="0" w:color="auto"/>
            </w:tcBorders>
            <w:shd w:val="clear" w:color="auto" w:fill="auto"/>
            <w:noWrap/>
            <w:vAlign w:val="bottom"/>
            <w:hideMark/>
          </w:tcPr>
          <w:p w14:paraId="33A79A84" w14:textId="49AE95AE" w:rsidR="00B34025" w:rsidRPr="00FB48BF" w:rsidRDefault="00B34025" w:rsidP="00D07017">
            <w:pPr>
              <w:spacing w:before="40" w:after="40"/>
              <w:rPr>
                <w:sz w:val="20"/>
              </w:rPr>
            </w:pPr>
            <w:r w:rsidRPr="00FB48BF">
              <w:rPr>
                <w:sz w:val="20"/>
              </w:rPr>
              <w:t xml:space="preserve">% </w:t>
            </w:r>
            <w:r w:rsidRPr="00B34025">
              <w:rPr>
                <w:sz w:val="20"/>
              </w:rPr>
              <w:t>de recomendaciones cerradas</w:t>
            </w:r>
          </w:p>
        </w:tc>
        <w:tc>
          <w:tcPr>
            <w:tcW w:w="713" w:type="dxa"/>
            <w:tcBorders>
              <w:top w:val="nil"/>
              <w:left w:val="nil"/>
              <w:bottom w:val="single" w:sz="8" w:space="0" w:color="auto"/>
              <w:right w:val="single" w:sz="4" w:space="0" w:color="auto"/>
            </w:tcBorders>
            <w:shd w:val="clear" w:color="auto" w:fill="auto"/>
            <w:noWrap/>
            <w:vAlign w:val="center"/>
            <w:hideMark/>
          </w:tcPr>
          <w:p w14:paraId="3FDF77FE" w14:textId="77777777" w:rsidR="00B34025" w:rsidRPr="00FB48BF" w:rsidRDefault="00B34025" w:rsidP="00D07017">
            <w:pPr>
              <w:spacing w:before="40" w:after="40"/>
              <w:jc w:val="center"/>
              <w:rPr>
                <w:sz w:val="20"/>
              </w:rPr>
            </w:pPr>
            <w:r w:rsidRPr="00FB48BF">
              <w:rPr>
                <w:sz w:val="20"/>
              </w:rPr>
              <w:t>82%</w:t>
            </w:r>
          </w:p>
        </w:tc>
        <w:tc>
          <w:tcPr>
            <w:tcW w:w="628" w:type="dxa"/>
            <w:tcBorders>
              <w:top w:val="nil"/>
              <w:left w:val="nil"/>
              <w:bottom w:val="single" w:sz="8" w:space="0" w:color="auto"/>
              <w:right w:val="single" w:sz="4" w:space="0" w:color="auto"/>
            </w:tcBorders>
            <w:shd w:val="clear" w:color="auto" w:fill="auto"/>
            <w:noWrap/>
            <w:vAlign w:val="center"/>
            <w:hideMark/>
          </w:tcPr>
          <w:p w14:paraId="7B0B3465" w14:textId="77777777" w:rsidR="00B34025" w:rsidRPr="00FB48BF" w:rsidRDefault="00B34025" w:rsidP="00D07017">
            <w:pPr>
              <w:spacing w:before="40" w:after="40"/>
              <w:jc w:val="center"/>
              <w:rPr>
                <w:sz w:val="20"/>
              </w:rPr>
            </w:pPr>
            <w:r w:rsidRPr="00FB48BF">
              <w:rPr>
                <w:sz w:val="20"/>
              </w:rPr>
              <w:t>–</w:t>
            </w:r>
          </w:p>
        </w:tc>
        <w:tc>
          <w:tcPr>
            <w:tcW w:w="711" w:type="dxa"/>
            <w:tcBorders>
              <w:top w:val="nil"/>
              <w:left w:val="nil"/>
              <w:bottom w:val="single" w:sz="8" w:space="0" w:color="auto"/>
              <w:right w:val="single" w:sz="4" w:space="0" w:color="auto"/>
            </w:tcBorders>
            <w:shd w:val="clear" w:color="auto" w:fill="auto"/>
            <w:noWrap/>
            <w:vAlign w:val="center"/>
            <w:hideMark/>
          </w:tcPr>
          <w:p w14:paraId="77E600D2" w14:textId="77777777" w:rsidR="00B34025" w:rsidRPr="00FB48BF" w:rsidRDefault="00B34025" w:rsidP="00D07017">
            <w:pPr>
              <w:spacing w:before="40" w:after="40"/>
              <w:jc w:val="center"/>
              <w:rPr>
                <w:sz w:val="20"/>
              </w:rPr>
            </w:pPr>
            <w:r w:rsidRPr="00FB48BF">
              <w:rPr>
                <w:sz w:val="20"/>
              </w:rPr>
              <w:t>9</w:t>
            </w:r>
            <w:r>
              <w:rPr>
                <w:sz w:val="20"/>
              </w:rPr>
              <w:t>6</w:t>
            </w:r>
            <w:r w:rsidRPr="00FB48BF">
              <w:rPr>
                <w:sz w:val="20"/>
              </w:rPr>
              <w:t>%</w:t>
            </w:r>
          </w:p>
        </w:tc>
        <w:tc>
          <w:tcPr>
            <w:tcW w:w="712" w:type="dxa"/>
            <w:tcBorders>
              <w:top w:val="nil"/>
              <w:left w:val="nil"/>
              <w:bottom w:val="single" w:sz="8" w:space="0" w:color="auto"/>
              <w:right w:val="single" w:sz="4" w:space="0" w:color="auto"/>
            </w:tcBorders>
            <w:shd w:val="clear" w:color="auto" w:fill="auto"/>
            <w:noWrap/>
            <w:vAlign w:val="center"/>
            <w:hideMark/>
          </w:tcPr>
          <w:p w14:paraId="4DBA7B7D" w14:textId="77777777" w:rsidR="00B34025" w:rsidRPr="00FB48BF" w:rsidRDefault="00B34025" w:rsidP="00D07017">
            <w:pPr>
              <w:spacing w:before="40" w:after="40"/>
              <w:jc w:val="center"/>
              <w:rPr>
                <w:sz w:val="20"/>
              </w:rPr>
            </w:pPr>
            <w:r w:rsidRPr="00FB48BF">
              <w:rPr>
                <w:sz w:val="20"/>
              </w:rPr>
              <w:t>9</w:t>
            </w:r>
            <w:r>
              <w:rPr>
                <w:sz w:val="20"/>
              </w:rPr>
              <w:t>6</w:t>
            </w:r>
            <w:r w:rsidRPr="00FB48BF">
              <w:rPr>
                <w:sz w:val="20"/>
              </w:rPr>
              <w:t>%</w:t>
            </w:r>
          </w:p>
        </w:tc>
        <w:tc>
          <w:tcPr>
            <w:tcW w:w="712" w:type="dxa"/>
            <w:tcBorders>
              <w:top w:val="nil"/>
              <w:left w:val="nil"/>
              <w:bottom w:val="single" w:sz="8" w:space="0" w:color="auto"/>
              <w:right w:val="single" w:sz="4" w:space="0" w:color="auto"/>
            </w:tcBorders>
            <w:shd w:val="clear" w:color="auto" w:fill="auto"/>
            <w:noWrap/>
            <w:vAlign w:val="center"/>
            <w:hideMark/>
          </w:tcPr>
          <w:p w14:paraId="0620465A" w14:textId="77777777" w:rsidR="00B34025" w:rsidRPr="00FB48BF" w:rsidRDefault="00B34025" w:rsidP="00D07017">
            <w:pPr>
              <w:spacing w:before="40" w:after="40"/>
              <w:jc w:val="center"/>
              <w:rPr>
                <w:sz w:val="20"/>
              </w:rPr>
            </w:pPr>
            <w:r>
              <w:rPr>
                <w:sz w:val="20"/>
              </w:rPr>
              <w:t>88</w:t>
            </w:r>
            <w:r w:rsidRPr="00FB48BF">
              <w:rPr>
                <w:sz w:val="20"/>
              </w:rPr>
              <w:t>%</w:t>
            </w:r>
          </w:p>
        </w:tc>
        <w:tc>
          <w:tcPr>
            <w:tcW w:w="712" w:type="dxa"/>
            <w:tcBorders>
              <w:top w:val="nil"/>
              <w:left w:val="nil"/>
              <w:bottom w:val="single" w:sz="8" w:space="0" w:color="auto"/>
              <w:right w:val="single" w:sz="4" w:space="0" w:color="auto"/>
            </w:tcBorders>
            <w:shd w:val="clear" w:color="auto" w:fill="auto"/>
            <w:noWrap/>
            <w:vAlign w:val="center"/>
            <w:hideMark/>
          </w:tcPr>
          <w:p w14:paraId="1F37994E" w14:textId="77777777" w:rsidR="00B34025" w:rsidRPr="00FB48BF" w:rsidRDefault="00B34025" w:rsidP="00D07017">
            <w:pPr>
              <w:spacing w:before="40" w:after="40"/>
              <w:jc w:val="center"/>
              <w:rPr>
                <w:sz w:val="20"/>
              </w:rPr>
            </w:pPr>
            <w:r>
              <w:rPr>
                <w:sz w:val="20"/>
              </w:rPr>
              <w:t>64</w:t>
            </w:r>
            <w:r w:rsidRPr="00FB48BF">
              <w:rPr>
                <w:sz w:val="20"/>
              </w:rPr>
              <w:t>%</w:t>
            </w:r>
          </w:p>
        </w:tc>
        <w:tc>
          <w:tcPr>
            <w:tcW w:w="880" w:type="dxa"/>
            <w:tcBorders>
              <w:top w:val="nil"/>
              <w:left w:val="nil"/>
              <w:bottom w:val="single" w:sz="8" w:space="0" w:color="auto"/>
              <w:right w:val="nil"/>
            </w:tcBorders>
            <w:shd w:val="clear" w:color="auto" w:fill="auto"/>
            <w:noWrap/>
            <w:vAlign w:val="center"/>
            <w:hideMark/>
          </w:tcPr>
          <w:p w14:paraId="3300F810" w14:textId="77777777" w:rsidR="00B34025" w:rsidRPr="00FB48BF" w:rsidRDefault="00B34025" w:rsidP="00D07017">
            <w:pPr>
              <w:spacing w:before="40" w:after="40"/>
              <w:jc w:val="center"/>
              <w:rPr>
                <w:sz w:val="20"/>
              </w:rPr>
            </w:pPr>
            <w:r>
              <w:rPr>
                <w:sz w:val="20"/>
              </w:rPr>
              <w:t>4</w:t>
            </w:r>
            <w:r w:rsidRPr="00FB48BF">
              <w:rPr>
                <w:sz w:val="20"/>
              </w:rPr>
              <w:t>0%</w:t>
            </w:r>
          </w:p>
        </w:tc>
        <w:tc>
          <w:tcPr>
            <w:tcW w:w="622" w:type="dxa"/>
            <w:tcBorders>
              <w:top w:val="nil"/>
              <w:left w:val="single" w:sz="4" w:space="0" w:color="auto"/>
              <w:bottom w:val="single" w:sz="8" w:space="0" w:color="auto"/>
              <w:right w:val="single" w:sz="4" w:space="0" w:color="auto"/>
            </w:tcBorders>
            <w:vAlign w:val="center"/>
          </w:tcPr>
          <w:p w14:paraId="47395687" w14:textId="77777777" w:rsidR="00B34025" w:rsidRPr="00FB48BF" w:rsidRDefault="00B34025" w:rsidP="00D07017">
            <w:pPr>
              <w:spacing w:before="40" w:after="40"/>
              <w:jc w:val="center"/>
              <w:rPr>
                <w:sz w:val="20"/>
              </w:rPr>
            </w:pPr>
            <w:r>
              <w:rPr>
                <w:sz w:val="20"/>
              </w:rPr>
              <w:t>23%</w:t>
            </w:r>
          </w:p>
        </w:tc>
        <w:tc>
          <w:tcPr>
            <w:tcW w:w="846" w:type="dxa"/>
            <w:tcBorders>
              <w:top w:val="nil"/>
              <w:left w:val="single" w:sz="4" w:space="0" w:color="auto"/>
              <w:bottom w:val="single" w:sz="8" w:space="0" w:color="auto"/>
              <w:right w:val="single" w:sz="4" w:space="0" w:color="auto"/>
            </w:tcBorders>
            <w:vAlign w:val="center"/>
          </w:tcPr>
          <w:p w14:paraId="7DB95547" w14:textId="77777777" w:rsidR="00B34025" w:rsidRPr="00FB48BF" w:rsidRDefault="00B34025" w:rsidP="00D07017">
            <w:pPr>
              <w:spacing w:before="40" w:after="40"/>
              <w:jc w:val="center"/>
              <w:rPr>
                <w:sz w:val="20"/>
              </w:rPr>
            </w:pPr>
            <w:r>
              <w:rPr>
                <w:sz w:val="20"/>
              </w:rPr>
              <w:t>0%</w:t>
            </w:r>
          </w:p>
        </w:tc>
        <w:tc>
          <w:tcPr>
            <w:tcW w:w="712" w:type="dxa"/>
            <w:tcBorders>
              <w:top w:val="nil"/>
              <w:left w:val="single" w:sz="4" w:space="0" w:color="auto"/>
              <w:bottom w:val="single" w:sz="8" w:space="0" w:color="auto"/>
              <w:right w:val="single" w:sz="8" w:space="0" w:color="auto"/>
            </w:tcBorders>
            <w:shd w:val="clear" w:color="000000" w:fill="AEAAAA"/>
            <w:noWrap/>
            <w:vAlign w:val="center"/>
            <w:hideMark/>
          </w:tcPr>
          <w:p w14:paraId="4A0975A2" w14:textId="77777777" w:rsidR="00B34025" w:rsidRPr="00FB48BF" w:rsidRDefault="00B34025" w:rsidP="00D07017">
            <w:pPr>
              <w:spacing w:before="40" w:after="40"/>
              <w:jc w:val="center"/>
              <w:rPr>
                <w:b/>
                <w:bCs/>
                <w:sz w:val="20"/>
              </w:rPr>
            </w:pPr>
            <w:r w:rsidRPr="00FB48BF">
              <w:rPr>
                <w:b/>
                <w:bCs/>
                <w:sz w:val="20"/>
              </w:rPr>
              <w:t>76%</w:t>
            </w:r>
          </w:p>
        </w:tc>
      </w:tr>
    </w:tbl>
    <w:p w14:paraId="02E1A6CD" w14:textId="2BDAAD2B" w:rsidR="00B34025" w:rsidRPr="001109F8" w:rsidRDefault="00B34025" w:rsidP="007C6D59">
      <w:pPr>
        <w:spacing w:before="0"/>
        <w:rPr>
          <w:sz w:val="20"/>
        </w:rPr>
      </w:pPr>
      <w:r w:rsidRPr="001109F8">
        <w:rPr>
          <w:sz w:val="20"/>
        </w:rPr>
        <w:t>(*)</w:t>
      </w:r>
      <w:r w:rsidRPr="001109F8">
        <w:rPr>
          <w:sz w:val="20"/>
        </w:rPr>
        <w:tab/>
        <w:t>Actuali</w:t>
      </w:r>
      <w:r w:rsidR="007C6D59">
        <w:rPr>
          <w:sz w:val="20"/>
        </w:rPr>
        <w:t>zado</w:t>
      </w:r>
    </w:p>
    <w:p w14:paraId="50826857" w14:textId="67C53567" w:rsidR="006A3152" w:rsidRDefault="00B106E0" w:rsidP="00F47462">
      <w:pPr>
        <w:pStyle w:val="Normalaftertitle"/>
        <w:spacing w:after="240"/>
      </w:pPr>
      <w:r>
        <w:t>22</w:t>
      </w:r>
      <w:r w:rsidR="006A3152">
        <w:tab/>
        <w:t>A raíz de la petición de un consejero realizada el año pasado</w:t>
      </w:r>
      <w:r w:rsidR="006A3152" w:rsidRPr="00704F74">
        <w:t xml:space="preserve">, la AI también </w:t>
      </w:r>
      <w:r w:rsidR="006A3152">
        <w:t>ha incluido</w:t>
      </w:r>
      <w:r w:rsidR="006A3152" w:rsidRPr="00704F74">
        <w:t xml:space="preserve"> en el informe de este año </w:t>
      </w:r>
      <w:r w:rsidR="006A3152">
        <w:t>información</w:t>
      </w:r>
      <w:r w:rsidR="006A3152" w:rsidRPr="00704F74">
        <w:t xml:space="preserve"> general </w:t>
      </w:r>
      <w:r w:rsidR="006A3152">
        <w:t>sobre</w:t>
      </w:r>
      <w:r w:rsidR="006A3152" w:rsidRPr="00704F74">
        <w:t xml:space="preserve"> la importancia de las recomen</w:t>
      </w:r>
      <w:r w:rsidR="006A3152">
        <w:t>daciones en curso de formulación</w:t>
      </w:r>
      <w:r w:rsidR="006A3152" w:rsidRPr="007D0809">
        <w:t>.</w:t>
      </w:r>
    </w:p>
    <w:p w14:paraId="5F96EF44" w14:textId="1ADF8FBC" w:rsidR="006A3152" w:rsidRDefault="00390B2A" w:rsidP="00007A18">
      <w:pPr>
        <w:pStyle w:val="ListParagraph"/>
        <w:tabs>
          <w:tab w:val="clear" w:pos="794"/>
          <w:tab w:val="clear" w:pos="1191"/>
          <w:tab w:val="clear" w:pos="1588"/>
          <w:tab w:val="clear" w:pos="1985"/>
        </w:tabs>
        <w:adjustRightInd w:val="0"/>
        <w:snapToGrid w:val="0"/>
        <w:spacing w:after="0" w:line="240" w:lineRule="auto"/>
        <w:ind w:left="0"/>
        <w:contextualSpacing w:val="0"/>
        <w:jc w:val="center"/>
        <w:rPr>
          <w:rFonts w:asciiTheme="minorHAnsi" w:hAnsiTheme="minorHAnsi" w:cstheme="minorHAnsi"/>
          <w:sz w:val="24"/>
          <w:szCs w:val="24"/>
          <w:lang w:val="en-CA"/>
        </w:rPr>
      </w:pPr>
      <w:r w:rsidRPr="00590CD6">
        <w:rPr>
          <w:noProof/>
          <w:lang w:val="es-ES"/>
        </w:rPr>
        <mc:AlternateContent>
          <mc:Choice Requires="wps">
            <w:drawing>
              <wp:anchor distT="0" distB="0" distL="114300" distR="114300" simplePos="0" relativeHeight="251665408" behindDoc="0" locked="0" layoutInCell="1" allowOverlap="1" wp14:anchorId="17AF7F35" wp14:editId="3A66CB0D">
                <wp:simplePos x="0" y="0"/>
                <wp:positionH relativeFrom="column">
                  <wp:posOffset>3787140</wp:posOffset>
                </wp:positionH>
                <wp:positionV relativeFrom="paragraph">
                  <wp:posOffset>1765879</wp:posOffset>
                </wp:positionV>
                <wp:extent cx="401320" cy="1200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20015"/>
                        </a:xfrm>
                        <a:prstGeom prst="rect">
                          <a:avLst/>
                        </a:prstGeom>
                        <a:solidFill>
                          <a:srgbClr val="FFFFFF"/>
                        </a:solidFill>
                        <a:ln w="9525">
                          <a:noFill/>
                          <a:miter lim="800000"/>
                          <a:headEnd/>
                          <a:tailEnd/>
                        </a:ln>
                      </wps:spPr>
                      <wps:txbx>
                        <w:txbxContent>
                          <w:p w14:paraId="0A885674" w14:textId="45C9A297" w:rsidR="00390B2A" w:rsidRPr="00390B2A" w:rsidRDefault="00390B2A" w:rsidP="00390B2A">
                            <w:pPr>
                              <w:spacing w:before="0"/>
                              <w:rPr>
                                <w:sz w:val="10"/>
                                <w:szCs w:val="10"/>
                                <w:lang w:val="en-GB"/>
                              </w:rPr>
                            </w:pPr>
                            <w:r w:rsidRPr="00390B2A">
                              <w:rPr>
                                <w:rFonts w:asciiTheme="minorHAnsi" w:hAnsiTheme="minorHAnsi" w:cstheme="minorHAnsi"/>
                                <w:i/>
                                <w:iCs/>
                                <w:sz w:val="10"/>
                                <w:szCs w:val="10"/>
                                <w:lang w:val="es-ES"/>
                              </w:rPr>
                              <w:t>Bajo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AF7F35" id="_x0000_t202" coordsize="21600,21600" o:spt="202" path="m,l,21600r21600,l21600,xe">
                <v:stroke joinstyle="miter"/>
                <v:path gradientshapeok="t" o:connecttype="rect"/>
              </v:shapetype>
              <v:shape id="Text Box 2" o:spid="_x0000_s1026" type="#_x0000_t202" style="position:absolute;left:0;text-align:left;margin-left:298.2pt;margin-top:139.05pt;width:31.6pt;height: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" stroked="f">
                <v:textbox inset="0,0,0,0">
                  <w:txbxContent>
                    <w:p w14:paraId="0A885674" w14:textId="45C9A297" w:rsidR="00390B2A" w:rsidRPr="00390B2A" w:rsidRDefault="00390B2A" w:rsidP="00390B2A">
                      <w:pPr>
                        <w:spacing w:before="0"/>
                        <w:rPr>
                          <w:sz w:val="10"/>
                          <w:szCs w:val="10"/>
                          <w:lang w:val="en-GB"/>
                        </w:rPr>
                      </w:pPr>
                      <w:r w:rsidRPr="00390B2A">
                        <w:rPr>
                          <w:rFonts w:asciiTheme="minorHAnsi" w:hAnsiTheme="minorHAnsi" w:cstheme="minorHAnsi"/>
                          <w:i/>
                          <w:iCs/>
                          <w:sz w:val="10"/>
                          <w:szCs w:val="10"/>
                          <w:lang w:val="es-ES"/>
                        </w:rPr>
                        <w:t>Bajo</w:t>
                      </w:r>
                    </w:p>
                  </w:txbxContent>
                </v:textbox>
              </v:shape>
            </w:pict>
          </mc:Fallback>
        </mc:AlternateContent>
      </w:r>
      <w:r w:rsidRPr="00590CD6">
        <w:rPr>
          <w:noProof/>
          <w:lang w:val="es-ES"/>
        </w:rPr>
        <mc:AlternateContent>
          <mc:Choice Requires="wps">
            <w:drawing>
              <wp:anchor distT="0" distB="0" distL="114300" distR="114300" simplePos="0" relativeHeight="251663360" behindDoc="0" locked="0" layoutInCell="1" allowOverlap="1" wp14:anchorId="40E32AB0" wp14:editId="55CA001D">
                <wp:simplePos x="0" y="0"/>
                <wp:positionH relativeFrom="column">
                  <wp:posOffset>3204845</wp:posOffset>
                </wp:positionH>
                <wp:positionV relativeFrom="paragraph">
                  <wp:posOffset>1762181</wp:posOffset>
                </wp:positionV>
                <wp:extent cx="401320" cy="1200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20015"/>
                        </a:xfrm>
                        <a:prstGeom prst="rect">
                          <a:avLst/>
                        </a:prstGeom>
                        <a:solidFill>
                          <a:srgbClr val="FFFFFF"/>
                        </a:solidFill>
                        <a:ln w="9525">
                          <a:noFill/>
                          <a:miter lim="800000"/>
                          <a:headEnd/>
                          <a:tailEnd/>
                        </a:ln>
                      </wps:spPr>
                      <wps:txbx>
                        <w:txbxContent>
                          <w:p w14:paraId="54B35A72" w14:textId="070AEAB3" w:rsidR="00390B2A" w:rsidRPr="00390B2A" w:rsidRDefault="00390B2A" w:rsidP="00390B2A">
                            <w:pPr>
                              <w:spacing w:before="0"/>
                              <w:rPr>
                                <w:sz w:val="10"/>
                                <w:szCs w:val="10"/>
                                <w:lang w:val="en-GB"/>
                              </w:rPr>
                            </w:pPr>
                            <w:r w:rsidRPr="00390B2A">
                              <w:rPr>
                                <w:rFonts w:asciiTheme="minorHAnsi" w:hAnsiTheme="minorHAnsi" w:cstheme="minorHAnsi"/>
                                <w:i/>
                                <w:iCs/>
                                <w:sz w:val="10"/>
                                <w:szCs w:val="10"/>
                                <w:lang w:val="es-ES"/>
                              </w:rPr>
                              <w:t>Medio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32AB0" id="_x0000_s1027" type="#_x0000_t202" style="position:absolute;left:0;text-align:left;margin-left:252.35pt;margin-top:138.75pt;width:31.6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" stroked="f">
                <v:textbox inset="0,0,0,0">
                  <w:txbxContent>
                    <w:p w14:paraId="54B35A72" w14:textId="070AEAB3" w:rsidR="00390B2A" w:rsidRPr="00390B2A" w:rsidRDefault="00390B2A" w:rsidP="00390B2A">
                      <w:pPr>
                        <w:spacing w:before="0"/>
                        <w:rPr>
                          <w:sz w:val="10"/>
                          <w:szCs w:val="10"/>
                          <w:lang w:val="en-GB"/>
                        </w:rPr>
                      </w:pPr>
                      <w:r w:rsidRPr="00390B2A">
                        <w:rPr>
                          <w:rFonts w:asciiTheme="minorHAnsi" w:hAnsiTheme="minorHAnsi" w:cstheme="minorHAnsi"/>
                          <w:i/>
                          <w:iCs/>
                          <w:sz w:val="10"/>
                          <w:szCs w:val="10"/>
                          <w:lang w:val="es-ES"/>
                        </w:rPr>
                        <w:t>Medio</w:t>
                      </w:r>
                    </w:p>
                  </w:txbxContent>
                </v:textbox>
              </v:shape>
            </w:pict>
          </mc:Fallback>
        </mc:AlternateContent>
      </w:r>
      <w:r w:rsidRPr="00590CD6">
        <w:rPr>
          <w:noProof/>
          <w:lang w:val="es-ES"/>
        </w:rPr>
        <mc:AlternateContent>
          <mc:Choice Requires="wps">
            <w:drawing>
              <wp:anchor distT="0" distB="0" distL="114300" distR="114300" simplePos="0" relativeHeight="251661312" behindDoc="0" locked="0" layoutInCell="1" allowOverlap="1" wp14:anchorId="79179082" wp14:editId="0D99E62F">
                <wp:simplePos x="0" y="0"/>
                <wp:positionH relativeFrom="column">
                  <wp:posOffset>2766060</wp:posOffset>
                </wp:positionH>
                <wp:positionV relativeFrom="paragraph">
                  <wp:posOffset>1752656</wp:posOffset>
                </wp:positionV>
                <wp:extent cx="306070" cy="1200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20015"/>
                        </a:xfrm>
                        <a:prstGeom prst="rect">
                          <a:avLst/>
                        </a:prstGeom>
                        <a:solidFill>
                          <a:srgbClr val="FFFFFF"/>
                        </a:solidFill>
                        <a:ln w="9525">
                          <a:noFill/>
                          <a:miter lim="800000"/>
                          <a:headEnd/>
                          <a:tailEnd/>
                        </a:ln>
                      </wps:spPr>
                      <wps:txbx>
                        <w:txbxContent>
                          <w:p w14:paraId="11A2FF89" w14:textId="00CEFFB4" w:rsidR="00390B2A" w:rsidRPr="00390B2A" w:rsidRDefault="00390B2A" w:rsidP="00390B2A">
                            <w:pPr>
                              <w:spacing w:before="0"/>
                              <w:rPr>
                                <w:sz w:val="12"/>
                                <w:szCs w:val="12"/>
                                <w:lang w:val="en-GB"/>
                              </w:rPr>
                            </w:pPr>
                            <w:r w:rsidRPr="00390B2A">
                              <w:rPr>
                                <w:rFonts w:asciiTheme="minorHAnsi" w:hAnsiTheme="minorHAnsi" w:cstheme="minorHAnsi"/>
                                <w:i/>
                                <w:iCs/>
                                <w:sz w:val="12"/>
                                <w:szCs w:val="12"/>
                                <w:lang w:val="es-ES"/>
                              </w:rPr>
                              <w:t>Elevado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79082" id="_x0000_s1028" type="#_x0000_t202" style="position:absolute;left:0;text-align:left;margin-left:217.8pt;margin-top:138pt;width:24.1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" stroked="f">
                <v:textbox inset="0,0,0,0">
                  <w:txbxContent>
                    <w:p w14:paraId="11A2FF89" w14:textId="00CEFFB4" w:rsidR="00390B2A" w:rsidRPr="00390B2A" w:rsidRDefault="00390B2A" w:rsidP="00390B2A">
                      <w:pPr>
                        <w:spacing w:before="0"/>
                        <w:rPr>
                          <w:sz w:val="12"/>
                          <w:szCs w:val="12"/>
                          <w:lang w:val="en-GB"/>
                        </w:rPr>
                      </w:pPr>
                      <w:r w:rsidRPr="00390B2A">
                        <w:rPr>
                          <w:rFonts w:asciiTheme="minorHAnsi" w:hAnsiTheme="minorHAnsi" w:cstheme="minorHAnsi"/>
                          <w:i/>
                          <w:iCs/>
                          <w:sz w:val="12"/>
                          <w:szCs w:val="12"/>
                          <w:lang w:val="es-ES"/>
                        </w:rPr>
                        <w:t>Elevado</w:t>
                      </w:r>
                    </w:p>
                  </w:txbxContent>
                </v:textbox>
              </v:shape>
            </w:pict>
          </mc:Fallback>
        </mc:AlternateContent>
      </w:r>
      <w:r w:rsidRPr="00590CD6">
        <w:rPr>
          <w:noProof/>
          <w:lang w:val="es-ES"/>
        </w:rPr>
        <mc:AlternateContent>
          <mc:Choice Requires="wps">
            <w:drawing>
              <wp:anchor distT="0" distB="0" distL="114300" distR="114300" simplePos="0" relativeHeight="251659264" behindDoc="0" locked="0" layoutInCell="1" allowOverlap="1" wp14:anchorId="39D4E151" wp14:editId="43EE09F7">
                <wp:simplePos x="0" y="0"/>
                <wp:positionH relativeFrom="column">
                  <wp:posOffset>2258695</wp:posOffset>
                </wp:positionH>
                <wp:positionV relativeFrom="paragraph">
                  <wp:posOffset>1763451</wp:posOffset>
                </wp:positionV>
                <wp:extent cx="401934" cy="1205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34" cy="120580"/>
                        </a:xfrm>
                        <a:prstGeom prst="rect">
                          <a:avLst/>
                        </a:prstGeom>
                        <a:solidFill>
                          <a:srgbClr val="FFFFFF"/>
                        </a:solidFill>
                        <a:ln w="9525">
                          <a:noFill/>
                          <a:miter lim="800000"/>
                          <a:headEnd/>
                          <a:tailEnd/>
                        </a:ln>
                      </wps:spPr>
                      <wps:txbx>
                        <w:txbxContent>
                          <w:p w14:paraId="5B16D9E7" w14:textId="47DAF912" w:rsidR="00390B2A" w:rsidRPr="00390B2A" w:rsidRDefault="00390B2A" w:rsidP="00390B2A">
                            <w:pPr>
                              <w:spacing w:before="0"/>
                              <w:rPr>
                                <w:sz w:val="10"/>
                                <w:szCs w:val="10"/>
                                <w:lang w:val="en-GB"/>
                              </w:rPr>
                            </w:pPr>
                            <w:r w:rsidRPr="00390B2A">
                              <w:rPr>
                                <w:rFonts w:asciiTheme="minorHAnsi" w:hAnsiTheme="minorHAnsi" w:cstheme="minorHAnsi"/>
                                <w:i/>
                                <w:iCs/>
                                <w:sz w:val="10"/>
                                <w:szCs w:val="10"/>
                                <w:lang w:val="es-ES"/>
                              </w:rPr>
                              <w:t>Trascendental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4E151" id="_x0000_s1029" type="#_x0000_t202" style="position:absolute;left:0;text-align:left;margin-left:177.85pt;margin-top:138.85pt;width:31.6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" stroked="f">
                <v:textbox inset="0,0,0,0">
                  <w:txbxContent>
                    <w:p w14:paraId="5B16D9E7" w14:textId="47DAF912" w:rsidR="00390B2A" w:rsidRPr="00390B2A" w:rsidRDefault="00390B2A" w:rsidP="00390B2A">
                      <w:pPr>
                        <w:spacing w:before="0"/>
                        <w:rPr>
                          <w:sz w:val="10"/>
                          <w:szCs w:val="10"/>
                          <w:lang w:val="en-GB"/>
                        </w:rPr>
                      </w:pPr>
                      <w:r w:rsidRPr="00390B2A">
                        <w:rPr>
                          <w:rFonts w:asciiTheme="minorHAnsi" w:hAnsiTheme="minorHAnsi" w:cstheme="minorHAnsi"/>
                          <w:i/>
                          <w:iCs/>
                          <w:sz w:val="10"/>
                          <w:szCs w:val="10"/>
                          <w:lang w:val="es-ES"/>
                        </w:rPr>
                        <w:t>Trascendental</w:t>
                      </w:r>
                    </w:p>
                  </w:txbxContent>
                </v:textbox>
              </v:shape>
            </w:pict>
          </mc:Fallback>
        </mc:AlternateContent>
      </w:r>
      <w:r w:rsidR="006A3152">
        <w:rPr>
          <w:noProof/>
          <w:lang w:val="es-ES"/>
        </w:rPr>
        <w:drawing>
          <wp:inline distT="0" distB="0" distL="0" distR="0" wp14:anchorId="03872D0B" wp14:editId="148876CF">
            <wp:extent cx="5095875" cy="1990725"/>
            <wp:effectExtent l="0" t="0" r="9525" b="9525"/>
            <wp:docPr id="92" name="Chart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5860B7A" w14:textId="61EC260C" w:rsidR="006A3152" w:rsidRDefault="00390B2A" w:rsidP="00390B2A">
      <w:pPr>
        <w:pStyle w:val="Normalaftertitle"/>
        <w:spacing w:after="240"/>
      </w:pPr>
      <w:r>
        <w:t>23</w:t>
      </w:r>
      <w:r>
        <w:tab/>
      </w:r>
      <w:r w:rsidR="006A3152" w:rsidRPr="00390B2A">
        <w:t>Las recomendaciones trascendentales de 2019 se basan en la carta de gestión que la AI elaboró a raíz de la investigación del caso de fraude (véase el párrafo anterior sobre investigaciones). Se refieren principalmente a la necesidad de reforzar los controles relacionados con las actividades de adquisición, la supervisión de las oficinas regionales o de zona y los procedimientos de control con respecto a la contratación de expertos externos (en el marco de acuerdos de servicios especiales). En 2018, la recomendación trascendental guardó relación con la necesidad de publicar un manual sobre adquisiciones (a fin de fortalecer el control al respecto). Con respecto a las recomendaciones formuladas anteriormente, la dirección informó periódicamente a la AI (y al CAIG) de los avances registrados.</w:t>
      </w:r>
    </w:p>
    <w:p w14:paraId="263763FD" w14:textId="480EEA33" w:rsidR="00390B2A" w:rsidRDefault="00390B2A" w:rsidP="00390B2A">
      <w:r>
        <w:br w:type="page"/>
      </w:r>
    </w:p>
    <w:p w14:paraId="31AA2329" w14:textId="77777777" w:rsidR="006A3152" w:rsidRPr="007D0809" w:rsidRDefault="006A3152" w:rsidP="00390B2A">
      <w:pPr>
        <w:pStyle w:val="Heading1"/>
      </w:pPr>
      <w:r w:rsidRPr="007D0809">
        <w:lastRenderedPageBreak/>
        <w:t>Aspectos relacionados con la metodología de la auditoría</w:t>
      </w:r>
    </w:p>
    <w:p w14:paraId="6713A34D" w14:textId="77777777" w:rsidR="006A3152" w:rsidRPr="007D0809" w:rsidRDefault="006A3152" w:rsidP="00007A18">
      <w:r>
        <w:t>24</w:t>
      </w:r>
      <w:r w:rsidRPr="007D0809">
        <w:tab/>
        <w:t xml:space="preserve">Desde 2013, la Auditoría Interna ya se inició utilizando los </w:t>
      </w:r>
      <w:r w:rsidRPr="007D0809">
        <w:rPr>
          <w:i/>
          <w:iCs/>
        </w:rPr>
        <w:t>Cuestionarios de Eficacia de la Auditoría</w:t>
      </w:r>
      <w:r w:rsidRPr="007D0809">
        <w:t xml:space="preserve"> que se remitieron a los administradores de los procesos y entidades auditados a fin de evaluar la efectividad del trabajo de auditoría e identificar posibilidades de mejora. Este sistema se mantuvo durante el periodo abarcado por el presente Informe. Según se desprende de los 5 </w:t>
      </w:r>
      <w:r w:rsidRPr="007D0809">
        <w:rPr>
          <w:i/>
          <w:iCs/>
        </w:rPr>
        <w:t>cuestionarios</w:t>
      </w:r>
      <w:r w:rsidRPr="007D0809">
        <w:t xml:space="preserve"> remitidos a la Auditoría Interna en 2017, la información obtenida ha sido muy positiva hasta ahora (una puntuación media de 4 en una escala de 1 a 5).</w:t>
      </w:r>
    </w:p>
    <w:p w14:paraId="269C0023" w14:textId="77777777" w:rsidR="00390B2A" w:rsidRDefault="00390B2A" w:rsidP="0032202E">
      <w:pPr>
        <w:pStyle w:val="Reasons"/>
      </w:pPr>
    </w:p>
    <w:p w14:paraId="49BDF962" w14:textId="77777777" w:rsidR="00390B2A" w:rsidRDefault="00390B2A">
      <w:pPr>
        <w:jc w:val="center"/>
      </w:pPr>
      <w:r>
        <w:t>______________</w:t>
      </w:r>
      <w:bookmarkStart w:id="11" w:name="_GoBack"/>
      <w:bookmarkEnd w:id="11"/>
    </w:p>
    <w:sectPr w:rsidR="00390B2A" w:rsidSect="006710F6">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DE33D" w14:textId="77777777" w:rsidR="00011B71" w:rsidRDefault="00011B71">
      <w:r>
        <w:separator/>
      </w:r>
    </w:p>
  </w:endnote>
  <w:endnote w:type="continuationSeparator" w:id="0">
    <w:p w14:paraId="518CAE04" w14:textId="77777777" w:rsidR="00011B71" w:rsidRDefault="0001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E8D7A" w14:textId="77777777" w:rsidR="00E2715F" w:rsidRDefault="00E2715F" w:rsidP="00E2715F">
    <w:pPr>
      <w:pStyle w:val="Footer"/>
      <w:rPr>
        <w:lang w:val="en-US"/>
      </w:rPr>
    </w:pPr>
    <w:r>
      <w:rPr>
        <w:lang w:val="en-US"/>
      </w:rPr>
      <w:fldChar w:fldCharType="begin"/>
    </w:r>
    <w:r>
      <w:rPr>
        <w:lang w:val="en-US"/>
      </w:rPr>
      <w:instrText xml:space="preserve"> FILENAME \p \* MERGEFORMAT </w:instrText>
    </w:r>
    <w:r>
      <w:rPr>
        <w:lang w:val="en-US"/>
      </w:rPr>
      <w:fldChar w:fldCharType="separate"/>
    </w:r>
    <w:r>
      <w:rPr>
        <w:lang w:val="en-US"/>
      </w:rPr>
      <w:t>P:\ESP\SG\CONSEIL\C19\000\044S.docx</w:t>
    </w:r>
    <w:r>
      <w:rPr>
        <w:lang w:val="en-US"/>
      </w:rPr>
      <w:fldChar w:fldCharType="end"/>
    </w:r>
    <w:r>
      <w:rPr>
        <w:lang w:val="en-US"/>
      </w:rPr>
      <w:t xml:space="preserve"> (450266)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45ED2" w14:textId="77777777"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0A24A" w14:textId="77777777" w:rsidR="00011B71" w:rsidRDefault="00011B71">
      <w:r>
        <w:t>____________________</w:t>
      </w:r>
    </w:p>
  </w:footnote>
  <w:footnote w:type="continuationSeparator" w:id="0">
    <w:p w14:paraId="4A0123B6" w14:textId="77777777" w:rsidR="00011B71" w:rsidRDefault="00011B71">
      <w:r>
        <w:continuationSeparator/>
      </w:r>
    </w:p>
  </w:footnote>
  <w:footnote w:id="1">
    <w:p w14:paraId="1A9288D6" w14:textId="77777777" w:rsidR="006A3152" w:rsidRPr="001E6C6F" w:rsidRDefault="006A3152" w:rsidP="006A3152">
      <w:pPr>
        <w:pStyle w:val="FootnoteText"/>
        <w:rPr>
          <w:szCs w:val="24"/>
        </w:rPr>
      </w:pPr>
      <w:r w:rsidRPr="0083332A">
        <w:rPr>
          <w:rStyle w:val="FootnoteReference"/>
        </w:rPr>
        <w:footnoteRef/>
      </w:r>
      <w:r w:rsidRPr="005A36AF">
        <w:tab/>
      </w:r>
      <w:r w:rsidRPr="001E6C6F">
        <w:rPr>
          <w:szCs w:val="24"/>
        </w:rPr>
        <w:t>Nota de servicio 13/09 promulgada por el Secretario General el 27 de junio de 2013.</w:t>
      </w:r>
    </w:p>
  </w:footnote>
  <w:footnote w:id="2">
    <w:p w14:paraId="029847AC" w14:textId="77777777" w:rsidR="006A3152" w:rsidRPr="001E6C6F" w:rsidRDefault="006A3152" w:rsidP="006A3152">
      <w:pPr>
        <w:pStyle w:val="FootnoteText"/>
        <w:rPr>
          <w:szCs w:val="24"/>
        </w:rPr>
      </w:pPr>
      <w:r w:rsidRPr="005A36AF">
        <w:rPr>
          <w:rStyle w:val="FootnoteReference"/>
        </w:rPr>
        <w:footnoteRef/>
      </w:r>
      <w:r w:rsidRPr="005A36AF">
        <w:tab/>
      </w:r>
      <w:r w:rsidRPr="001E6C6F">
        <w:rPr>
          <w:szCs w:val="24"/>
        </w:rPr>
        <w:t xml:space="preserve">Instituto de Auditores Internos, </w:t>
      </w:r>
      <w:hyperlink r:id="rId1" w:history="1">
        <w:r w:rsidRPr="001E6C6F">
          <w:rPr>
            <w:rStyle w:val="Hyperlink"/>
            <w:szCs w:val="24"/>
          </w:rPr>
          <w:t>www.theiia.org</w:t>
        </w:r>
      </w:hyperlink>
      <w:r w:rsidRPr="001E6C6F">
        <w:rPr>
          <w:szCs w:val="24"/>
        </w:rPr>
        <w:t>.</w:t>
      </w:r>
    </w:p>
  </w:footnote>
  <w:footnote w:id="3">
    <w:p w14:paraId="2702415E" w14:textId="77777777" w:rsidR="006A3152" w:rsidRPr="005A36AF" w:rsidRDefault="006A3152" w:rsidP="006A3152">
      <w:pPr>
        <w:pStyle w:val="FootnoteText"/>
      </w:pPr>
      <w:r w:rsidRPr="005A36AF">
        <w:rPr>
          <w:rStyle w:val="FootnoteReference"/>
        </w:rPr>
        <w:footnoteRef/>
      </w:r>
      <w:r w:rsidRPr="005A36AF">
        <w:tab/>
        <w:t>Nota de servicio 13/09, promulgada por el Secretario General el 27 de junio de 2013.</w:t>
      </w:r>
    </w:p>
  </w:footnote>
  <w:footnote w:id="4">
    <w:p w14:paraId="1C926940" w14:textId="77777777" w:rsidR="006A3152" w:rsidRPr="00C735BE" w:rsidRDefault="006A3152" w:rsidP="006A3152">
      <w:pPr>
        <w:pStyle w:val="FootnoteText"/>
        <w:rPr>
          <w:szCs w:val="24"/>
        </w:rPr>
      </w:pPr>
      <w:r w:rsidRPr="006F382F">
        <w:rPr>
          <w:rStyle w:val="FootnoteReference"/>
          <w:szCs w:val="16"/>
        </w:rPr>
        <w:footnoteRef/>
      </w:r>
      <w:r w:rsidRPr="006F382F">
        <w:rPr>
          <w:sz w:val="20"/>
        </w:rPr>
        <w:tab/>
      </w:r>
      <w:r w:rsidRPr="00C735BE">
        <w:rPr>
          <w:szCs w:val="24"/>
        </w:rPr>
        <w:t xml:space="preserve">Instituto de Auditores Internos, </w:t>
      </w:r>
      <w:hyperlink r:id="rId2" w:history="1">
        <w:r w:rsidRPr="00C735BE">
          <w:rPr>
            <w:rStyle w:val="Hyperlink"/>
            <w:szCs w:val="24"/>
          </w:rPr>
          <w:t>www.theiia.org</w:t>
        </w:r>
      </w:hyperlink>
      <w:r w:rsidRPr="00C735BE">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5E814" w14:textId="77777777" w:rsidR="00760F1C" w:rsidRDefault="000B7C15" w:rsidP="007657F0">
    <w:pPr>
      <w:pStyle w:val="Header"/>
    </w:pPr>
    <w:r>
      <w:fldChar w:fldCharType="begin"/>
    </w:r>
    <w:r>
      <w:instrText>PAGE</w:instrText>
    </w:r>
    <w:r>
      <w:fldChar w:fldCharType="separate"/>
    </w:r>
    <w:r w:rsidR="00390B2A">
      <w:rPr>
        <w:noProof/>
      </w:rPr>
      <w:t>7</w:t>
    </w:r>
    <w:r>
      <w:rPr>
        <w:noProof/>
      </w:rPr>
      <w:fldChar w:fldCharType="end"/>
    </w:r>
  </w:p>
  <w:p w14:paraId="6E6510B1" w14:textId="4631436A" w:rsidR="00760F1C" w:rsidRDefault="00760F1C" w:rsidP="00D22A11">
    <w:pPr>
      <w:pStyle w:val="Header"/>
    </w:pPr>
    <w:r>
      <w:t>C</w:t>
    </w:r>
    <w:r w:rsidR="007F350B">
      <w:t>1</w:t>
    </w:r>
    <w:r w:rsidR="00C2727F">
      <w:t>9</w:t>
    </w:r>
    <w:r>
      <w:t>/</w:t>
    </w:r>
    <w:r w:rsidR="00D22A11">
      <w:t>44</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013D0"/>
    <w:multiLevelType w:val="hybridMultilevel"/>
    <w:tmpl w:val="82A6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C2180"/>
    <w:multiLevelType w:val="hybridMultilevel"/>
    <w:tmpl w:val="A75851B0"/>
    <w:lvl w:ilvl="0" w:tplc="3FA0659C">
      <w:start w:val="18"/>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2A540BC9"/>
    <w:multiLevelType w:val="hybridMultilevel"/>
    <w:tmpl w:val="46B4D692"/>
    <w:lvl w:ilvl="0" w:tplc="2802500C">
      <w:start w:val="9"/>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468C314B"/>
    <w:multiLevelType w:val="hybridMultilevel"/>
    <w:tmpl w:val="A27E4584"/>
    <w:lvl w:ilvl="0" w:tplc="6A92C332">
      <w:start w:val="1"/>
      <w:numFmt w:val="decimal"/>
      <w:lvlText w:val="%1."/>
      <w:lvlJc w:val="left"/>
      <w:pPr>
        <w:ind w:left="502" w:hanging="360"/>
      </w:pPr>
      <w:rPr>
        <w:rFonts w:asciiTheme="minorHAnsi" w:hAnsiTheme="minorHAnsi"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DC40DA"/>
    <w:multiLevelType w:val="hybridMultilevel"/>
    <w:tmpl w:val="78D02CB0"/>
    <w:lvl w:ilvl="0" w:tplc="0CA68E4C">
      <w:start w:val="12"/>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71"/>
    <w:rsid w:val="00006895"/>
    <w:rsid w:val="00007A18"/>
    <w:rsid w:val="00011B71"/>
    <w:rsid w:val="00093EEB"/>
    <w:rsid w:val="000B0D00"/>
    <w:rsid w:val="000B7C15"/>
    <w:rsid w:val="000C6428"/>
    <w:rsid w:val="000D1D0F"/>
    <w:rsid w:val="000F5290"/>
    <w:rsid w:val="0010165C"/>
    <w:rsid w:val="00146BFB"/>
    <w:rsid w:val="00172DFD"/>
    <w:rsid w:val="001D5BFC"/>
    <w:rsid w:val="001F14A2"/>
    <w:rsid w:val="00244964"/>
    <w:rsid w:val="002801AA"/>
    <w:rsid w:val="002C4676"/>
    <w:rsid w:val="002C70B0"/>
    <w:rsid w:val="002F3CC4"/>
    <w:rsid w:val="00320006"/>
    <w:rsid w:val="00344F82"/>
    <w:rsid w:val="00390B2A"/>
    <w:rsid w:val="003E6872"/>
    <w:rsid w:val="00440E94"/>
    <w:rsid w:val="00461248"/>
    <w:rsid w:val="004E0FC9"/>
    <w:rsid w:val="00501C29"/>
    <w:rsid w:val="00513630"/>
    <w:rsid w:val="00560125"/>
    <w:rsid w:val="00585553"/>
    <w:rsid w:val="0058704A"/>
    <w:rsid w:val="005B34D9"/>
    <w:rsid w:val="005C3511"/>
    <w:rsid w:val="005D0CCF"/>
    <w:rsid w:val="005F3BCB"/>
    <w:rsid w:val="005F410F"/>
    <w:rsid w:val="0060149A"/>
    <w:rsid w:val="00601924"/>
    <w:rsid w:val="006447EA"/>
    <w:rsid w:val="0064731F"/>
    <w:rsid w:val="006710F6"/>
    <w:rsid w:val="00690754"/>
    <w:rsid w:val="006A3152"/>
    <w:rsid w:val="006C1B56"/>
    <w:rsid w:val="006D0F04"/>
    <w:rsid w:val="006D4761"/>
    <w:rsid w:val="00726872"/>
    <w:rsid w:val="00752C90"/>
    <w:rsid w:val="00756EF9"/>
    <w:rsid w:val="00760F1C"/>
    <w:rsid w:val="007657F0"/>
    <w:rsid w:val="00767F35"/>
    <w:rsid w:val="0077252D"/>
    <w:rsid w:val="007C6D59"/>
    <w:rsid w:val="007E5DD3"/>
    <w:rsid w:val="007F350B"/>
    <w:rsid w:val="008038C8"/>
    <w:rsid w:val="00820BE4"/>
    <w:rsid w:val="008451E8"/>
    <w:rsid w:val="00913B9C"/>
    <w:rsid w:val="00956E77"/>
    <w:rsid w:val="009F4811"/>
    <w:rsid w:val="00AA390C"/>
    <w:rsid w:val="00B0200A"/>
    <w:rsid w:val="00B106E0"/>
    <w:rsid w:val="00B17976"/>
    <w:rsid w:val="00B31677"/>
    <w:rsid w:val="00B34025"/>
    <w:rsid w:val="00B574DB"/>
    <w:rsid w:val="00B826C2"/>
    <w:rsid w:val="00B8298E"/>
    <w:rsid w:val="00BD0723"/>
    <w:rsid w:val="00BD2518"/>
    <w:rsid w:val="00BF1D1C"/>
    <w:rsid w:val="00C20C59"/>
    <w:rsid w:val="00C2727F"/>
    <w:rsid w:val="00C55B1F"/>
    <w:rsid w:val="00C625ED"/>
    <w:rsid w:val="00CF1A67"/>
    <w:rsid w:val="00D22A11"/>
    <w:rsid w:val="00D2750E"/>
    <w:rsid w:val="00D62446"/>
    <w:rsid w:val="00D7736B"/>
    <w:rsid w:val="00DA4EA2"/>
    <w:rsid w:val="00DC3D3E"/>
    <w:rsid w:val="00DE2C90"/>
    <w:rsid w:val="00DE3B24"/>
    <w:rsid w:val="00E06947"/>
    <w:rsid w:val="00E21C5D"/>
    <w:rsid w:val="00E2715F"/>
    <w:rsid w:val="00E3592D"/>
    <w:rsid w:val="00E92DE8"/>
    <w:rsid w:val="00EB1212"/>
    <w:rsid w:val="00EC63EB"/>
    <w:rsid w:val="00ED223E"/>
    <w:rsid w:val="00ED65AB"/>
    <w:rsid w:val="00F12850"/>
    <w:rsid w:val="00F33BF4"/>
    <w:rsid w:val="00F47462"/>
    <w:rsid w:val="00F7105E"/>
    <w:rsid w:val="00F75F57"/>
    <w:rsid w:val="00F82FEE"/>
    <w:rsid w:val="00FA0ED1"/>
    <w:rsid w:val="00FD57D3"/>
    <w:rsid w:val="00FE4D2D"/>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3AAFE5"/>
  <w15:docId w15:val="{BEB085EF-3F45-4890-83C1-B352888A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
    <w:basedOn w:val="DefaultParagraphFont"/>
    <w:uiPriority w:val="99"/>
    <w:rsid w:val="000B0D00"/>
    <w:rPr>
      <w:position w:val="6"/>
      <w:sz w:val="16"/>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link w:val="FootnoteText"/>
    <w:rsid w:val="006A3152"/>
    <w:rPr>
      <w:rFonts w:ascii="Calibri" w:hAnsi="Calibri"/>
      <w:sz w:val="24"/>
      <w:lang w:val="es-ES_tradnl" w:eastAsia="en-US"/>
    </w:rPr>
  </w:style>
  <w:style w:type="paragraph" w:styleId="ListParagraph">
    <w:name w:val="List Paragraph"/>
    <w:basedOn w:val="Normal"/>
    <w:uiPriority w:val="34"/>
    <w:qFormat/>
    <w:rsid w:val="006A3152"/>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0" w:after="200" w:line="276" w:lineRule="auto"/>
      <w:ind w:left="720"/>
      <w:contextualSpacing/>
      <w:textAlignment w:val="auto"/>
    </w:pPr>
    <w:rPr>
      <w:rFonts w:ascii="Times New Roman" w:eastAsiaTheme="minorEastAsia" w:hAnsi="Times New Roman" w:cstheme="minorBidi"/>
      <w:sz w:val="22"/>
      <w:szCs w:val="22"/>
      <w:lang w:val="fr-CH" w:eastAsia="zh-CN"/>
    </w:rPr>
  </w:style>
  <w:style w:type="paragraph" w:customStyle="1" w:styleId="Default">
    <w:name w:val="Default"/>
    <w:rsid w:val="006A3152"/>
    <w:pPr>
      <w:autoSpaceDE w:val="0"/>
      <w:autoSpaceDN w:val="0"/>
      <w:adjustRightInd w:val="0"/>
    </w:pPr>
    <w:rPr>
      <w:rFonts w:ascii="Calibri" w:hAnsi="Calibri" w:cs="Calibri"/>
      <w:color w:val="000000"/>
      <w:sz w:val="24"/>
      <w:szCs w:val="24"/>
    </w:rPr>
  </w:style>
  <w:style w:type="character" w:customStyle="1" w:styleId="Heading1Char">
    <w:name w:val="Heading 1 Char"/>
    <w:link w:val="Heading1"/>
    <w:rsid w:val="006A3152"/>
    <w:rPr>
      <w:rFonts w:ascii="Calibri" w:hAnsi="Calibri"/>
      <w:b/>
      <w:sz w:val="28"/>
      <w:lang w:val="es-ES_tradnl" w:eastAsia="en-US"/>
    </w:rPr>
  </w:style>
  <w:style w:type="character" w:styleId="CommentReference">
    <w:name w:val="annotation reference"/>
    <w:basedOn w:val="DefaultParagraphFont"/>
    <w:semiHidden/>
    <w:unhideWhenUsed/>
    <w:rsid w:val="006A3152"/>
    <w:rPr>
      <w:sz w:val="16"/>
      <w:szCs w:val="16"/>
    </w:rPr>
  </w:style>
  <w:style w:type="paragraph" w:styleId="CommentText">
    <w:name w:val="annotation text"/>
    <w:basedOn w:val="Normal"/>
    <w:link w:val="CommentTextChar"/>
    <w:semiHidden/>
    <w:unhideWhenUsed/>
    <w:rsid w:val="006A3152"/>
    <w:rPr>
      <w:sz w:val="20"/>
    </w:rPr>
  </w:style>
  <w:style w:type="character" w:customStyle="1" w:styleId="CommentTextChar">
    <w:name w:val="Comment Text Char"/>
    <w:basedOn w:val="DefaultParagraphFont"/>
    <w:link w:val="CommentText"/>
    <w:semiHidden/>
    <w:rsid w:val="006A3152"/>
    <w:rPr>
      <w:rFonts w:ascii="Calibri" w:hAnsi="Calibri"/>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Documents/Financial-Regulations/S-GEN-REG_RGTFIN-2018-PDF-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s://www.itu.int/md/S19-CL-INF-0014/e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iia.org" TargetMode="External"/><Relationship Id="rId1" Type="http://schemas.openxmlformats.org/officeDocument/2006/relationships/hyperlink" Target="http://www.theii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9.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400" b="0" i="1" u="none" strike="noStrike" baseline="0">
                <a:effectLst/>
              </a:rPr>
              <a:t>Nivel de importancia de las recomendaciones </a:t>
            </a:r>
            <a:br>
              <a:rPr lang="es-ES" sz="1400" b="0" i="1" u="none" strike="noStrike" baseline="0">
                <a:effectLst/>
              </a:rPr>
            </a:br>
            <a:r>
              <a:rPr lang="es-ES" sz="1400" b="0" i="1" u="none" strike="noStrike" baseline="0">
                <a:effectLst/>
              </a:rPr>
              <a:t>en curso/tardías</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strRef>
              <c:f>Statistics!$R$38</c:f>
              <c:strCache>
                <c:ptCount val="1"/>
                <c:pt idx="0">
                  <c:v>Critical</c:v>
                </c:pt>
              </c:strCache>
            </c:strRef>
          </c:tx>
          <c:spPr>
            <a:solidFill>
              <a:srgbClr val="FF0000"/>
            </a:solidFill>
            <a:ln>
              <a:noFill/>
            </a:ln>
            <a:effectLst/>
          </c:spPr>
          <c:invertIfNegative val="0"/>
          <c:cat>
            <c:numRef>
              <c:f>Statistics!$Q$39:$Q$47</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Statistics!$R$39:$R$47</c:f>
              <c:numCache>
                <c:formatCode>General</c:formatCode>
                <c:ptCount val="9"/>
                <c:pt idx="4">
                  <c:v>0</c:v>
                </c:pt>
                <c:pt idx="7">
                  <c:v>1</c:v>
                </c:pt>
                <c:pt idx="8">
                  <c:v>6</c:v>
                </c:pt>
              </c:numCache>
            </c:numRef>
          </c:val>
          <c:extLst xmlns:c16r2="http://schemas.microsoft.com/office/drawing/2015/06/chart">
            <c:ext xmlns:c16="http://schemas.microsoft.com/office/drawing/2014/chart" uri="{C3380CC4-5D6E-409C-BE32-E72D297353CC}">
              <c16:uniqueId val="{00000000-374F-44A8-AE88-71EB94767125}"/>
            </c:ext>
          </c:extLst>
        </c:ser>
        <c:ser>
          <c:idx val="1"/>
          <c:order val="1"/>
          <c:tx>
            <c:strRef>
              <c:f>Statistics!$S$38</c:f>
              <c:strCache>
                <c:ptCount val="1"/>
                <c:pt idx="0">
                  <c:v>High </c:v>
                </c:pt>
              </c:strCache>
            </c:strRef>
          </c:tx>
          <c:spPr>
            <a:solidFill>
              <a:srgbClr val="FFC000"/>
            </a:solidFill>
            <a:ln>
              <a:noFill/>
            </a:ln>
            <a:effectLst/>
          </c:spPr>
          <c:invertIfNegative val="0"/>
          <c:cat>
            <c:numRef>
              <c:f>Statistics!$Q$39:$Q$47</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Statistics!$S$39:$S$47</c:f>
              <c:numCache>
                <c:formatCode>General</c:formatCode>
                <c:ptCount val="9"/>
                <c:pt idx="0">
                  <c:v>0</c:v>
                </c:pt>
                <c:pt idx="2">
                  <c:v>2</c:v>
                </c:pt>
                <c:pt idx="3">
                  <c:v>2</c:v>
                </c:pt>
                <c:pt idx="4">
                  <c:v>2</c:v>
                </c:pt>
                <c:pt idx="5">
                  <c:v>6</c:v>
                </c:pt>
                <c:pt idx="6">
                  <c:v>8</c:v>
                </c:pt>
                <c:pt idx="7">
                  <c:v>8</c:v>
                </c:pt>
                <c:pt idx="8">
                  <c:v>7</c:v>
                </c:pt>
              </c:numCache>
            </c:numRef>
          </c:val>
          <c:extLst xmlns:c16r2="http://schemas.microsoft.com/office/drawing/2015/06/chart">
            <c:ext xmlns:c16="http://schemas.microsoft.com/office/drawing/2014/chart" uri="{C3380CC4-5D6E-409C-BE32-E72D297353CC}">
              <c16:uniqueId val="{00000001-374F-44A8-AE88-71EB94767125}"/>
            </c:ext>
          </c:extLst>
        </c:ser>
        <c:ser>
          <c:idx val="2"/>
          <c:order val="2"/>
          <c:tx>
            <c:strRef>
              <c:f>Statistics!$T$38</c:f>
              <c:strCache>
                <c:ptCount val="1"/>
                <c:pt idx="0">
                  <c:v>Medium</c:v>
                </c:pt>
              </c:strCache>
            </c:strRef>
          </c:tx>
          <c:spPr>
            <a:solidFill>
              <a:srgbClr val="FFFF00"/>
            </a:solidFill>
            <a:ln>
              <a:noFill/>
            </a:ln>
            <a:effectLst/>
          </c:spPr>
          <c:invertIfNegative val="0"/>
          <c:cat>
            <c:numRef>
              <c:f>Statistics!$Q$39:$Q$47</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Statistics!$T$39:$T$47</c:f>
              <c:numCache>
                <c:formatCode>General</c:formatCode>
                <c:ptCount val="9"/>
                <c:pt idx="0">
                  <c:v>2</c:v>
                </c:pt>
                <c:pt idx="2">
                  <c:v>3</c:v>
                </c:pt>
                <c:pt idx="3">
                  <c:v>0</c:v>
                </c:pt>
                <c:pt idx="4">
                  <c:v>2</c:v>
                </c:pt>
                <c:pt idx="5">
                  <c:v>2</c:v>
                </c:pt>
                <c:pt idx="6">
                  <c:v>10</c:v>
                </c:pt>
                <c:pt idx="7">
                  <c:v>9</c:v>
                </c:pt>
                <c:pt idx="8">
                  <c:v>2</c:v>
                </c:pt>
              </c:numCache>
            </c:numRef>
          </c:val>
          <c:extLst xmlns:c16r2="http://schemas.microsoft.com/office/drawing/2015/06/chart">
            <c:ext xmlns:c16="http://schemas.microsoft.com/office/drawing/2014/chart" uri="{C3380CC4-5D6E-409C-BE32-E72D297353CC}">
              <c16:uniqueId val="{00000002-374F-44A8-AE88-71EB94767125}"/>
            </c:ext>
          </c:extLst>
        </c:ser>
        <c:ser>
          <c:idx val="3"/>
          <c:order val="3"/>
          <c:tx>
            <c:strRef>
              <c:f>Statistics!$U$38</c:f>
              <c:strCache>
                <c:ptCount val="1"/>
                <c:pt idx="0">
                  <c:v>Low</c:v>
                </c:pt>
              </c:strCache>
            </c:strRef>
          </c:tx>
          <c:spPr>
            <a:solidFill>
              <a:srgbClr val="00B050"/>
            </a:solidFill>
            <a:ln>
              <a:noFill/>
            </a:ln>
            <a:effectLst/>
          </c:spPr>
          <c:invertIfNegative val="0"/>
          <c:cat>
            <c:numRef>
              <c:f>Statistics!$Q$39:$Q$47</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Statistics!$U$39:$U$47</c:f>
              <c:numCache>
                <c:formatCode>General</c:formatCode>
                <c:ptCount val="9"/>
                <c:pt idx="0">
                  <c:v>1</c:v>
                </c:pt>
                <c:pt idx="2">
                  <c:v>0</c:v>
                </c:pt>
                <c:pt idx="5">
                  <c:v>0</c:v>
                </c:pt>
                <c:pt idx="7">
                  <c:v>2</c:v>
                </c:pt>
              </c:numCache>
            </c:numRef>
          </c:val>
          <c:extLst xmlns:c16r2="http://schemas.microsoft.com/office/drawing/2015/06/chart">
            <c:ext xmlns:c16="http://schemas.microsoft.com/office/drawing/2014/chart" uri="{C3380CC4-5D6E-409C-BE32-E72D297353CC}">
              <c16:uniqueId val="{00000003-374F-44A8-AE88-71EB94767125}"/>
            </c:ext>
          </c:extLst>
        </c:ser>
        <c:dLbls>
          <c:showLegendKey val="0"/>
          <c:showVal val="0"/>
          <c:showCatName val="0"/>
          <c:showSerName val="0"/>
          <c:showPercent val="0"/>
          <c:showBubbleSize val="0"/>
        </c:dLbls>
        <c:gapWidth val="219"/>
        <c:overlap val="-27"/>
        <c:axId val="389791504"/>
        <c:axId val="389797384"/>
      </c:barChart>
      <c:catAx>
        <c:axId val="389791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89797384"/>
        <c:crosses val="autoZero"/>
        <c:auto val="1"/>
        <c:lblAlgn val="ctr"/>
        <c:lblOffset val="100"/>
        <c:noMultiLvlLbl val="0"/>
      </c:catAx>
      <c:valAx>
        <c:axId val="389797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897915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PS_C19.dotx</Template>
  <TotalTime>36</TotalTime>
  <Pages>7</Pages>
  <Words>2610</Words>
  <Characters>13823</Characters>
  <Application>Microsoft Office Word</Application>
  <DocSecurity>0</DocSecurity>
  <Lines>115</Lines>
  <Paragraphs>32</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16401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Spanish</dc:creator>
  <cp:keywords>C2018, C18</cp:keywords>
  <dc:description/>
  <cp:lastModifiedBy>Spanish</cp:lastModifiedBy>
  <cp:revision>39</cp:revision>
  <cp:lastPrinted>2006-03-24T09:51:00Z</cp:lastPrinted>
  <dcterms:created xsi:type="dcterms:W3CDTF">2019-06-06T12:51:00Z</dcterms:created>
  <dcterms:modified xsi:type="dcterms:W3CDTF">2019-06-06T14:06:00Z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