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DB746D">
        <w:trPr>
          <w:cantSplit/>
        </w:trPr>
        <w:tc>
          <w:tcPr>
            <w:tcW w:w="6912" w:type="dxa"/>
          </w:tcPr>
          <w:p w:rsidR="00093EEB" w:rsidRPr="00DB746D" w:rsidRDefault="00093EEB" w:rsidP="00426C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DB746D">
              <w:rPr>
                <w:b/>
                <w:bCs/>
                <w:sz w:val="30"/>
                <w:szCs w:val="30"/>
              </w:rPr>
              <w:t>Consejo 201</w:t>
            </w:r>
            <w:r w:rsidR="00C2727F" w:rsidRPr="00DB746D">
              <w:rPr>
                <w:b/>
                <w:bCs/>
                <w:sz w:val="30"/>
                <w:szCs w:val="30"/>
              </w:rPr>
              <w:t>9</w:t>
            </w:r>
            <w:r w:rsidRPr="00DB746D">
              <w:rPr>
                <w:b/>
                <w:bCs/>
                <w:sz w:val="26"/>
                <w:szCs w:val="26"/>
              </w:rPr>
              <w:br/>
            </w:r>
            <w:r w:rsidRPr="00DB746D">
              <w:rPr>
                <w:b/>
                <w:bCs/>
                <w:szCs w:val="24"/>
              </w:rPr>
              <w:t>Ginebra, 1</w:t>
            </w:r>
            <w:r w:rsidR="00C2727F" w:rsidRPr="00DB746D">
              <w:rPr>
                <w:b/>
                <w:bCs/>
                <w:szCs w:val="24"/>
              </w:rPr>
              <w:t>0</w:t>
            </w:r>
            <w:r w:rsidRPr="00DB746D">
              <w:rPr>
                <w:b/>
                <w:bCs/>
                <w:szCs w:val="24"/>
              </w:rPr>
              <w:t>-2</w:t>
            </w:r>
            <w:r w:rsidR="00C2727F" w:rsidRPr="00DB746D">
              <w:rPr>
                <w:b/>
                <w:bCs/>
                <w:szCs w:val="24"/>
              </w:rPr>
              <w:t>0</w:t>
            </w:r>
            <w:r w:rsidRPr="00DB746D">
              <w:rPr>
                <w:b/>
                <w:bCs/>
                <w:szCs w:val="24"/>
              </w:rPr>
              <w:t xml:space="preserve"> de </w:t>
            </w:r>
            <w:r w:rsidR="00C2727F" w:rsidRPr="00DB746D">
              <w:rPr>
                <w:b/>
                <w:bCs/>
                <w:szCs w:val="24"/>
              </w:rPr>
              <w:t>junio</w:t>
            </w:r>
            <w:r w:rsidRPr="00DB746D">
              <w:rPr>
                <w:b/>
                <w:bCs/>
                <w:szCs w:val="24"/>
              </w:rPr>
              <w:t xml:space="preserve"> de 201</w:t>
            </w:r>
            <w:r w:rsidR="00C2727F" w:rsidRPr="00DB746D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DB746D" w:rsidRDefault="00093EEB" w:rsidP="00426C11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DB746D">
              <w:rPr>
                <w:rFonts w:cstheme="minorHAnsi"/>
                <w:b/>
                <w:bCs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DB746D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DB746D" w:rsidRDefault="00093EEB" w:rsidP="00426C11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DB746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DB746D" w:rsidRDefault="00093EEB" w:rsidP="00426C11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DB746D" w:rsidRDefault="00093EEB" w:rsidP="00426C11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DB746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DB746D" w:rsidRDefault="00216BA3" w:rsidP="00426C11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DB746D">
              <w:rPr>
                <w:rFonts w:cs="Times"/>
                <w:b/>
                <w:szCs w:val="24"/>
              </w:rPr>
              <w:t xml:space="preserve">Punto del orden del día: </w:t>
            </w:r>
            <w:r w:rsidRPr="00DB746D">
              <w:rPr>
                <w:rFonts w:asciiTheme="minorHAnsi" w:hAnsiTheme="minorHAnsi"/>
                <w:b/>
              </w:rPr>
              <w:t>ADM 18</w:t>
            </w:r>
          </w:p>
        </w:tc>
        <w:tc>
          <w:tcPr>
            <w:tcW w:w="3261" w:type="dxa"/>
          </w:tcPr>
          <w:p w:rsidR="00093EEB" w:rsidRPr="00DB746D" w:rsidRDefault="00093EEB" w:rsidP="00426C11">
            <w:pPr>
              <w:spacing w:before="0"/>
              <w:rPr>
                <w:b/>
                <w:bCs/>
                <w:szCs w:val="24"/>
              </w:rPr>
            </w:pPr>
            <w:r w:rsidRPr="00DB746D">
              <w:rPr>
                <w:b/>
                <w:bCs/>
                <w:szCs w:val="24"/>
              </w:rPr>
              <w:t>Documento C1</w:t>
            </w:r>
            <w:r w:rsidR="00C2727F" w:rsidRPr="00DB746D">
              <w:rPr>
                <w:b/>
                <w:bCs/>
                <w:szCs w:val="24"/>
              </w:rPr>
              <w:t>9</w:t>
            </w:r>
            <w:r w:rsidRPr="00DB746D">
              <w:rPr>
                <w:b/>
                <w:bCs/>
                <w:szCs w:val="24"/>
              </w:rPr>
              <w:t>/</w:t>
            </w:r>
            <w:r w:rsidR="00A476D4" w:rsidRPr="00DB746D">
              <w:rPr>
                <w:b/>
                <w:bCs/>
                <w:szCs w:val="24"/>
              </w:rPr>
              <w:t>48</w:t>
            </w:r>
            <w:r w:rsidRPr="00DB746D">
              <w:rPr>
                <w:b/>
                <w:bCs/>
                <w:szCs w:val="24"/>
              </w:rPr>
              <w:t>-S</w:t>
            </w:r>
          </w:p>
        </w:tc>
      </w:tr>
      <w:tr w:rsidR="00093EEB" w:rsidRPr="00DB746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DB746D" w:rsidRDefault="00093EEB" w:rsidP="00426C11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DB746D" w:rsidRDefault="00A476D4" w:rsidP="00426C11">
            <w:pPr>
              <w:spacing w:before="0"/>
              <w:rPr>
                <w:b/>
                <w:bCs/>
                <w:szCs w:val="24"/>
              </w:rPr>
            </w:pPr>
            <w:r w:rsidRPr="00DB746D">
              <w:rPr>
                <w:b/>
                <w:bCs/>
                <w:szCs w:val="24"/>
              </w:rPr>
              <w:t>21 de mayo</w:t>
            </w:r>
            <w:r w:rsidR="00093EEB" w:rsidRPr="00DB746D">
              <w:rPr>
                <w:b/>
                <w:bCs/>
                <w:szCs w:val="24"/>
              </w:rPr>
              <w:t xml:space="preserve"> de 201</w:t>
            </w:r>
            <w:r w:rsidR="00C2727F" w:rsidRPr="00DB746D">
              <w:rPr>
                <w:b/>
                <w:bCs/>
                <w:szCs w:val="24"/>
              </w:rPr>
              <w:t>9</w:t>
            </w:r>
          </w:p>
        </w:tc>
      </w:tr>
      <w:tr w:rsidR="00093EEB" w:rsidRPr="00DB746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DB746D" w:rsidRDefault="00093EEB" w:rsidP="00426C11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DB746D" w:rsidRDefault="00093EEB" w:rsidP="00426C11">
            <w:pPr>
              <w:spacing w:before="0"/>
              <w:rPr>
                <w:b/>
                <w:bCs/>
                <w:szCs w:val="24"/>
              </w:rPr>
            </w:pPr>
            <w:r w:rsidRPr="00DB746D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DB746D">
        <w:trPr>
          <w:cantSplit/>
        </w:trPr>
        <w:tc>
          <w:tcPr>
            <w:tcW w:w="10173" w:type="dxa"/>
            <w:gridSpan w:val="2"/>
          </w:tcPr>
          <w:p w:rsidR="00093EEB" w:rsidRPr="00DB746D" w:rsidRDefault="00216BA3" w:rsidP="00426C11">
            <w:pPr>
              <w:pStyle w:val="Source"/>
            </w:pPr>
            <w:bookmarkStart w:id="7" w:name="dsource" w:colFirst="0" w:colLast="0"/>
            <w:bookmarkEnd w:id="1"/>
            <w:bookmarkEnd w:id="6"/>
            <w:r w:rsidRPr="00DB746D">
              <w:t>Nota del Secretario General</w:t>
            </w:r>
          </w:p>
        </w:tc>
      </w:tr>
      <w:tr w:rsidR="00093EEB" w:rsidRPr="00DB746D">
        <w:trPr>
          <w:cantSplit/>
        </w:trPr>
        <w:tc>
          <w:tcPr>
            <w:tcW w:w="10173" w:type="dxa"/>
            <w:gridSpan w:val="2"/>
          </w:tcPr>
          <w:p w:rsidR="00093EEB" w:rsidRPr="00DB746D" w:rsidRDefault="00216BA3" w:rsidP="00426C11">
            <w:pPr>
              <w:pStyle w:val="Title1"/>
            </w:pPr>
            <w:bookmarkStart w:id="8" w:name="dtitle1" w:colFirst="0" w:colLast="0"/>
            <w:bookmarkEnd w:id="7"/>
            <w:r w:rsidRPr="00DB746D">
              <w:rPr>
                <w:rFonts w:asciiTheme="minorHAnsi" w:hAnsiTheme="minorHAnsi"/>
              </w:rPr>
              <w:t xml:space="preserve">Informe resumido de los trabajos del grupo asesor de los </w:t>
            </w:r>
            <w:r w:rsidR="00E85120" w:rsidRPr="00DB746D">
              <w:rPr>
                <w:rFonts w:asciiTheme="minorHAnsi" w:hAnsiTheme="minorHAnsi"/>
              </w:rPr>
              <w:br/>
            </w:r>
            <w:r w:rsidRPr="00DB746D">
              <w:rPr>
                <w:rFonts w:asciiTheme="minorHAnsi" w:hAnsiTheme="minorHAnsi"/>
              </w:rPr>
              <w:t>estados miembros sobre el proyecto de sede de la unión</w:t>
            </w:r>
          </w:p>
        </w:tc>
      </w:tr>
    </w:tbl>
    <w:p w:rsidR="00216BA3" w:rsidRPr="00DB746D" w:rsidRDefault="00216BA3" w:rsidP="00426C11">
      <w:pPr>
        <w:pStyle w:val="Normalaftertitle"/>
        <w:spacing w:before="360"/>
      </w:pPr>
      <w:bookmarkStart w:id="9" w:name="lt_pId014"/>
      <w:bookmarkEnd w:id="8"/>
      <w:r w:rsidRPr="00DB746D">
        <w:t xml:space="preserve">Tengo el honor de transmitir a los Estados Miembros del Consejo el Informe resumido de los trabajos del </w:t>
      </w:r>
      <w:r w:rsidRPr="00DB746D">
        <w:rPr>
          <w:b/>
          <w:bCs/>
        </w:rPr>
        <w:t>Grupo Asesor de los Estados Miembros (GAEM)</w:t>
      </w:r>
      <w:r w:rsidRPr="00DB746D">
        <w:t>.</w:t>
      </w:r>
      <w:bookmarkEnd w:id="9"/>
    </w:p>
    <w:p w:rsidR="00216BA3" w:rsidRPr="00DB746D" w:rsidRDefault="00216BA3" w:rsidP="00426C1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4962"/>
          <w:tab w:val="center" w:pos="7513"/>
        </w:tabs>
        <w:spacing w:before="960"/>
        <w:rPr>
          <w:rFonts w:asciiTheme="minorHAnsi" w:hAnsiTheme="minorHAnsi"/>
        </w:rPr>
      </w:pPr>
      <w:r w:rsidRPr="00DB746D">
        <w:rPr>
          <w:rFonts w:asciiTheme="minorHAnsi" w:hAnsiTheme="minorHAnsi"/>
        </w:rPr>
        <w:tab/>
      </w:r>
      <w:r w:rsidRPr="00DB746D">
        <w:rPr>
          <w:rFonts w:asciiTheme="minorHAnsi" w:hAnsiTheme="minorHAnsi"/>
        </w:rPr>
        <w:tab/>
      </w:r>
      <w:bookmarkStart w:id="10" w:name="lt_pId015"/>
      <w:r w:rsidRPr="00DB746D">
        <w:rPr>
          <w:rFonts w:asciiTheme="minorHAnsi" w:hAnsiTheme="minorHAnsi"/>
        </w:rPr>
        <w:t>Houlin ZHAO</w:t>
      </w:r>
      <w:bookmarkEnd w:id="10"/>
      <w:r w:rsidRPr="00DB746D">
        <w:rPr>
          <w:rFonts w:asciiTheme="minorHAnsi" w:hAnsiTheme="minorHAnsi"/>
        </w:rPr>
        <w:br/>
      </w:r>
      <w:r w:rsidRPr="00DB746D">
        <w:rPr>
          <w:rFonts w:asciiTheme="minorHAnsi" w:hAnsiTheme="minorHAnsi"/>
        </w:rPr>
        <w:tab/>
      </w:r>
      <w:r w:rsidRPr="00DB746D">
        <w:rPr>
          <w:rFonts w:asciiTheme="minorHAnsi" w:hAnsiTheme="minorHAnsi"/>
        </w:rPr>
        <w:tab/>
      </w:r>
      <w:bookmarkStart w:id="11" w:name="lt_pId016"/>
      <w:r w:rsidRPr="00DB746D">
        <w:rPr>
          <w:rFonts w:asciiTheme="minorHAnsi" w:hAnsiTheme="minorHAnsi"/>
        </w:rPr>
        <w:t>Secretario General</w:t>
      </w:r>
      <w:bookmarkEnd w:id="11"/>
    </w:p>
    <w:p w:rsidR="00216BA3" w:rsidRPr="00DB746D" w:rsidRDefault="00216BA3" w:rsidP="00426C11">
      <w:r w:rsidRPr="00DB746D">
        <w:br w:type="page"/>
      </w:r>
    </w:p>
    <w:p w:rsidR="00216BA3" w:rsidRPr="00DB746D" w:rsidRDefault="00216BA3" w:rsidP="00426C11">
      <w:pPr>
        <w:pStyle w:val="Title1"/>
      </w:pPr>
      <w:bookmarkStart w:id="12" w:name="lt_pId017"/>
      <w:r w:rsidRPr="00DB746D">
        <w:lastRenderedPageBreak/>
        <w:t xml:space="preserve">informe resumido de los trabajos del grupo asesor de los </w:t>
      </w:r>
      <w:r w:rsidR="00C61B7C" w:rsidRPr="00DB746D">
        <w:br/>
      </w:r>
      <w:r w:rsidRPr="00DB746D">
        <w:t>estados miembros sobre el proyecto de sede de la unión</w:t>
      </w:r>
      <w:bookmarkEnd w:id="12"/>
    </w:p>
    <w:p w:rsidR="00093EEB" w:rsidRPr="00DB746D" w:rsidRDefault="00093EEB" w:rsidP="00426C11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DB746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DB746D" w:rsidRDefault="00093EEB" w:rsidP="00426C11">
            <w:pPr>
              <w:pStyle w:val="Headingb"/>
            </w:pPr>
            <w:r w:rsidRPr="00DB746D">
              <w:t>Resumen</w:t>
            </w:r>
          </w:p>
          <w:p w:rsidR="00093EEB" w:rsidRPr="00DB746D" w:rsidRDefault="00216BA3" w:rsidP="00426C11">
            <w:bookmarkStart w:id="13" w:name="lt_pId020"/>
            <w:r w:rsidRPr="00DB746D">
              <w:rPr>
                <w:rFonts w:asciiTheme="minorHAnsi" w:hAnsiTheme="minorHAnsi"/>
              </w:rPr>
              <w:t>En este documento se presenta un Informe resumido de los trabajos del Grupo Asesor de los Estados Miembros sobre el proyecto de Sede de la Unión (GAEM).</w:t>
            </w:r>
            <w:bookmarkEnd w:id="13"/>
          </w:p>
          <w:p w:rsidR="00093EEB" w:rsidRPr="00DB746D" w:rsidRDefault="00093EEB" w:rsidP="00426C11">
            <w:pPr>
              <w:pStyle w:val="Headingb"/>
            </w:pPr>
            <w:r w:rsidRPr="00DB746D">
              <w:t>Acción solicitada</w:t>
            </w:r>
          </w:p>
          <w:p w:rsidR="00216BA3" w:rsidRPr="00DB746D" w:rsidRDefault="00216BA3" w:rsidP="00426C11">
            <w:bookmarkStart w:id="14" w:name="lt_pId022"/>
            <w:r w:rsidRPr="00DB746D">
              <w:rPr>
                <w:rFonts w:asciiTheme="minorHAnsi" w:hAnsiTheme="minorHAnsi"/>
              </w:rPr>
              <w:t xml:space="preserve">Se invita al Consejo a </w:t>
            </w:r>
            <w:r w:rsidRPr="00DB746D">
              <w:rPr>
                <w:rFonts w:asciiTheme="minorHAnsi" w:hAnsiTheme="minorHAnsi"/>
                <w:b/>
                <w:bCs/>
              </w:rPr>
              <w:t>tomar nota</w:t>
            </w:r>
            <w:r w:rsidRPr="00DB746D">
              <w:rPr>
                <w:rFonts w:asciiTheme="minorHAnsi" w:hAnsiTheme="minorHAnsi"/>
              </w:rPr>
              <w:t xml:space="preserve"> del Informe y a </w:t>
            </w:r>
            <w:r w:rsidRPr="00DB746D">
              <w:rPr>
                <w:rFonts w:asciiTheme="minorHAnsi" w:hAnsiTheme="minorHAnsi"/>
                <w:b/>
              </w:rPr>
              <w:t xml:space="preserve">facilitar las orientaciones </w:t>
            </w:r>
            <w:r w:rsidRPr="00DB746D">
              <w:rPr>
                <w:rFonts w:asciiTheme="minorHAnsi" w:hAnsiTheme="minorHAnsi"/>
                <w:bCs/>
              </w:rPr>
              <w:t>que considere pertinentes</w:t>
            </w:r>
            <w:r w:rsidRPr="00DB746D">
              <w:rPr>
                <w:rFonts w:asciiTheme="minorHAnsi" w:hAnsiTheme="minorHAnsi"/>
              </w:rPr>
              <w:t>.</w:t>
            </w:r>
            <w:bookmarkEnd w:id="14"/>
          </w:p>
          <w:p w:rsidR="00093EEB" w:rsidRPr="00DB746D" w:rsidRDefault="00093EEB" w:rsidP="00426C11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DB746D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DB746D" w:rsidRDefault="00093EEB" w:rsidP="00426C11">
            <w:pPr>
              <w:pStyle w:val="Headingb"/>
            </w:pPr>
            <w:r w:rsidRPr="00DB746D">
              <w:t>Referencia</w:t>
            </w:r>
            <w:r w:rsidR="00FE0190" w:rsidRPr="00DB746D">
              <w:t>s</w:t>
            </w:r>
          </w:p>
          <w:bookmarkStart w:id="15" w:name="lt_pId024"/>
          <w:p w:rsidR="00093EEB" w:rsidRPr="00DB746D" w:rsidRDefault="00FE0190" w:rsidP="00426C11">
            <w:pPr>
              <w:spacing w:after="120"/>
              <w:rPr>
                <w:i/>
                <w:iCs/>
              </w:rPr>
            </w:pPr>
            <w:r w:rsidRPr="00DB746D">
              <w:rPr>
                <w:i/>
                <w:iCs/>
              </w:rPr>
              <w:fldChar w:fldCharType="begin"/>
            </w:r>
            <w:r w:rsidRPr="00DB746D">
              <w:rPr>
                <w:i/>
                <w:iCs/>
              </w:rPr>
              <w:instrText xml:space="preserve"> HYPERLINK "https://www.itu.int/md/S16-CL-C-0124/es" </w:instrText>
            </w:r>
            <w:r w:rsidRPr="00DB746D">
              <w:rPr>
                <w:i/>
                <w:iCs/>
              </w:rPr>
              <w:fldChar w:fldCharType="separate"/>
            </w:r>
            <w:r w:rsidRPr="00DB746D">
              <w:rPr>
                <w:rStyle w:val="Hyperlink"/>
                <w:i/>
                <w:iCs/>
              </w:rPr>
              <w:t>Acuerdo</w:t>
            </w:r>
            <w:r w:rsidRPr="00DB746D">
              <w:rPr>
                <w:rStyle w:val="Hyperlink"/>
                <w:rFonts w:asciiTheme="minorHAnsi" w:hAnsiTheme="minorHAnsi"/>
                <w:i/>
                <w:iCs/>
              </w:rPr>
              <w:t xml:space="preserve"> 588</w:t>
            </w:r>
            <w:r w:rsidRPr="00DB746D">
              <w:rPr>
                <w:rStyle w:val="Hyperlink"/>
                <w:i/>
                <w:iCs/>
              </w:rPr>
              <w:t xml:space="preserve"> del Consejo</w:t>
            </w:r>
            <w:r w:rsidRPr="00DB746D">
              <w:rPr>
                <w:i/>
                <w:iCs/>
              </w:rPr>
              <w:fldChar w:fldCharType="end"/>
            </w:r>
            <w:r w:rsidRPr="00DB746D">
              <w:rPr>
                <w:rFonts w:asciiTheme="minorHAnsi" w:hAnsiTheme="minorHAnsi"/>
                <w:i/>
                <w:iCs/>
              </w:rPr>
              <w:t xml:space="preserve">, </w:t>
            </w:r>
            <w:hyperlink r:id="rId7" w:history="1">
              <w:r w:rsidR="00AB166F" w:rsidRPr="00DB746D">
                <w:rPr>
                  <w:rStyle w:val="Hyperlink"/>
                  <w:rFonts w:asciiTheme="minorHAnsi" w:hAnsiTheme="minorHAnsi"/>
                  <w:i/>
                  <w:iCs/>
                </w:rPr>
                <w:t>Resolució</w:t>
              </w:r>
              <w:r w:rsidRPr="00DB746D">
                <w:rPr>
                  <w:rStyle w:val="Hyperlink"/>
                  <w:rFonts w:asciiTheme="minorHAnsi" w:hAnsiTheme="minorHAnsi"/>
                  <w:i/>
                  <w:iCs/>
                </w:rPr>
                <w:t>n 212 (Dub</w:t>
              </w:r>
              <w:r w:rsidR="00AB166F" w:rsidRPr="00DB746D">
                <w:rPr>
                  <w:rStyle w:val="Hyperlink"/>
                  <w:rFonts w:asciiTheme="minorHAnsi" w:hAnsiTheme="minorHAnsi"/>
                  <w:i/>
                  <w:iCs/>
                </w:rPr>
                <w:t>á</w:t>
              </w:r>
              <w:r w:rsidRPr="00DB746D">
                <w:rPr>
                  <w:rStyle w:val="Hyperlink"/>
                  <w:rFonts w:asciiTheme="minorHAnsi" w:hAnsiTheme="minorHAnsi"/>
                  <w:i/>
                  <w:iCs/>
                </w:rPr>
                <w:t>i, 2018)</w:t>
              </w:r>
            </w:hyperlink>
            <w:r w:rsidRPr="00DB746D">
              <w:t xml:space="preserve">, </w:t>
            </w:r>
            <w:hyperlink r:id="rId8" w:history="1">
              <w:r w:rsidRPr="00DB746D">
                <w:rPr>
                  <w:rStyle w:val="Hyperlink"/>
                  <w:rFonts w:asciiTheme="minorHAnsi" w:hAnsiTheme="minorHAnsi"/>
                  <w:i/>
                  <w:iCs/>
                </w:rPr>
                <w:t>C18/48</w:t>
              </w:r>
            </w:hyperlink>
            <w:bookmarkEnd w:id="15"/>
          </w:p>
        </w:tc>
      </w:tr>
    </w:tbl>
    <w:p w:rsidR="00C61B7C" w:rsidRPr="00DB746D" w:rsidRDefault="00C61B7C" w:rsidP="00426C11">
      <w:bookmarkStart w:id="16" w:name="lt_pId025"/>
    </w:p>
    <w:p w:rsidR="00C61B7C" w:rsidRPr="00DB746D" w:rsidRDefault="004A7CA3" w:rsidP="00426C11">
      <w:r w:rsidRPr="00DB746D">
        <w:t>Desde la reunión de abril de 2018 del Co</w:t>
      </w:r>
      <w:r w:rsidR="00DD5205" w:rsidRPr="00DB746D">
        <w:t>nsejo</w:t>
      </w:r>
      <w:r w:rsidRPr="00DB746D">
        <w:t xml:space="preserve"> se han celebrado tres reuniones del Grupo Asesor de los Estados Miembros sobre el proyecto de Sede de la Unión (GAEM).</w:t>
      </w:r>
      <w:r w:rsidR="00DD5205" w:rsidRPr="00DB746D">
        <w:t xml:space="preserve"> Esas</w:t>
      </w:r>
      <w:r w:rsidRPr="00DB746D">
        <w:t xml:space="preserve"> reu</w:t>
      </w:r>
      <w:r w:rsidR="00353704" w:rsidRPr="00DB746D">
        <w:t xml:space="preserve">niones tuvieron lugar </w:t>
      </w:r>
      <w:r w:rsidRPr="00DB746D">
        <w:t>los días 27 de junio de 2018, 28 de enero de 20</w:t>
      </w:r>
      <w:r w:rsidR="00353704" w:rsidRPr="00DB746D">
        <w:t>19 y 15 de abril de 2019 en Ginebra,</w:t>
      </w:r>
      <w:r w:rsidRPr="00DB746D">
        <w:t xml:space="preserve"> </w:t>
      </w:r>
      <w:r w:rsidR="00353704" w:rsidRPr="00DB746D">
        <w:t xml:space="preserve">con posibilidad de participar a distancia, </w:t>
      </w:r>
      <w:r w:rsidRPr="00DB746D">
        <w:t>bajo la presidencia del Sr. Dietmar Plesse (Alemania</w:t>
      </w:r>
      <w:r w:rsidR="00DD5205" w:rsidRPr="00DB746D">
        <w:t>). Los informes completos de es</w:t>
      </w:r>
      <w:r w:rsidRPr="00DB746D">
        <w:t>as reuniones pueden consultarse en el siguiente enlace</w:t>
      </w:r>
      <w:bookmarkStart w:id="17" w:name="lt_pId027"/>
      <w:bookmarkEnd w:id="16"/>
      <w:r w:rsidR="00C61B7C" w:rsidRPr="00DB746D">
        <w:t xml:space="preserve">: </w:t>
      </w:r>
      <w:hyperlink r:id="rId9" w:history="1">
        <w:r w:rsidR="00C61B7C" w:rsidRPr="00DB746D">
          <w:rPr>
            <w:rStyle w:val="Hyperlink"/>
            <w:rFonts w:asciiTheme="minorHAnsi" w:eastAsia="SimSun" w:hAnsiTheme="minorHAnsi"/>
            <w:lang w:eastAsia="en-AU"/>
          </w:rPr>
          <w:t>https://www.itu.int/en/hq-building/Pages/default.aspx</w:t>
        </w:r>
      </w:hyperlink>
      <w:r w:rsidR="00C61B7C" w:rsidRPr="00DB746D">
        <w:rPr>
          <w:rFonts w:eastAsia="SimSun"/>
          <w:lang w:eastAsia="en-AU"/>
        </w:rPr>
        <w:t xml:space="preserve"> (</w:t>
      </w:r>
      <w:r w:rsidRPr="00DB746D">
        <w:rPr>
          <w:rFonts w:eastAsia="SimSun"/>
          <w:lang w:eastAsia="en-AU"/>
        </w:rPr>
        <w:t xml:space="preserve">protegidos por el sistema </w:t>
      </w:r>
      <w:r w:rsidR="00C61B7C" w:rsidRPr="00DB746D">
        <w:rPr>
          <w:rFonts w:eastAsia="SimSun"/>
          <w:lang w:eastAsia="en-AU"/>
        </w:rPr>
        <w:t>TIES)</w:t>
      </w:r>
      <w:r w:rsidR="00C61B7C" w:rsidRPr="00DB746D">
        <w:t>.</w:t>
      </w:r>
      <w:bookmarkEnd w:id="17"/>
    </w:p>
    <w:p w:rsidR="00865EA8" w:rsidRPr="00DB746D" w:rsidRDefault="00865EA8" w:rsidP="00426C11">
      <w:pPr>
        <w:pStyle w:val="Heading1"/>
      </w:pPr>
      <w:r w:rsidRPr="00DB746D">
        <w:t>1</w:t>
      </w:r>
      <w:r w:rsidRPr="00DB746D">
        <w:tab/>
        <w:t>Antecedentes</w:t>
      </w:r>
    </w:p>
    <w:p w:rsidR="00865EA8" w:rsidRPr="00DB746D" w:rsidRDefault="008C27BB" w:rsidP="00426C11">
      <w:r w:rsidRPr="00DB746D">
        <w:rPr>
          <w:rFonts w:asciiTheme="minorHAnsi" w:hAnsiTheme="minorHAnsi"/>
        </w:rPr>
        <w:t>1.1</w:t>
      </w:r>
      <w:r w:rsidR="00865EA8" w:rsidRPr="00DB746D">
        <w:rPr>
          <w:rFonts w:asciiTheme="minorHAnsi" w:hAnsiTheme="minorHAnsi"/>
        </w:rPr>
        <w:tab/>
      </w:r>
      <w:bookmarkStart w:id="18" w:name="lt_pId031"/>
      <w:r w:rsidR="00826745" w:rsidRPr="00DB746D">
        <w:rPr>
          <w:rFonts w:asciiTheme="minorHAnsi" w:hAnsiTheme="minorHAnsi"/>
        </w:rPr>
        <w:t>En</w:t>
      </w:r>
      <w:r w:rsidR="004A7CA3" w:rsidRPr="00DB746D">
        <w:rPr>
          <w:rFonts w:asciiTheme="minorHAnsi" w:hAnsiTheme="minorHAnsi"/>
        </w:rPr>
        <w:t xml:space="preserve"> la </w:t>
      </w:r>
      <w:r w:rsidR="004A7CA3" w:rsidRPr="00DB746D">
        <w:rPr>
          <w:rFonts w:asciiTheme="minorHAnsi" w:hAnsiTheme="minorHAnsi"/>
          <w:b/>
          <w:bCs/>
        </w:rPr>
        <w:t>quinta reunión</w:t>
      </w:r>
      <w:r w:rsidR="004A7CA3" w:rsidRPr="00DB746D">
        <w:rPr>
          <w:rFonts w:asciiTheme="minorHAnsi" w:hAnsiTheme="minorHAnsi"/>
        </w:rPr>
        <w:t>, celebrada el 27 de junio de 2018,</w:t>
      </w:r>
      <w:r w:rsidR="00353704" w:rsidRPr="00DB746D">
        <w:rPr>
          <w:rFonts w:asciiTheme="minorHAnsi" w:hAnsiTheme="minorHAnsi"/>
        </w:rPr>
        <w:t xml:space="preserve"> </w:t>
      </w:r>
      <w:r w:rsidR="00806460" w:rsidRPr="00DB746D">
        <w:rPr>
          <w:rFonts w:asciiTheme="minorHAnsi" w:hAnsiTheme="minorHAnsi"/>
        </w:rPr>
        <w:t>se presentó a</w:t>
      </w:r>
      <w:r w:rsidR="00353704" w:rsidRPr="00DB746D">
        <w:rPr>
          <w:rFonts w:asciiTheme="minorHAnsi" w:hAnsiTheme="minorHAnsi"/>
        </w:rPr>
        <w:t>l</w:t>
      </w:r>
      <w:r w:rsidR="004A7CA3" w:rsidRPr="00DB746D">
        <w:rPr>
          <w:rFonts w:asciiTheme="minorHAnsi" w:hAnsiTheme="minorHAnsi"/>
        </w:rPr>
        <w:t xml:space="preserve"> </w:t>
      </w:r>
      <w:r w:rsidR="00353704" w:rsidRPr="00DB746D">
        <w:rPr>
          <w:rFonts w:asciiTheme="minorHAnsi" w:hAnsiTheme="minorHAnsi"/>
        </w:rPr>
        <w:t>GAEM un</w:t>
      </w:r>
      <w:r w:rsidR="004A7CA3" w:rsidRPr="00DB746D">
        <w:rPr>
          <w:rFonts w:asciiTheme="minorHAnsi" w:hAnsiTheme="minorHAnsi"/>
        </w:rPr>
        <w:t xml:space="preserve"> </w:t>
      </w:r>
      <w:r w:rsidR="00806460" w:rsidRPr="00DB746D">
        <w:rPr>
          <w:rFonts w:asciiTheme="minorHAnsi" w:hAnsiTheme="minorHAnsi"/>
        </w:rPr>
        <w:t xml:space="preserve">primer </w:t>
      </w:r>
      <w:r w:rsidR="004A7CA3" w:rsidRPr="00DB746D">
        <w:rPr>
          <w:rFonts w:asciiTheme="minorHAnsi" w:hAnsiTheme="minorHAnsi"/>
        </w:rPr>
        <w:t xml:space="preserve">análisis </w:t>
      </w:r>
      <w:r w:rsidR="00DD5205" w:rsidRPr="00DB746D">
        <w:t>de</w:t>
      </w:r>
      <w:r w:rsidR="00DD5205" w:rsidRPr="00DB746D">
        <w:rPr>
          <w:rFonts w:asciiTheme="minorHAnsi" w:hAnsiTheme="minorHAnsi"/>
        </w:rPr>
        <w:t xml:space="preserve"> los datos </w:t>
      </w:r>
      <w:r w:rsidR="004A7CA3" w:rsidRPr="00DB746D">
        <w:rPr>
          <w:rFonts w:asciiTheme="minorHAnsi" w:hAnsiTheme="minorHAnsi"/>
        </w:rPr>
        <w:t>financiero</w:t>
      </w:r>
      <w:r w:rsidR="00DD5205" w:rsidRPr="00DB746D">
        <w:rPr>
          <w:rFonts w:asciiTheme="minorHAnsi" w:hAnsiTheme="minorHAnsi"/>
        </w:rPr>
        <w:t>s</w:t>
      </w:r>
      <w:r w:rsidR="004A7CA3" w:rsidRPr="00DB746D">
        <w:rPr>
          <w:rFonts w:asciiTheme="minorHAnsi" w:hAnsiTheme="minorHAnsi"/>
        </w:rPr>
        <w:t xml:space="preserve"> de los cuatro diseños premiados</w:t>
      </w:r>
      <w:r w:rsidR="00865EA8" w:rsidRPr="00DB746D">
        <w:rPr>
          <w:rFonts w:eastAsia="SimSun"/>
          <w:lang w:eastAsia="en-AU"/>
        </w:rPr>
        <w:t>.</w:t>
      </w:r>
      <w:bookmarkEnd w:id="18"/>
      <w:r w:rsidR="00865EA8" w:rsidRPr="00DB746D">
        <w:rPr>
          <w:rFonts w:eastAsia="SimSun"/>
          <w:lang w:eastAsia="en-AU"/>
        </w:rPr>
        <w:t xml:space="preserve"> </w:t>
      </w:r>
      <w:bookmarkStart w:id="19" w:name="lt_pId032"/>
      <w:r w:rsidR="00865EA8" w:rsidRPr="00DB746D">
        <w:rPr>
          <w:rFonts w:eastAsia="SimSun"/>
          <w:lang w:eastAsia="en-AU"/>
        </w:rPr>
        <w:t>El análisis independiente de los cost</w:t>
      </w:r>
      <w:r w:rsidR="00B939E0" w:rsidRPr="00DB746D">
        <w:rPr>
          <w:rFonts w:eastAsia="SimSun"/>
          <w:lang w:eastAsia="en-AU"/>
        </w:rPr>
        <w:t>o</w:t>
      </w:r>
      <w:r w:rsidR="00865EA8" w:rsidRPr="00DB746D">
        <w:rPr>
          <w:rFonts w:eastAsia="SimSun"/>
          <w:lang w:eastAsia="en-AU"/>
        </w:rPr>
        <w:t xml:space="preserve">s </w:t>
      </w:r>
      <w:r w:rsidR="004A7CA3" w:rsidRPr="00DB746D">
        <w:rPr>
          <w:rFonts w:eastAsia="SimSun"/>
          <w:lang w:eastAsia="en-AU"/>
        </w:rPr>
        <w:t xml:space="preserve">realizado en diciembre de </w:t>
      </w:r>
      <w:r w:rsidR="00865EA8" w:rsidRPr="00DB746D">
        <w:rPr>
          <w:rFonts w:eastAsia="SimSun"/>
          <w:spacing w:val="-2"/>
          <w:lang w:eastAsia="en-AU"/>
        </w:rPr>
        <w:t xml:space="preserve">2017 abarcaba únicamente los códigos de gastos de construcción (CGC) 1 </w:t>
      </w:r>
      <w:r w:rsidR="00865EA8" w:rsidRPr="00DB746D">
        <w:t>a 4 (a saber, 1-trabajos preparatorios, 2-construcción del edifi</w:t>
      </w:r>
      <w:r w:rsidR="003630A9" w:rsidRPr="00DB746D">
        <w:t>cio, 3-equipos del edificio y 4</w:t>
      </w:r>
      <w:r w:rsidR="003630A9" w:rsidRPr="00DB746D">
        <w:noBreakHyphen/>
      </w:r>
      <w:r w:rsidRPr="00DB746D">
        <w:t>trabajos externos</w:t>
      </w:r>
      <w:r w:rsidR="00865EA8" w:rsidRPr="00DB746D">
        <w:t>).</w:t>
      </w:r>
      <w:bookmarkEnd w:id="19"/>
      <w:r w:rsidR="00865EA8" w:rsidRPr="00DB746D">
        <w:t xml:space="preserve"> </w:t>
      </w:r>
      <w:bookmarkStart w:id="20" w:name="lt_pId033"/>
      <w:r w:rsidR="00806460" w:rsidRPr="00DB746D">
        <w:t>En las</w:t>
      </w:r>
      <w:r w:rsidR="00DD5205" w:rsidRPr="00DB746D">
        <w:t xml:space="preserve"> </w:t>
      </w:r>
      <w:r w:rsidR="00865EA8" w:rsidRPr="00DB746D">
        <w:t xml:space="preserve">estimaciones no </w:t>
      </w:r>
      <w:r w:rsidR="00806460" w:rsidRPr="00DB746D">
        <w:t xml:space="preserve">se incluían partidas </w:t>
      </w:r>
      <w:r w:rsidR="00865EA8" w:rsidRPr="00DB746D">
        <w:t xml:space="preserve">como los honorarios profesionales </w:t>
      </w:r>
      <w:r w:rsidR="00806460" w:rsidRPr="00DB746D">
        <w:t xml:space="preserve">relativos a </w:t>
      </w:r>
      <w:r w:rsidR="00865EA8" w:rsidRPr="00DB746D">
        <w:t xml:space="preserve">la gestión del proyecto (CGC 5), </w:t>
      </w:r>
      <w:r w:rsidR="00806460" w:rsidRPr="00DB746D">
        <w:t>que</w:t>
      </w:r>
      <w:r w:rsidR="00497F90" w:rsidRPr="00DB746D">
        <w:t xml:space="preserve"> pueden ser muy variables</w:t>
      </w:r>
      <w:r w:rsidR="00865EA8" w:rsidRPr="00DB746D">
        <w:t>.</w:t>
      </w:r>
      <w:bookmarkEnd w:id="20"/>
    </w:p>
    <w:p w:rsidR="004954CF" w:rsidRPr="00DB746D" w:rsidRDefault="004954CF" w:rsidP="004954CF">
      <w:pPr>
        <w:pStyle w:val="Normalaftertitle"/>
        <w:spacing w:after="240"/>
      </w:pPr>
      <w:r w:rsidRPr="00DB746D">
        <w:object w:dxaOrig="11614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77.5pt;height:76pt" o:ole="">
            <v:imagedata r:id="rId10" o:title=""/>
          </v:shape>
          <o:OLEObject Type="Embed" ProgID="Excel.Sheet.12" ShapeID="_x0000_i1046" DrawAspect="Content" ObjectID="_1621066148" r:id="rId11"/>
        </w:object>
      </w:r>
      <w:bookmarkStart w:id="21" w:name="lt_pId034"/>
    </w:p>
    <w:p w:rsidR="00865EA8" w:rsidRPr="00DB746D" w:rsidRDefault="00202D13" w:rsidP="004954CF">
      <w:r w:rsidRPr="00DB746D">
        <w:t xml:space="preserve">En cuanto al </w:t>
      </w:r>
      <w:r w:rsidR="0066193D" w:rsidRPr="00DB746D">
        <w:t xml:space="preserve">motivo por el que los proyectos galardonados presentaban dimensiones y previsiones de gastos </w:t>
      </w:r>
      <w:r w:rsidR="00497F90" w:rsidRPr="00DB746D">
        <w:t>variables</w:t>
      </w:r>
      <w:r w:rsidR="00865EA8" w:rsidRPr="00DB746D">
        <w:t xml:space="preserve">, </w:t>
      </w:r>
      <w:bookmarkStart w:id="22" w:name="lt_pId035"/>
      <w:bookmarkEnd w:id="21"/>
      <w:r w:rsidR="0066193D" w:rsidRPr="00DB746D">
        <w:t xml:space="preserve">la Secretaría explicó que, </w:t>
      </w:r>
      <w:r w:rsidR="00497F90" w:rsidRPr="00DB746D">
        <w:t>al tratarse</w:t>
      </w:r>
      <w:r w:rsidR="0066193D" w:rsidRPr="00DB746D">
        <w:t xml:space="preserve"> de una competición </w:t>
      </w:r>
      <w:r w:rsidRPr="00DB746D">
        <w:t>internacional,</w:t>
      </w:r>
      <w:r w:rsidR="0066193D" w:rsidRPr="00DB746D">
        <w:t xml:space="preserve"> la UIT había </w:t>
      </w:r>
      <w:r w:rsidRPr="00DB746D">
        <w:t xml:space="preserve">estimado conveniente </w:t>
      </w:r>
      <w:r w:rsidR="0066193D" w:rsidRPr="00DB746D">
        <w:t xml:space="preserve">no </w:t>
      </w:r>
      <w:r w:rsidR="00497F90" w:rsidRPr="00DB746D">
        <w:t>autorizar</w:t>
      </w:r>
      <w:r w:rsidR="0066193D" w:rsidRPr="00DB746D">
        <w:t xml:space="preserve"> </w:t>
      </w:r>
      <w:r w:rsidRPr="00DB746D">
        <w:t>las visitas a las instalaciones a fin de</w:t>
      </w:r>
      <w:r w:rsidR="0066193D" w:rsidRPr="00DB746D">
        <w:t xml:space="preserve"> no perjudicar a los participantes no locales y aplicar requisitos de competencia generales, </w:t>
      </w:r>
      <w:r w:rsidRPr="00DB746D">
        <w:t xml:space="preserve">con objeto de </w:t>
      </w:r>
      <w:r w:rsidR="00FE4013" w:rsidRPr="00DB746D">
        <w:t>ofrecer a los participantes el mayor espacio posible para la</w:t>
      </w:r>
      <w:r w:rsidR="0066193D" w:rsidRPr="00DB746D">
        <w:t xml:space="preserve"> innovación. Además, algunos arquitectos habían interpretado que el presupuesto del proyecto (publicado por terceros</w:t>
      </w:r>
      <w:r w:rsidR="00FE4013" w:rsidRPr="00DB746D">
        <w:t>) se limitaba a la construcción</w:t>
      </w:r>
      <w:r w:rsidR="0066193D" w:rsidRPr="00DB746D">
        <w:t xml:space="preserve"> </w:t>
      </w:r>
      <w:r w:rsidR="00FE4013" w:rsidRPr="00DB746D">
        <w:t>y que no</w:t>
      </w:r>
      <w:r w:rsidR="0066193D" w:rsidRPr="00DB746D">
        <w:t xml:space="preserve"> engloba</w:t>
      </w:r>
      <w:r w:rsidR="00FE4013" w:rsidRPr="00DB746D">
        <w:t>ba</w:t>
      </w:r>
      <w:r w:rsidR="0066193D" w:rsidRPr="00DB746D">
        <w:t xml:space="preserve"> todos los </w:t>
      </w:r>
      <w:r w:rsidR="00FE4013" w:rsidRPr="00DB746D">
        <w:t xml:space="preserve">demás </w:t>
      </w:r>
      <w:r w:rsidR="0066193D" w:rsidRPr="00DB746D">
        <w:t xml:space="preserve">elementos </w:t>
      </w:r>
      <w:r w:rsidR="00FE4013" w:rsidRPr="00DB746D">
        <w:t>del proyecto</w:t>
      </w:r>
      <w:r w:rsidR="0066193D" w:rsidRPr="00DB746D">
        <w:t xml:space="preserve"> (</w:t>
      </w:r>
      <w:r w:rsidR="00FE4013" w:rsidRPr="00DB746D">
        <w:t>como</w:t>
      </w:r>
      <w:r w:rsidR="0066193D" w:rsidRPr="00DB746D">
        <w:t xml:space="preserve"> la demolición, </w:t>
      </w:r>
      <w:r w:rsidR="0066193D" w:rsidRPr="00DB746D">
        <w:lastRenderedPageBreak/>
        <w:t>los honorarios profesionales, la reubicación temporal</w:t>
      </w:r>
      <w:r w:rsidR="00951BA5" w:rsidRPr="00DB746D">
        <w:t xml:space="preserve"> del personal</w:t>
      </w:r>
      <w:r w:rsidR="0066193D" w:rsidRPr="00DB746D">
        <w:t xml:space="preserve">, los sistemas informáticos y audiovisuales, los equipos y </w:t>
      </w:r>
      <w:r w:rsidR="00FE4013" w:rsidRPr="00DB746D">
        <w:t>el mobiliario</w:t>
      </w:r>
      <w:r w:rsidR="0066193D" w:rsidRPr="00DB746D">
        <w:t>)</w:t>
      </w:r>
      <w:r w:rsidR="00865EA8" w:rsidRPr="00DB746D">
        <w:t>.</w:t>
      </w:r>
      <w:bookmarkEnd w:id="22"/>
    </w:p>
    <w:p w:rsidR="00865EA8" w:rsidRPr="00DB746D" w:rsidRDefault="00ED4C14" w:rsidP="00426C11">
      <w:pPr>
        <w:rPr>
          <w:rFonts w:asciiTheme="minorHAnsi" w:hAnsiTheme="minorHAnsi" w:cstheme="minorHAnsi"/>
          <w:color w:val="000000" w:themeColor="text1"/>
          <w:szCs w:val="24"/>
        </w:rPr>
      </w:pPr>
      <w:r w:rsidRPr="00DB746D">
        <w:rPr>
          <w:rFonts w:asciiTheme="minorHAnsi" w:hAnsiTheme="minorHAnsi"/>
          <w:color w:val="000000" w:themeColor="text1"/>
          <w:szCs w:val="24"/>
        </w:rPr>
        <w:t>1.2</w:t>
      </w:r>
      <w:r w:rsidR="00865EA8" w:rsidRPr="00DB746D">
        <w:rPr>
          <w:rFonts w:asciiTheme="minorHAnsi" w:hAnsiTheme="minorHAnsi"/>
          <w:color w:val="000000" w:themeColor="text1"/>
          <w:szCs w:val="24"/>
        </w:rPr>
        <w:tab/>
      </w:r>
      <w:bookmarkStart w:id="23" w:name="lt_pId041"/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Con </w:t>
      </w:r>
      <w:r w:rsidR="0066193D" w:rsidRPr="00DB746D">
        <w:rPr>
          <w:rFonts w:eastAsia="SimSun"/>
          <w:lang w:eastAsia="en-AU"/>
        </w:rPr>
        <w:t>respecto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 a los equipos del edificio, la Secretaría explicó que el préstamo suizo solo podía utilizarse para </w:t>
      </w:r>
      <w:r w:rsidR="00FE4013" w:rsidRPr="00DB746D">
        <w:rPr>
          <w:rFonts w:eastAsia="SimSun"/>
          <w:color w:val="000000" w:themeColor="text1"/>
          <w:szCs w:val="24"/>
          <w:lang w:eastAsia="en-AU"/>
        </w:rPr>
        <w:t xml:space="preserve">los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elementos "pasivos" (CGC 3, según la clasificación suiza) y no para </w:t>
      </w:r>
      <w:r w:rsidR="00FE4013" w:rsidRPr="00DB746D">
        <w:rPr>
          <w:rFonts w:eastAsia="SimSun"/>
          <w:color w:val="000000" w:themeColor="text1"/>
          <w:szCs w:val="24"/>
          <w:lang w:eastAsia="en-AU"/>
        </w:rPr>
        <w:t xml:space="preserve">los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elementos "activos" (CGC 9).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Los elementos que </w:t>
      </w:r>
      <w:r w:rsidR="00A46082" w:rsidRPr="00DB746D">
        <w:rPr>
          <w:rFonts w:eastAsia="SimSun"/>
          <w:color w:val="000000" w:themeColor="text1"/>
          <w:szCs w:val="24"/>
          <w:lang w:eastAsia="en-AU"/>
        </w:rPr>
        <w:t xml:space="preserve">se clasifican en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el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>CGC 3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 son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 los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que están estrechamente relacionados con la estructura del edificio. Los elementos del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>CGC 9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 son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, por ejemplo, </w:t>
      </w:r>
      <w:r w:rsidR="00951BA5" w:rsidRPr="00DB746D">
        <w:rPr>
          <w:rFonts w:eastAsia="SimSun"/>
          <w:color w:val="000000" w:themeColor="text1"/>
          <w:szCs w:val="24"/>
          <w:lang w:eastAsia="en-AU"/>
        </w:rPr>
        <w:t>el mobiliario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 y equipos móviles. El GAEM solicitó una lista exhaustiva de los elementos que</w:t>
      </w:r>
      <w:r w:rsidR="00A46082" w:rsidRPr="00DB746D">
        <w:rPr>
          <w:rFonts w:eastAsia="SimSun"/>
          <w:color w:val="000000" w:themeColor="text1"/>
          <w:szCs w:val="24"/>
          <w:lang w:eastAsia="en-AU"/>
        </w:rPr>
        <w:t xml:space="preserve">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>podía</w:t>
      </w:r>
      <w:r w:rsidR="00A46082" w:rsidRPr="00DB746D">
        <w:rPr>
          <w:rFonts w:eastAsia="SimSun"/>
          <w:color w:val="000000" w:themeColor="text1"/>
          <w:szCs w:val="24"/>
          <w:lang w:eastAsia="en-AU"/>
        </w:rPr>
        <w:t>n financiar</w:t>
      </w:r>
      <w:r w:rsidR="00951BA5" w:rsidRPr="00DB746D">
        <w:rPr>
          <w:rFonts w:eastAsia="SimSun"/>
          <w:color w:val="000000" w:themeColor="text1"/>
          <w:szCs w:val="24"/>
          <w:lang w:eastAsia="en-AU"/>
        </w:rPr>
        <w:t>se</w:t>
      </w:r>
      <w:r w:rsidR="00A46082" w:rsidRPr="00DB746D">
        <w:rPr>
          <w:rFonts w:eastAsia="SimSun"/>
          <w:color w:val="000000" w:themeColor="text1"/>
          <w:szCs w:val="24"/>
          <w:lang w:eastAsia="en-AU"/>
        </w:rPr>
        <w:t xml:space="preserve"> con el préstamo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 y los que no, junto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 con una estimación de los cost</w:t>
      </w:r>
      <w:r w:rsidR="00B939E0" w:rsidRPr="00DB746D">
        <w:rPr>
          <w:rFonts w:eastAsia="SimSun"/>
          <w:color w:val="000000" w:themeColor="text1"/>
          <w:szCs w:val="24"/>
          <w:lang w:eastAsia="en-AU"/>
        </w:rPr>
        <w:t>o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>s correspondientes.</w:t>
      </w:r>
      <w:r w:rsidR="00865EA8" w:rsidRPr="00DB746D">
        <w:rPr>
          <w:rFonts w:cs="Calibri"/>
          <w:b/>
          <w:color w:val="800000"/>
          <w:sz w:val="22"/>
          <w:szCs w:val="24"/>
        </w:rPr>
        <w:t xml:space="preserve">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En el Anexo 2 del documento </w:t>
      </w:r>
      <w:hyperlink r:id="rId12" w:history="1">
        <w:r w:rsidR="001A7897" w:rsidRPr="00DB746D">
          <w:rPr>
            <w:rStyle w:val="Hyperlink"/>
            <w:rFonts w:eastAsia="SimSun"/>
            <w:szCs w:val="24"/>
            <w:lang w:eastAsia="en-AU"/>
          </w:rPr>
          <w:t>C19/7</w:t>
        </w:r>
      </w:hyperlink>
      <w:r w:rsidR="001A7897" w:rsidRPr="00DB746D">
        <w:rPr>
          <w:rFonts w:eastAsia="SimSun"/>
          <w:color w:val="000000" w:themeColor="text1"/>
        </w:rPr>
        <w:t xml:space="preserve">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se </w:t>
      </w:r>
      <w:r w:rsidR="00A46082" w:rsidRPr="00DB746D">
        <w:rPr>
          <w:rFonts w:eastAsia="SimSun"/>
          <w:color w:val="000000" w:themeColor="text1"/>
          <w:szCs w:val="24"/>
          <w:lang w:eastAsia="en-AU"/>
        </w:rPr>
        <w:t>ofrecen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 indicaciones aproximadas. </w:t>
      </w:r>
      <w:r w:rsidR="00A46082" w:rsidRPr="00DB746D">
        <w:rPr>
          <w:rFonts w:eastAsia="SimSun"/>
          <w:color w:val="000000" w:themeColor="text1"/>
          <w:szCs w:val="24"/>
          <w:lang w:eastAsia="en-AU"/>
        </w:rPr>
        <w:t>El GAEM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 ha </w:t>
      </w:r>
      <w:r w:rsidR="00826745" w:rsidRPr="00DB746D">
        <w:rPr>
          <w:rFonts w:eastAsia="SimSun"/>
          <w:color w:val="000000" w:themeColor="text1"/>
          <w:szCs w:val="24"/>
          <w:lang w:eastAsia="en-AU"/>
        </w:rPr>
        <w:t xml:space="preserve">logrado extraer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información más detallada </w:t>
      </w:r>
      <w:r w:rsidR="00826745" w:rsidRPr="00DB746D">
        <w:rPr>
          <w:rFonts w:eastAsia="SimSun"/>
          <w:color w:val="000000" w:themeColor="text1"/>
          <w:szCs w:val="24"/>
          <w:lang w:eastAsia="en-AU"/>
        </w:rPr>
        <w:t>de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 la documentación </w:t>
      </w:r>
      <w:r w:rsidR="00EA3B1E" w:rsidRPr="00DB746D">
        <w:rPr>
          <w:rFonts w:eastAsia="SimSun"/>
          <w:color w:val="000000" w:themeColor="text1"/>
          <w:szCs w:val="24"/>
          <w:lang w:eastAsia="en-AU"/>
        </w:rPr>
        <w:t xml:space="preserve">del arquitecto sobre los avances de 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 xml:space="preserve">la fase </w:t>
      </w:r>
      <w:r w:rsidR="00EA3B1E" w:rsidRPr="00DB746D">
        <w:rPr>
          <w:rFonts w:eastAsia="SimSun"/>
          <w:color w:val="000000" w:themeColor="text1"/>
          <w:szCs w:val="24"/>
          <w:lang w:eastAsia="en-AU"/>
        </w:rPr>
        <w:t>previa al p</w:t>
      </w:r>
      <w:r w:rsidR="001A7897" w:rsidRPr="00DB746D">
        <w:rPr>
          <w:rFonts w:eastAsia="SimSun"/>
          <w:color w:val="000000" w:themeColor="text1"/>
          <w:szCs w:val="24"/>
          <w:lang w:eastAsia="en-AU"/>
        </w:rPr>
        <w:t>royecto</w:t>
      </w:r>
      <w:bookmarkStart w:id="24" w:name="lt_pId042"/>
      <w:bookmarkEnd w:id="23"/>
      <w:r w:rsidR="00865EA8" w:rsidRPr="00DB746D">
        <w:rPr>
          <w:rFonts w:asciiTheme="minorHAnsi" w:hAnsiTheme="minorHAnsi" w:cstheme="minorHAnsi"/>
          <w:color w:val="000000" w:themeColor="text1"/>
          <w:szCs w:val="24"/>
        </w:rPr>
        <w:t>.</w:t>
      </w:r>
      <w:bookmarkEnd w:id="24"/>
    </w:p>
    <w:p w:rsidR="00865EA8" w:rsidRPr="00DB746D" w:rsidRDefault="00865EA8" w:rsidP="00426C11">
      <w:pPr>
        <w:rPr>
          <w:rFonts w:eastAsia="SimSun"/>
          <w:color w:val="000000" w:themeColor="text1"/>
          <w:szCs w:val="24"/>
          <w:lang w:eastAsia="en-AU"/>
        </w:rPr>
      </w:pPr>
      <w:r w:rsidRPr="00DB746D">
        <w:rPr>
          <w:rFonts w:eastAsia="SimSun"/>
          <w:color w:val="000000" w:themeColor="text1"/>
          <w:szCs w:val="24"/>
          <w:lang w:eastAsia="en-AU"/>
        </w:rPr>
        <w:t>1.3</w:t>
      </w:r>
      <w:r w:rsidRPr="00DB746D">
        <w:rPr>
          <w:rFonts w:eastAsia="SimSun"/>
          <w:color w:val="000000" w:themeColor="text1"/>
          <w:szCs w:val="24"/>
          <w:lang w:eastAsia="en-AU"/>
        </w:rPr>
        <w:tab/>
      </w:r>
      <w:bookmarkStart w:id="25" w:name="lt_pId045"/>
      <w:r w:rsidR="00826745" w:rsidRPr="00DB746D">
        <w:rPr>
          <w:rFonts w:eastAsia="SimSun"/>
          <w:color w:val="000000" w:themeColor="text1"/>
          <w:szCs w:val="24"/>
          <w:lang w:eastAsia="en-AU"/>
        </w:rPr>
        <w:t xml:space="preserve">También en la quinta </w:t>
      </w:r>
      <w:r w:rsidR="00EA3B1E" w:rsidRPr="00DB746D">
        <w:rPr>
          <w:rFonts w:eastAsia="SimSun"/>
          <w:color w:val="000000" w:themeColor="text1"/>
          <w:szCs w:val="24"/>
          <w:lang w:eastAsia="en-AU"/>
        </w:rPr>
        <w:t>reunión, l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a FIPOI indicó que, </w:t>
      </w:r>
      <w:r w:rsidR="004A4898" w:rsidRPr="00DB746D">
        <w:rPr>
          <w:rFonts w:eastAsia="SimSun"/>
          <w:color w:val="000000" w:themeColor="text1"/>
          <w:szCs w:val="24"/>
          <w:lang w:eastAsia="en-AU"/>
        </w:rPr>
        <w:t xml:space="preserve">a estas alturas,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si </w:t>
      </w:r>
      <w:r w:rsidR="00EA3B1E" w:rsidRPr="00DB746D">
        <w:rPr>
          <w:rFonts w:eastAsia="SimSun"/>
          <w:color w:val="000000" w:themeColor="text1"/>
          <w:szCs w:val="24"/>
          <w:lang w:eastAsia="en-AU"/>
        </w:rPr>
        <w:t>el proyecto se atrasase un año más por considera</w:t>
      </w:r>
      <w:r w:rsidR="004A4898" w:rsidRPr="00DB746D">
        <w:rPr>
          <w:rFonts w:eastAsia="SimSun"/>
          <w:color w:val="000000" w:themeColor="text1"/>
          <w:szCs w:val="24"/>
          <w:lang w:eastAsia="en-AU"/>
        </w:rPr>
        <w:t>r</w:t>
      </w:r>
      <w:r w:rsidR="00EA3B1E" w:rsidRPr="00DB746D">
        <w:rPr>
          <w:rFonts w:eastAsia="SimSun"/>
          <w:color w:val="000000" w:themeColor="text1"/>
          <w:szCs w:val="24"/>
          <w:lang w:eastAsia="en-AU"/>
        </w:rPr>
        <w:t xml:space="preserve">se necesario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para garantizar </w:t>
      </w:r>
      <w:r w:rsidR="00EA3B1E" w:rsidRPr="00DB746D">
        <w:rPr>
          <w:rFonts w:eastAsia="SimSun"/>
          <w:color w:val="000000" w:themeColor="text1"/>
          <w:szCs w:val="24"/>
          <w:lang w:eastAsia="en-AU"/>
        </w:rPr>
        <w:t>su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 calidad, </w:t>
      </w:r>
      <w:r w:rsidR="004A4898" w:rsidRPr="00DB746D">
        <w:rPr>
          <w:rFonts w:eastAsia="SimSun"/>
          <w:color w:val="000000" w:themeColor="text1"/>
          <w:szCs w:val="24"/>
          <w:lang w:eastAsia="en-AU"/>
        </w:rPr>
        <w:t xml:space="preserve">ello no causaría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 xml:space="preserve">en principio </w:t>
      </w:r>
      <w:r w:rsidR="004A4898" w:rsidRPr="00DB746D">
        <w:rPr>
          <w:rFonts w:eastAsia="SimSun"/>
          <w:color w:val="000000" w:themeColor="text1"/>
          <w:szCs w:val="24"/>
          <w:lang w:eastAsia="en-AU"/>
        </w:rPr>
        <w:t xml:space="preserve">ningún problema </w:t>
      </w:r>
      <w:r w:rsidR="0066193D" w:rsidRPr="00DB746D">
        <w:rPr>
          <w:rFonts w:eastAsia="SimSun"/>
          <w:color w:val="000000" w:themeColor="text1"/>
          <w:szCs w:val="24"/>
          <w:lang w:eastAsia="en-AU"/>
        </w:rPr>
        <w:t>a Suiza</w:t>
      </w:r>
      <w:r w:rsidRPr="00DB746D">
        <w:rPr>
          <w:rFonts w:eastAsia="SimSun"/>
          <w:color w:val="000000" w:themeColor="text1"/>
          <w:szCs w:val="24"/>
          <w:lang w:eastAsia="en-AU"/>
        </w:rPr>
        <w:t>.</w:t>
      </w:r>
      <w:bookmarkEnd w:id="25"/>
    </w:p>
    <w:p w:rsidR="00865EA8" w:rsidRPr="00DB746D" w:rsidRDefault="00865EA8" w:rsidP="005C0CC3">
      <w:r w:rsidRPr="00DB746D">
        <w:t>1.4</w:t>
      </w:r>
      <w:r w:rsidRPr="00DB746D">
        <w:tab/>
      </w:r>
      <w:bookmarkStart w:id="26" w:name="lt_pId047"/>
      <w:r w:rsidR="00826745" w:rsidRPr="00DB746D">
        <w:t>El GAEM recibió el informe sobre los avances de la fase previa al proyecto i</w:t>
      </w:r>
      <w:r w:rsidR="004A4898" w:rsidRPr="00DB746D">
        <w:t xml:space="preserve">nmediatamente después de </w:t>
      </w:r>
      <w:r w:rsidR="00826745" w:rsidRPr="00DB746D">
        <w:t xml:space="preserve">su entrega por el </w:t>
      </w:r>
      <w:r w:rsidR="004A4898" w:rsidRPr="00DB746D">
        <w:t xml:space="preserve">arquitecto, el 15 de octubre de 2018, antes de la última reunión del Consejo de 2018 en </w:t>
      </w:r>
      <w:r w:rsidR="00933806" w:rsidRPr="00DB746D">
        <w:t>Dubái</w:t>
      </w:r>
      <w:r w:rsidR="00723073" w:rsidRPr="00DB746D">
        <w:t>. Sobre la base de es</w:t>
      </w:r>
      <w:r w:rsidR="004A4898" w:rsidRPr="00DB746D">
        <w:t xml:space="preserve">e </w:t>
      </w:r>
      <w:r w:rsidR="00933806" w:rsidRPr="00DB746D">
        <w:t>informe</w:t>
      </w:r>
      <w:r w:rsidR="00723073" w:rsidRPr="00DB746D">
        <w:t xml:space="preserve"> resumido,</w:t>
      </w:r>
      <w:r w:rsidR="00933806" w:rsidRPr="00DB746D">
        <w:t xml:space="preserve"> que se recoge e</w:t>
      </w:r>
      <w:r w:rsidR="004A4898" w:rsidRPr="00DB746D">
        <w:t xml:space="preserve">n el </w:t>
      </w:r>
      <w:r w:rsidR="005C0CC3" w:rsidRPr="00DB746D">
        <w:t xml:space="preserve">Documento </w:t>
      </w:r>
      <w:hyperlink r:id="rId13" w:history="1">
        <w:r w:rsidR="00933806" w:rsidRPr="00DB746D">
          <w:rPr>
            <w:rStyle w:val="Hyperlink"/>
            <w:rFonts w:asciiTheme="minorHAnsi" w:hAnsiTheme="minorHAnsi"/>
            <w:szCs w:val="24"/>
          </w:rPr>
          <w:t>C18/123</w:t>
        </w:r>
      </w:hyperlink>
      <w:r w:rsidR="004A4898" w:rsidRPr="00DB746D">
        <w:t>, se pidió al Consejo que tomara nota de que la estimación</w:t>
      </w:r>
      <w:r w:rsidR="00723073" w:rsidRPr="00DB746D">
        <w:t xml:space="preserve"> actual </w:t>
      </w:r>
      <w:r w:rsidR="004A4898" w:rsidRPr="00DB746D">
        <w:t>de</w:t>
      </w:r>
      <w:r w:rsidR="00723073" w:rsidRPr="00DB746D">
        <w:t xml:space="preserve"> los costos</w:t>
      </w:r>
      <w:r w:rsidR="004A4898" w:rsidRPr="00DB746D">
        <w:t xml:space="preserve"> máxim</w:t>
      </w:r>
      <w:r w:rsidR="00723073" w:rsidRPr="00DB746D">
        <w:t xml:space="preserve">os </w:t>
      </w:r>
      <w:r w:rsidR="004A4898" w:rsidRPr="00DB746D">
        <w:t xml:space="preserve">del proyecto, </w:t>
      </w:r>
      <w:r w:rsidR="00933806" w:rsidRPr="00DB746D">
        <w:t xml:space="preserve">incluidos </w:t>
      </w:r>
      <w:r w:rsidR="00B939E0" w:rsidRPr="00DB746D">
        <w:t>todos los costo</w:t>
      </w:r>
      <w:r w:rsidR="004A4898" w:rsidRPr="00DB746D">
        <w:t xml:space="preserve">s directos e indirectos </w:t>
      </w:r>
      <w:r w:rsidR="00723073" w:rsidRPr="00DB746D">
        <w:t>según</w:t>
      </w:r>
      <w:r w:rsidR="00933806" w:rsidRPr="00DB746D">
        <w:t xml:space="preserve"> la hipótesis más pesimista</w:t>
      </w:r>
      <w:r w:rsidR="004A4898" w:rsidRPr="00DB746D">
        <w:t xml:space="preserve">, es de 180 millones </w:t>
      </w:r>
      <w:bookmarkEnd w:id="26"/>
      <w:r w:rsidR="005C0CC3" w:rsidRPr="00DB746D">
        <w:t>CHF</w:t>
      </w:r>
      <w:r w:rsidR="00933806" w:rsidRPr="00DB746D">
        <w:t>.</w:t>
      </w:r>
    </w:p>
    <w:p w:rsidR="00865EA8" w:rsidRPr="00DB746D" w:rsidRDefault="00865EA8" w:rsidP="00426C11">
      <w:r w:rsidRPr="00DB746D">
        <w:t>1.5</w:t>
      </w:r>
      <w:r w:rsidRPr="00DB746D">
        <w:tab/>
      </w:r>
      <w:bookmarkStart w:id="27" w:name="lt_pId050"/>
      <w:r w:rsidR="004A4898" w:rsidRPr="00DB746D">
        <w:t>La Conferencia de Plenipotenciarios de 2018, mediante la Resolución 212, resolvió que el proyecto se financiar</w:t>
      </w:r>
      <w:r w:rsidR="00933806" w:rsidRPr="00DB746D">
        <w:t>ía</w:t>
      </w:r>
      <w:r w:rsidR="004A4898" w:rsidRPr="00DB746D">
        <w:t xml:space="preserve"> principalmente mediante el préstamo previsto en </w:t>
      </w:r>
      <w:r w:rsidR="008C40A2" w:rsidRPr="00DB746D">
        <w:t>el Acuerdo 588 del Consejo</w:t>
      </w:r>
      <w:r w:rsidR="004A4898" w:rsidRPr="00DB746D">
        <w:t xml:space="preserve">, </w:t>
      </w:r>
      <w:r w:rsidR="00933806" w:rsidRPr="00DB746D">
        <w:t xml:space="preserve">que sería </w:t>
      </w:r>
      <w:r w:rsidR="004A4898" w:rsidRPr="00DB746D">
        <w:t>complementado por un fondo temporal (el "</w:t>
      </w:r>
      <w:r w:rsidR="00933806" w:rsidRPr="00DB746D">
        <w:t>Fondo para el proyecto de nuevo edificio</w:t>
      </w:r>
      <w:r w:rsidR="004A4898" w:rsidRPr="00DB746D">
        <w:t xml:space="preserve">") </w:t>
      </w:r>
      <w:r w:rsidR="00933806" w:rsidRPr="00DB746D">
        <w:t>que cubriría</w:t>
      </w:r>
      <w:r w:rsidR="004A4898" w:rsidRPr="00DB746D">
        <w:t xml:space="preserve"> </w:t>
      </w:r>
      <w:r w:rsidR="00723073" w:rsidRPr="00DB746D">
        <w:t xml:space="preserve">las </w:t>
      </w:r>
      <w:r w:rsidR="004A4898" w:rsidRPr="00DB746D">
        <w:t xml:space="preserve">partidas adicionales que </w:t>
      </w:r>
      <w:r w:rsidR="00723073" w:rsidRPr="00DB746D">
        <w:t>no pueda</w:t>
      </w:r>
      <w:r w:rsidR="00933806" w:rsidRPr="00DB746D">
        <w:t xml:space="preserve">n financiarse </w:t>
      </w:r>
      <w:r w:rsidR="00723073" w:rsidRPr="00DB746D">
        <w:t>mediante el</w:t>
      </w:r>
      <w:r w:rsidR="00933806" w:rsidRPr="00DB746D">
        <w:t xml:space="preserve"> préstamo,</w:t>
      </w:r>
      <w:r w:rsidR="0077149E" w:rsidRPr="00DB746D">
        <w:t xml:space="preserve"> así como a través de </w:t>
      </w:r>
      <w:r w:rsidR="004A4898" w:rsidRPr="00DB746D">
        <w:t>patrocinios y</w:t>
      </w:r>
      <w:r w:rsidR="00933806" w:rsidRPr="00DB746D">
        <w:t xml:space="preserve"> </w:t>
      </w:r>
      <w:r w:rsidR="004A4898" w:rsidRPr="00DB746D">
        <w:t xml:space="preserve">donaciones para </w:t>
      </w:r>
      <w:r w:rsidR="001261A9" w:rsidRPr="00DB746D">
        <w:t xml:space="preserve">los </w:t>
      </w:r>
      <w:r w:rsidR="004A4898" w:rsidRPr="00DB746D">
        <w:t>fines mutuamente acordados.</w:t>
      </w:r>
      <w:bookmarkEnd w:id="27"/>
    </w:p>
    <w:p w:rsidR="00865EA8" w:rsidRPr="00DB746D" w:rsidRDefault="00865EA8" w:rsidP="00426C11">
      <w:r w:rsidRPr="00DB746D">
        <w:t>1.6</w:t>
      </w:r>
      <w:r w:rsidRPr="00DB746D">
        <w:tab/>
      </w:r>
      <w:bookmarkStart w:id="28" w:name="lt_pId052"/>
      <w:r w:rsidR="004A4898" w:rsidRPr="00DB746D">
        <w:t xml:space="preserve">Durante la </w:t>
      </w:r>
      <w:r w:rsidR="004A4898" w:rsidRPr="00DB746D">
        <w:rPr>
          <w:b/>
          <w:bCs/>
        </w:rPr>
        <w:t>sexta reunión</w:t>
      </w:r>
      <w:r w:rsidR="004A4898" w:rsidRPr="00DB746D">
        <w:t>, celebrada el 28 de enero de 2019, el GAEM recibió la confirmación definitiva de que el equipo audiovisual de la sala de conferencias (</w:t>
      </w:r>
      <w:r w:rsidR="00ED75F8" w:rsidRPr="00DB746D">
        <w:t>CGC</w:t>
      </w:r>
      <w:r w:rsidR="0077149E" w:rsidRPr="00DB746D">
        <w:t xml:space="preserve"> 9)</w:t>
      </w:r>
      <w:r w:rsidR="004A4898" w:rsidRPr="00DB746D">
        <w:t xml:space="preserve"> no pod</w:t>
      </w:r>
      <w:r w:rsidR="004B0290" w:rsidRPr="00DB746D">
        <w:t>r</w:t>
      </w:r>
      <w:r w:rsidR="004A4898" w:rsidRPr="00DB746D">
        <w:t xml:space="preserve">ía financiarse con </w:t>
      </w:r>
      <w:r w:rsidR="004B0290" w:rsidRPr="00DB746D">
        <w:t>los fondos del</w:t>
      </w:r>
      <w:r w:rsidR="004A4898" w:rsidRPr="00DB746D">
        <w:t xml:space="preserve"> préstamo</w:t>
      </w:r>
      <w:bookmarkEnd w:id="28"/>
      <w:r w:rsidR="004A4898" w:rsidRPr="00DB746D">
        <w:t>.</w:t>
      </w:r>
      <w:r w:rsidRPr="00DB746D">
        <w:t xml:space="preserve"> </w:t>
      </w:r>
      <w:bookmarkStart w:id="29" w:name="lt_pId054"/>
      <w:r w:rsidR="003F5525" w:rsidRPr="00DB746D">
        <w:t xml:space="preserve">La Secretaría confirma que se han eliminado dos pisos del diseño del concurso (un sótano y la sexta planta de oficinas). La </w:t>
      </w:r>
      <w:r w:rsidR="004B0290" w:rsidRPr="00DB746D">
        <w:t>Secretaría</w:t>
      </w:r>
      <w:r w:rsidR="003F5525" w:rsidRPr="00DB746D">
        <w:t xml:space="preserve"> ha rechazado la </w:t>
      </w:r>
      <w:r w:rsidR="004B0290" w:rsidRPr="00DB746D">
        <w:t>propuesta</w:t>
      </w:r>
      <w:r w:rsidR="003F5525" w:rsidRPr="00DB746D">
        <w:t xml:space="preserve"> de</w:t>
      </w:r>
      <w:r w:rsidR="004B0290" w:rsidRPr="00DB746D">
        <w:t>l arquitecto de suprimir</w:t>
      </w:r>
      <w:r w:rsidR="003F5525" w:rsidRPr="00DB746D">
        <w:t xml:space="preserve"> otra planta de oficinas.</w:t>
      </w:r>
      <w:bookmarkEnd w:id="29"/>
      <w:r w:rsidRPr="00DB746D">
        <w:t xml:space="preserve"> </w:t>
      </w:r>
      <w:bookmarkStart w:id="30" w:name="lt_pId055"/>
      <w:r w:rsidR="003F5525" w:rsidRPr="00DB746D">
        <w:t>La Secretaría conf</w:t>
      </w:r>
      <w:r w:rsidR="00683740" w:rsidRPr="00DB746D">
        <w:t>irma que se conservarán las 723 </w:t>
      </w:r>
      <w:r w:rsidR="003F5525" w:rsidRPr="00DB746D">
        <w:t>plazas indicadas en el programa original (</w:t>
      </w:r>
      <w:r w:rsidR="004B0290" w:rsidRPr="00DB746D">
        <w:t>contrariamente a</w:t>
      </w:r>
      <w:r w:rsidR="003F5525" w:rsidRPr="00DB746D">
        <w:t xml:space="preserve"> la propuesta del arquitecto de utilizar una tasa de ocupación del 80% como práctica </w:t>
      </w:r>
      <w:r w:rsidR="00FB449C" w:rsidRPr="00DB746D">
        <w:t xml:space="preserve">más </w:t>
      </w:r>
      <w:r w:rsidR="003F5525" w:rsidRPr="00DB746D">
        <w:t>idónea</w:t>
      </w:r>
      <w:r w:rsidR="00FB449C" w:rsidRPr="00DB746D">
        <w:t xml:space="preserve"> para los diseños de espacios abiertos</w:t>
      </w:r>
      <w:r w:rsidR="003F5525" w:rsidRPr="00DB746D">
        <w:t xml:space="preserve">). </w:t>
      </w:r>
      <w:r w:rsidR="00FB449C" w:rsidRPr="00DB746D">
        <w:t>Indicó que esas</w:t>
      </w:r>
      <w:r w:rsidR="003F5525" w:rsidRPr="00DB746D">
        <w:t xml:space="preserve"> plazas no est</w:t>
      </w:r>
      <w:r w:rsidR="00FB449C" w:rsidRPr="00DB746D">
        <w:t>aban</w:t>
      </w:r>
      <w:r w:rsidR="003F5525" w:rsidRPr="00DB746D">
        <w:t xml:space="preserve"> reservadas para la Secretaría en exclusiva, sino que también se destina</w:t>
      </w:r>
      <w:r w:rsidR="00FB449C" w:rsidRPr="00DB746D">
        <w:t>ba</w:t>
      </w:r>
      <w:r w:rsidR="003F5525" w:rsidRPr="00DB746D">
        <w:t xml:space="preserve">n a los </w:t>
      </w:r>
      <w:r w:rsidR="00FB449C" w:rsidRPr="00DB746D">
        <w:t>pasantes</w:t>
      </w:r>
      <w:r w:rsidR="003F5525" w:rsidRPr="00DB746D">
        <w:t xml:space="preserve">, los </w:t>
      </w:r>
      <w:r w:rsidR="00700557" w:rsidRPr="00DB746D">
        <w:t>J</w:t>
      </w:r>
      <w:r w:rsidR="0077149E" w:rsidRPr="00DB746D">
        <w:t>PO y</w:t>
      </w:r>
      <w:r w:rsidR="003F5525" w:rsidRPr="00DB746D">
        <w:t xml:space="preserve"> los ASE</w:t>
      </w:r>
      <w:r w:rsidR="0077149E" w:rsidRPr="00DB746D">
        <w:t xml:space="preserve">, previéndose </w:t>
      </w:r>
      <w:r w:rsidR="009150C1" w:rsidRPr="00DB746D">
        <w:t xml:space="preserve">un margen de </w:t>
      </w:r>
      <w:r w:rsidR="003F5525" w:rsidRPr="00DB746D">
        <w:t xml:space="preserve">flexibilidad </w:t>
      </w:r>
      <w:r w:rsidR="009150C1" w:rsidRPr="00DB746D">
        <w:t>para</w:t>
      </w:r>
      <w:r w:rsidR="003F5525" w:rsidRPr="00DB746D">
        <w:t xml:space="preserve"> los 100 próximos años</w:t>
      </w:r>
      <w:r w:rsidRPr="00DB746D">
        <w:t>.</w:t>
      </w:r>
      <w:bookmarkEnd w:id="30"/>
    </w:p>
    <w:p w:rsidR="00865EA8" w:rsidRPr="00DB746D" w:rsidRDefault="00865EA8" w:rsidP="00426C11">
      <w:r w:rsidRPr="00DB746D">
        <w:t>1.7</w:t>
      </w:r>
      <w:r w:rsidRPr="00DB746D">
        <w:tab/>
      </w:r>
      <w:bookmarkStart w:id="31" w:name="lt_pId058"/>
      <w:r w:rsidR="00167266" w:rsidRPr="00DB746D">
        <w:t xml:space="preserve">La Secretaría explica </w:t>
      </w:r>
      <w:r w:rsidR="003C3B06" w:rsidRPr="00DB746D">
        <w:t xml:space="preserve">la disposición </w:t>
      </w:r>
      <w:r w:rsidR="00167266" w:rsidRPr="00DB746D">
        <w:t>previst</w:t>
      </w:r>
      <w:r w:rsidR="003C3B06" w:rsidRPr="00DB746D">
        <w:t>a</w:t>
      </w:r>
      <w:r w:rsidR="0077149E" w:rsidRPr="00DB746D">
        <w:t xml:space="preserve"> en el acuerdo con el país a</w:t>
      </w:r>
      <w:r w:rsidR="00167266" w:rsidRPr="00DB746D">
        <w:t xml:space="preserve">nfitrión </w:t>
      </w:r>
      <w:r w:rsidR="003C3B06" w:rsidRPr="00DB746D">
        <w:t xml:space="preserve">según la cual </w:t>
      </w:r>
      <w:r w:rsidR="0077149E" w:rsidRPr="00DB746D">
        <w:t xml:space="preserve">ese </w:t>
      </w:r>
      <w:r w:rsidR="009150C1" w:rsidRPr="00DB746D">
        <w:t>Estado Miembro financiará los eventos que deban celebrarse en otros lugares debido a las molestias causadas por el ruido de las obras</w:t>
      </w:r>
      <w:r w:rsidR="003C3B06" w:rsidRPr="00DB746D">
        <w:t xml:space="preserve"> y que impongan e</w:t>
      </w:r>
      <w:r w:rsidR="00167266" w:rsidRPr="00DB746D">
        <w:t>l cierre de la</w:t>
      </w:r>
      <w:r w:rsidR="003C3B06" w:rsidRPr="00DB746D">
        <w:t>s</w:t>
      </w:r>
      <w:r w:rsidR="00167266" w:rsidRPr="00DB746D">
        <w:t xml:space="preserve"> sala</w:t>
      </w:r>
      <w:r w:rsidR="003C3B06" w:rsidRPr="00DB746D">
        <w:t>s</w:t>
      </w:r>
      <w:r w:rsidR="00167266" w:rsidRPr="00DB746D">
        <w:t xml:space="preserve"> de reuniones de </w:t>
      </w:r>
      <w:r w:rsidR="003C3B06" w:rsidRPr="00DB746D">
        <w:t>la Sede. En particular, el hecho de que</w:t>
      </w:r>
      <w:r w:rsidR="00167266" w:rsidRPr="00DB746D">
        <w:t xml:space="preserve"> el Estado anfitrión debe</w:t>
      </w:r>
      <w:r w:rsidR="0077149E" w:rsidRPr="00DB746D">
        <w:t xml:space="preserve"> sufragar</w:t>
      </w:r>
      <w:r w:rsidR="00167266" w:rsidRPr="00DB746D">
        <w:t xml:space="preserve"> todos los gastos contraídos por la UIT</w:t>
      </w:r>
      <w:r w:rsidR="0077149E" w:rsidRPr="00DB746D">
        <w:t>,</w:t>
      </w:r>
      <w:r w:rsidR="00167266" w:rsidRPr="00DB746D">
        <w:t xml:space="preserve"> </w:t>
      </w:r>
      <w:r w:rsidR="0077149E" w:rsidRPr="00DB746D">
        <w:t>como los viajes y las dietas diarias suplementarias, cuando se organice un evento fuera de Ginebra</w:t>
      </w:r>
      <w:r w:rsidRPr="00DB746D">
        <w:t>.</w:t>
      </w:r>
      <w:bookmarkEnd w:id="31"/>
    </w:p>
    <w:p w:rsidR="00865EA8" w:rsidRPr="00DB746D" w:rsidRDefault="00865EA8" w:rsidP="00BC3BD6">
      <w:r w:rsidRPr="00DB746D">
        <w:t>1.8</w:t>
      </w:r>
      <w:r w:rsidRPr="00DB746D">
        <w:tab/>
      </w:r>
      <w:bookmarkStart w:id="32" w:name="lt_pId060"/>
      <w:r w:rsidR="001261A9" w:rsidRPr="00DB746D">
        <w:t xml:space="preserve">La </w:t>
      </w:r>
      <w:r w:rsidR="001261A9" w:rsidRPr="00DB746D">
        <w:rPr>
          <w:b/>
          <w:bCs/>
        </w:rPr>
        <w:t>séptima reunión</w:t>
      </w:r>
      <w:r w:rsidR="001261A9" w:rsidRPr="00DB746D">
        <w:t xml:space="preserve"> se celebró el 15 de abril de 2019, después de que el arquitecto presentara el informe sobre los avances de la fase previa al proyecto el 1 de abril de 2019. </w:t>
      </w:r>
      <w:r w:rsidR="0057692E" w:rsidRPr="00DB746D">
        <w:t xml:space="preserve">La </w:t>
      </w:r>
      <w:r w:rsidR="001261A9" w:rsidRPr="00DB746D">
        <w:t xml:space="preserve">reunión fue honrada con la presencia </w:t>
      </w:r>
      <w:r w:rsidR="0057692E" w:rsidRPr="00DB746D">
        <w:t>d</w:t>
      </w:r>
      <w:r w:rsidR="001261A9" w:rsidRPr="00DB746D">
        <w:t>el Secretario General Houlin Zhao</w:t>
      </w:r>
      <w:bookmarkStart w:id="33" w:name="_GoBack"/>
      <w:bookmarkEnd w:id="33"/>
      <w:r w:rsidR="001261A9" w:rsidRPr="00DB746D">
        <w:t xml:space="preserve"> qu</w:t>
      </w:r>
      <w:r w:rsidR="0057692E" w:rsidRPr="00DB746D">
        <w:t xml:space="preserve">e, en su discurso </w:t>
      </w:r>
      <w:r w:rsidR="0057692E" w:rsidRPr="00DB746D">
        <w:lastRenderedPageBreak/>
        <w:t>inaugural, manifest</w:t>
      </w:r>
      <w:r w:rsidR="001261A9" w:rsidRPr="00DB746D">
        <w:t xml:space="preserve">ó </w:t>
      </w:r>
      <w:r w:rsidR="0057692E" w:rsidRPr="00DB746D">
        <w:t>su agradecimiento</w:t>
      </w:r>
      <w:r w:rsidR="001261A9" w:rsidRPr="00DB746D">
        <w:t xml:space="preserve"> </w:t>
      </w:r>
      <w:r w:rsidR="00D71D57" w:rsidRPr="00DB746D">
        <w:t xml:space="preserve">al GAEM </w:t>
      </w:r>
      <w:r w:rsidR="001261A9" w:rsidRPr="00DB746D">
        <w:t xml:space="preserve">por </w:t>
      </w:r>
      <w:r w:rsidR="0057692E" w:rsidRPr="00DB746D">
        <w:t xml:space="preserve">la </w:t>
      </w:r>
      <w:r w:rsidR="00D71D57" w:rsidRPr="00DB746D">
        <w:t>ardua</w:t>
      </w:r>
      <w:r w:rsidR="001261A9" w:rsidRPr="00DB746D">
        <w:t xml:space="preserve"> </w:t>
      </w:r>
      <w:r w:rsidR="0057692E" w:rsidRPr="00DB746D">
        <w:t xml:space="preserve">labor </w:t>
      </w:r>
      <w:r w:rsidR="00D71D57" w:rsidRPr="00DB746D">
        <w:t>realizada</w:t>
      </w:r>
      <w:r w:rsidR="0057692E" w:rsidRPr="00DB746D">
        <w:t xml:space="preserve"> </w:t>
      </w:r>
      <w:r w:rsidR="001261A9" w:rsidRPr="00DB746D">
        <w:t xml:space="preserve">en </w:t>
      </w:r>
      <w:r w:rsidR="0057692E" w:rsidRPr="00DB746D">
        <w:t xml:space="preserve">relación con </w:t>
      </w:r>
      <w:r w:rsidR="001261A9" w:rsidRPr="00DB746D">
        <w:t>este co</w:t>
      </w:r>
      <w:r w:rsidR="0057692E" w:rsidRPr="00DB746D">
        <w:t xml:space="preserve">mplejo y multifacético proyecto, </w:t>
      </w:r>
      <w:r w:rsidR="001767E4" w:rsidRPr="00DB746D">
        <w:t xml:space="preserve">y prometió </w:t>
      </w:r>
      <w:r w:rsidR="0057692E" w:rsidRPr="00DB746D">
        <w:t>al G</w:t>
      </w:r>
      <w:r w:rsidR="00D71D57" w:rsidRPr="00DB746D">
        <w:t xml:space="preserve">rupo Asesor </w:t>
      </w:r>
      <w:r w:rsidR="001767E4" w:rsidRPr="00DB746D">
        <w:t xml:space="preserve">asegurar </w:t>
      </w:r>
      <w:r w:rsidR="0057692E" w:rsidRPr="00DB746D">
        <w:t xml:space="preserve">una total </w:t>
      </w:r>
      <w:r w:rsidR="001261A9" w:rsidRPr="00DB746D">
        <w:t>transparencia</w:t>
      </w:r>
      <w:bookmarkStart w:id="34" w:name="lt_pId061"/>
      <w:bookmarkEnd w:id="32"/>
      <w:r w:rsidRPr="00DB746D">
        <w:t>.</w:t>
      </w:r>
      <w:bookmarkEnd w:id="34"/>
    </w:p>
    <w:p w:rsidR="0057692E" w:rsidRPr="00DB746D" w:rsidRDefault="00865EA8" w:rsidP="00426C11">
      <w:r w:rsidRPr="00DB746D">
        <w:t>1.9</w:t>
      </w:r>
      <w:r w:rsidRPr="00DB746D">
        <w:tab/>
      </w:r>
      <w:bookmarkStart w:id="35" w:name="lt_pId063"/>
      <w:r w:rsidR="001261A9" w:rsidRPr="00DB746D">
        <w:t xml:space="preserve">El Secretario General </w:t>
      </w:r>
      <w:r w:rsidR="0057692E" w:rsidRPr="00DB746D">
        <w:t>solicita</w:t>
      </w:r>
      <w:r w:rsidR="001261A9" w:rsidRPr="00DB746D">
        <w:t xml:space="preserve">rá </w:t>
      </w:r>
      <w:r w:rsidR="0057692E" w:rsidRPr="00DB746D">
        <w:t>la opinión de</w:t>
      </w:r>
      <w:r w:rsidR="001261A9" w:rsidRPr="00DB746D">
        <w:t xml:space="preserve"> los Estados Miembros</w:t>
      </w:r>
      <w:r w:rsidR="0057692E" w:rsidRPr="00DB746D">
        <w:t xml:space="preserve"> acerca d</w:t>
      </w:r>
      <w:r w:rsidR="001261A9" w:rsidRPr="00DB746D">
        <w:t>el nuevo edificio</w:t>
      </w:r>
      <w:r w:rsidR="00897DFF" w:rsidRPr="00DB746D">
        <w:t xml:space="preserve">, </w:t>
      </w:r>
      <w:r w:rsidR="00BE29B7" w:rsidRPr="00DB746D">
        <w:t xml:space="preserve">en el entendimiento de que la </w:t>
      </w:r>
      <w:r w:rsidR="001261A9" w:rsidRPr="00DB746D">
        <w:t>flexibilidad del diseño</w:t>
      </w:r>
      <w:r w:rsidR="00BE29B7" w:rsidRPr="00DB746D">
        <w:t xml:space="preserve"> es limitada</w:t>
      </w:r>
      <w:r w:rsidR="001261A9" w:rsidRPr="00DB746D">
        <w:t xml:space="preserve">. Señala que </w:t>
      </w:r>
      <w:r w:rsidR="00BE29B7" w:rsidRPr="00DB746D">
        <w:t xml:space="preserve">se han adscrito </w:t>
      </w:r>
      <w:r w:rsidR="001261A9" w:rsidRPr="00DB746D">
        <w:t xml:space="preserve">dos funcionarios al proyecto (uno de categoría P3 y otro de categoría G6). </w:t>
      </w:r>
      <w:r w:rsidR="00BE29B7" w:rsidRPr="00DB746D">
        <w:t xml:space="preserve">El Secretario </w:t>
      </w:r>
      <w:r w:rsidR="001261A9" w:rsidRPr="00DB746D">
        <w:t xml:space="preserve">General solicitará a los Estados Miembros que aprueben el proyecto antes de </w:t>
      </w:r>
      <w:r w:rsidR="00BE29B7" w:rsidRPr="00DB746D">
        <w:t xml:space="preserve">que </w:t>
      </w:r>
      <w:r w:rsidR="001261A9" w:rsidRPr="00DB746D">
        <w:t>present</w:t>
      </w:r>
      <w:r w:rsidR="00BE29B7" w:rsidRPr="00DB746D">
        <w:t>e</w:t>
      </w:r>
      <w:r w:rsidR="001261A9" w:rsidRPr="00DB746D">
        <w:t xml:space="preserve"> el segundo mensaje al país anfitrión (</w:t>
      </w:r>
      <w:r w:rsidR="00BE29B7" w:rsidRPr="00DB746D">
        <w:t>la presentación a la</w:t>
      </w:r>
      <w:r w:rsidR="001261A9" w:rsidRPr="00DB746D">
        <w:t xml:space="preserve"> FIPOI </w:t>
      </w:r>
      <w:r w:rsidR="00BE29B7" w:rsidRPr="00DB746D">
        <w:t xml:space="preserve">está prevista </w:t>
      </w:r>
      <w:r w:rsidR="001261A9" w:rsidRPr="00DB746D">
        <w:t xml:space="preserve">el 21 de junio de 2019 </w:t>
      </w:r>
      <w:r w:rsidR="00BE29B7" w:rsidRPr="00DB746D">
        <w:t xml:space="preserve">a más tardar </w:t>
      </w:r>
      <w:r w:rsidR="001261A9" w:rsidRPr="00DB746D">
        <w:t xml:space="preserve">y </w:t>
      </w:r>
      <w:r w:rsidR="00BE29B7" w:rsidRPr="00DB746D">
        <w:t xml:space="preserve">la presentación </w:t>
      </w:r>
      <w:r w:rsidR="001261A9" w:rsidRPr="00DB746D">
        <w:t>al</w:t>
      </w:r>
      <w:r w:rsidR="00BE29B7" w:rsidRPr="00DB746D">
        <w:t xml:space="preserve"> </w:t>
      </w:r>
      <w:r w:rsidR="001261A9" w:rsidRPr="00DB746D">
        <w:t>parlament</w:t>
      </w:r>
      <w:r w:rsidR="00BE29B7" w:rsidRPr="00DB746D">
        <w:t>o</w:t>
      </w:r>
      <w:r w:rsidR="001261A9" w:rsidRPr="00DB746D">
        <w:t xml:space="preserve"> </w:t>
      </w:r>
      <w:r w:rsidR="00BE29B7" w:rsidRPr="00DB746D">
        <w:t>está prevista para</w:t>
      </w:r>
      <w:r w:rsidR="001261A9" w:rsidRPr="00DB746D">
        <w:t xml:space="preserve"> finales de agosto de 2019).</w:t>
      </w:r>
    </w:p>
    <w:bookmarkEnd w:id="35"/>
    <w:p w:rsidR="00865EA8" w:rsidRPr="00DB746D" w:rsidRDefault="00EC3CB0" w:rsidP="00426C11">
      <w:pPr>
        <w:pStyle w:val="Heading1"/>
      </w:pPr>
      <w:r w:rsidRPr="00DB746D">
        <w:t>2</w:t>
      </w:r>
      <w:r w:rsidR="00865EA8" w:rsidRPr="00DB746D">
        <w:tab/>
      </w:r>
      <w:bookmarkStart w:id="36" w:name="lt_pId067"/>
      <w:r w:rsidR="001261A9" w:rsidRPr="00DB746D">
        <w:t>Diseño conceptual</w:t>
      </w:r>
      <w:bookmarkEnd w:id="36"/>
    </w:p>
    <w:p w:rsidR="001261A9" w:rsidRPr="00DB746D" w:rsidRDefault="001A5028" w:rsidP="00426C11">
      <w:bookmarkStart w:id="37" w:name="lt_pId069"/>
      <w:r w:rsidRPr="00DB746D">
        <w:t>2.1</w:t>
      </w:r>
      <w:r w:rsidR="003E4729" w:rsidRPr="00DB746D">
        <w:tab/>
      </w:r>
      <w:r w:rsidR="001261A9" w:rsidRPr="00DB746D">
        <w:t xml:space="preserve">Durante la </w:t>
      </w:r>
      <w:r w:rsidR="001261A9" w:rsidRPr="00DB746D">
        <w:rPr>
          <w:b/>
          <w:bCs/>
        </w:rPr>
        <w:t>séptima reunión</w:t>
      </w:r>
      <w:r w:rsidR="00B939E0" w:rsidRPr="00DB746D">
        <w:t xml:space="preserve">, celebrada el </w:t>
      </w:r>
      <w:r w:rsidR="001261A9" w:rsidRPr="00DB746D">
        <w:t>15 de abril de 2019, el GA</w:t>
      </w:r>
      <w:r w:rsidR="00B939E0" w:rsidRPr="00DB746D">
        <w:t>E</w:t>
      </w:r>
      <w:r w:rsidR="001261A9" w:rsidRPr="00DB746D">
        <w:t xml:space="preserve">M examinó el último </w:t>
      </w:r>
      <w:r w:rsidR="00B939E0" w:rsidRPr="00DB746D">
        <w:t>informe del arquitecto sobre los avances realizados en</w:t>
      </w:r>
      <w:r w:rsidR="001261A9" w:rsidRPr="00DB746D">
        <w:t xml:space="preserve"> la fase</w:t>
      </w:r>
      <w:r w:rsidR="00B939E0" w:rsidRPr="00DB746D">
        <w:t xml:space="preserve"> previa</w:t>
      </w:r>
      <w:r w:rsidR="001261A9" w:rsidRPr="00DB746D">
        <w:t xml:space="preserve"> a</w:t>
      </w:r>
      <w:r w:rsidR="00B939E0" w:rsidRPr="00DB746D">
        <w:t xml:space="preserve"> la ejecución del</w:t>
      </w:r>
      <w:r w:rsidR="001261A9" w:rsidRPr="00DB746D">
        <w:t xml:space="preserve"> proyecto y las estimaciones de costos conexas, señalando que las estimaciones de costos</w:t>
      </w:r>
      <w:r w:rsidR="003E4729" w:rsidRPr="00DB746D">
        <w:t xml:space="preserve"> </w:t>
      </w:r>
      <w:r w:rsidR="00605083" w:rsidRPr="00DB746D">
        <w:t xml:space="preserve">CGC 1-4 </w:t>
      </w:r>
      <w:r w:rsidR="0032606B" w:rsidRPr="00DB746D">
        <w:t>podrían variar +/</w:t>
      </w:r>
      <w:r w:rsidRPr="00DB746D">
        <w:t>–</w:t>
      </w:r>
      <w:r w:rsidR="0032606B" w:rsidRPr="00DB746D">
        <w:t xml:space="preserve"> 15% en esta fase</w:t>
      </w:r>
      <w:r w:rsidR="001261A9" w:rsidRPr="00DB746D">
        <w:t xml:space="preserve">. La Secretaría </w:t>
      </w:r>
      <w:r w:rsidR="003E4729" w:rsidRPr="00DB746D">
        <w:t>estima q</w:t>
      </w:r>
      <w:r w:rsidR="001261A9" w:rsidRPr="00DB746D">
        <w:t>ue est</w:t>
      </w:r>
      <w:r w:rsidR="00C86358" w:rsidRPr="00DB746D">
        <w:t>e margen</w:t>
      </w:r>
      <w:r w:rsidR="003E4729" w:rsidRPr="00DB746D">
        <w:t xml:space="preserve"> de error </w:t>
      </w:r>
      <w:r w:rsidR="00C86358" w:rsidRPr="00DB746D">
        <w:t>es</w:t>
      </w:r>
      <w:r w:rsidR="003E4729" w:rsidRPr="00DB746D">
        <w:t xml:space="preserve"> muy conservador</w:t>
      </w:r>
      <w:r w:rsidR="001261A9" w:rsidRPr="00DB746D">
        <w:t xml:space="preserve">, ya que </w:t>
      </w:r>
      <w:r w:rsidR="003E4729" w:rsidRPr="00DB746D">
        <w:t>la labor que se ha llevado a cabo para reducir el riesgo de costos CGC 1-4 ha sido muy intensa hasta la fecha.</w:t>
      </w:r>
    </w:p>
    <w:p w:rsidR="00865EA8" w:rsidRPr="00DB746D" w:rsidRDefault="001A5028" w:rsidP="00C741BB">
      <w:pPr>
        <w:spacing w:after="240"/>
        <w:rPr>
          <w:rFonts w:asciiTheme="minorHAnsi" w:hAnsiTheme="minorHAnsi"/>
          <w:color w:val="000000" w:themeColor="text1"/>
          <w:szCs w:val="24"/>
        </w:rPr>
      </w:pPr>
      <w:r w:rsidRPr="00DB746D">
        <w:rPr>
          <w:rFonts w:asciiTheme="minorHAnsi" w:hAnsiTheme="minorHAnsi"/>
          <w:color w:val="000000" w:themeColor="text1"/>
          <w:szCs w:val="24"/>
        </w:rPr>
        <w:t>2.2</w:t>
      </w:r>
      <w:r w:rsidR="003E4729" w:rsidRPr="00DB746D">
        <w:rPr>
          <w:rFonts w:asciiTheme="minorHAnsi" w:hAnsiTheme="minorHAnsi"/>
          <w:color w:val="000000" w:themeColor="text1"/>
          <w:szCs w:val="24"/>
        </w:rPr>
        <w:tab/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A pesar </w:t>
      </w:r>
      <w:r w:rsidR="001261A9" w:rsidRPr="00DB746D">
        <w:t>del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optimismo de la Secretaría, </w:t>
      </w:r>
      <w:r w:rsidR="003E4729" w:rsidRPr="00DB746D">
        <w:rPr>
          <w:rFonts w:asciiTheme="minorHAnsi" w:hAnsiTheme="minorHAnsi"/>
          <w:color w:val="000000" w:themeColor="text1"/>
          <w:szCs w:val="24"/>
        </w:rPr>
        <w:t>e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l GA</w:t>
      </w:r>
      <w:r w:rsidR="003E4729" w:rsidRPr="00DB746D">
        <w:rPr>
          <w:rFonts w:asciiTheme="minorHAnsi" w:hAnsiTheme="minorHAnsi"/>
          <w:color w:val="000000" w:themeColor="text1"/>
          <w:szCs w:val="24"/>
        </w:rPr>
        <w:t>E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M </w:t>
      </w:r>
      <w:r w:rsidR="003E4729" w:rsidRPr="00DB746D">
        <w:rPr>
          <w:rFonts w:asciiTheme="minorHAnsi" w:hAnsiTheme="minorHAnsi"/>
          <w:color w:val="000000" w:themeColor="text1"/>
          <w:szCs w:val="24"/>
        </w:rPr>
        <w:t xml:space="preserve">teme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que el costo total del proyecto </w:t>
      </w:r>
      <w:r w:rsidR="005C3E8A" w:rsidRPr="00DB746D">
        <w:rPr>
          <w:rFonts w:asciiTheme="minorHAnsi" w:hAnsiTheme="minorHAnsi"/>
          <w:color w:val="000000" w:themeColor="text1"/>
          <w:szCs w:val="24"/>
        </w:rPr>
        <w:t>pueda ser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considerablemente </w:t>
      </w:r>
      <w:r w:rsidR="005C3E8A" w:rsidRPr="00DB746D">
        <w:rPr>
          <w:rFonts w:asciiTheme="minorHAnsi" w:hAnsiTheme="minorHAnsi"/>
          <w:color w:val="000000" w:themeColor="text1"/>
          <w:szCs w:val="24"/>
        </w:rPr>
        <w:t xml:space="preserve">superior a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las estimaciones presentadas en el </w:t>
      </w:r>
      <w:r w:rsidR="00074E93" w:rsidRPr="00DB746D">
        <w:rPr>
          <w:rFonts w:asciiTheme="minorHAnsi" w:hAnsiTheme="minorHAnsi"/>
          <w:color w:val="000000" w:themeColor="text1"/>
          <w:szCs w:val="24"/>
        </w:rPr>
        <w:t xml:space="preserve">Documento </w:t>
      </w:r>
      <w:hyperlink r:id="rId14" w:history="1">
        <w:r w:rsidR="003E4729" w:rsidRPr="00DB746D">
          <w:rPr>
            <w:rStyle w:val="Hyperlink"/>
            <w:rFonts w:asciiTheme="minorHAnsi" w:hAnsiTheme="minorHAnsi"/>
            <w:szCs w:val="24"/>
          </w:rPr>
          <w:t>C19/7</w:t>
        </w:r>
      </w:hyperlink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. El </w:t>
      </w:r>
      <w:r w:rsidR="003E4729" w:rsidRPr="00DB746D">
        <w:rPr>
          <w:rFonts w:asciiTheme="minorHAnsi" w:hAnsiTheme="minorHAnsi"/>
          <w:color w:val="000000" w:themeColor="text1"/>
          <w:szCs w:val="24"/>
        </w:rPr>
        <w:t>Grupo Asesor observa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que desde </w:t>
      </w:r>
      <w:r w:rsidR="00ED733A" w:rsidRPr="00DB746D">
        <w:rPr>
          <w:rFonts w:asciiTheme="minorHAnsi" w:hAnsiTheme="minorHAnsi"/>
          <w:color w:val="000000" w:themeColor="text1"/>
          <w:szCs w:val="24"/>
        </w:rPr>
        <w:t xml:space="preserve">la fecha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en que el diseño ganó el concurso, el costo </w:t>
      </w:r>
      <w:r w:rsidR="00074E93" w:rsidRPr="00DB746D">
        <w:rPr>
          <w:rFonts w:asciiTheme="minorHAnsi" w:hAnsiTheme="minorHAnsi"/>
          <w:color w:val="000000" w:themeColor="text1"/>
          <w:szCs w:val="24"/>
        </w:rPr>
        <w:t>de los elementos 1</w:t>
      </w:r>
      <w:r w:rsidR="00074E93" w:rsidRPr="00DB746D">
        <w:rPr>
          <w:rFonts w:asciiTheme="minorHAnsi" w:hAnsiTheme="minorHAnsi"/>
          <w:color w:val="000000" w:themeColor="text1"/>
          <w:szCs w:val="24"/>
        </w:rPr>
        <w:noBreakHyphen/>
      </w:r>
      <w:r w:rsidR="00ED733A" w:rsidRPr="00DB746D">
        <w:rPr>
          <w:rFonts w:asciiTheme="minorHAnsi" w:hAnsiTheme="minorHAnsi"/>
          <w:color w:val="000000" w:themeColor="text1"/>
          <w:szCs w:val="24"/>
        </w:rPr>
        <w:t xml:space="preserve">4 del CGC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ha </w:t>
      </w:r>
      <w:r w:rsidR="00ED733A" w:rsidRPr="00DB746D">
        <w:rPr>
          <w:rFonts w:asciiTheme="minorHAnsi" w:hAnsiTheme="minorHAnsi"/>
          <w:color w:val="000000" w:themeColor="text1"/>
          <w:szCs w:val="24"/>
        </w:rPr>
        <w:t>permanecido estable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.</w:t>
      </w:r>
      <w:bookmarkEnd w:id="37"/>
    </w:p>
    <w:tbl>
      <w:tblPr>
        <w:tblStyle w:val="TableNormal1"/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417"/>
        <w:gridCol w:w="1418"/>
        <w:gridCol w:w="1417"/>
        <w:gridCol w:w="1418"/>
        <w:gridCol w:w="1134"/>
      </w:tblGrid>
      <w:tr w:rsidR="00865EA8" w:rsidRPr="00DB746D" w:rsidTr="00EB45AA">
        <w:trPr>
          <w:trHeight w:hRule="exact" w:val="670"/>
          <w:jc w:val="center"/>
        </w:trPr>
        <w:tc>
          <w:tcPr>
            <w:tcW w:w="2268" w:type="dxa"/>
            <w:tcBorders>
              <w:top w:val="nil"/>
              <w:left w:val="nil"/>
            </w:tcBorders>
          </w:tcPr>
          <w:p w:rsidR="00865EA8" w:rsidRPr="00DB746D" w:rsidRDefault="00865EA8" w:rsidP="00426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5EA8" w:rsidRPr="00DB746D" w:rsidRDefault="00ED75F8" w:rsidP="00445B55">
            <w:pPr>
              <w:pStyle w:val="Tablehead"/>
              <w:rPr>
                <w:sz w:val="18"/>
                <w:szCs w:val="18"/>
              </w:rPr>
            </w:pPr>
            <w:bookmarkStart w:id="38" w:name="lt_pId074"/>
            <w:r w:rsidRPr="00DB746D">
              <w:rPr>
                <w:sz w:val="18"/>
                <w:szCs w:val="18"/>
              </w:rPr>
              <w:t>Estimación preliminar 31.</w:t>
            </w:r>
            <w:r w:rsidR="005C3E8A" w:rsidRPr="00DB746D">
              <w:rPr>
                <w:sz w:val="18"/>
                <w:szCs w:val="18"/>
              </w:rPr>
              <w:t>0</w:t>
            </w:r>
            <w:r w:rsidR="00865EA8" w:rsidRPr="00DB746D">
              <w:rPr>
                <w:sz w:val="18"/>
                <w:szCs w:val="18"/>
              </w:rPr>
              <w:t>5.2018</w:t>
            </w:r>
            <w:bookmarkEnd w:id="38"/>
          </w:p>
        </w:tc>
        <w:tc>
          <w:tcPr>
            <w:tcW w:w="2835" w:type="dxa"/>
            <w:gridSpan w:val="2"/>
            <w:vAlign w:val="center"/>
          </w:tcPr>
          <w:p w:rsidR="00865EA8" w:rsidRPr="00DB746D" w:rsidRDefault="008C40A2" w:rsidP="00445B55">
            <w:pPr>
              <w:pStyle w:val="Tablehead"/>
              <w:rPr>
                <w:sz w:val="18"/>
                <w:szCs w:val="18"/>
              </w:rPr>
            </w:pPr>
            <w:bookmarkStart w:id="39" w:name="lt_pId075"/>
            <w:r w:rsidRPr="00DB746D">
              <w:rPr>
                <w:sz w:val="18"/>
                <w:szCs w:val="18"/>
              </w:rPr>
              <w:t>Estimación intermedia del p</w:t>
            </w:r>
            <w:r w:rsidR="00ED75F8" w:rsidRPr="00DB746D">
              <w:rPr>
                <w:sz w:val="18"/>
                <w:szCs w:val="18"/>
              </w:rPr>
              <w:t>royecto optimizado</w:t>
            </w:r>
            <w:r w:rsidR="00865EA8" w:rsidRPr="00DB746D">
              <w:rPr>
                <w:sz w:val="18"/>
                <w:szCs w:val="18"/>
              </w:rPr>
              <w:t xml:space="preserve"> 15.10.2018</w:t>
            </w:r>
            <w:bookmarkEnd w:id="39"/>
          </w:p>
        </w:tc>
        <w:tc>
          <w:tcPr>
            <w:tcW w:w="2552" w:type="dxa"/>
            <w:gridSpan w:val="2"/>
            <w:vAlign w:val="center"/>
          </w:tcPr>
          <w:p w:rsidR="00865EA8" w:rsidRPr="00DB746D" w:rsidRDefault="00204461" w:rsidP="00445B55">
            <w:pPr>
              <w:pStyle w:val="Tablehead"/>
              <w:rPr>
                <w:sz w:val="18"/>
                <w:szCs w:val="18"/>
              </w:rPr>
            </w:pPr>
            <w:bookmarkStart w:id="40" w:name="lt_pId076"/>
            <w:r w:rsidRPr="00DB746D">
              <w:rPr>
                <w:sz w:val="18"/>
                <w:szCs w:val="18"/>
              </w:rPr>
              <w:t xml:space="preserve">Estimación </w:t>
            </w:r>
            <w:r w:rsidR="008C40A2" w:rsidRPr="00DB746D">
              <w:rPr>
                <w:sz w:val="18"/>
                <w:szCs w:val="18"/>
              </w:rPr>
              <w:t xml:space="preserve">previa </w:t>
            </w:r>
            <w:r w:rsidRPr="00DB746D">
              <w:rPr>
                <w:sz w:val="18"/>
                <w:szCs w:val="18"/>
              </w:rPr>
              <w:t>al</w:t>
            </w:r>
            <w:r w:rsidR="008C40A2" w:rsidRPr="00DB746D">
              <w:rPr>
                <w:sz w:val="18"/>
                <w:szCs w:val="18"/>
              </w:rPr>
              <w:t xml:space="preserve"> proyecto</w:t>
            </w:r>
            <w:r w:rsidRPr="00DB746D">
              <w:rPr>
                <w:sz w:val="18"/>
                <w:szCs w:val="18"/>
              </w:rPr>
              <w:t xml:space="preserve"> </w:t>
            </w:r>
            <w:r w:rsidR="00865EA8" w:rsidRPr="00DB746D">
              <w:rPr>
                <w:sz w:val="18"/>
                <w:szCs w:val="18"/>
              </w:rPr>
              <w:t>01.04.2019</w:t>
            </w:r>
            <w:bookmarkEnd w:id="40"/>
          </w:p>
        </w:tc>
      </w:tr>
      <w:tr w:rsidR="00865EA8" w:rsidRPr="00DB746D" w:rsidTr="00EB45AA">
        <w:trPr>
          <w:trHeight w:hRule="exact" w:val="283"/>
          <w:jc w:val="center"/>
        </w:trPr>
        <w:tc>
          <w:tcPr>
            <w:tcW w:w="2268" w:type="dxa"/>
            <w:tcBorders>
              <w:bottom w:val="single" w:sz="2" w:space="0" w:color="000000"/>
              <w:right w:val="double" w:sz="4" w:space="0" w:color="000000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1" w:name="lt_pId077"/>
            <w:r w:rsidRPr="00DB746D">
              <w:rPr>
                <w:sz w:val="18"/>
                <w:szCs w:val="18"/>
              </w:rPr>
              <w:t xml:space="preserve">Superficie </w:t>
            </w:r>
            <w:r w:rsidR="00865EA8" w:rsidRPr="00DB746D">
              <w:rPr>
                <w:sz w:val="18"/>
                <w:szCs w:val="18"/>
              </w:rPr>
              <w:t>(m</w:t>
            </w:r>
            <w:r w:rsidR="00865EA8" w:rsidRPr="00DB746D">
              <w:rPr>
                <w:sz w:val="18"/>
                <w:szCs w:val="18"/>
                <w:vertAlign w:val="superscript"/>
              </w:rPr>
              <w:t>2</w:t>
            </w:r>
            <w:r w:rsidR="00865EA8" w:rsidRPr="00DB746D">
              <w:rPr>
                <w:sz w:val="18"/>
                <w:szCs w:val="18"/>
              </w:rPr>
              <w:t>)</w:t>
            </w:r>
            <w:bookmarkEnd w:id="41"/>
          </w:p>
        </w:tc>
        <w:tc>
          <w:tcPr>
            <w:tcW w:w="2835" w:type="dxa"/>
            <w:gridSpan w:val="2"/>
            <w:tcBorders>
              <w:left w:val="double" w:sz="4" w:space="0" w:color="000000"/>
              <w:bottom w:val="single" w:sz="4" w:space="0" w:color="44546A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 xml:space="preserve">31 </w:t>
            </w:r>
            <w:r w:rsidR="00865EA8" w:rsidRPr="00DB746D">
              <w:rPr>
                <w:sz w:val="18"/>
                <w:szCs w:val="18"/>
              </w:rPr>
              <w:t>310</w:t>
            </w:r>
          </w:p>
        </w:tc>
        <w:tc>
          <w:tcPr>
            <w:tcW w:w="2835" w:type="dxa"/>
            <w:gridSpan w:val="2"/>
            <w:tcBorders>
              <w:bottom w:val="single" w:sz="4" w:space="0" w:color="44546A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 xml:space="preserve">26 </w:t>
            </w:r>
            <w:r w:rsidR="00865EA8" w:rsidRPr="00DB746D">
              <w:rPr>
                <w:sz w:val="18"/>
                <w:szCs w:val="18"/>
              </w:rPr>
              <w:t>637</w:t>
            </w:r>
          </w:p>
        </w:tc>
        <w:tc>
          <w:tcPr>
            <w:tcW w:w="2552" w:type="dxa"/>
            <w:gridSpan w:val="2"/>
            <w:tcBorders>
              <w:bottom w:val="single" w:sz="4" w:space="0" w:color="44546A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 xml:space="preserve">29 </w:t>
            </w:r>
            <w:r w:rsidR="00865EA8" w:rsidRPr="00DB746D">
              <w:rPr>
                <w:sz w:val="18"/>
                <w:szCs w:val="18"/>
              </w:rPr>
              <w:t>324</w:t>
            </w:r>
          </w:p>
        </w:tc>
      </w:tr>
      <w:tr w:rsidR="00865EA8" w:rsidRPr="00DB746D" w:rsidTr="00EB45AA">
        <w:trPr>
          <w:trHeight w:hRule="exact" w:val="269"/>
          <w:jc w:val="center"/>
        </w:trPr>
        <w:tc>
          <w:tcPr>
            <w:tcW w:w="2268" w:type="dxa"/>
            <w:tcBorders>
              <w:top w:val="single" w:sz="2" w:space="0" w:color="000000"/>
              <w:right w:val="double" w:sz="4" w:space="0" w:color="000000"/>
            </w:tcBorders>
          </w:tcPr>
          <w:p w:rsidR="00865EA8" w:rsidRPr="00DB746D" w:rsidRDefault="00865EA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2" w:name="lt_pId081"/>
            <w:r w:rsidRPr="00DB746D">
              <w:rPr>
                <w:sz w:val="18"/>
                <w:szCs w:val="18"/>
              </w:rPr>
              <w:t>Volume</w:t>
            </w:r>
            <w:r w:rsidR="00ED75F8" w:rsidRPr="00DB746D">
              <w:rPr>
                <w:sz w:val="18"/>
                <w:szCs w:val="18"/>
              </w:rPr>
              <w:t>n</w:t>
            </w:r>
            <w:r w:rsidRPr="00DB746D">
              <w:rPr>
                <w:sz w:val="18"/>
                <w:szCs w:val="18"/>
              </w:rPr>
              <w:t xml:space="preserve"> (m</w:t>
            </w:r>
            <w:r w:rsidRPr="00DB746D">
              <w:rPr>
                <w:sz w:val="18"/>
                <w:szCs w:val="18"/>
                <w:vertAlign w:val="superscript"/>
              </w:rPr>
              <w:t>3</w:t>
            </w:r>
            <w:r w:rsidRPr="00DB746D">
              <w:rPr>
                <w:sz w:val="18"/>
                <w:szCs w:val="18"/>
              </w:rPr>
              <w:t>)</w:t>
            </w:r>
            <w:bookmarkEnd w:id="42"/>
          </w:p>
        </w:tc>
        <w:tc>
          <w:tcPr>
            <w:tcW w:w="2835" w:type="dxa"/>
            <w:gridSpan w:val="2"/>
            <w:tcBorders>
              <w:top w:val="single" w:sz="4" w:space="0" w:color="44546A"/>
              <w:left w:val="double" w:sz="4" w:space="0" w:color="000000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 xml:space="preserve">127 </w:t>
            </w:r>
            <w:r w:rsidR="00865EA8" w:rsidRPr="00DB746D">
              <w:rPr>
                <w:sz w:val="18"/>
                <w:szCs w:val="18"/>
              </w:rPr>
              <w:t>030</w:t>
            </w:r>
          </w:p>
        </w:tc>
        <w:tc>
          <w:tcPr>
            <w:tcW w:w="2835" w:type="dxa"/>
            <w:gridSpan w:val="2"/>
            <w:tcBorders>
              <w:top w:val="single" w:sz="4" w:space="0" w:color="44546A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 xml:space="preserve">122 </w:t>
            </w:r>
            <w:r w:rsidR="00865EA8" w:rsidRPr="00DB746D">
              <w:rPr>
                <w:sz w:val="18"/>
                <w:szCs w:val="18"/>
              </w:rPr>
              <w:t>081</w:t>
            </w:r>
          </w:p>
        </w:tc>
        <w:tc>
          <w:tcPr>
            <w:tcW w:w="2552" w:type="dxa"/>
            <w:gridSpan w:val="2"/>
            <w:tcBorders>
              <w:top w:val="single" w:sz="4" w:space="0" w:color="44546A"/>
            </w:tcBorders>
          </w:tcPr>
          <w:p w:rsidR="00865EA8" w:rsidRPr="00DB746D" w:rsidRDefault="00ED75F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 xml:space="preserve">124 </w:t>
            </w:r>
            <w:r w:rsidR="00865EA8" w:rsidRPr="00DB746D">
              <w:rPr>
                <w:sz w:val="18"/>
                <w:szCs w:val="18"/>
              </w:rPr>
              <w:t>010</w:t>
            </w:r>
          </w:p>
        </w:tc>
      </w:tr>
      <w:tr w:rsidR="00BD5E64" w:rsidRPr="00DB746D" w:rsidTr="00EB45AA">
        <w:trPr>
          <w:trHeight w:hRule="exact" w:val="1021"/>
          <w:jc w:val="center"/>
        </w:trPr>
        <w:tc>
          <w:tcPr>
            <w:tcW w:w="2268" w:type="dxa"/>
            <w:vMerge w:val="restart"/>
            <w:tcBorders>
              <w:right w:val="double" w:sz="4" w:space="0" w:color="000000"/>
            </w:tcBorders>
          </w:tcPr>
          <w:p w:rsidR="00865EA8" w:rsidRPr="00DB746D" w:rsidRDefault="00865EA8" w:rsidP="00426C11">
            <w:pPr>
              <w:pStyle w:val="TableParagraph"/>
              <w:tabs>
                <w:tab w:val="left" w:pos="638"/>
              </w:tabs>
              <w:ind w:left="55"/>
              <w:rPr>
                <w:sz w:val="16"/>
                <w:lang w:val="es-ES_tradnl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65EA8" w:rsidRPr="00DB746D" w:rsidRDefault="00865EA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3" w:name="lt_pId093"/>
            <w:r w:rsidRPr="00DB746D">
              <w:rPr>
                <w:sz w:val="18"/>
                <w:szCs w:val="18"/>
              </w:rPr>
              <w:t>Base</w:t>
            </w:r>
            <w:bookmarkEnd w:id="43"/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865EA8" w:rsidRPr="00DB746D" w:rsidRDefault="00865EA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4" w:name="lt_pId094"/>
            <w:r w:rsidRPr="00DB746D">
              <w:rPr>
                <w:sz w:val="18"/>
                <w:szCs w:val="18"/>
              </w:rPr>
              <w:t>Op</w:t>
            </w:r>
            <w:r w:rsidR="002D42DB" w:rsidRPr="00DB746D">
              <w:rPr>
                <w:sz w:val="18"/>
                <w:szCs w:val="18"/>
              </w:rPr>
              <w:t xml:space="preserve">ciones y/o complementos programáticos </w:t>
            </w:r>
            <w:bookmarkEnd w:id="44"/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</w:tcPr>
          <w:p w:rsidR="00865EA8" w:rsidRPr="00DB746D" w:rsidRDefault="00865EA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5" w:name="lt_pId095"/>
            <w:r w:rsidRPr="00DB746D">
              <w:rPr>
                <w:sz w:val="18"/>
                <w:szCs w:val="18"/>
              </w:rPr>
              <w:t>Base</w:t>
            </w:r>
            <w:bookmarkEnd w:id="45"/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865EA8" w:rsidRPr="00DB746D" w:rsidRDefault="002D42DB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r w:rsidRPr="00DB746D">
              <w:rPr>
                <w:sz w:val="18"/>
                <w:szCs w:val="18"/>
              </w:rPr>
              <w:t>Opciones y/o complementos programáticos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</w:tcPr>
          <w:p w:rsidR="00865EA8" w:rsidRPr="00DB746D" w:rsidRDefault="00865EA8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6" w:name="lt_pId097"/>
            <w:r w:rsidRPr="00DB746D">
              <w:rPr>
                <w:sz w:val="18"/>
                <w:szCs w:val="18"/>
              </w:rPr>
              <w:t>Base</w:t>
            </w:r>
            <w:bookmarkEnd w:id="46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865EA8" w:rsidRPr="00DB746D" w:rsidRDefault="002D42DB" w:rsidP="001D34C0">
            <w:pPr>
              <w:pStyle w:val="Tabletext"/>
              <w:spacing w:before="40" w:after="40"/>
              <w:jc w:val="center"/>
              <w:rPr>
                <w:sz w:val="18"/>
                <w:szCs w:val="18"/>
              </w:rPr>
            </w:pPr>
            <w:bookmarkStart w:id="47" w:name="lt_pId098"/>
            <w:r w:rsidRPr="00DB746D">
              <w:rPr>
                <w:sz w:val="18"/>
                <w:szCs w:val="18"/>
              </w:rPr>
              <w:t>Opción no validada</w:t>
            </w:r>
            <w:r w:rsidR="00865EA8" w:rsidRPr="00DB746D">
              <w:rPr>
                <w:sz w:val="18"/>
                <w:szCs w:val="18"/>
              </w:rPr>
              <w:t xml:space="preserve"> (</w:t>
            </w:r>
            <w:r w:rsidRPr="00DB746D">
              <w:rPr>
                <w:sz w:val="18"/>
                <w:szCs w:val="18"/>
              </w:rPr>
              <w:t>no incluida en el total</w:t>
            </w:r>
            <w:r w:rsidR="00865EA8" w:rsidRPr="00DB746D">
              <w:rPr>
                <w:sz w:val="18"/>
                <w:szCs w:val="18"/>
              </w:rPr>
              <w:t>)</w:t>
            </w:r>
            <w:bookmarkEnd w:id="47"/>
          </w:p>
        </w:tc>
      </w:tr>
      <w:tr w:rsidR="00E8342C" w:rsidRPr="00DB746D" w:rsidTr="00EB45AA">
        <w:trPr>
          <w:trHeight w:hRule="exact" w:val="200"/>
          <w:jc w:val="center"/>
        </w:trPr>
        <w:tc>
          <w:tcPr>
            <w:tcW w:w="2268" w:type="dxa"/>
            <w:vMerge/>
            <w:tcBorders>
              <w:bottom w:val="nil"/>
              <w:right w:val="double" w:sz="4" w:space="0" w:color="000000"/>
            </w:tcBorders>
          </w:tcPr>
          <w:p w:rsidR="00865EA8" w:rsidRPr="00DB746D" w:rsidRDefault="00865EA8" w:rsidP="00426C11"/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8" w:space="0" w:color="000000"/>
            </w:tcBorders>
          </w:tcPr>
          <w:p w:rsidR="00865EA8" w:rsidRPr="00DB746D" w:rsidRDefault="00865EA8" w:rsidP="00426C11"/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:rsidR="00865EA8" w:rsidRPr="00DB746D" w:rsidRDefault="00865EA8" w:rsidP="00426C11"/>
        </w:tc>
        <w:tc>
          <w:tcPr>
            <w:tcW w:w="1418" w:type="dxa"/>
            <w:tcBorders>
              <w:top w:val="single" w:sz="4" w:space="0" w:color="000000"/>
              <w:bottom w:val="nil"/>
              <w:right w:val="single" w:sz="8" w:space="0" w:color="000000"/>
            </w:tcBorders>
          </w:tcPr>
          <w:p w:rsidR="00865EA8" w:rsidRPr="00DB746D" w:rsidRDefault="00865EA8" w:rsidP="00426C11"/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:rsidR="00865EA8" w:rsidRPr="00DB746D" w:rsidRDefault="00865EA8" w:rsidP="00426C11"/>
        </w:tc>
        <w:tc>
          <w:tcPr>
            <w:tcW w:w="1418" w:type="dxa"/>
            <w:tcBorders>
              <w:top w:val="single" w:sz="4" w:space="0" w:color="000000"/>
              <w:bottom w:val="nil"/>
              <w:right w:val="single" w:sz="8" w:space="0" w:color="000000"/>
            </w:tcBorders>
          </w:tcPr>
          <w:p w:rsidR="00865EA8" w:rsidRPr="00DB746D" w:rsidRDefault="00865EA8" w:rsidP="00426C11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:rsidR="00865EA8" w:rsidRPr="00DB746D" w:rsidRDefault="00865EA8" w:rsidP="00426C11"/>
        </w:tc>
      </w:tr>
      <w:tr w:rsidR="00D50B5E" w:rsidRPr="00DB746D" w:rsidTr="00EB45AA">
        <w:trPr>
          <w:trHeight w:hRule="exact" w:val="390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D50B5E" w:rsidP="0079268D">
            <w:pPr>
              <w:spacing w:before="40" w:after="40"/>
              <w:rPr>
                <w:sz w:val="18"/>
                <w:szCs w:val="18"/>
              </w:rPr>
            </w:pPr>
            <w:bookmarkStart w:id="48" w:name="lt_pId085"/>
            <w:r w:rsidRPr="00DB746D">
              <w:rPr>
                <w:sz w:val="18"/>
                <w:szCs w:val="18"/>
              </w:rPr>
              <w:t>CGC</w:t>
            </w:r>
            <w:r w:rsidRPr="00DB746D">
              <w:rPr>
                <w:spacing w:val="-1"/>
                <w:sz w:val="18"/>
                <w:szCs w:val="18"/>
              </w:rPr>
              <w:t xml:space="preserve"> </w:t>
            </w:r>
            <w:r w:rsidRPr="00DB746D">
              <w:rPr>
                <w:sz w:val="18"/>
                <w:szCs w:val="18"/>
              </w:rPr>
              <w:t>1</w:t>
            </w:r>
            <w:bookmarkEnd w:id="48"/>
            <w:r w:rsidRPr="00DB746D">
              <w:rPr>
                <w:sz w:val="18"/>
                <w:szCs w:val="18"/>
              </w:rPr>
              <w:tab/>
            </w:r>
            <w:bookmarkStart w:id="49" w:name="lt_pId086"/>
            <w:r w:rsidRPr="00DB746D">
              <w:rPr>
                <w:sz w:val="18"/>
                <w:szCs w:val="18"/>
              </w:rPr>
              <w:t>Trabajos preparatorios</w:t>
            </w:r>
            <w:bookmarkEnd w:id="49"/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:rsidR="00865EA8" w:rsidRPr="00DB746D" w:rsidRDefault="001D34C0" w:rsidP="0079268D">
            <w:pPr>
              <w:pStyle w:val="TableParagraph"/>
              <w:spacing w:before="40" w:after="40"/>
              <w:ind w:left="115"/>
              <w:jc w:val="center"/>
              <w:rPr>
                <w:sz w:val="18"/>
                <w:szCs w:val="18"/>
                <w:lang w:val="es-ES_tradnl"/>
              </w:rPr>
            </w:pPr>
            <w:bookmarkStart w:id="50" w:name="lt_pId099"/>
            <w:r w:rsidRPr="00DB746D">
              <w:rPr>
                <w:sz w:val="18"/>
                <w:szCs w:val="18"/>
                <w:lang w:val="es-ES_tradnl"/>
              </w:rPr>
              <w:t>10 770 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50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FCE4D6"/>
            <w:vAlign w:val="center"/>
          </w:tcPr>
          <w:p w:rsidR="00865EA8" w:rsidRPr="00DB746D" w:rsidRDefault="00F74693" w:rsidP="0079268D">
            <w:pPr>
              <w:pStyle w:val="TableParagraph"/>
              <w:spacing w:before="40" w:after="40"/>
              <w:ind w:left="161"/>
              <w:jc w:val="center"/>
              <w:rPr>
                <w:sz w:val="18"/>
                <w:szCs w:val="18"/>
                <w:lang w:val="es-ES_tradnl"/>
              </w:rPr>
            </w:pPr>
            <w:bookmarkStart w:id="51" w:name="lt_pId100"/>
            <w:r w:rsidRPr="00DB746D">
              <w:rPr>
                <w:sz w:val="18"/>
                <w:szCs w:val="18"/>
                <w:lang w:val="es-ES_tradnl"/>
              </w:rPr>
              <w:t>1 050 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51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  <w:vAlign w:val="center"/>
          </w:tcPr>
          <w:p w:rsidR="00865EA8" w:rsidRPr="00DB746D" w:rsidRDefault="00E8342C" w:rsidP="0079268D">
            <w:pPr>
              <w:pStyle w:val="TableParagraph"/>
              <w:spacing w:before="40" w:after="40"/>
              <w:ind w:left="116"/>
              <w:rPr>
                <w:sz w:val="18"/>
                <w:szCs w:val="18"/>
                <w:lang w:val="es-ES_tradnl"/>
              </w:rPr>
            </w:pPr>
            <w:bookmarkStart w:id="52" w:name="lt_pId101"/>
            <w:r w:rsidRPr="00DB746D">
              <w:rPr>
                <w:sz w:val="18"/>
                <w:szCs w:val="18"/>
                <w:lang w:val="es-ES_tradnl"/>
              </w:rPr>
              <w:t>12 258 </w:t>
            </w:r>
            <w:r w:rsidR="00865EA8" w:rsidRPr="00DB746D">
              <w:rPr>
                <w:sz w:val="18"/>
                <w:szCs w:val="18"/>
                <w:lang w:val="es-ES_tradnl"/>
              </w:rPr>
              <w:t>395</w:t>
            </w:r>
            <w:bookmarkEnd w:id="52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FFF2CC"/>
            <w:vAlign w:val="center"/>
          </w:tcPr>
          <w:p w:rsidR="00865EA8" w:rsidRPr="00DB746D" w:rsidRDefault="00BD5E64" w:rsidP="0079268D">
            <w:pPr>
              <w:pStyle w:val="TableParagraph"/>
              <w:spacing w:before="40" w:after="40"/>
              <w:ind w:left="161"/>
              <w:rPr>
                <w:sz w:val="18"/>
                <w:szCs w:val="18"/>
                <w:lang w:val="es-ES_tradnl"/>
              </w:rPr>
            </w:pPr>
            <w:bookmarkStart w:id="53" w:name="lt_pId102"/>
            <w:r w:rsidRPr="00DB746D">
              <w:rPr>
                <w:sz w:val="18"/>
                <w:szCs w:val="18"/>
                <w:lang w:val="es-ES_tradnl"/>
              </w:rPr>
              <w:t>1 050 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53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E2EFDA"/>
            <w:vAlign w:val="center"/>
          </w:tcPr>
          <w:p w:rsidR="00865EA8" w:rsidRPr="00DB746D" w:rsidRDefault="00970200" w:rsidP="0079268D">
            <w:pPr>
              <w:pStyle w:val="TableParagraph"/>
              <w:spacing w:before="40" w:after="40"/>
              <w:ind w:left="37" w:right="41"/>
              <w:jc w:val="center"/>
              <w:rPr>
                <w:sz w:val="18"/>
                <w:szCs w:val="18"/>
                <w:lang w:val="es-ES_tradnl"/>
              </w:rPr>
            </w:pPr>
            <w:bookmarkStart w:id="54" w:name="lt_pId103"/>
            <w:r w:rsidRPr="00DB746D">
              <w:rPr>
                <w:sz w:val="18"/>
                <w:szCs w:val="18"/>
                <w:lang w:val="es-ES_tradnl"/>
              </w:rPr>
              <w:t>15 638 </w:t>
            </w:r>
            <w:r w:rsidR="00865EA8" w:rsidRPr="00DB746D">
              <w:rPr>
                <w:sz w:val="18"/>
                <w:szCs w:val="18"/>
                <w:lang w:val="es-ES_tradnl"/>
              </w:rPr>
              <w:t>353</w:t>
            </w:r>
            <w:bookmarkEnd w:id="54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shd w:val="clear" w:color="auto" w:fill="E2EFDA"/>
            <w:vAlign w:val="center"/>
          </w:tcPr>
          <w:p w:rsidR="00865EA8" w:rsidRPr="00DB746D" w:rsidRDefault="00865EA8" w:rsidP="0079268D">
            <w:pPr>
              <w:pStyle w:val="TableParagraph"/>
              <w:spacing w:before="40" w:after="40"/>
              <w:ind w:left="77" w:right="77"/>
              <w:jc w:val="center"/>
              <w:rPr>
                <w:sz w:val="18"/>
                <w:szCs w:val="18"/>
                <w:lang w:val="es-ES_tradnl"/>
              </w:rPr>
            </w:pPr>
            <w:bookmarkStart w:id="55" w:name="lt_pId104"/>
            <w:r w:rsidRPr="00DB746D">
              <w:rPr>
                <w:sz w:val="18"/>
                <w:szCs w:val="18"/>
                <w:lang w:val="es-ES_tradnl"/>
              </w:rPr>
              <w:t>0</w:t>
            </w:r>
            <w:bookmarkEnd w:id="55"/>
            <w:r w:rsidR="00970200"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</w:tr>
      <w:tr w:rsidR="00E5411E" w:rsidRPr="00DB746D" w:rsidTr="00EB45AA">
        <w:trPr>
          <w:trHeight w:hRule="exact" w:val="196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865EA8" w:rsidP="00F56D7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</w:tr>
      <w:tr w:rsidR="00D50B5E" w:rsidRPr="00DB746D" w:rsidTr="00EB45AA">
        <w:trPr>
          <w:trHeight w:hRule="exact" w:val="335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D50B5E" w:rsidP="0079268D">
            <w:pPr>
              <w:spacing w:before="40" w:after="40"/>
              <w:rPr>
                <w:sz w:val="18"/>
                <w:szCs w:val="18"/>
              </w:rPr>
            </w:pPr>
            <w:bookmarkStart w:id="56" w:name="lt_pId087"/>
            <w:r w:rsidRPr="00DB746D">
              <w:rPr>
                <w:sz w:val="18"/>
                <w:szCs w:val="18"/>
              </w:rPr>
              <w:t>CGC</w:t>
            </w:r>
            <w:r w:rsidRPr="00DB746D">
              <w:rPr>
                <w:spacing w:val="-1"/>
                <w:sz w:val="18"/>
                <w:szCs w:val="18"/>
              </w:rPr>
              <w:t xml:space="preserve"> </w:t>
            </w:r>
            <w:r w:rsidRPr="00DB746D">
              <w:rPr>
                <w:sz w:val="18"/>
                <w:szCs w:val="18"/>
              </w:rPr>
              <w:t>2</w:t>
            </w:r>
            <w:bookmarkEnd w:id="56"/>
            <w:r w:rsidRPr="00DB746D">
              <w:rPr>
                <w:sz w:val="18"/>
                <w:szCs w:val="18"/>
              </w:rPr>
              <w:tab/>
            </w:r>
            <w:bookmarkStart w:id="57" w:name="lt_pId088"/>
            <w:r w:rsidRPr="00DB746D">
              <w:rPr>
                <w:sz w:val="18"/>
                <w:szCs w:val="18"/>
              </w:rPr>
              <w:t>Construcción</w:t>
            </w:r>
            <w:bookmarkEnd w:id="57"/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:rsidR="00865EA8" w:rsidRPr="00DB746D" w:rsidRDefault="001D34C0" w:rsidP="0079268D">
            <w:pPr>
              <w:pStyle w:val="TableParagraph"/>
              <w:spacing w:before="40" w:after="40"/>
              <w:ind w:left="115"/>
              <w:jc w:val="center"/>
              <w:rPr>
                <w:sz w:val="18"/>
                <w:szCs w:val="18"/>
                <w:lang w:val="es-ES_tradnl"/>
              </w:rPr>
            </w:pPr>
            <w:bookmarkStart w:id="58" w:name="lt_pId105"/>
            <w:r w:rsidRPr="00DB746D">
              <w:rPr>
                <w:sz w:val="18"/>
                <w:szCs w:val="18"/>
                <w:lang w:val="es-ES_tradnl"/>
              </w:rPr>
              <w:t>94 150 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58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FCE4D6"/>
            <w:vAlign w:val="center"/>
          </w:tcPr>
          <w:p w:rsidR="00865EA8" w:rsidRPr="00DB746D" w:rsidRDefault="00F74693" w:rsidP="0079268D">
            <w:pPr>
              <w:pStyle w:val="TableParagraph"/>
              <w:spacing w:before="40" w:after="40"/>
              <w:ind w:left="161"/>
              <w:jc w:val="center"/>
              <w:rPr>
                <w:sz w:val="18"/>
                <w:szCs w:val="18"/>
                <w:lang w:val="es-ES_tradnl"/>
              </w:rPr>
            </w:pPr>
            <w:bookmarkStart w:id="59" w:name="lt_pId106"/>
            <w:r w:rsidRPr="00DB746D">
              <w:rPr>
                <w:sz w:val="18"/>
                <w:szCs w:val="18"/>
                <w:lang w:val="es-ES_tradnl"/>
              </w:rPr>
              <w:t>1 002 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59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  <w:vAlign w:val="center"/>
          </w:tcPr>
          <w:p w:rsidR="00865EA8" w:rsidRPr="00DB746D" w:rsidRDefault="00E8342C" w:rsidP="0079268D">
            <w:pPr>
              <w:pStyle w:val="TableParagraph"/>
              <w:spacing w:before="40" w:after="40"/>
              <w:ind w:left="116"/>
              <w:rPr>
                <w:sz w:val="18"/>
                <w:szCs w:val="18"/>
                <w:lang w:val="es-ES_tradnl"/>
              </w:rPr>
            </w:pPr>
            <w:bookmarkStart w:id="60" w:name="lt_pId107"/>
            <w:r w:rsidRPr="00DB746D">
              <w:rPr>
                <w:sz w:val="18"/>
                <w:szCs w:val="18"/>
                <w:lang w:val="es-ES_tradnl"/>
              </w:rPr>
              <w:t>87 093 </w:t>
            </w:r>
            <w:r w:rsidR="00865EA8" w:rsidRPr="00DB746D">
              <w:rPr>
                <w:sz w:val="18"/>
                <w:szCs w:val="18"/>
                <w:lang w:val="es-ES_tradnl"/>
              </w:rPr>
              <w:t>180</w:t>
            </w:r>
            <w:bookmarkEnd w:id="60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FFF2CC"/>
            <w:vAlign w:val="center"/>
          </w:tcPr>
          <w:p w:rsidR="00865EA8" w:rsidRPr="00DB746D" w:rsidRDefault="00BD5E64" w:rsidP="0079268D">
            <w:pPr>
              <w:pStyle w:val="TableParagraph"/>
              <w:spacing w:before="40" w:after="40"/>
              <w:ind w:left="161"/>
              <w:rPr>
                <w:sz w:val="18"/>
                <w:szCs w:val="18"/>
                <w:lang w:val="es-ES_tradnl"/>
              </w:rPr>
            </w:pPr>
            <w:bookmarkStart w:id="61" w:name="lt_pId108"/>
            <w:r w:rsidRPr="00DB746D">
              <w:rPr>
                <w:sz w:val="18"/>
                <w:szCs w:val="18"/>
                <w:lang w:val="es-ES_tradnl"/>
              </w:rPr>
              <w:t>1 002 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61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E2EFDA"/>
            <w:vAlign w:val="center"/>
          </w:tcPr>
          <w:p w:rsidR="00865EA8" w:rsidRPr="00DB746D" w:rsidRDefault="00970200" w:rsidP="0079268D">
            <w:pPr>
              <w:pStyle w:val="TableParagraph"/>
              <w:spacing w:before="40" w:after="40"/>
              <w:ind w:left="37" w:right="41"/>
              <w:jc w:val="center"/>
              <w:rPr>
                <w:sz w:val="18"/>
                <w:szCs w:val="18"/>
                <w:lang w:val="es-ES_tradnl"/>
              </w:rPr>
            </w:pPr>
            <w:bookmarkStart w:id="62" w:name="lt_pId109"/>
            <w:r w:rsidRPr="00DB746D">
              <w:rPr>
                <w:sz w:val="18"/>
                <w:szCs w:val="18"/>
                <w:lang w:val="es-ES_tradnl"/>
              </w:rPr>
              <w:t>89 976 </w:t>
            </w:r>
            <w:r w:rsidR="00865EA8" w:rsidRPr="00DB746D">
              <w:rPr>
                <w:sz w:val="18"/>
                <w:szCs w:val="18"/>
                <w:lang w:val="es-ES_tradnl"/>
              </w:rPr>
              <w:t>063</w:t>
            </w:r>
            <w:bookmarkEnd w:id="62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shd w:val="clear" w:color="auto" w:fill="E2EFDA"/>
            <w:vAlign w:val="center"/>
          </w:tcPr>
          <w:p w:rsidR="00865EA8" w:rsidRPr="00DB746D" w:rsidRDefault="00970200" w:rsidP="0079268D">
            <w:pPr>
              <w:pStyle w:val="TableParagraph"/>
              <w:spacing w:before="40" w:after="40"/>
              <w:ind w:left="78" w:right="77"/>
              <w:jc w:val="center"/>
              <w:rPr>
                <w:sz w:val="18"/>
                <w:szCs w:val="18"/>
                <w:lang w:val="es-ES_tradnl"/>
              </w:rPr>
            </w:pPr>
            <w:bookmarkStart w:id="63" w:name="lt_pId110"/>
            <w:r w:rsidRPr="00DB746D">
              <w:rPr>
                <w:sz w:val="18"/>
                <w:szCs w:val="18"/>
                <w:lang w:val="es-ES_tradnl"/>
              </w:rPr>
              <w:t>650 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63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</w:tr>
      <w:tr w:rsidR="00E5411E" w:rsidRPr="00DB746D" w:rsidTr="00EB45AA">
        <w:trPr>
          <w:trHeight w:hRule="exact" w:val="196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865EA8" w:rsidP="00F56D7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</w:tr>
      <w:tr w:rsidR="00D50B5E" w:rsidRPr="00DB746D" w:rsidTr="00EB45AA">
        <w:trPr>
          <w:trHeight w:hRule="exact" w:val="492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D50B5E" w:rsidP="005140E6">
            <w:pPr>
              <w:spacing w:before="40" w:after="40"/>
              <w:rPr>
                <w:sz w:val="18"/>
                <w:szCs w:val="18"/>
              </w:rPr>
            </w:pPr>
            <w:bookmarkStart w:id="64" w:name="lt_pId089"/>
            <w:r w:rsidRPr="00DB746D">
              <w:rPr>
                <w:sz w:val="18"/>
                <w:szCs w:val="18"/>
              </w:rPr>
              <w:t>CGC 3</w:t>
            </w:r>
            <w:r w:rsidRPr="00DB746D">
              <w:rPr>
                <w:sz w:val="18"/>
                <w:szCs w:val="18"/>
              </w:rPr>
              <w:tab/>
            </w:r>
            <w:r w:rsidRPr="00DB746D">
              <w:rPr>
                <w:sz w:val="18"/>
                <w:szCs w:val="18"/>
              </w:rPr>
              <w:t>Equipos (mobiliario fijo, cocina, audiovisuales)</w:t>
            </w:r>
            <w:bookmarkEnd w:id="64"/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:rsidR="00865EA8" w:rsidRPr="00DB746D" w:rsidRDefault="001D34C0" w:rsidP="005140E6">
            <w:pPr>
              <w:pStyle w:val="TableParagraph"/>
              <w:spacing w:before="40" w:after="40"/>
              <w:ind w:left="156"/>
              <w:jc w:val="center"/>
              <w:rPr>
                <w:sz w:val="18"/>
                <w:szCs w:val="18"/>
                <w:lang w:val="es-ES_tradnl"/>
              </w:rPr>
            </w:pPr>
            <w:bookmarkStart w:id="65" w:name="lt_pId111"/>
            <w:r w:rsidRPr="00DB746D">
              <w:rPr>
                <w:sz w:val="18"/>
                <w:szCs w:val="18"/>
                <w:lang w:val="es-ES_tradnl"/>
              </w:rPr>
              <w:t>8 070 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65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FCE4D6"/>
            <w:vAlign w:val="center"/>
          </w:tcPr>
          <w:p w:rsidR="00865EA8" w:rsidRPr="00DB746D" w:rsidRDefault="00F74693" w:rsidP="005140E6">
            <w:pPr>
              <w:pStyle w:val="TableParagraph"/>
              <w:spacing w:before="40" w:after="40"/>
              <w:ind w:left="161"/>
              <w:jc w:val="center"/>
              <w:rPr>
                <w:sz w:val="18"/>
                <w:szCs w:val="18"/>
                <w:lang w:val="es-ES_tradnl"/>
              </w:rPr>
            </w:pPr>
            <w:bookmarkStart w:id="66" w:name="lt_pId112"/>
            <w:r w:rsidRPr="00DB746D">
              <w:rPr>
                <w:sz w:val="18"/>
                <w:szCs w:val="18"/>
                <w:lang w:val="es-ES_tradnl"/>
              </w:rPr>
              <w:t>6 498 </w:t>
            </w:r>
            <w:r w:rsidR="00865EA8" w:rsidRPr="00DB746D">
              <w:rPr>
                <w:sz w:val="18"/>
                <w:szCs w:val="18"/>
                <w:lang w:val="es-ES_tradnl"/>
              </w:rPr>
              <w:t>322</w:t>
            </w:r>
            <w:bookmarkEnd w:id="66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  <w:vAlign w:val="center"/>
          </w:tcPr>
          <w:p w:rsidR="00865EA8" w:rsidRPr="00DB746D" w:rsidRDefault="00E8342C" w:rsidP="005140E6">
            <w:pPr>
              <w:pStyle w:val="TableParagraph"/>
              <w:spacing w:before="40" w:after="40"/>
              <w:ind w:left="157"/>
              <w:rPr>
                <w:sz w:val="18"/>
                <w:szCs w:val="18"/>
                <w:lang w:val="es-ES_tradnl"/>
              </w:rPr>
            </w:pPr>
            <w:bookmarkStart w:id="67" w:name="lt_pId113"/>
            <w:r w:rsidRPr="00DB746D">
              <w:rPr>
                <w:sz w:val="18"/>
                <w:szCs w:val="18"/>
                <w:lang w:val="es-ES_tradnl"/>
              </w:rPr>
              <w:t>7 551 </w:t>
            </w:r>
            <w:r w:rsidR="00865EA8" w:rsidRPr="00DB746D">
              <w:rPr>
                <w:sz w:val="18"/>
                <w:szCs w:val="18"/>
                <w:lang w:val="es-ES_tradnl"/>
              </w:rPr>
              <w:t>872</w:t>
            </w:r>
            <w:bookmarkEnd w:id="67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FFF2CC"/>
            <w:vAlign w:val="center"/>
          </w:tcPr>
          <w:p w:rsidR="00865EA8" w:rsidRPr="00DB746D" w:rsidRDefault="00BD5E64" w:rsidP="005140E6">
            <w:pPr>
              <w:pStyle w:val="TableParagraph"/>
              <w:spacing w:before="40" w:after="40"/>
              <w:ind w:left="161"/>
              <w:rPr>
                <w:sz w:val="18"/>
                <w:szCs w:val="18"/>
                <w:lang w:val="es-ES_tradnl"/>
              </w:rPr>
            </w:pPr>
            <w:bookmarkStart w:id="68" w:name="lt_pId114"/>
            <w:r w:rsidRPr="00DB746D">
              <w:rPr>
                <w:sz w:val="18"/>
                <w:szCs w:val="18"/>
                <w:lang w:val="es-ES_tradnl"/>
              </w:rPr>
              <w:t>6 498 </w:t>
            </w:r>
            <w:r w:rsidR="00865EA8" w:rsidRPr="00DB746D">
              <w:rPr>
                <w:sz w:val="18"/>
                <w:szCs w:val="18"/>
                <w:lang w:val="es-ES_tradnl"/>
              </w:rPr>
              <w:t>322</w:t>
            </w:r>
            <w:bookmarkEnd w:id="68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E2EFDA"/>
            <w:vAlign w:val="center"/>
          </w:tcPr>
          <w:p w:rsidR="00865EA8" w:rsidRPr="00DB746D" w:rsidRDefault="00970200" w:rsidP="005140E6">
            <w:pPr>
              <w:pStyle w:val="TableParagraph"/>
              <w:spacing w:before="40" w:after="40"/>
              <w:ind w:left="37" w:right="41"/>
              <w:jc w:val="center"/>
              <w:rPr>
                <w:sz w:val="18"/>
                <w:szCs w:val="18"/>
                <w:lang w:val="es-ES_tradnl"/>
              </w:rPr>
            </w:pPr>
            <w:bookmarkStart w:id="69" w:name="lt_pId115"/>
            <w:r w:rsidRPr="00DB746D">
              <w:rPr>
                <w:sz w:val="18"/>
                <w:szCs w:val="18"/>
                <w:lang w:val="es-ES_tradnl"/>
              </w:rPr>
              <w:t>14 302 </w:t>
            </w:r>
            <w:r w:rsidR="00865EA8" w:rsidRPr="00DB746D">
              <w:rPr>
                <w:sz w:val="18"/>
                <w:szCs w:val="18"/>
                <w:lang w:val="es-ES_tradnl"/>
              </w:rPr>
              <w:t>523</w:t>
            </w:r>
            <w:bookmarkEnd w:id="69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shd w:val="clear" w:color="auto" w:fill="E2EFDA"/>
            <w:vAlign w:val="center"/>
          </w:tcPr>
          <w:p w:rsidR="00865EA8" w:rsidRPr="00DB746D" w:rsidRDefault="00865EA8" w:rsidP="005140E6">
            <w:pPr>
              <w:pStyle w:val="TableParagraph"/>
              <w:spacing w:before="40" w:after="40"/>
              <w:ind w:left="77" w:right="77"/>
              <w:jc w:val="center"/>
              <w:rPr>
                <w:sz w:val="18"/>
                <w:szCs w:val="18"/>
                <w:lang w:val="es-ES_tradnl"/>
              </w:rPr>
            </w:pPr>
            <w:bookmarkStart w:id="70" w:name="lt_pId116"/>
            <w:r w:rsidRPr="00DB746D">
              <w:rPr>
                <w:sz w:val="18"/>
                <w:szCs w:val="18"/>
                <w:lang w:val="es-ES_tradnl"/>
              </w:rPr>
              <w:t>0</w:t>
            </w:r>
            <w:bookmarkEnd w:id="70"/>
            <w:r w:rsidR="00970200"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</w:tr>
      <w:tr w:rsidR="00E5411E" w:rsidRPr="00DB746D" w:rsidTr="00EB45AA">
        <w:trPr>
          <w:trHeight w:hRule="exact" w:val="196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865EA8" w:rsidP="00F56D7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</w:tr>
      <w:tr w:rsidR="00D50B5E" w:rsidRPr="00DB746D" w:rsidTr="00EB45AA">
        <w:trPr>
          <w:trHeight w:hRule="exact" w:val="395"/>
          <w:jc w:val="center"/>
        </w:trPr>
        <w:tc>
          <w:tcPr>
            <w:tcW w:w="2268" w:type="dxa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:rsidR="00865EA8" w:rsidRPr="00DB746D" w:rsidRDefault="00D50B5E" w:rsidP="005140E6">
            <w:pPr>
              <w:spacing w:before="40" w:after="40"/>
              <w:rPr>
                <w:sz w:val="18"/>
                <w:szCs w:val="18"/>
              </w:rPr>
            </w:pPr>
            <w:bookmarkStart w:id="71" w:name="lt_pId090"/>
            <w:r w:rsidRPr="00DB746D">
              <w:rPr>
                <w:sz w:val="18"/>
                <w:szCs w:val="18"/>
              </w:rPr>
              <w:t>CGC</w:t>
            </w:r>
            <w:r w:rsidRPr="00DB746D">
              <w:rPr>
                <w:spacing w:val="-1"/>
                <w:sz w:val="18"/>
                <w:szCs w:val="18"/>
              </w:rPr>
              <w:t xml:space="preserve"> </w:t>
            </w:r>
            <w:r w:rsidRPr="00DB746D">
              <w:rPr>
                <w:sz w:val="18"/>
                <w:szCs w:val="18"/>
              </w:rPr>
              <w:t>4</w:t>
            </w:r>
            <w:bookmarkEnd w:id="71"/>
            <w:r w:rsidRPr="00DB746D">
              <w:rPr>
                <w:sz w:val="18"/>
                <w:szCs w:val="18"/>
              </w:rPr>
              <w:tab/>
            </w:r>
            <w:bookmarkStart w:id="72" w:name="lt_pId091"/>
            <w:r w:rsidRPr="00DB746D">
              <w:rPr>
                <w:sz w:val="18"/>
                <w:szCs w:val="18"/>
              </w:rPr>
              <w:t>Trabajos exteriores</w:t>
            </w:r>
            <w:bookmarkEnd w:id="72"/>
          </w:p>
        </w:tc>
        <w:tc>
          <w:tcPr>
            <w:tcW w:w="1418" w:type="dxa"/>
            <w:tcBorders>
              <w:top w:val="nil"/>
              <w:left w:val="double" w:sz="4" w:space="0" w:color="000000"/>
              <w:bottom w:val="single" w:sz="4" w:space="0" w:color="E7E6E6"/>
              <w:right w:val="single" w:sz="8" w:space="0" w:color="000000"/>
            </w:tcBorders>
            <w:shd w:val="clear" w:color="auto" w:fill="FCE4D6"/>
            <w:vAlign w:val="center"/>
          </w:tcPr>
          <w:p w:rsidR="00865EA8" w:rsidRPr="00DB746D" w:rsidRDefault="001D34C0" w:rsidP="005140E6">
            <w:pPr>
              <w:pStyle w:val="TableParagraph"/>
              <w:spacing w:before="40" w:after="40"/>
              <w:ind w:left="156"/>
              <w:jc w:val="center"/>
              <w:rPr>
                <w:sz w:val="18"/>
                <w:szCs w:val="18"/>
                <w:lang w:val="es-ES_tradnl"/>
              </w:rPr>
            </w:pPr>
            <w:bookmarkStart w:id="73" w:name="lt_pId117"/>
            <w:r w:rsidRPr="00DB746D">
              <w:rPr>
                <w:sz w:val="18"/>
                <w:szCs w:val="18"/>
                <w:lang w:val="es-ES_tradnl"/>
              </w:rPr>
              <w:t>3 260 </w:t>
            </w:r>
            <w:r w:rsidR="00865EA8" w:rsidRPr="00DB746D">
              <w:rPr>
                <w:sz w:val="18"/>
                <w:szCs w:val="18"/>
                <w:lang w:val="es-ES_tradnl"/>
              </w:rPr>
              <w:t>000</w:t>
            </w:r>
            <w:bookmarkEnd w:id="73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E7E6E6"/>
            </w:tcBorders>
            <w:shd w:val="clear" w:color="auto" w:fill="FCE4D6"/>
            <w:vAlign w:val="center"/>
          </w:tcPr>
          <w:p w:rsidR="00865EA8" w:rsidRPr="00DB746D" w:rsidRDefault="00F74693" w:rsidP="005140E6">
            <w:pPr>
              <w:pStyle w:val="TableParagraph"/>
              <w:spacing w:before="40" w:after="40"/>
              <w:ind w:left="159"/>
              <w:jc w:val="center"/>
              <w:rPr>
                <w:sz w:val="18"/>
                <w:szCs w:val="18"/>
                <w:lang w:val="es-ES_tradnl"/>
              </w:rPr>
            </w:pPr>
            <w:bookmarkStart w:id="74" w:name="lt_pId118"/>
            <w:r w:rsidRPr="00DB746D">
              <w:rPr>
                <w:sz w:val="18"/>
                <w:szCs w:val="18"/>
                <w:lang w:val="es-ES_tradnl"/>
              </w:rPr>
              <w:t>1 561 </w:t>
            </w:r>
            <w:r w:rsidR="00865EA8" w:rsidRPr="00DB746D">
              <w:rPr>
                <w:sz w:val="18"/>
                <w:szCs w:val="18"/>
                <w:lang w:val="es-ES_tradnl"/>
              </w:rPr>
              <w:t>138</w:t>
            </w:r>
            <w:bookmarkEnd w:id="74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single" w:sz="4" w:space="0" w:color="E7E6E6"/>
              <w:right w:val="single" w:sz="8" w:space="0" w:color="000000"/>
            </w:tcBorders>
            <w:shd w:val="clear" w:color="auto" w:fill="FFF2CC"/>
            <w:vAlign w:val="center"/>
          </w:tcPr>
          <w:p w:rsidR="00865EA8" w:rsidRPr="00DB746D" w:rsidRDefault="00E8342C" w:rsidP="005140E6">
            <w:pPr>
              <w:pStyle w:val="TableParagraph"/>
              <w:spacing w:before="40" w:after="40"/>
              <w:ind w:left="157"/>
              <w:rPr>
                <w:sz w:val="18"/>
                <w:szCs w:val="18"/>
                <w:lang w:val="es-ES_tradnl"/>
              </w:rPr>
            </w:pPr>
            <w:bookmarkStart w:id="75" w:name="lt_pId119"/>
            <w:r w:rsidRPr="00DB746D">
              <w:rPr>
                <w:sz w:val="18"/>
                <w:szCs w:val="18"/>
                <w:lang w:val="es-ES_tradnl"/>
              </w:rPr>
              <w:t>2 980 </w:t>
            </w:r>
            <w:r w:rsidR="00865EA8" w:rsidRPr="00DB746D">
              <w:rPr>
                <w:sz w:val="18"/>
                <w:szCs w:val="18"/>
                <w:lang w:val="es-ES_tradnl"/>
              </w:rPr>
              <w:t>093</w:t>
            </w:r>
            <w:bookmarkEnd w:id="75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E7E6E6"/>
            </w:tcBorders>
            <w:shd w:val="clear" w:color="auto" w:fill="FFF2CC"/>
            <w:vAlign w:val="center"/>
          </w:tcPr>
          <w:p w:rsidR="00865EA8" w:rsidRPr="00DB746D" w:rsidRDefault="00865EA8" w:rsidP="005140E6">
            <w:pPr>
              <w:pStyle w:val="TableParagraph"/>
              <w:spacing w:before="40" w:after="40"/>
              <w:ind w:left="161"/>
              <w:rPr>
                <w:sz w:val="18"/>
                <w:szCs w:val="18"/>
                <w:lang w:val="es-ES_tradnl"/>
              </w:rPr>
            </w:pPr>
            <w:bookmarkStart w:id="76" w:name="lt_pId120"/>
            <w:r w:rsidRPr="00DB746D">
              <w:rPr>
                <w:sz w:val="18"/>
                <w:szCs w:val="18"/>
                <w:lang w:val="es-ES_tradnl"/>
              </w:rPr>
              <w:t>1</w:t>
            </w:r>
            <w:r w:rsidR="00BD5E64" w:rsidRPr="00DB746D">
              <w:rPr>
                <w:sz w:val="18"/>
                <w:szCs w:val="18"/>
                <w:lang w:val="es-ES_tradnl"/>
              </w:rPr>
              <w:t> 561 </w:t>
            </w:r>
            <w:r w:rsidRPr="00DB746D">
              <w:rPr>
                <w:sz w:val="18"/>
                <w:szCs w:val="18"/>
                <w:lang w:val="es-ES_tradnl"/>
              </w:rPr>
              <w:t>138</w:t>
            </w:r>
            <w:bookmarkEnd w:id="76"/>
            <w:r w:rsidR="00BD5E64"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nil"/>
              <w:bottom w:val="single" w:sz="4" w:space="0" w:color="E7E6E6"/>
              <w:right w:val="single" w:sz="8" w:space="0" w:color="000000"/>
            </w:tcBorders>
            <w:shd w:val="clear" w:color="auto" w:fill="E2EFDA"/>
            <w:vAlign w:val="center"/>
          </w:tcPr>
          <w:p w:rsidR="00865EA8" w:rsidRPr="00DB746D" w:rsidRDefault="00970200" w:rsidP="005140E6">
            <w:pPr>
              <w:pStyle w:val="TableParagraph"/>
              <w:spacing w:before="40" w:after="40"/>
              <w:ind w:left="36" w:right="41"/>
              <w:jc w:val="center"/>
              <w:rPr>
                <w:sz w:val="18"/>
                <w:szCs w:val="18"/>
                <w:lang w:val="es-ES_tradnl"/>
              </w:rPr>
            </w:pPr>
            <w:bookmarkStart w:id="77" w:name="lt_pId121"/>
            <w:r w:rsidRPr="00DB746D">
              <w:rPr>
                <w:sz w:val="18"/>
                <w:szCs w:val="18"/>
                <w:lang w:val="es-ES_tradnl"/>
              </w:rPr>
              <w:t>4 872 </w:t>
            </w:r>
            <w:r w:rsidR="00865EA8" w:rsidRPr="00DB746D">
              <w:rPr>
                <w:sz w:val="18"/>
                <w:szCs w:val="18"/>
                <w:lang w:val="es-ES_tradnl"/>
              </w:rPr>
              <w:t>909</w:t>
            </w:r>
            <w:bookmarkEnd w:id="77"/>
            <w:r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E7E6E6"/>
            </w:tcBorders>
            <w:shd w:val="clear" w:color="auto" w:fill="E2EFDA"/>
            <w:vAlign w:val="center"/>
          </w:tcPr>
          <w:p w:rsidR="00865EA8" w:rsidRPr="00DB746D" w:rsidRDefault="00865EA8" w:rsidP="005140E6">
            <w:pPr>
              <w:pStyle w:val="TableParagraph"/>
              <w:spacing w:before="40" w:after="40"/>
              <w:ind w:left="77" w:right="77"/>
              <w:jc w:val="center"/>
              <w:rPr>
                <w:sz w:val="18"/>
                <w:szCs w:val="18"/>
                <w:lang w:val="es-ES_tradnl"/>
              </w:rPr>
            </w:pPr>
            <w:bookmarkStart w:id="78" w:name="lt_pId122"/>
            <w:r w:rsidRPr="00DB746D">
              <w:rPr>
                <w:sz w:val="18"/>
                <w:szCs w:val="18"/>
                <w:lang w:val="es-ES_tradnl"/>
              </w:rPr>
              <w:t>0</w:t>
            </w:r>
            <w:bookmarkEnd w:id="78"/>
            <w:r w:rsidR="00970200" w:rsidRPr="00DB746D">
              <w:rPr>
                <w:sz w:val="18"/>
                <w:szCs w:val="18"/>
                <w:lang w:val="es-ES_tradnl"/>
              </w:rPr>
              <w:t xml:space="preserve"> CHF</w:t>
            </w:r>
          </w:p>
        </w:tc>
      </w:tr>
      <w:tr w:rsidR="00E8342C" w:rsidRPr="00DB746D" w:rsidTr="00EB45AA">
        <w:trPr>
          <w:trHeight w:hRule="exact" w:val="210"/>
          <w:jc w:val="center"/>
        </w:trPr>
        <w:tc>
          <w:tcPr>
            <w:tcW w:w="2268" w:type="dxa"/>
            <w:tcBorders>
              <w:top w:val="nil"/>
              <w:bottom w:val="single" w:sz="8" w:space="0" w:color="000000"/>
              <w:right w:val="double" w:sz="4" w:space="0" w:color="000000"/>
            </w:tcBorders>
          </w:tcPr>
          <w:p w:rsidR="00865EA8" w:rsidRPr="00DB746D" w:rsidRDefault="00865EA8" w:rsidP="00426C11"/>
        </w:tc>
        <w:tc>
          <w:tcPr>
            <w:tcW w:w="1418" w:type="dxa"/>
            <w:tcBorders>
              <w:top w:val="single" w:sz="4" w:space="0" w:color="E7E6E6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E7E6E6"/>
              <w:left w:val="single" w:sz="8" w:space="0" w:color="000000"/>
              <w:bottom w:val="single" w:sz="8" w:space="0" w:color="000000"/>
            </w:tcBorders>
          </w:tcPr>
          <w:p w:rsidR="00865EA8" w:rsidRPr="00DB746D" w:rsidRDefault="00865EA8" w:rsidP="00BC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E7E6E6"/>
              <w:bottom w:val="single" w:sz="8" w:space="0" w:color="000000"/>
              <w:right w:val="single" w:sz="8" w:space="0" w:color="000000"/>
            </w:tcBorders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E7E6E6"/>
              <w:left w:val="single" w:sz="8" w:space="0" w:color="000000"/>
              <w:bottom w:val="single" w:sz="8" w:space="0" w:color="000000"/>
            </w:tcBorders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E7E6E6"/>
              <w:bottom w:val="single" w:sz="8" w:space="0" w:color="000000"/>
              <w:right w:val="single" w:sz="8" w:space="0" w:color="000000"/>
            </w:tcBorders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E7E6E6"/>
              <w:left w:val="single" w:sz="8" w:space="0" w:color="000000"/>
              <w:bottom w:val="single" w:sz="8" w:space="0" w:color="000000"/>
            </w:tcBorders>
          </w:tcPr>
          <w:p w:rsidR="00865EA8" w:rsidRPr="00DB746D" w:rsidRDefault="00865EA8" w:rsidP="00426C11">
            <w:pPr>
              <w:rPr>
                <w:sz w:val="18"/>
                <w:szCs w:val="18"/>
              </w:rPr>
            </w:pPr>
          </w:p>
        </w:tc>
      </w:tr>
      <w:tr w:rsidR="00E5411E" w:rsidRPr="00DB746D" w:rsidTr="00EB45AA">
        <w:trPr>
          <w:trHeight w:hRule="exact" w:val="523"/>
          <w:jc w:val="center"/>
        </w:trPr>
        <w:tc>
          <w:tcPr>
            <w:tcW w:w="2268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865EA8" w:rsidRPr="00DB746D" w:rsidRDefault="001D34C0" w:rsidP="00970200">
            <w:pPr>
              <w:pStyle w:val="Tabletext"/>
              <w:spacing w:before="40" w:after="40"/>
              <w:rPr>
                <w:b/>
                <w:bCs/>
                <w:sz w:val="18"/>
                <w:szCs w:val="18"/>
              </w:rPr>
            </w:pPr>
            <w:bookmarkStart w:id="79" w:name="lt_pId123"/>
            <w:r w:rsidRPr="00DB746D">
              <w:rPr>
                <w:b/>
                <w:bCs/>
                <w:sz w:val="18"/>
                <w:szCs w:val="18"/>
              </w:rPr>
              <w:t xml:space="preserve">Subtotal </w:t>
            </w:r>
            <w:r w:rsidR="00B16281" w:rsidRPr="00DB746D">
              <w:rPr>
                <w:b/>
                <w:bCs/>
                <w:sz w:val="18"/>
                <w:szCs w:val="18"/>
              </w:rPr>
              <w:t xml:space="preserve">para </w:t>
            </w:r>
            <w:r w:rsidR="00ED75F8" w:rsidRPr="00DB746D">
              <w:rPr>
                <w:b/>
                <w:bCs/>
                <w:sz w:val="18"/>
                <w:szCs w:val="18"/>
              </w:rPr>
              <w:t>CGC</w:t>
            </w:r>
            <w:r w:rsidR="00865EA8" w:rsidRPr="00DB746D">
              <w:rPr>
                <w:b/>
                <w:bCs/>
                <w:sz w:val="18"/>
                <w:szCs w:val="18"/>
              </w:rPr>
              <w:t xml:space="preserve"> 1 </w:t>
            </w:r>
            <w:r w:rsidR="00B16281" w:rsidRPr="00DB746D">
              <w:rPr>
                <w:b/>
                <w:bCs/>
                <w:sz w:val="18"/>
                <w:szCs w:val="18"/>
              </w:rPr>
              <w:t>a</w:t>
            </w:r>
            <w:r w:rsidR="00865EA8" w:rsidRPr="00DB746D">
              <w:rPr>
                <w:b/>
                <w:bCs/>
                <w:sz w:val="18"/>
                <w:szCs w:val="18"/>
              </w:rPr>
              <w:t xml:space="preserve"> 4</w:t>
            </w:r>
            <w:bookmarkEnd w:id="79"/>
            <w:r w:rsidR="00865EA8" w:rsidRPr="00DB746D">
              <w:rPr>
                <w:b/>
                <w:bCs/>
                <w:sz w:val="18"/>
                <w:szCs w:val="18"/>
              </w:rPr>
              <w:br/>
            </w:r>
            <w:bookmarkStart w:id="80" w:name="lt_pId124"/>
            <w:r w:rsidR="00865EA8" w:rsidRPr="00DB746D">
              <w:rPr>
                <w:b/>
                <w:bCs/>
                <w:sz w:val="18"/>
                <w:szCs w:val="18"/>
              </w:rPr>
              <w:t>(</w:t>
            </w:r>
            <w:r w:rsidR="00B16281" w:rsidRPr="00DB746D">
              <w:rPr>
                <w:b/>
                <w:bCs/>
                <w:sz w:val="18"/>
                <w:szCs w:val="18"/>
              </w:rPr>
              <w:t>sin impuestos</w:t>
            </w:r>
            <w:r w:rsidR="00865EA8" w:rsidRPr="00DB746D">
              <w:rPr>
                <w:b/>
                <w:bCs/>
                <w:sz w:val="18"/>
                <w:szCs w:val="18"/>
              </w:rPr>
              <w:t>)</w:t>
            </w:r>
            <w:bookmarkEnd w:id="80"/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  <w:shd w:val="clear" w:color="auto" w:fill="FCE4D6"/>
            <w:vAlign w:val="center"/>
          </w:tcPr>
          <w:p w:rsidR="00865EA8" w:rsidRPr="00DB746D" w:rsidRDefault="001D34C0" w:rsidP="00970200">
            <w:pPr>
              <w:pStyle w:val="TableParagraph"/>
              <w:spacing w:before="40" w:after="40"/>
              <w:ind w:left="91"/>
              <w:jc w:val="center"/>
              <w:rPr>
                <w:b/>
                <w:sz w:val="18"/>
                <w:szCs w:val="18"/>
                <w:lang w:val="es-ES_tradnl"/>
              </w:rPr>
            </w:pPr>
            <w:bookmarkStart w:id="81" w:name="lt_pId125"/>
            <w:r w:rsidRPr="00DB746D">
              <w:rPr>
                <w:b/>
                <w:sz w:val="18"/>
                <w:szCs w:val="18"/>
                <w:lang w:val="es-ES_tradnl"/>
              </w:rPr>
              <w:t>116 250 </w:t>
            </w:r>
            <w:r w:rsidR="00865EA8" w:rsidRPr="00DB746D">
              <w:rPr>
                <w:b/>
                <w:sz w:val="18"/>
                <w:szCs w:val="18"/>
                <w:lang w:val="es-ES_tradnl"/>
              </w:rPr>
              <w:t>000</w:t>
            </w:r>
            <w:bookmarkEnd w:id="81"/>
            <w:r w:rsidRPr="00DB746D">
              <w:rPr>
                <w:b/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CE4D6"/>
            <w:vAlign w:val="center"/>
          </w:tcPr>
          <w:p w:rsidR="00865EA8" w:rsidRPr="00DB746D" w:rsidRDefault="00F74693" w:rsidP="00970200">
            <w:pPr>
              <w:pStyle w:val="TableParagraph"/>
              <w:spacing w:before="40" w:after="40"/>
              <w:ind w:left="177"/>
              <w:jc w:val="center"/>
              <w:rPr>
                <w:b/>
                <w:sz w:val="18"/>
                <w:szCs w:val="18"/>
                <w:lang w:val="es-ES_tradnl"/>
              </w:rPr>
            </w:pPr>
            <w:bookmarkStart w:id="82" w:name="lt_pId126"/>
            <w:r w:rsidRPr="00DB746D">
              <w:rPr>
                <w:b/>
                <w:sz w:val="18"/>
                <w:szCs w:val="18"/>
                <w:lang w:val="es-ES_tradnl"/>
              </w:rPr>
              <w:t>10 111 </w:t>
            </w:r>
            <w:r w:rsidR="00865EA8" w:rsidRPr="00DB746D">
              <w:rPr>
                <w:b/>
                <w:sz w:val="18"/>
                <w:szCs w:val="18"/>
                <w:lang w:val="es-ES_tradnl"/>
              </w:rPr>
              <w:t>460</w:t>
            </w:r>
            <w:bookmarkEnd w:id="82"/>
            <w:r w:rsidRPr="00DB746D">
              <w:rPr>
                <w:b/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865EA8" w:rsidRPr="00DB746D" w:rsidRDefault="00BD5E64" w:rsidP="00970200">
            <w:pPr>
              <w:pStyle w:val="TableParagraph"/>
              <w:spacing w:before="40" w:after="40"/>
              <w:ind w:left="92"/>
              <w:rPr>
                <w:b/>
                <w:sz w:val="18"/>
                <w:szCs w:val="18"/>
                <w:lang w:val="es-ES_tradnl"/>
              </w:rPr>
            </w:pPr>
            <w:bookmarkStart w:id="83" w:name="lt_pId127"/>
            <w:r w:rsidRPr="00DB746D">
              <w:rPr>
                <w:b/>
                <w:sz w:val="18"/>
                <w:szCs w:val="18"/>
                <w:lang w:val="es-ES_tradnl"/>
              </w:rPr>
              <w:t>109 883 </w:t>
            </w:r>
            <w:r w:rsidR="00865EA8" w:rsidRPr="00DB746D">
              <w:rPr>
                <w:b/>
                <w:sz w:val="18"/>
                <w:szCs w:val="18"/>
                <w:lang w:val="es-ES_tradnl"/>
              </w:rPr>
              <w:t>540</w:t>
            </w:r>
            <w:bookmarkEnd w:id="83"/>
            <w:r w:rsidRPr="00DB746D">
              <w:rPr>
                <w:b/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2CC"/>
            <w:vAlign w:val="center"/>
          </w:tcPr>
          <w:p w:rsidR="00865EA8" w:rsidRPr="00DB746D" w:rsidRDefault="00BD5E64" w:rsidP="00970200">
            <w:pPr>
              <w:pStyle w:val="TableParagraph"/>
              <w:spacing w:before="40" w:after="40"/>
              <w:ind w:left="177"/>
              <w:rPr>
                <w:b/>
                <w:sz w:val="18"/>
                <w:szCs w:val="18"/>
                <w:lang w:val="es-ES_tradnl"/>
              </w:rPr>
            </w:pPr>
            <w:bookmarkStart w:id="84" w:name="lt_pId128"/>
            <w:r w:rsidRPr="00DB746D">
              <w:rPr>
                <w:b/>
                <w:sz w:val="18"/>
                <w:szCs w:val="18"/>
                <w:lang w:val="es-ES_tradnl"/>
              </w:rPr>
              <w:t>10 111 </w:t>
            </w:r>
            <w:r w:rsidR="00865EA8" w:rsidRPr="00DB746D">
              <w:rPr>
                <w:b/>
                <w:sz w:val="18"/>
                <w:szCs w:val="18"/>
                <w:lang w:val="es-ES_tradnl"/>
              </w:rPr>
              <w:t>460</w:t>
            </w:r>
            <w:bookmarkEnd w:id="84"/>
            <w:r w:rsidRPr="00DB746D">
              <w:rPr>
                <w:b/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65EA8" w:rsidRPr="00DB746D" w:rsidRDefault="00970200" w:rsidP="00970200">
            <w:pPr>
              <w:pStyle w:val="TableParagraph"/>
              <w:spacing w:before="40" w:after="40"/>
              <w:ind w:left="69" w:right="41"/>
              <w:jc w:val="center"/>
              <w:rPr>
                <w:b/>
                <w:sz w:val="18"/>
                <w:szCs w:val="18"/>
                <w:lang w:val="es-ES_tradnl"/>
              </w:rPr>
            </w:pPr>
            <w:bookmarkStart w:id="85" w:name="lt_pId129"/>
            <w:r w:rsidRPr="00DB746D">
              <w:rPr>
                <w:b/>
                <w:sz w:val="18"/>
                <w:szCs w:val="18"/>
                <w:lang w:val="es-ES_tradnl"/>
              </w:rPr>
              <w:t>124 789 </w:t>
            </w:r>
            <w:r w:rsidR="00865EA8" w:rsidRPr="00DB746D">
              <w:rPr>
                <w:b/>
                <w:sz w:val="18"/>
                <w:szCs w:val="18"/>
                <w:lang w:val="es-ES_tradnl"/>
              </w:rPr>
              <w:t>848</w:t>
            </w:r>
            <w:bookmarkEnd w:id="85"/>
            <w:r w:rsidRPr="00DB746D">
              <w:rPr>
                <w:b/>
                <w:sz w:val="18"/>
                <w:szCs w:val="18"/>
                <w:lang w:val="es-ES_tradnl"/>
              </w:rPr>
              <w:t xml:space="preserve"> CHF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65EA8" w:rsidRPr="00DB746D" w:rsidRDefault="00865EA8" w:rsidP="0097020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65EA8" w:rsidRPr="00DB746D" w:rsidTr="00EB45AA">
        <w:trPr>
          <w:trHeight w:hRule="exact" w:val="522"/>
          <w:jc w:val="center"/>
        </w:trPr>
        <w:tc>
          <w:tcPr>
            <w:tcW w:w="2268" w:type="dxa"/>
            <w:tcBorders>
              <w:right w:val="double" w:sz="4" w:space="0" w:color="000000"/>
            </w:tcBorders>
            <w:vAlign w:val="center"/>
          </w:tcPr>
          <w:p w:rsidR="00865EA8" w:rsidRPr="00DB746D" w:rsidRDefault="00865EA8" w:rsidP="001D34C0">
            <w:pPr>
              <w:pStyle w:val="Tabletext"/>
              <w:spacing w:before="40" w:after="40"/>
              <w:rPr>
                <w:b/>
                <w:bCs/>
                <w:sz w:val="20"/>
                <w:szCs w:val="20"/>
              </w:rPr>
            </w:pPr>
            <w:bookmarkStart w:id="86" w:name="lt_pId130"/>
            <w:r w:rsidRPr="00DB746D">
              <w:rPr>
                <w:b/>
                <w:bCs/>
                <w:sz w:val="20"/>
                <w:szCs w:val="20"/>
              </w:rPr>
              <w:t xml:space="preserve">Total </w:t>
            </w:r>
            <w:r w:rsidR="00B16281" w:rsidRPr="00DB746D">
              <w:rPr>
                <w:b/>
                <w:bCs/>
                <w:sz w:val="20"/>
                <w:szCs w:val="20"/>
              </w:rPr>
              <w:t xml:space="preserve">de </w:t>
            </w:r>
            <w:r w:rsidR="00ED75F8" w:rsidRPr="00DB746D">
              <w:rPr>
                <w:b/>
                <w:bCs/>
                <w:sz w:val="20"/>
                <w:szCs w:val="20"/>
              </w:rPr>
              <w:t>CGC</w:t>
            </w:r>
            <w:r w:rsidRPr="00DB746D">
              <w:rPr>
                <w:b/>
                <w:bCs/>
                <w:sz w:val="20"/>
                <w:szCs w:val="20"/>
              </w:rPr>
              <w:t xml:space="preserve"> 1 </w:t>
            </w:r>
            <w:r w:rsidR="00B16281" w:rsidRPr="00DB746D">
              <w:rPr>
                <w:b/>
                <w:bCs/>
                <w:sz w:val="20"/>
                <w:szCs w:val="20"/>
              </w:rPr>
              <w:t>a</w:t>
            </w:r>
            <w:r w:rsidRPr="00DB746D">
              <w:rPr>
                <w:b/>
                <w:bCs/>
                <w:sz w:val="20"/>
                <w:szCs w:val="20"/>
              </w:rPr>
              <w:t xml:space="preserve"> 4</w:t>
            </w:r>
            <w:bookmarkEnd w:id="86"/>
            <w:r w:rsidRPr="00DB746D">
              <w:rPr>
                <w:b/>
                <w:bCs/>
                <w:sz w:val="20"/>
                <w:szCs w:val="20"/>
              </w:rPr>
              <w:t xml:space="preserve"> </w:t>
            </w:r>
            <w:r w:rsidRPr="00DB746D">
              <w:rPr>
                <w:b/>
                <w:bCs/>
                <w:sz w:val="20"/>
                <w:szCs w:val="20"/>
              </w:rPr>
              <w:br/>
            </w:r>
            <w:bookmarkStart w:id="87" w:name="lt_pId131"/>
            <w:r w:rsidRPr="00DB746D">
              <w:rPr>
                <w:b/>
                <w:bCs/>
                <w:sz w:val="20"/>
                <w:szCs w:val="20"/>
              </w:rPr>
              <w:t>(</w:t>
            </w:r>
            <w:r w:rsidR="00B16281" w:rsidRPr="00DB746D">
              <w:rPr>
                <w:b/>
                <w:bCs/>
                <w:sz w:val="20"/>
                <w:szCs w:val="20"/>
              </w:rPr>
              <w:t>sin impuestos</w:t>
            </w:r>
            <w:r w:rsidRPr="00DB746D">
              <w:rPr>
                <w:b/>
                <w:bCs/>
                <w:sz w:val="20"/>
                <w:szCs w:val="20"/>
              </w:rPr>
              <w:t>)</w:t>
            </w:r>
            <w:bookmarkEnd w:id="87"/>
          </w:p>
        </w:tc>
        <w:tc>
          <w:tcPr>
            <w:tcW w:w="2835" w:type="dxa"/>
            <w:gridSpan w:val="2"/>
            <w:tcBorders>
              <w:left w:val="double" w:sz="4" w:space="0" w:color="000000"/>
            </w:tcBorders>
            <w:shd w:val="clear" w:color="auto" w:fill="FCE4D6"/>
            <w:vAlign w:val="center"/>
          </w:tcPr>
          <w:p w:rsidR="00865EA8" w:rsidRPr="00DB746D" w:rsidRDefault="00F74693" w:rsidP="00F56D75">
            <w:pPr>
              <w:pStyle w:val="TableParagraph"/>
              <w:spacing w:before="110"/>
              <w:ind w:left="642"/>
              <w:rPr>
                <w:b/>
                <w:sz w:val="20"/>
                <w:szCs w:val="20"/>
                <w:lang w:val="es-ES_tradnl"/>
              </w:rPr>
            </w:pPr>
            <w:bookmarkStart w:id="88" w:name="lt_pId132"/>
            <w:r w:rsidRPr="00DB746D">
              <w:rPr>
                <w:b/>
                <w:sz w:val="20"/>
                <w:szCs w:val="20"/>
                <w:lang w:val="es-ES_tradnl"/>
              </w:rPr>
              <w:t>126 361 </w:t>
            </w:r>
            <w:r w:rsidR="00865EA8" w:rsidRPr="00DB746D">
              <w:rPr>
                <w:b/>
                <w:sz w:val="20"/>
                <w:szCs w:val="20"/>
                <w:lang w:val="es-ES_tradnl"/>
              </w:rPr>
              <w:t>460</w:t>
            </w:r>
            <w:bookmarkEnd w:id="88"/>
            <w:r w:rsidRPr="00DB746D">
              <w:rPr>
                <w:b/>
                <w:sz w:val="20"/>
                <w:szCs w:val="20"/>
                <w:lang w:val="es-ES_tradnl"/>
              </w:rPr>
              <w:t xml:space="preserve"> CHF</w:t>
            </w:r>
          </w:p>
        </w:tc>
        <w:tc>
          <w:tcPr>
            <w:tcW w:w="2835" w:type="dxa"/>
            <w:gridSpan w:val="2"/>
            <w:shd w:val="clear" w:color="auto" w:fill="FFF2CC"/>
            <w:vAlign w:val="center"/>
          </w:tcPr>
          <w:p w:rsidR="00865EA8" w:rsidRPr="00DB746D" w:rsidRDefault="00BD5E64" w:rsidP="00426C11">
            <w:pPr>
              <w:pStyle w:val="TableParagraph"/>
              <w:spacing w:before="110"/>
              <w:ind w:left="642"/>
              <w:rPr>
                <w:b/>
                <w:sz w:val="20"/>
                <w:szCs w:val="20"/>
                <w:lang w:val="es-ES_tradnl"/>
              </w:rPr>
            </w:pPr>
            <w:bookmarkStart w:id="89" w:name="lt_pId133"/>
            <w:r w:rsidRPr="00DB746D">
              <w:rPr>
                <w:b/>
                <w:sz w:val="20"/>
                <w:szCs w:val="20"/>
                <w:lang w:val="es-ES_tradnl"/>
              </w:rPr>
              <w:t>119 995 </w:t>
            </w:r>
            <w:r w:rsidR="00865EA8" w:rsidRPr="00DB746D">
              <w:rPr>
                <w:b/>
                <w:sz w:val="20"/>
                <w:szCs w:val="20"/>
                <w:lang w:val="es-ES_tradnl"/>
              </w:rPr>
              <w:t>000</w:t>
            </w:r>
            <w:bookmarkEnd w:id="89"/>
            <w:r w:rsidRPr="00DB746D">
              <w:rPr>
                <w:b/>
                <w:sz w:val="20"/>
                <w:szCs w:val="20"/>
                <w:lang w:val="es-ES_tradnl"/>
              </w:rPr>
              <w:t xml:space="preserve"> CHF</w:t>
            </w:r>
          </w:p>
        </w:tc>
        <w:tc>
          <w:tcPr>
            <w:tcW w:w="2552" w:type="dxa"/>
            <w:gridSpan w:val="2"/>
            <w:shd w:val="clear" w:color="auto" w:fill="C6E0B4"/>
            <w:vAlign w:val="center"/>
          </w:tcPr>
          <w:p w:rsidR="00865EA8" w:rsidRPr="00DB746D" w:rsidRDefault="00043BE7" w:rsidP="00426C11">
            <w:pPr>
              <w:pStyle w:val="TableParagraph"/>
              <w:spacing w:before="110"/>
              <w:ind w:left="571"/>
              <w:rPr>
                <w:b/>
                <w:sz w:val="20"/>
                <w:szCs w:val="20"/>
                <w:lang w:val="es-ES_tradnl"/>
              </w:rPr>
            </w:pPr>
            <w:bookmarkStart w:id="90" w:name="lt_pId134"/>
            <w:r w:rsidRPr="00DB746D">
              <w:rPr>
                <w:b/>
                <w:sz w:val="20"/>
                <w:szCs w:val="20"/>
                <w:lang w:val="es-ES_tradnl"/>
              </w:rPr>
              <w:t>124 789 </w:t>
            </w:r>
            <w:r w:rsidR="00865EA8" w:rsidRPr="00DB746D">
              <w:rPr>
                <w:b/>
                <w:sz w:val="20"/>
                <w:szCs w:val="20"/>
                <w:lang w:val="es-ES_tradnl"/>
              </w:rPr>
              <w:t>848</w:t>
            </w:r>
            <w:bookmarkEnd w:id="90"/>
            <w:r w:rsidRPr="00DB746D">
              <w:rPr>
                <w:b/>
                <w:sz w:val="20"/>
                <w:szCs w:val="20"/>
                <w:lang w:val="es-ES_tradnl"/>
              </w:rPr>
              <w:t xml:space="preserve"> CHF</w:t>
            </w:r>
          </w:p>
        </w:tc>
      </w:tr>
    </w:tbl>
    <w:p w:rsidR="00C741BB" w:rsidRPr="00DB746D" w:rsidRDefault="00C741BB" w:rsidP="00487258">
      <w:bookmarkStart w:id="91" w:name="lt_pId135"/>
      <w:r w:rsidRPr="00DB746D">
        <w:br w:type="page"/>
      </w:r>
    </w:p>
    <w:p w:rsidR="00B1369A" w:rsidRPr="00DB746D" w:rsidRDefault="001261A9" w:rsidP="00487258">
      <w:r w:rsidRPr="00DB746D">
        <w:lastRenderedPageBreak/>
        <w:t xml:space="preserve">La estimación inicial </w:t>
      </w:r>
      <w:r w:rsidR="00B1369A" w:rsidRPr="00DB746D">
        <w:t xml:space="preserve">realizada </w:t>
      </w:r>
      <w:r w:rsidRPr="00DB746D">
        <w:t>despu</w:t>
      </w:r>
      <w:r w:rsidR="00B1369A" w:rsidRPr="00DB746D">
        <w:t>és del concurso se</w:t>
      </w:r>
      <w:r w:rsidR="00487258" w:rsidRPr="00DB746D">
        <w:t xml:space="preserve"> basaba en una superficie de 26 626 </w:t>
      </w:r>
      <w:r w:rsidR="00B1369A" w:rsidRPr="00DB746D">
        <w:t>m</w:t>
      </w:r>
      <w:r w:rsidR="00487258" w:rsidRPr="00DB746D">
        <w:rPr>
          <w:rFonts w:asciiTheme="minorHAnsi" w:hAnsiTheme="minorHAnsi"/>
          <w:color w:val="000000" w:themeColor="text1"/>
          <w:szCs w:val="24"/>
          <w:vertAlign w:val="superscript"/>
        </w:rPr>
        <w:t>2</w:t>
      </w:r>
      <w:r w:rsidR="00487258" w:rsidRPr="00DB746D">
        <w:t xml:space="preserve"> y un volumen de 139 298 </w:t>
      </w:r>
      <w:r w:rsidR="00B1369A" w:rsidRPr="00DB746D">
        <w:t>m</w:t>
      </w:r>
      <w:r w:rsidR="00487258" w:rsidRPr="00DB746D">
        <w:rPr>
          <w:rFonts w:asciiTheme="minorHAnsi" w:hAnsiTheme="minorHAnsi"/>
          <w:color w:val="000000" w:themeColor="text1"/>
          <w:szCs w:val="24"/>
          <w:vertAlign w:val="superscript"/>
        </w:rPr>
        <w:t>3</w:t>
      </w:r>
      <w:r w:rsidRPr="00DB746D">
        <w:t xml:space="preserve"> </w:t>
      </w:r>
      <w:r w:rsidR="00B1369A" w:rsidRPr="00DB746D">
        <w:t xml:space="preserve">por un total de </w:t>
      </w:r>
      <w:r w:rsidR="00B1369A" w:rsidRPr="00DB746D">
        <w:rPr>
          <w:b/>
          <w:bCs/>
        </w:rPr>
        <w:t xml:space="preserve">127 790 </w:t>
      </w:r>
      <w:r w:rsidR="00F56B84" w:rsidRPr="00DB746D">
        <w:rPr>
          <w:b/>
          <w:bCs/>
        </w:rPr>
        <w:t>000 CHF</w:t>
      </w:r>
      <w:r w:rsidRPr="00DB746D">
        <w:t xml:space="preserve"> (véase el §</w:t>
      </w:r>
      <w:r w:rsidR="00487258" w:rsidRPr="00DB746D">
        <w:t> </w:t>
      </w:r>
      <w:r w:rsidRPr="00DB746D">
        <w:t xml:space="preserve">1.1 supra). </w:t>
      </w:r>
      <w:r w:rsidR="00B1369A" w:rsidRPr="00DB746D">
        <w:t>Según la Secretaría, l</w:t>
      </w:r>
      <w:r w:rsidRPr="00DB746D">
        <w:t xml:space="preserve">a optimización </w:t>
      </w:r>
      <w:r w:rsidR="00B1369A" w:rsidRPr="00DB746D">
        <w:t>realizada hasta la fecha</w:t>
      </w:r>
      <w:r w:rsidRPr="00DB746D">
        <w:t xml:space="preserve"> ha </w:t>
      </w:r>
      <w:r w:rsidR="001767E4" w:rsidRPr="00DB746D">
        <w:t>permitido</w:t>
      </w:r>
      <w:r w:rsidRPr="00DB746D">
        <w:t xml:space="preserve"> la adición de </w:t>
      </w:r>
      <w:r w:rsidR="00B1369A" w:rsidRPr="00DB746D">
        <w:t xml:space="preserve">nuevos </w:t>
      </w:r>
      <w:r w:rsidRPr="00DB746D">
        <w:t xml:space="preserve">elementos al proyecto sin </w:t>
      </w:r>
      <w:r w:rsidR="00B1369A" w:rsidRPr="00DB746D">
        <w:t>aumentar</w:t>
      </w:r>
      <w:r w:rsidRPr="00DB746D">
        <w:t xml:space="preserve"> significativ</w:t>
      </w:r>
      <w:r w:rsidR="00B1369A" w:rsidRPr="00DB746D">
        <w:t xml:space="preserve">amente </w:t>
      </w:r>
      <w:r w:rsidRPr="00DB746D">
        <w:t>los costos</w:t>
      </w:r>
      <w:r w:rsidR="00B1369A" w:rsidRPr="00DB746D">
        <w:t>.</w:t>
      </w:r>
    </w:p>
    <w:bookmarkEnd w:id="91"/>
    <w:p w:rsidR="00865EA8" w:rsidRPr="00DB746D" w:rsidRDefault="00865EA8" w:rsidP="00426C11">
      <w:pPr>
        <w:rPr>
          <w:rFonts w:asciiTheme="minorHAnsi" w:hAnsiTheme="minorHAnsi"/>
          <w:color w:val="000000" w:themeColor="text1"/>
          <w:szCs w:val="24"/>
        </w:rPr>
      </w:pPr>
      <w:r w:rsidRPr="00DB746D">
        <w:t>2.3</w:t>
      </w:r>
      <w:r w:rsidRPr="00DB746D">
        <w:tab/>
      </w:r>
      <w:bookmarkStart w:id="92" w:name="lt_pId138"/>
      <w:r w:rsidR="00EC3CB0" w:rsidRPr="00DB746D">
        <w:t>El nuevo edificio debe cumplir las normas mínimas operativas de seguridad (MOSS) de las Naciones Unidas, que se aplican a todos los edificios de los organismos de las Naciones Unidas</w:t>
      </w:r>
      <w:r w:rsidR="00EC3CB0" w:rsidRPr="00DB746D">
        <w:rPr>
          <w:rFonts w:asciiTheme="minorHAnsi" w:hAnsiTheme="minorHAnsi"/>
          <w:color w:val="000000" w:themeColor="text1"/>
          <w:szCs w:val="24"/>
        </w:rPr>
        <w:t xml:space="preserve"> construidos o reacondicionados en todo el mundo</w:t>
      </w:r>
      <w:r w:rsidRPr="00DB746D">
        <w:rPr>
          <w:rFonts w:asciiTheme="minorHAnsi" w:hAnsiTheme="minorHAnsi"/>
          <w:color w:val="000000" w:themeColor="text1"/>
          <w:szCs w:val="24"/>
        </w:rPr>
        <w:t>.</w:t>
      </w:r>
      <w:bookmarkEnd w:id="92"/>
    </w:p>
    <w:p w:rsidR="00FD0EC7" w:rsidRPr="00DB746D" w:rsidRDefault="00865EA8" w:rsidP="001321A1">
      <w:r w:rsidRPr="00DB746D">
        <w:t>2.4</w:t>
      </w:r>
      <w:r w:rsidRPr="00DB746D">
        <w:tab/>
      </w:r>
      <w:bookmarkStart w:id="93" w:name="lt_pId140"/>
      <w:r w:rsidR="001261A9" w:rsidRPr="00DB746D">
        <w:t xml:space="preserve">El organismo especializado del país anfitrión, FEDPOL, considera que algunos eventos de la UIT presentan un menor riesgo en comparación con los de la ONUG, </w:t>
      </w:r>
      <w:r w:rsidR="00FD0EC7" w:rsidRPr="00DB746D">
        <w:t>aunque</w:t>
      </w:r>
      <w:r w:rsidR="001261A9" w:rsidRPr="00DB746D">
        <w:t xml:space="preserve"> reconoce que el nuevo edificio debería incorporar medidas </w:t>
      </w:r>
      <w:r w:rsidR="00FD0EC7" w:rsidRPr="00DB746D">
        <w:t xml:space="preserve">que permitan </w:t>
      </w:r>
      <w:r w:rsidR="001261A9" w:rsidRPr="00DB746D">
        <w:t xml:space="preserve">hacer frente a los posibles riesgos. </w:t>
      </w:r>
      <w:r w:rsidR="00FD0EC7" w:rsidRPr="00DB746D">
        <w:t xml:space="preserve">En </w:t>
      </w:r>
      <w:r w:rsidR="005F6672" w:rsidRPr="00DB746D">
        <w:t>su</w:t>
      </w:r>
      <w:r w:rsidR="00FD0EC7" w:rsidRPr="00DB746D">
        <w:t xml:space="preserve"> conclusión</w:t>
      </w:r>
      <w:r w:rsidR="005F6672" w:rsidRPr="00DB746D">
        <w:t xml:space="preserve">, el informe de </w:t>
      </w:r>
      <w:r w:rsidR="00FD0EC7" w:rsidRPr="00DB746D">
        <w:t xml:space="preserve">evaluación </w:t>
      </w:r>
      <w:r w:rsidR="0059393F" w:rsidRPr="00DB746D">
        <w:t>preliminar</w:t>
      </w:r>
      <w:r w:rsidR="00CC0DF8" w:rsidRPr="00DB746D">
        <w:t xml:space="preserve"> </w:t>
      </w:r>
      <w:r w:rsidR="001261A9" w:rsidRPr="00DB746D">
        <w:t xml:space="preserve">del Departamento de Seguridad de las Naciones Unidas </w:t>
      </w:r>
      <w:r w:rsidR="00FD0EC7" w:rsidRPr="00DB746D">
        <w:t xml:space="preserve">señala que un </w:t>
      </w:r>
      <w:r w:rsidR="001261A9" w:rsidRPr="00DB746D">
        <w:t xml:space="preserve">nuevo edificio que </w:t>
      </w:r>
      <w:r w:rsidR="005F6672" w:rsidRPr="00DB746D">
        <w:t xml:space="preserve">no cumple </w:t>
      </w:r>
      <w:r w:rsidR="001261A9" w:rsidRPr="00DB746D">
        <w:t xml:space="preserve">las medidas de </w:t>
      </w:r>
      <w:r w:rsidR="0059393F" w:rsidRPr="00DB746D">
        <w:t xml:space="preserve">reducción </w:t>
      </w:r>
      <w:r w:rsidR="00CC0DF8" w:rsidRPr="00DB746D">
        <w:t xml:space="preserve">de riesgos </w:t>
      </w:r>
      <w:r w:rsidR="001261A9" w:rsidRPr="00DB746D">
        <w:t xml:space="preserve">recomendadas </w:t>
      </w:r>
      <w:r w:rsidR="005F6672" w:rsidRPr="00DB746D">
        <w:t>en</w:t>
      </w:r>
      <w:r w:rsidR="001261A9" w:rsidRPr="00DB746D">
        <w:t xml:space="preserve"> las </w:t>
      </w:r>
      <w:r w:rsidR="005F6672" w:rsidRPr="00DB746D">
        <w:t xml:space="preserve">normas mínimas operativas de seguridad </w:t>
      </w:r>
      <w:r w:rsidR="001261A9" w:rsidRPr="00DB746D">
        <w:t xml:space="preserve">de las Naciones Unidas </w:t>
      </w:r>
      <w:r w:rsidR="005F6672" w:rsidRPr="00DB746D">
        <w:t xml:space="preserve">se considera </w:t>
      </w:r>
      <w:r w:rsidR="001261A9" w:rsidRPr="00DB746D">
        <w:t>no</w:t>
      </w:r>
      <w:r w:rsidR="005F6672" w:rsidRPr="00DB746D">
        <w:t xml:space="preserve"> </w:t>
      </w:r>
      <w:r w:rsidR="001261A9" w:rsidRPr="00DB746D">
        <w:t>conforme y sería "</w:t>
      </w:r>
      <w:r w:rsidR="00645F4B" w:rsidRPr="00DB746D">
        <w:t xml:space="preserve">en cualquier circunstancia, </w:t>
      </w:r>
      <w:r w:rsidR="001261A9" w:rsidRPr="00DB746D">
        <w:t xml:space="preserve">inaceptable </w:t>
      </w:r>
      <w:r w:rsidR="00645F4B" w:rsidRPr="00DB746D">
        <w:t xml:space="preserve">según </w:t>
      </w:r>
      <w:r w:rsidR="001261A9" w:rsidRPr="00DB746D">
        <w:t xml:space="preserve">las </w:t>
      </w:r>
      <w:r w:rsidR="00645F4B" w:rsidRPr="00DB746D">
        <w:t>normas</w:t>
      </w:r>
      <w:r w:rsidR="001261A9" w:rsidRPr="00DB746D">
        <w:t xml:space="preserve"> de las Naciones Unidas".</w:t>
      </w:r>
    </w:p>
    <w:bookmarkEnd w:id="93"/>
    <w:p w:rsidR="00865EA8" w:rsidRPr="00DB746D" w:rsidRDefault="00865EA8" w:rsidP="00DA4DBA">
      <w:r w:rsidRPr="00DB746D">
        <w:t>2.5</w:t>
      </w:r>
      <w:r w:rsidRPr="00DB746D">
        <w:tab/>
      </w:r>
      <w:bookmarkStart w:id="94" w:name="lt_pId143"/>
      <w:r w:rsidR="00645F4B" w:rsidRPr="00DB746D">
        <w:t xml:space="preserve">En consonancia </w:t>
      </w:r>
      <w:r w:rsidR="001261A9" w:rsidRPr="00DB746D">
        <w:t xml:space="preserve">con </w:t>
      </w:r>
      <w:r w:rsidR="00895C3B" w:rsidRPr="00DB746D">
        <w:t xml:space="preserve">las </w:t>
      </w:r>
      <w:r w:rsidR="001261A9" w:rsidRPr="00DB746D">
        <w:t>decisione</w:t>
      </w:r>
      <w:r w:rsidR="00645F4B" w:rsidRPr="00DB746D">
        <w:t>s anteriores del Consejo, el GAE</w:t>
      </w:r>
      <w:r w:rsidR="001261A9" w:rsidRPr="00DB746D">
        <w:t xml:space="preserve">M apoya los informes de </w:t>
      </w:r>
      <w:r w:rsidR="00645F4B" w:rsidRPr="00DB746D">
        <w:t>evaluación</w:t>
      </w:r>
      <w:r w:rsidR="00CC0DF8" w:rsidRPr="00DB746D">
        <w:t xml:space="preserve"> </w:t>
      </w:r>
      <w:r w:rsidR="0059393F" w:rsidRPr="00DB746D">
        <w:t xml:space="preserve">de la seguridad de los expertos </w:t>
      </w:r>
      <w:r w:rsidR="001261A9" w:rsidRPr="00DB746D">
        <w:t>del Departamento de Seguridad de l</w:t>
      </w:r>
      <w:r w:rsidR="00CC0DF8" w:rsidRPr="00DB746D">
        <w:t>as Naciones Unidas y pide a la S</w:t>
      </w:r>
      <w:r w:rsidR="001261A9" w:rsidRPr="00DB746D">
        <w:t xml:space="preserve">ecretaría que </w:t>
      </w:r>
      <w:r w:rsidR="0059393F" w:rsidRPr="00DB746D">
        <w:t xml:space="preserve">asegure el </w:t>
      </w:r>
      <w:r w:rsidR="001261A9" w:rsidRPr="00DB746D">
        <w:t>cumpl</w:t>
      </w:r>
      <w:r w:rsidR="0059393F" w:rsidRPr="00DB746D">
        <w:t>imiento de</w:t>
      </w:r>
      <w:r w:rsidR="001261A9" w:rsidRPr="00DB746D">
        <w:t xml:space="preserve"> las normas</w:t>
      </w:r>
      <w:r w:rsidR="0059393F" w:rsidRPr="00DB746D">
        <w:t xml:space="preserve"> mínimas operativas de seguridad </w:t>
      </w:r>
      <w:r w:rsidR="001261A9" w:rsidRPr="00DB746D">
        <w:t xml:space="preserve">de las Naciones Unidas y que amplíe sus consultas con Suiza para </w:t>
      </w:r>
      <w:r w:rsidR="0059393F" w:rsidRPr="00DB746D">
        <w:t>poner en marcha</w:t>
      </w:r>
      <w:r w:rsidR="001261A9" w:rsidRPr="00DB746D">
        <w:t xml:space="preserve"> las medidas de </w:t>
      </w:r>
      <w:r w:rsidR="00895C3B" w:rsidRPr="00DB746D">
        <w:t>reducción</w:t>
      </w:r>
      <w:r w:rsidR="001261A9" w:rsidRPr="00DB746D">
        <w:t xml:space="preserve"> </w:t>
      </w:r>
      <w:r w:rsidR="001767E4" w:rsidRPr="00DB746D">
        <w:t xml:space="preserve">de riesgos </w:t>
      </w:r>
      <w:r w:rsidR="001261A9" w:rsidRPr="00DB746D">
        <w:t>apropiadas</w:t>
      </w:r>
      <w:r w:rsidRPr="00DB746D">
        <w:t>.</w:t>
      </w:r>
      <w:bookmarkEnd w:id="94"/>
    </w:p>
    <w:p w:rsidR="00865EA8" w:rsidRPr="00DB746D" w:rsidRDefault="00865EA8" w:rsidP="00426C11">
      <w:pPr>
        <w:pStyle w:val="Heading1"/>
      </w:pPr>
      <w:r w:rsidRPr="00DB746D">
        <w:t>3</w:t>
      </w:r>
      <w:r w:rsidRPr="00DB746D">
        <w:tab/>
      </w:r>
      <w:bookmarkStart w:id="95" w:name="lt_pId145"/>
      <w:r w:rsidR="001261A9" w:rsidRPr="00DB746D">
        <w:t>Gestión y gobernanza</w:t>
      </w:r>
      <w:bookmarkEnd w:id="95"/>
    </w:p>
    <w:p w:rsidR="00865EA8" w:rsidRPr="00DB746D" w:rsidRDefault="00865EA8" w:rsidP="00DA4DBA">
      <w:r w:rsidRPr="00DB746D">
        <w:t>3.1</w:t>
      </w:r>
      <w:r w:rsidRPr="00DB746D">
        <w:tab/>
      </w:r>
      <w:bookmarkStart w:id="96" w:name="lt_pId147"/>
      <w:r w:rsidR="001261A9" w:rsidRPr="00DB746D">
        <w:t>La gobernanza actualizada del proyecto se presentó al GAEM</w:t>
      </w:r>
      <w:r w:rsidRPr="00DB746D">
        <w:t>.</w:t>
      </w:r>
      <w:bookmarkEnd w:id="96"/>
    </w:p>
    <w:p w:rsidR="00865EA8" w:rsidRPr="00DB746D" w:rsidRDefault="00865EA8" w:rsidP="00426C11">
      <w:pPr>
        <w:pStyle w:val="Heading1"/>
      </w:pPr>
      <w:r w:rsidRPr="00DB746D">
        <w:t>4</w:t>
      </w:r>
      <w:r w:rsidRPr="00DB746D">
        <w:tab/>
      </w:r>
      <w:bookmarkStart w:id="97" w:name="lt_pId149"/>
      <w:r w:rsidRPr="00DB746D">
        <w:t>Financi</w:t>
      </w:r>
      <w:r w:rsidR="001261A9" w:rsidRPr="00DB746D">
        <w:t>ación</w:t>
      </w:r>
      <w:r w:rsidRPr="00DB746D">
        <w:t>: Resolu</w:t>
      </w:r>
      <w:r w:rsidR="001261A9" w:rsidRPr="00DB746D">
        <w:t>ción</w:t>
      </w:r>
      <w:r w:rsidRPr="00DB746D">
        <w:t xml:space="preserve"> 212</w:t>
      </w:r>
      <w:r w:rsidR="001261A9" w:rsidRPr="00DB746D">
        <w:t xml:space="preserve"> y Decisió</w:t>
      </w:r>
      <w:r w:rsidRPr="00DB746D">
        <w:t>n 5</w:t>
      </w:r>
      <w:bookmarkEnd w:id="97"/>
      <w:r w:rsidR="001261A9" w:rsidRPr="00DB746D">
        <w:t xml:space="preserve"> de la PP</w:t>
      </w:r>
    </w:p>
    <w:p w:rsidR="00865EA8" w:rsidRPr="00DB746D" w:rsidRDefault="00865EA8" w:rsidP="00426C11">
      <w:r w:rsidRPr="00DB746D">
        <w:t>4.1</w:t>
      </w:r>
      <w:r w:rsidRPr="00DB746D">
        <w:tab/>
      </w:r>
      <w:bookmarkStart w:id="98" w:name="lt_pId151"/>
      <w:r w:rsidR="007834DF" w:rsidRPr="00DB746D">
        <w:t xml:space="preserve">El GAEM </w:t>
      </w:r>
      <w:r w:rsidR="001767E4" w:rsidRPr="00DB746D">
        <w:t xml:space="preserve">alerta sobre el hecho de </w:t>
      </w:r>
      <w:r w:rsidR="008E3296" w:rsidRPr="00DB746D">
        <w:t xml:space="preserve">asumir que la Conferencia de Plenipotenciarios de 2018, </w:t>
      </w:r>
      <w:r w:rsidR="00355C4C" w:rsidRPr="00DB746D">
        <w:t xml:space="preserve">mediante su Resolución 212, determinaba que </w:t>
      </w:r>
      <w:r w:rsidR="008E3296" w:rsidRPr="00DB746D">
        <w:t>el fondo te</w:t>
      </w:r>
      <w:r w:rsidR="00355C4C" w:rsidRPr="00DB746D">
        <w:t>mporal (</w:t>
      </w:r>
      <w:r w:rsidR="008E3296" w:rsidRPr="00DB746D">
        <w:t>"</w:t>
      </w:r>
      <w:r w:rsidR="00355C4C" w:rsidRPr="00DB746D">
        <w:t>Fondo para el proyecto de nuevo edificio</w:t>
      </w:r>
      <w:r w:rsidR="008E3296" w:rsidRPr="00DB746D">
        <w:t>") y todos los patrocinios o donaciones recibidos p</w:t>
      </w:r>
      <w:r w:rsidR="00355C4C" w:rsidRPr="00DB746D">
        <w:t>odrían</w:t>
      </w:r>
      <w:r w:rsidR="008E3296" w:rsidRPr="00DB746D">
        <w:t xml:space="preserve"> aumentar la dotación financiera del proyecto, mientras </w:t>
      </w:r>
      <w:r w:rsidR="00355C4C" w:rsidRPr="00DB746D">
        <w:t xml:space="preserve">siguiera en vigor </w:t>
      </w:r>
      <w:r w:rsidR="008C40A2" w:rsidRPr="00DB746D">
        <w:t>el Acuerdo 588 del Consejo</w:t>
      </w:r>
      <w:r w:rsidRPr="00DB746D">
        <w:t>.</w:t>
      </w:r>
      <w:bookmarkEnd w:id="98"/>
    </w:p>
    <w:p w:rsidR="00865EA8" w:rsidRPr="00DB746D" w:rsidRDefault="00865EA8" w:rsidP="00426C11">
      <w:r w:rsidRPr="00DB746D">
        <w:t>4.2</w:t>
      </w:r>
      <w:r w:rsidRPr="00DB746D">
        <w:tab/>
      </w:r>
      <w:bookmarkStart w:id="99" w:name="lt_pId153"/>
      <w:r w:rsidR="00BF3FF6" w:rsidRPr="00DB746D">
        <w:t xml:space="preserve">El fondo temporal se crea </w:t>
      </w:r>
      <w:r w:rsidR="001261A9" w:rsidRPr="00DB746D">
        <w:t xml:space="preserve">para </w:t>
      </w:r>
      <w:r w:rsidR="002A0B96" w:rsidRPr="00DB746D">
        <w:t xml:space="preserve">sufragar </w:t>
      </w:r>
      <w:r w:rsidR="00C64905" w:rsidRPr="00DB746D">
        <w:t xml:space="preserve">únicamente </w:t>
      </w:r>
      <w:r w:rsidR="002A0B96" w:rsidRPr="00DB746D">
        <w:t xml:space="preserve">los </w:t>
      </w:r>
      <w:r w:rsidR="00BF3FF6" w:rsidRPr="00DB746D">
        <w:t xml:space="preserve">gastos </w:t>
      </w:r>
      <w:r w:rsidR="002A0B96" w:rsidRPr="00DB746D">
        <w:t>excluido</w:t>
      </w:r>
      <w:r w:rsidR="00BF3FF6" w:rsidRPr="00DB746D">
        <w:t xml:space="preserve">s del marco del préstamo </w:t>
      </w:r>
      <w:r w:rsidR="002A0B96" w:rsidRPr="00DB746D">
        <w:t xml:space="preserve">o </w:t>
      </w:r>
      <w:r w:rsidR="00C64905" w:rsidRPr="00DB746D">
        <w:t>según</w:t>
      </w:r>
      <w:r w:rsidR="002A0B96" w:rsidRPr="00DB746D">
        <w:t xml:space="preserve"> la formulación de la </w:t>
      </w:r>
      <w:r w:rsidR="001261A9" w:rsidRPr="00DB746D">
        <w:t>Decisión 5</w:t>
      </w:r>
      <w:r w:rsidR="00BF3FF6" w:rsidRPr="00DB746D">
        <w:t>:</w:t>
      </w:r>
      <w:r w:rsidR="001261A9" w:rsidRPr="00DB746D">
        <w:t xml:space="preserve"> "para financiar los cost</w:t>
      </w:r>
      <w:r w:rsidR="00B939E0" w:rsidRPr="00DB746D">
        <w:t>o</w:t>
      </w:r>
      <w:r w:rsidR="001261A9" w:rsidRPr="00DB746D">
        <w:t xml:space="preserve">s que no pueden ser financiados legalmente por el préstamo del país anfitrión". El GAEM apoya la propuesta de </w:t>
      </w:r>
      <w:r w:rsidR="00BF3FF6" w:rsidRPr="00DB746D">
        <w:t xml:space="preserve">asignar </w:t>
      </w:r>
      <w:r w:rsidR="001261A9" w:rsidRPr="00DB746D">
        <w:t xml:space="preserve">6 millones </w:t>
      </w:r>
      <w:r w:rsidR="00F56B84" w:rsidRPr="00DB746D">
        <w:t>CHF</w:t>
      </w:r>
      <w:r w:rsidR="001261A9" w:rsidRPr="00DB746D">
        <w:t xml:space="preserve"> de ahorros </w:t>
      </w:r>
      <w:r w:rsidR="00BF3FF6" w:rsidRPr="00DB746D">
        <w:t xml:space="preserve">logrados </w:t>
      </w:r>
      <w:r w:rsidR="001261A9" w:rsidRPr="00DB746D">
        <w:t xml:space="preserve">en 2018 al </w:t>
      </w:r>
      <w:r w:rsidR="007834DF" w:rsidRPr="00DB746D">
        <w:t>Fondo para el proyecto de nuevo edificio</w:t>
      </w:r>
      <w:bookmarkEnd w:id="99"/>
      <w:r w:rsidR="00BF3FF6" w:rsidRPr="00DB746D">
        <w:t>.</w:t>
      </w:r>
    </w:p>
    <w:p w:rsidR="00865EA8" w:rsidRPr="00DB746D" w:rsidRDefault="00865EA8" w:rsidP="00426C11">
      <w:r w:rsidRPr="00DB746D">
        <w:t>4.3</w:t>
      </w:r>
      <w:r w:rsidRPr="00DB746D">
        <w:tab/>
      </w:r>
      <w:bookmarkStart w:id="100" w:name="lt_pId156"/>
      <w:r w:rsidR="001261A9" w:rsidRPr="00DB746D">
        <w:t xml:space="preserve">El GAEM observó que </w:t>
      </w:r>
      <w:r w:rsidR="00F56B84" w:rsidRPr="00DB746D">
        <w:t xml:space="preserve">el </w:t>
      </w:r>
      <w:r w:rsidR="00496291" w:rsidRPr="00DB746D">
        <w:t xml:space="preserve">importe </w:t>
      </w:r>
      <w:r w:rsidR="00E11213" w:rsidRPr="00DB746D">
        <w:t>para</w:t>
      </w:r>
      <w:r w:rsidR="00F56B84" w:rsidRPr="00DB746D">
        <w:t xml:space="preserve"> </w:t>
      </w:r>
      <w:r w:rsidR="001261A9" w:rsidRPr="00DB746D">
        <w:t>contingencia</w:t>
      </w:r>
      <w:r w:rsidR="00E11213" w:rsidRPr="00DB746D">
        <w:t>s, que asciende a</w:t>
      </w:r>
      <w:r w:rsidR="001261A9" w:rsidRPr="00DB746D">
        <w:t xml:space="preserve"> 7 millones </w:t>
      </w:r>
      <w:r w:rsidR="00F56B84" w:rsidRPr="00DB746D">
        <w:t>CHF</w:t>
      </w:r>
      <w:r w:rsidR="00E11213" w:rsidRPr="00DB746D">
        <w:t>,</w:t>
      </w:r>
      <w:r w:rsidR="00F56B84" w:rsidRPr="00DB746D">
        <w:t xml:space="preserve"> </w:t>
      </w:r>
      <w:r w:rsidR="001261A9" w:rsidRPr="00DB746D">
        <w:t>s</w:t>
      </w:r>
      <w:r w:rsidR="00496291" w:rsidRPr="00DB746D">
        <w:t>olo</w:t>
      </w:r>
      <w:r w:rsidR="001261A9" w:rsidRPr="00DB746D">
        <w:t xml:space="preserve"> se incluye en la financiación, pero no en </w:t>
      </w:r>
      <w:r w:rsidR="00496291" w:rsidRPr="00DB746D">
        <w:t>los</w:t>
      </w:r>
      <w:r w:rsidR="001261A9" w:rsidRPr="00DB746D">
        <w:t xml:space="preserve"> costo</w:t>
      </w:r>
      <w:r w:rsidR="00496291" w:rsidRPr="00DB746D">
        <w:t>s</w:t>
      </w:r>
      <w:r w:rsidR="001261A9" w:rsidRPr="00DB746D">
        <w:t xml:space="preserve"> (gastos) </w:t>
      </w:r>
      <w:r w:rsidR="00E108CB" w:rsidRPr="00DB746D">
        <w:t>que figuran en el D</w:t>
      </w:r>
      <w:r w:rsidR="00CA237B" w:rsidRPr="00DB746D">
        <w:t xml:space="preserve">ocumento C19/7. </w:t>
      </w:r>
      <w:r w:rsidR="001261A9" w:rsidRPr="00DB746D">
        <w:t xml:space="preserve">Para contabilizar adecuadamente el uso de los fondos de contingencia, debe </w:t>
      </w:r>
      <w:r w:rsidR="00496291" w:rsidRPr="00DB746D">
        <w:t>registrar</w:t>
      </w:r>
      <w:r w:rsidR="00E108CB" w:rsidRPr="00DB746D">
        <w:t>se</w:t>
      </w:r>
      <w:r w:rsidR="00496291" w:rsidRPr="00DB746D">
        <w:t xml:space="preserve"> contablemente </w:t>
      </w:r>
      <w:r w:rsidR="001261A9" w:rsidRPr="00DB746D">
        <w:t xml:space="preserve">una cantidad igual de </w:t>
      </w:r>
      <w:r w:rsidR="00496291" w:rsidRPr="00DB746D">
        <w:t>gastos</w:t>
      </w:r>
      <w:r w:rsidR="001261A9" w:rsidRPr="00DB746D">
        <w:t xml:space="preserve"> imprevistos</w:t>
      </w:r>
      <w:bookmarkStart w:id="101" w:name="lt_pId157"/>
      <w:bookmarkEnd w:id="100"/>
      <w:r w:rsidR="00496291" w:rsidRPr="00DB746D">
        <w:t>.</w:t>
      </w:r>
      <w:bookmarkEnd w:id="101"/>
    </w:p>
    <w:p w:rsidR="00496291" w:rsidRPr="00DB746D" w:rsidRDefault="00865EA8" w:rsidP="00426C11">
      <w:pPr>
        <w:rPr>
          <w:rFonts w:asciiTheme="minorHAnsi" w:hAnsiTheme="minorHAnsi"/>
          <w:color w:val="000000" w:themeColor="text1"/>
          <w:szCs w:val="24"/>
        </w:rPr>
      </w:pPr>
      <w:r w:rsidRPr="00DB746D">
        <w:rPr>
          <w:rFonts w:asciiTheme="minorHAnsi" w:hAnsiTheme="minorHAnsi"/>
          <w:color w:val="000000" w:themeColor="text1"/>
          <w:szCs w:val="24"/>
        </w:rPr>
        <w:t>4.4</w:t>
      </w:r>
      <w:r w:rsidRPr="00DB746D">
        <w:rPr>
          <w:rFonts w:asciiTheme="minorHAnsi" w:hAnsiTheme="minorHAnsi"/>
          <w:color w:val="000000" w:themeColor="text1"/>
          <w:szCs w:val="24"/>
        </w:rPr>
        <w:tab/>
      </w:r>
      <w:bookmarkStart w:id="102" w:name="lt_pId159"/>
      <w:r w:rsidR="00496291" w:rsidRPr="00DB746D">
        <w:rPr>
          <w:rFonts w:asciiTheme="minorHAnsi" w:hAnsiTheme="minorHAnsi"/>
          <w:color w:val="000000" w:themeColor="text1"/>
          <w:szCs w:val="24"/>
        </w:rPr>
        <w:t xml:space="preserve">Según la hipótesis más pesimista, </w:t>
      </w:r>
      <w:r w:rsidR="00B939E0" w:rsidRPr="00DB746D">
        <w:rPr>
          <w:rFonts w:asciiTheme="minorHAnsi" w:hAnsiTheme="minorHAnsi"/>
          <w:color w:val="000000" w:themeColor="text1"/>
          <w:szCs w:val="24"/>
        </w:rPr>
        <w:t>las estimaciones de costo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s </w:t>
      </w:r>
      <w:r w:rsidR="00496291" w:rsidRPr="00DB746D">
        <w:rPr>
          <w:rFonts w:asciiTheme="minorHAnsi" w:hAnsiTheme="minorHAnsi"/>
          <w:color w:val="000000" w:themeColor="text1"/>
          <w:szCs w:val="24"/>
        </w:rPr>
        <w:t>CGC 1-4 podrían variar +/</w:t>
      </w:r>
      <w:r w:rsidR="00CA237B" w:rsidRPr="00DB746D">
        <w:rPr>
          <w:rFonts w:asciiTheme="minorHAnsi" w:hAnsiTheme="minorHAnsi"/>
          <w:color w:val="000000" w:themeColor="text1"/>
          <w:szCs w:val="24"/>
        </w:rPr>
        <w:t>–</w:t>
      </w:r>
      <w:r w:rsidR="00496291" w:rsidRPr="00DB746D">
        <w:rPr>
          <w:rFonts w:asciiTheme="minorHAnsi" w:hAnsiTheme="minorHAnsi"/>
          <w:color w:val="000000" w:themeColor="text1"/>
          <w:szCs w:val="24"/>
        </w:rPr>
        <w:t xml:space="preserve"> 15%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en esta fase. </w:t>
      </w:r>
      <w:r w:rsidR="00E11213" w:rsidRPr="00DB746D">
        <w:rPr>
          <w:rFonts w:asciiTheme="minorHAnsi" w:hAnsiTheme="minorHAnsi"/>
          <w:color w:val="000000" w:themeColor="text1"/>
          <w:szCs w:val="24"/>
        </w:rPr>
        <w:t>Sobre esa base, p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odrían satisfacerse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necesidad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es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adicional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es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por un importe de </w:t>
      </w:r>
      <w:r w:rsidR="00CA237B" w:rsidRPr="00DB746D">
        <w:rPr>
          <w:rFonts w:asciiTheme="minorHAnsi" w:hAnsiTheme="minorHAnsi"/>
          <w:color w:val="000000" w:themeColor="text1"/>
          <w:szCs w:val="24"/>
        </w:rPr>
        <w:t>18 717 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000</w:t>
      </w:r>
      <w:r w:rsidR="00CA237B" w:rsidRPr="00DB746D">
        <w:rPr>
          <w:rFonts w:asciiTheme="minorHAnsi" w:hAnsiTheme="minorHAnsi"/>
          <w:color w:val="000000" w:themeColor="text1"/>
          <w:szCs w:val="24"/>
        </w:rPr>
        <w:t> 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CHF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y la financiación </w:t>
      </w:r>
      <w:r w:rsidR="000424D6" w:rsidRPr="00DB746D">
        <w:rPr>
          <w:rFonts w:asciiTheme="minorHAnsi" w:hAnsiTheme="minorHAnsi"/>
          <w:color w:val="000000" w:themeColor="text1"/>
          <w:szCs w:val="24"/>
        </w:rPr>
        <w:t>pendiente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necesaria 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total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p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odría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a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scender a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un máximo de </w:t>
      </w:r>
      <w:r w:rsidR="00CA237B" w:rsidRPr="00DB746D">
        <w:rPr>
          <w:rFonts w:asciiTheme="minorHAnsi" w:hAnsiTheme="minorHAnsi"/>
          <w:color w:val="000000" w:themeColor="text1"/>
          <w:szCs w:val="24"/>
        </w:rPr>
        <w:t>52 159 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000</w:t>
      </w:r>
      <w:r w:rsidR="00CA237B" w:rsidRPr="00DB746D">
        <w:rPr>
          <w:rFonts w:asciiTheme="minorHAnsi" w:hAnsiTheme="minorHAnsi"/>
          <w:color w:val="000000" w:themeColor="text1"/>
          <w:szCs w:val="24"/>
        </w:rPr>
        <w:t> 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CHF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. El costo total del proyecto (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excluyendo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el sueldo del </w:t>
      </w:r>
      <w:r w:rsidR="0032606B" w:rsidRPr="00DB746D">
        <w:rPr>
          <w:rFonts w:asciiTheme="minorHAnsi" w:hAnsiTheme="minorHAnsi"/>
          <w:color w:val="000000" w:themeColor="text1"/>
          <w:szCs w:val="24"/>
        </w:rPr>
        <w:t xml:space="preserve">nuevo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Equipo del Proye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cto que se pagará con cargo al p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res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upuesto o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rdinario</w:t>
      </w:r>
      <w:r w:rsidR="00F56B84" w:rsidRPr="00DB746D">
        <w:rPr>
          <w:rFonts w:asciiTheme="minorHAnsi" w:hAnsiTheme="minorHAnsi"/>
          <w:color w:val="000000" w:themeColor="text1"/>
          <w:szCs w:val="24"/>
        </w:rPr>
        <w:t>) p</w:t>
      </w:r>
      <w:r w:rsidR="0032606B" w:rsidRPr="00DB746D">
        <w:rPr>
          <w:rFonts w:asciiTheme="minorHAnsi" w:hAnsiTheme="minorHAnsi"/>
          <w:color w:val="000000" w:themeColor="text1"/>
          <w:szCs w:val="24"/>
        </w:rPr>
        <w:t xml:space="preserve">odría aumentar a 220 299 </w:t>
      </w:r>
      <w:r w:rsidR="00F56B84" w:rsidRPr="00DB746D">
        <w:rPr>
          <w:rFonts w:asciiTheme="minorHAnsi" w:hAnsiTheme="minorHAnsi"/>
          <w:color w:val="000000" w:themeColor="text1"/>
          <w:szCs w:val="24"/>
        </w:rPr>
        <w:t>000 CHF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, cantidad </w:t>
      </w:r>
      <w:r w:rsidR="001261A9" w:rsidRPr="00DB746D">
        <w:rPr>
          <w:rFonts w:asciiTheme="minorHAnsi" w:hAnsiTheme="minorHAnsi"/>
          <w:color w:val="000000" w:themeColor="text1"/>
          <w:szCs w:val="24"/>
        </w:rPr>
        <w:lastRenderedPageBreak/>
        <w:t xml:space="preserve">superior a la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>que figura en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la opción 1 del </w:t>
      </w:r>
      <w:hyperlink r:id="rId15" w:history="1">
        <w:r w:rsidR="0032606B" w:rsidRPr="00DB746D">
          <w:rPr>
            <w:rStyle w:val="Hyperlink"/>
            <w:rFonts w:asciiTheme="minorHAnsi" w:hAnsiTheme="minorHAnsi"/>
            <w:szCs w:val="24"/>
          </w:rPr>
          <w:t>Documento 57(Rev.1)</w:t>
        </w:r>
      </w:hyperlink>
      <w:r w:rsidR="00C9028E" w:rsidRPr="00DB746D">
        <w:rPr>
          <w:color w:val="000000" w:themeColor="text1"/>
        </w:rPr>
        <w:t>,</w:t>
      </w:r>
      <w:r w:rsidR="0032606B" w:rsidRPr="00DB746D">
        <w:rPr>
          <w:color w:val="000000" w:themeColor="text1"/>
        </w:rPr>
        <w:t xml:space="preserve">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presentado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>en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la Conferencia de Plenipotenciarios de 2014</w:t>
      </w:r>
      <w:r w:rsidR="00C9028E" w:rsidRPr="00DB746D">
        <w:rPr>
          <w:rFonts w:asciiTheme="minorHAnsi" w:hAnsiTheme="minorHAnsi"/>
          <w:color w:val="000000" w:themeColor="text1"/>
          <w:szCs w:val="24"/>
        </w:rPr>
        <w:t xml:space="preserve"> y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que la Conferencia no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>pudo a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probar</w:t>
      </w:r>
      <w:r w:rsidR="00496291" w:rsidRPr="00DB746D">
        <w:rPr>
          <w:rFonts w:asciiTheme="minorHAnsi" w:hAnsiTheme="minorHAnsi"/>
          <w:color w:val="000000" w:themeColor="text1"/>
          <w:szCs w:val="24"/>
        </w:rPr>
        <w:t>.</w:t>
      </w:r>
    </w:p>
    <w:bookmarkEnd w:id="102"/>
    <w:p w:rsidR="00865EA8" w:rsidRPr="00DB746D" w:rsidRDefault="00865EA8" w:rsidP="002A67F3">
      <w:pPr>
        <w:spacing w:after="240"/>
        <w:rPr>
          <w:rFonts w:asciiTheme="minorHAnsi" w:hAnsiTheme="minorHAnsi"/>
          <w:color w:val="000000" w:themeColor="text1"/>
          <w:szCs w:val="24"/>
        </w:rPr>
      </w:pPr>
      <w:r w:rsidRPr="00DB746D">
        <w:rPr>
          <w:rFonts w:asciiTheme="minorHAnsi" w:hAnsiTheme="minorHAnsi"/>
          <w:color w:val="000000" w:themeColor="text1"/>
          <w:szCs w:val="24"/>
        </w:rPr>
        <w:t>4.5</w:t>
      </w:r>
      <w:r w:rsidRPr="00DB746D">
        <w:rPr>
          <w:rFonts w:asciiTheme="minorHAnsi" w:hAnsiTheme="minorHAnsi"/>
          <w:color w:val="000000" w:themeColor="text1"/>
          <w:szCs w:val="24"/>
        </w:rPr>
        <w:tab/>
      </w:r>
      <w:bookmarkStart w:id="103" w:name="lt_pId163"/>
      <w:r w:rsidR="001261A9" w:rsidRPr="00DB746D">
        <w:rPr>
          <w:rFonts w:asciiTheme="minorHAnsi" w:hAnsiTheme="minorHAnsi"/>
          <w:color w:val="000000" w:themeColor="text1"/>
          <w:szCs w:val="24"/>
        </w:rPr>
        <w:t>El GAEM revisó</w:t>
      </w:r>
      <w:r w:rsidR="00C9028E" w:rsidRPr="00DB746D">
        <w:rPr>
          <w:rFonts w:asciiTheme="minorHAnsi" w:hAnsiTheme="minorHAnsi"/>
          <w:color w:val="000000" w:themeColor="text1"/>
          <w:szCs w:val="24"/>
        </w:rPr>
        <w:t xml:space="preserve"> el Anexo 2 del D</w:t>
      </w:r>
      <w:r w:rsidR="0032606B" w:rsidRPr="00DB746D">
        <w:rPr>
          <w:rFonts w:asciiTheme="minorHAnsi" w:hAnsiTheme="minorHAnsi"/>
          <w:color w:val="000000" w:themeColor="text1"/>
          <w:szCs w:val="24"/>
        </w:rPr>
        <w:t xml:space="preserve">ocumento </w:t>
      </w:r>
      <w:hyperlink r:id="rId16" w:history="1">
        <w:r w:rsidR="00C9028E" w:rsidRPr="00DB746D">
          <w:rPr>
            <w:rStyle w:val="Hyperlink"/>
            <w:rFonts w:asciiTheme="minorHAnsi" w:hAnsiTheme="minorHAnsi"/>
            <w:szCs w:val="24"/>
          </w:rPr>
          <w:t>C19/7</w:t>
        </w:r>
      </w:hyperlink>
      <w:r w:rsidR="00C9028E" w:rsidRPr="00DB746D">
        <w:rPr>
          <w:color w:val="000000" w:themeColor="text1"/>
        </w:rPr>
        <w:t xml:space="preserve"> 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y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</w:t>
      </w:r>
      <w:r w:rsidR="0032606B" w:rsidRPr="00DB746D">
        <w:rPr>
          <w:rFonts w:asciiTheme="minorHAnsi" w:hAnsiTheme="minorHAnsi"/>
          <w:color w:val="000000" w:themeColor="text1"/>
          <w:szCs w:val="24"/>
        </w:rPr>
        <w:t>examinó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 además la hipótesis más pesimista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 xml:space="preserve">sobre la base de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 xml:space="preserve">las estimaciones de que disponía el Grupo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 xml:space="preserve">en </w:t>
      </w:r>
      <w:r w:rsidR="001261A9" w:rsidRPr="00DB746D">
        <w:rPr>
          <w:rFonts w:asciiTheme="minorHAnsi" w:hAnsiTheme="minorHAnsi"/>
          <w:color w:val="000000" w:themeColor="text1"/>
          <w:szCs w:val="24"/>
        </w:rPr>
        <w:t>abril de 2019</w:t>
      </w:r>
      <w:r w:rsidR="00C9028E" w:rsidRPr="00DB746D">
        <w:rPr>
          <w:rFonts w:asciiTheme="minorHAnsi" w:hAnsiTheme="minorHAnsi"/>
          <w:color w:val="000000" w:themeColor="text1"/>
          <w:szCs w:val="24"/>
        </w:rPr>
        <w:t xml:space="preserve">. 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En el marco de la financiación cabe incluir </w:t>
      </w:r>
      <w:r w:rsidR="001C402D" w:rsidRPr="00DB746D">
        <w:rPr>
          <w:rFonts w:asciiTheme="minorHAnsi" w:hAnsiTheme="minorHAnsi"/>
          <w:color w:val="000000" w:themeColor="text1"/>
          <w:szCs w:val="24"/>
        </w:rPr>
        <w:t xml:space="preserve">el patrocinio de 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10 millones CHF y 5 millones CHF que </w:t>
      </w:r>
      <w:r w:rsidR="00823C27" w:rsidRPr="00DB746D">
        <w:rPr>
          <w:rFonts w:asciiTheme="minorHAnsi" w:hAnsiTheme="minorHAnsi"/>
          <w:color w:val="000000" w:themeColor="text1"/>
          <w:szCs w:val="24"/>
        </w:rPr>
        <w:t xml:space="preserve">Arabia Saudita y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 xml:space="preserve">los </w:t>
      </w:r>
      <w:r w:rsidR="00823C27" w:rsidRPr="00DB746D">
        <w:rPr>
          <w:rFonts w:asciiTheme="minorHAnsi" w:hAnsiTheme="minorHAnsi"/>
          <w:color w:val="000000" w:themeColor="text1"/>
          <w:szCs w:val="24"/>
        </w:rPr>
        <w:t>Emiratos Árabes Unido</w:t>
      </w:r>
      <w:r w:rsidR="001C402D" w:rsidRPr="00DB746D">
        <w:rPr>
          <w:rFonts w:asciiTheme="minorHAnsi" w:hAnsiTheme="minorHAnsi"/>
          <w:color w:val="000000" w:themeColor="text1"/>
          <w:szCs w:val="24"/>
        </w:rPr>
        <w:t>s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, respectivamente, </w:t>
      </w:r>
      <w:r w:rsidR="00823C27" w:rsidRPr="00DB746D">
        <w:rPr>
          <w:rFonts w:asciiTheme="minorHAnsi" w:hAnsiTheme="minorHAnsi"/>
          <w:color w:val="000000" w:themeColor="text1"/>
          <w:szCs w:val="24"/>
        </w:rPr>
        <w:t xml:space="preserve">se han comprometido generosamente a </w:t>
      </w:r>
      <w:r w:rsidR="00C9028E" w:rsidRPr="00DB746D">
        <w:rPr>
          <w:rFonts w:asciiTheme="minorHAnsi" w:hAnsiTheme="minorHAnsi"/>
          <w:color w:val="000000" w:themeColor="text1"/>
          <w:szCs w:val="24"/>
        </w:rPr>
        <w:t>aportar</w:t>
      </w:r>
      <w:r w:rsidR="00823C27" w:rsidRPr="00DB746D">
        <w:rPr>
          <w:rFonts w:asciiTheme="minorHAnsi" w:hAnsiTheme="minorHAnsi"/>
          <w:color w:val="000000" w:themeColor="text1"/>
          <w:szCs w:val="24"/>
        </w:rPr>
        <w:t>,</w:t>
      </w:r>
      <w:r w:rsidR="00004C81" w:rsidRPr="00DB746D">
        <w:rPr>
          <w:rFonts w:asciiTheme="minorHAnsi" w:hAnsiTheme="minorHAnsi"/>
          <w:color w:val="000000" w:themeColor="text1"/>
          <w:szCs w:val="24"/>
        </w:rPr>
        <w:t xml:space="preserve"> y las donaciones </w:t>
      </w:r>
      <w:r w:rsidR="001C402D" w:rsidRPr="00DB746D">
        <w:rPr>
          <w:rFonts w:asciiTheme="minorHAnsi" w:hAnsiTheme="minorHAnsi"/>
          <w:color w:val="000000" w:themeColor="text1"/>
          <w:szCs w:val="24"/>
        </w:rPr>
        <w:t xml:space="preserve">de 100 000 USD y 40 000 CHF generosamente </w:t>
      </w:r>
      <w:r w:rsidR="00004C81" w:rsidRPr="00DB746D">
        <w:rPr>
          <w:rFonts w:asciiTheme="minorHAnsi" w:hAnsiTheme="minorHAnsi"/>
          <w:color w:val="000000" w:themeColor="text1"/>
          <w:szCs w:val="24"/>
        </w:rPr>
        <w:t>aportadas</w:t>
      </w:r>
      <w:r w:rsidR="00004C81" w:rsidRPr="00DB746D">
        <w:t xml:space="preserve"> por </w:t>
      </w:r>
      <w:r w:rsidR="00004C81" w:rsidRPr="00DB746D">
        <w:rPr>
          <w:rFonts w:asciiTheme="minorHAnsi" w:hAnsiTheme="minorHAnsi"/>
          <w:color w:val="000000" w:themeColor="text1"/>
          <w:szCs w:val="24"/>
        </w:rPr>
        <w:t>la República Checa y Ghana, respectivamente</w:t>
      </w:r>
      <w:r w:rsidRPr="00DB746D">
        <w:rPr>
          <w:rFonts w:asciiTheme="minorHAnsi" w:hAnsiTheme="minorHAnsi"/>
          <w:color w:val="000000" w:themeColor="text1"/>
          <w:szCs w:val="24"/>
        </w:rPr>
        <w:t>.</w:t>
      </w:r>
      <w:bookmarkEnd w:id="10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865EA8" w:rsidRPr="00DB746D" w:rsidTr="00645F4B">
        <w:trPr>
          <w:jc w:val="center"/>
        </w:trPr>
        <w:tc>
          <w:tcPr>
            <w:tcW w:w="9322" w:type="dxa"/>
            <w:gridSpan w:val="3"/>
          </w:tcPr>
          <w:p w:rsidR="00865EA8" w:rsidRPr="00DB746D" w:rsidRDefault="001C402D" w:rsidP="002A67F3">
            <w:pPr>
              <w:pStyle w:val="Tablehead"/>
              <w:spacing w:before="40" w:after="40"/>
              <w:rPr>
                <w:rFonts w:eastAsia="Calibri"/>
                <w:bCs/>
              </w:rPr>
            </w:pPr>
            <w:bookmarkStart w:id="104" w:name="lt_pId164"/>
            <w:r w:rsidRPr="00DB746D">
              <w:rPr>
                <w:rFonts w:eastAsia="Calibri"/>
              </w:rPr>
              <w:t xml:space="preserve">Hipótesis </w:t>
            </w:r>
            <w:r w:rsidR="00E11213" w:rsidRPr="00DB746D">
              <w:rPr>
                <w:rFonts w:eastAsia="Calibri"/>
              </w:rPr>
              <w:t xml:space="preserve">general según </w:t>
            </w:r>
            <w:r w:rsidRPr="00DB746D">
              <w:rPr>
                <w:rFonts w:eastAsia="Calibri"/>
              </w:rPr>
              <w:t xml:space="preserve">el Documento </w:t>
            </w:r>
            <w:r w:rsidR="0033786C" w:rsidRPr="00DB746D">
              <w:rPr>
                <w:rFonts w:eastAsia="Calibri"/>
              </w:rPr>
              <w:t xml:space="preserve">C19/7 </w:t>
            </w:r>
            <w:r w:rsidRPr="00DB746D">
              <w:rPr>
                <w:rFonts w:eastAsia="Calibri"/>
              </w:rPr>
              <w:t xml:space="preserve">con ajustes </w:t>
            </w:r>
            <w:r w:rsidR="0033786C" w:rsidRPr="00DB746D">
              <w:rPr>
                <w:rFonts w:eastAsia="Calibri"/>
              </w:rPr>
              <w:t>para imprevistos</w:t>
            </w:r>
            <w:r w:rsidR="002A67F3" w:rsidRPr="00DB746D">
              <w:rPr>
                <w:rFonts w:eastAsia="Calibri"/>
              </w:rPr>
              <w:br/>
            </w:r>
            <w:bookmarkEnd w:id="104"/>
            <w:r w:rsidR="000424D6" w:rsidRPr="00DB746D">
              <w:rPr>
                <w:rFonts w:eastAsia="Calibri"/>
                <w:b w:val="0"/>
              </w:rPr>
              <w:t>(en miles de CHF)</w:t>
            </w:r>
          </w:p>
        </w:tc>
      </w:tr>
      <w:tr w:rsidR="00865EA8" w:rsidRPr="00DB746D" w:rsidTr="00196795">
        <w:trPr>
          <w:jc w:val="center"/>
        </w:trPr>
        <w:tc>
          <w:tcPr>
            <w:tcW w:w="3107" w:type="dxa"/>
            <w:vAlign w:val="center"/>
          </w:tcPr>
          <w:p w:rsidR="00865EA8" w:rsidRPr="00DB746D" w:rsidRDefault="0033786C" w:rsidP="002A67F3">
            <w:pPr>
              <w:pStyle w:val="Tablehead"/>
              <w:spacing w:before="40" w:after="40"/>
              <w:rPr>
                <w:rFonts w:eastAsia="Calibri"/>
              </w:rPr>
            </w:pPr>
            <w:r w:rsidRPr="00DB746D">
              <w:rPr>
                <w:rFonts w:eastAsia="Calibri"/>
              </w:rPr>
              <w:t>Costo total del proyecto</w:t>
            </w:r>
          </w:p>
        </w:tc>
        <w:tc>
          <w:tcPr>
            <w:tcW w:w="3107" w:type="dxa"/>
            <w:vAlign w:val="center"/>
          </w:tcPr>
          <w:p w:rsidR="00865EA8" w:rsidRPr="00DB746D" w:rsidRDefault="000424D6" w:rsidP="002A67F3">
            <w:pPr>
              <w:pStyle w:val="Tablehead"/>
              <w:spacing w:before="40" w:after="40"/>
              <w:rPr>
                <w:rFonts w:eastAsia="Calibri"/>
              </w:rPr>
            </w:pPr>
            <w:bookmarkStart w:id="105" w:name="lt_pId166"/>
            <w:r w:rsidRPr="00DB746D">
              <w:rPr>
                <w:rFonts w:eastAsia="Calibri"/>
              </w:rPr>
              <w:t>F</w:t>
            </w:r>
            <w:r w:rsidR="0033786C" w:rsidRPr="00DB746D">
              <w:rPr>
                <w:rFonts w:eastAsia="Calibri"/>
              </w:rPr>
              <w:t xml:space="preserve">inanciación </w:t>
            </w:r>
            <w:r w:rsidRPr="00DB746D">
              <w:rPr>
                <w:rFonts w:eastAsia="Calibri"/>
              </w:rPr>
              <w:t>pendiente necesaria</w:t>
            </w:r>
            <w:bookmarkEnd w:id="105"/>
          </w:p>
        </w:tc>
        <w:tc>
          <w:tcPr>
            <w:tcW w:w="3108" w:type="dxa"/>
            <w:vAlign w:val="center"/>
          </w:tcPr>
          <w:p w:rsidR="00865EA8" w:rsidRPr="00DB746D" w:rsidRDefault="0033786C" w:rsidP="002A67F3">
            <w:pPr>
              <w:pStyle w:val="Tablehead"/>
              <w:spacing w:before="40" w:after="40"/>
              <w:rPr>
                <w:rFonts w:eastAsia="Calibri"/>
              </w:rPr>
            </w:pPr>
            <w:bookmarkStart w:id="106" w:name="lt_pId167"/>
            <w:r w:rsidRPr="00DB746D">
              <w:rPr>
                <w:rFonts w:eastAsia="Calibri"/>
              </w:rPr>
              <w:t xml:space="preserve">Superávit o patrocinio </w:t>
            </w:r>
            <w:r w:rsidR="002A67F3" w:rsidRPr="00DB746D">
              <w:rPr>
                <w:rFonts w:eastAsia="Calibri"/>
              </w:rPr>
              <w:br/>
            </w:r>
            <w:r w:rsidRPr="00DB746D">
              <w:rPr>
                <w:rFonts w:eastAsia="Calibri"/>
              </w:rPr>
              <w:t>por año 2019-2025</w:t>
            </w:r>
            <w:bookmarkEnd w:id="106"/>
          </w:p>
        </w:tc>
      </w:tr>
      <w:tr w:rsidR="00865EA8" w:rsidRPr="00DB746D" w:rsidTr="00645F4B">
        <w:trPr>
          <w:jc w:val="center"/>
        </w:trPr>
        <w:tc>
          <w:tcPr>
            <w:tcW w:w="3107" w:type="dxa"/>
          </w:tcPr>
          <w:p w:rsidR="00865EA8" w:rsidRPr="00DB746D" w:rsidRDefault="00865EA8" w:rsidP="00FF3A34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198</w:t>
            </w:r>
            <w:r w:rsidR="00196795" w:rsidRPr="00DB746D">
              <w:rPr>
                <w:rFonts w:eastAsia="Calibri"/>
              </w:rPr>
              <w:t> </w:t>
            </w:r>
            <w:r w:rsidRPr="00DB746D">
              <w:rPr>
                <w:rFonts w:eastAsia="Calibri"/>
              </w:rPr>
              <w:t>582</w:t>
            </w:r>
          </w:p>
        </w:tc>
        <w:tc>
          <w:tcPr>
            <w:tcW w:w="3107" w:type="dxa"/>
          </w:tcPr>
          <w:p w:rsidR="00865EA8" w:rsidRPr="00DB746D" w:rsidRDefault="00865EA8" w:rsidP="00FF3A34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30</w:t>
            </w:r>
            <w:r w:rsidR="00196795" w:rsidRPr="00DB746D">
              <w:rPr>
                <w:rFonts w:eastAsia="Calibri"/>
              </w:rPr>
              <w:t> </w:t>
            </w:r>
            <w:r w:rsidRPr="00DB746D">
              <w:rPr>
                <w:rFonts w:eastAsia="Calibri"/>
              </w:rPr>
              <w:t>442</w:t>
            </w:r>
          </w:p>
        </w:tc>
        <w:tc>
          <w:tcPr>
            <w:tcW w:w="3108" w:type="dxa"/>
          </w:tcPr>
          <w:p w:rsidR="00865EA8" w:rsidRPr="00DB746D" w:rsidRDefault="00865EA8" w:rsidP="00FF3A34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4</w:t>
            </w:r>
            <w:r w:rsidR="00196795" w:rsidRPr="00DB746D">
              <w:rPr>
                <w:rFonts w:eastAsia="Calibri"/>
              </w:rPr>
              <w:t> </w:t>
            </w:r>
            <w:r w:rsidRPr="00DB746D">
              <w:rPr>
                <w:rFonts w:eastAsia="Calibri"/>
              </w:rPr>
              <w:t>348</w:t>
            </w:r>
          </w:p>
        </w:tc>
      </w:tr>
      <w:tr w:rsidR="00865EA8" w:rsidRPr="00DB746D" w:rsidTr="00645F4B">
        <w:trPr>
          <w:jc w:val="center"/>
        </w:trPr>
        <w:tc>
          <w:tcPr>
            <w:tcW w:w="3107" w:type="dxa"/>
          </w:tcPr>
          <w:p w:rsidR="00865EA8" w:rsidRPr="00DB746D" w:rsidRDefault="00196795" w:rsidP="00FF3A34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201 </w:t>
            </w:r>
            <w:r w:rsidR="00865EA8" w:rsidRPr="00DB746D">
              <w:rPr>
                <w:rFonts w:eastAsia="Calibri"/>
              </w:rPr>
              <w:t>582</w:t>
            </w:r>
          </w:p>
        </w:tc>
        <w:tc>
          <w:tcPr>
            <w:tcW w:w="3107" w:type="dxa"/>
          </w:tcPr>
          <w:p w:rsidR="00865EA8" w:rsidRPr="00DB746D" w:rsidRDefault="00196795" w:rsidP="00FF3A34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33 </w:t>
            </w:r>
            <w:r w:rsidR="00865EA8" w:rsidRPr="00DB746D">
              <w:rPr>
                <w:rFonts w:eastAsia="Calibri"/>
              </w:rPr>
              <w:t>442</w:t>
            </w:r>
          </w:p>
        </w:tc>
        <w:tc>
          <w:tcPr>
            <w:tcW w:w="3108" w:type="dxa"/>
          </w:tcPr>
          <w:p w:rsidR="00865EA8" w:rsidRPr="00DB746D" w:rsidRDefault="00196795" w:rsidP="00FF3A34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4 </w:t>
            </w:r>
            <w:r w:rsidR="00865EA8" w:rsidRPr="00DB746D">
              <w:rPr>
                <w:rFonts w:eastAsia="Calibri"/>
              </w:rPr>
              <w:t>777</w:t>
            </w:r>
          </w:p>
        </w:tc>
      </w:tr>
    </w:tbl>
    <w:p w:rsidR="00865EA8" w:rsidRPr="00DB746D" w:rsidRDefault="00865EA8" w:rsidP="00FF3A34">
      <w:pPr>
        <w:rPr>
          <w:rFonts w:eastAsia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865EA8" w:rsidRPr="00DB746D" w:rsidTr="00645F4B">
        <w:trPr>
          <w:jc w:val="center"/>
        </w:trPr>
        <w:tc>
          <w:tcPr>
            <w:tcW w:w="9322" w:type="dxa"/>
            <w:gridSpan w:val="3"/>
          </w:tcPr>
          <w:p w:rsidR="00865EA8" w:rsidRPr="00DB746D" w:rsidRDefault="0033786C" w:rsidP="00FF3A34">
            <w:pPr>
              <w:pStyle w:val="Tablehead"/>
              <w:spacing w:before="40" w:after="40"/>
              <w:rPr>
                <w:rFonts w:eastAsia="Calibri"/>
              </w:rPr>
            </w:pPr>
            <w:bookmarkStart w:id="107" w:name="lt_pId174"/>
            <w:r w:rsidRPr="00DB746D">
              <w:rPr>
                <w:rFonts w:eastAsia="Calibri"/>
              </w:rPr>
              <w:t xml:space="preserve">Hipótesis más </w:t>
            </w:r>
            <w:r w:rsidR="001C402D" w:rsidRPr="00DB746D">
              <w:rPr>
                <w:rFonts w:eastAsia="Calibri"/>
              </w:rPr>
              <w:t xml:space="preserve">pesimista </w:t>
            </w:r>
            <w:r w:rsidRPr="00DB746D">
              <w:rPr>
                <w:rFonts w:eastAsia="Calibri"/>
              </w:rPr>
              <w:t xml:space="preserve">según </w:t>
            </w:r>
            <w:r w:rsidR="001C402D" w:rsidRPr="00DB746D">
              <w:rPr>
                <w:rFonts w:eastAsia="Calibri"/>
              </w:rPr>
              <w:t xml:space="preserve">el Documento </w:t>
            </w:r>
            <w:r w:rsidRPr="00DB746D">
              <w:rPr>
                <w:rFonts w:eastAsia="Calibri"/>
              </w:rPr>
              <w:t xml:space="preserve">C19/7 </w:t>
            </w:r>
            <w:r w:rsidR="001C402D" w:rsidRPr="00DB746D">
              <w:rPr>
                <w:rFonts w:eastAsia="Calibri"/>
              </w:rPr>
              <w:t xml:space="preserve">con ajustes para imprevistos </w:t>
            </w:r>
            <w:r w:rsidR="00FF3A34" w:rsidRPr="00DB746D">
              <w:rPr>
                <w:rFonts w:eastAsia="Calibri"/>
              </w:rPr>
              <w:br/>
            </w:r>
            <w:r w:rsidRPr="00DB746D">
              <w:rPr>
                <w:rFonts w:eastAsia="Calibri"/>
              </w:rPr>
              <w:t xml:space="preserve">y </w:t>
            </w:r>
            <w:r w:rsidR="001C402D" w:rsidRPr="00DB746D">
              <w:rPr>
                <w:rFonts w:eastAsia="Calibri"/>
              </w:rPr>
              <w:t xml:space="preserve">un </w:t>
            </w:r>
            <w:r w:rsidRPr="00DB746D">
              <w:rPr>
                <w:rFonts w:eastAsia="Calibri"/>
              </w:rPr>
              <w:t xml:space="preserve">aumento del 15% en </w:t>
            </w:r>
            <w:r w:rsidR="00ED75F8" w:rsidRPr="00DB746D">
              <w:rPr>
                <w:rFonts w:eastAsia="Calibri"/>
              </w:rPr>
              <w:t>CGC</w:t>
            </w:r>
            <w:r w:rsidRPr="00DB746D">
              <w:rPr>
                <w:rFonts w:eastAsia="Calibri"/>
              </w:rPr>
              <w:t xml:space="preserve"> 1-4</w:t>
            </w:r>
            <w:r w:rsidR="001C402D" w:rsidRPr="00DB746D">
              <w:rPr>
                <w:rFonts w:eastAsia="Calibri"/>
              </w:rPr>
              <w:t xml:space="preserve"> </w:t>
            </w:r>
            <w:bookmarkEnd w:id="107"/>
            <w:r w:rsidR="000424D6" w:rsidRPr="00DB746D">
              <w:rPr>
                <w:rFonts w:eastAsia="Calibri"/>
                <w:b w:val="0"/>
                <w:bCs/>
              </w:rPr>
              <w:t>(en miles de CHF)</w:t>
            </w:r>
          </w:p>
        </w:tc>
      </w:tr>
      <w:tr w:rsidR="0033786C" w:rsidRPr="00DB746D" w:rsidTr="00196795">
        <w:trPr>
          <w:jc w:val="center"/>
        </w:trPr>
        <w:tc>
          <w:tcPr>
            <w:tcW w:w="3107" w:type="dxa"/>
            <w:vAlign w:val="center"/>
          </w:tcPr>
          <w:p w:rsidR="0033786C" w:rsidRPr="00DB746D" w:rsidRDefault="0033786C" w:rsidP="00FF3A34">
            <w:pPr>
              <w:pStyle w:val="Tablehead"/>
              <w:spacing w:before="40" w:after="40"/>
              <w:rPr>
                <w:rFonts w:eastAsia="Calibri"/>
              </w:rPr>
            </w:pPr>
            <w:r w:rsidRPr="00DB746D">
              <w:rPr>
                <w:rFonts w:eastAsia="Calibri"/>
              </w:rPr>
              <w:t>Costo total del proyecto</w:t>
            </w:r>
          </w:p>
        </w:tc>
        <w:tc>
          <w:tcPr>
            <w:tcW w:w="3107" w:type="dxa"/>
            <w:vAlign w:val="center"/>
          </w:tcPr>
          <w:p w:rsidR="0033786C" w:rsidRPr="00DB746D" w:rsidRDefault="000424D6" w:rsidP="00FF3A34">
            <w:pPr>
              <w:pStyle w:val="Tablehead"/>
              <w:spacing w:before="40" w:after="40"/>
              <w:rPr>
                <w:rFonts w:eastAsia="Calibri"/>
              </w:rPr>
            </w:pPr>
            <w:r w:rsidRPr="00DB746D">
              <w:rPr>
                <w:rFonts w:eastAsia="Calibri"/>
              </w:rPr>
              <w:t>F</w:t>
            </w:r>
            <w:r w:rsidR="0033786C" w:rsidRPr="00DB746D">
              <w:rPr>
                <w:rFonts w:eastAsia="Calibri"/>
              </w:rPr>
              <w:t xml:space="preserve">inanciación </w:t>
            </w:r>
            <w:r w:rsidRPr="00DB746D">
              <w:rPr>
                <w:rFonts w:eastAsia="Calibri"/>
              </w:rPr>
              <w:t>pendiente necesaria</w:t>
            </w:r>
          </w:p>
        </w:tc>
        <w:tc>
          <w:tcPr>
            <w:tcW w:w="3108" w:type="dxa"/>
            <w:vAlign w:val="center"/>
          </w:tcPr>
          <w:p w:rsidR="0033786C" w:rsidRPr="00DB746D" w:rsidRDefault="0033786C" w:rsidP="00FF3A34">
            <w:pPr>
              <w:pStyle w:val="Tablehead"/>
              <w:spacing w:before="40" w:after="40"/>
              <w:rPr>
                <w:rFonts w:eastAsia="Calibri"/>
              </w:rPr>
            </w:pPr>
            <w:r w:rsidRPr="00DB746D">
              <w:rPr>
                <w:rFonts w:eastAsia="Calibri"/>
              </w:rPr>
              <w:t xml:space="preserve">Superávit o patrocinio </w:t>
            </w:r>
            <w:r w:rsidR="00FF3A34" w:rsidRPr="00DB746D">
              <w:rPr>
                <w:rFonts w:eastAsia="Calibri"/>
              </w:rPr>
              <w:br/>
            </w:r>
            <w:r w:rsidRPr="00DB746D">
              <w:rPr>
                <w:rFonts w:eastAsia="Calibri"/>
              </w:rPr>
              <w:t>por año 2019-2025</w:t>
            </w:r>
          </w:p>
        </w:tc>
      </w:tr>
      <w:tr w:rsidR="00865EA8" w:rsidRPr="00DB746D" w:rsidTr="00645F4B">
        <w:trPr>
          <w:jc w:val="center"/>
        </w:trPr>
        <w:tc>
          <w:tcPr>
            <w:tcW w:w="3107" w:type="dxa"/>
          </w:tcPr>
          <w:p w:rsidR="00865EA8" w:rsidRPr="00DB746D" w:rsidRDefault="00865EA8" w:rsidP="00E41B16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217</w:t>
            </w:r>
            <w:r w:rsidR="00196795" w:rsidRPr="00DB746D">
              <w:rPr>
                <w:rFonts w:eastAsia="Calibri"/>
              </w:rPr>
              <w:t> </w:t>
            </w:r>
            <w:r w:rsidRPr="00DB746D">
              <w:rPr>
                <w:rFonts w:eastAsia="Calibri"/>
              </w:rPr>
              <w:t>299</w:t>
            </w:r>
          </w:p>
        </w:tc>
        <w:tc>
          <w:tcPr>
            <w:tcW w:w="3107" w:type="dxa"/>
          </w:tcPr>
          <w:p w:rsidR="00865EA8" w:rsidRPr="00DB746D" w:rsidRDefault="00865EA8" w:rsidP="00E41B16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4</w:t>
            </w:r>
            <w:r w:rsidR="00196795" w:rsidRPr="00DB746D">
              <w:rPr>
                <w:rFonts w:eastAsia="Calibri"/>
              </w:rPr>
              <w:t>9 </w:t>
            </w:r>
            <w:r w:rsidRPr="00DB746D">
              <w:rPr>
                <w:rFonts w:eastAsia="Calibri"/>
              </w:rPr>
              <w:t>159</w:t>
            </w:r>
          </w:p>
        </w:tc>
        <w:tc>
          <w:tcPr>
            <w:tcW w:w="3108" w:type="dxa"/>
          </w:tcPr>
          <w:p w:rsidR="00865EA8" w:rsidRPr="00DB746D" w:rsidRDefault="00196795" w:rsidP="00E41B16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7 </w:t>
            </w:r>
            <w:r w:rsidR="00865EA8" w:rsidRPr="00DB746D">
              <w:rPr>
                <w:rFonts w:eastAsia="Calibri"/>
              </w:rPr>
              <w:t>022</w:t>
            </w:r>
          </w:p>
        </w:tc>
      </w:tr>
      <w:tr w:rsidR="00865EA8" w:rsidRPr="00DB746D" w:rsidTr="00645F4B">
        <w:trPr>
          <w:jc w:val="center"/>
        </w:trPr>
        <w:tc>
          <w:tcPr>
            <w:tcW w:w="3107" w:type="dxa"/>
          </w:tcPr>
          <w:p w:rsidR="00865EA8" w:rsidRPr="00DB746D" w:rsidRDefault="00196795" w:rsidP="00E41B16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220 </w:t>
            </w:r>
            <w:r w:rsidR="00865EA8" w:rsidRPr="00DB746D">
              <w:rPr>
                <w:rFonts w:eastAsia="Calibri"/>
              </w:rPr>
              <w:t>299</w:t>
            </w:r>
          </w:p>
        </w:tc>
        <w:tc>
          <w:tcPr>
            <w:tcW w:w="3107" w:type="dxa"/>
          </w:tcPr>
          <w:p w:rsidR="00865EA8" w:rsidRPr="00DB746D" w:rsidRDefault="00196795" w:rsidP="00E41B16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52 </w:t>
            </w:r>
            <w:r w:rsidR="00865EA8" w:rsidRPr="00DB746D">
              <w:rPr>
                <w:rFonts w:eastAsia="Calibri"/>
              </w:rPr>
              <w:t>159</w:t>
            </w:r>
          </w:p>
        </w:tc>
        <w:tc>
          <w:tcPr>
            <w:tcW w:w="3108" w:type="dxa"/>
          </w:tcPr>
          <w:p w:rsidR="00865EA8" w:rsidRPr="00DB746D" w:rsidRDefault="00196795" w:rsidP="00E41B16">
            <w:pPr>
              <w:pStyle w:val="Tabletext"/>
              <w:jc w:val="center"/>
              <w:rPr>
                <w:rFonts w:eastAsia="Calibri"/>
              </w:rPr>
            </w:pPr>
            <w:r w:rsidRPr="00DB746D">
              <w:rPr>
                <w:rFonts w:eastAsia="Calibri"/>
              </w:rPr>
              <w:t>7 </w:t>
            </w:r>
            <w:r w:rsidR="00865EA8" w:rsidRPr="00DB746D">
              <w:rPr>
                <w:rFonts w:eastAsia="Calibri"/>
              </w:rPr>
              <w:t>451</w:t>
            </w:r>
          </w:p>
        </w:tc>
      </w:tr>
    </w:tbl>
    <w:p w:rsidR="00C86358" w:rsidRPr="00DB746D" w:rsidRDefault="00865EA8" w:rsidP="00426C11">
      <w:pPr>
        <w:pStyle w:val="Normalaftertitle"/>
      </w:pPr>
      <w:r w:rsidRPr="00DB746D">
        <w:t>4.6</w:t>
      </w:r>
      <w:r w:rsidRPr="00DB746D">
        <w:tab/>
      </w:r>
      <w:bookmarkStart w:id="108" w:name="lt_pId185"/>
      <w:r w:rsidR="0033786C" w:rsidRPr="00DB746D">
        <w:t>La Secretaría considera que est</w:t>
      </w:r>
      <w:r w:rsidR="00C86358" w:rsidRPr="00DB746D">
        <w:t>e margen de</w:t>
      </w:r>
      <w:r w:rsidR="0033786C" w:rsidRPr="00DB746D">
        <w:t xml:space="preserve"> error de +/</w:t>
      </w:r>
      <w:r w:rsidR="00383675" w:rsidRPr="00DB746D">
        <w:t>–</w:t>
      </w:r>
      <w:r w:rsidR="0033786C" w:rsidRPr="00DB746D">
        <w:t xml:space="preserve"> 15% </w:t>
      </w:r>
      <w:r w:rsidR="00C86358" w:rsidRPr="00DB746D">
        <w:t>es muy conservador</w:t>
      </w:r>
      <w:r w:rsidR="0033786C" w:rsidRPr="00DB746D">
        <w:t xml:space="preserve"> (véase el §</w:t>
      </w:r>
      <w:r w:rsidR="00383675" w:rsidRPr="00DB746D">
        <w:t> </w:t>
      </w:r>
      <w:r w:rsidR="0033786C" w:rsidRPr="00DB746D">
        <w:t xml:space="preserve">2.1 </w:t>
      </w:r>
      <w:r w:rsidR="0033786C" w:rsidRPr="00DB746D">
        <w:rPr>
          <w:i/>
          <w:iCs/>
        </w:rPr>
        <w:t>supra</w:t>
      </w:r>
      <w:r w:rsidR="0033786C" w:rsidRPr="00DB746D">
        <w:t xml:space="preserve">). </w:t>
      </w:r>
      <w:r w:rsidR="00C86358" w:rsidRPr="00DB746D">
        <w:t xml:space="preserve">Si se asume que la </w:t>
      </w:r>
      <w:r w:rsidR="0033786C" w:rsidRPr="00DB746D">
        <w:t>estimación del arquitecto</w:t>
      </w:r>
      <w:r w:rsidR="00C86358" w:rsidRPr="00DB746D">
        <w:t xml:space="preserve"> es exacta</w:t>
      </w:r>
      <w:r w:rsidR="0033786C" w:rsidRPr="00DB746D">
        <w:t>, los costos directos e indirectos totales super</w:t>
      </w:r>
      <w:r w:rsidR="00C86358" w:rsidRPr="00DB746D">
        <w:t>arían</w:t>
      </w:r>
      <w:r w:rsidR="0033786C" w:rsidRPr="00DB746D">
        <w:t xml:space="preserve"> los 180 millones </w:t>
      </w:r>
      <w:r w:rsidR="00F56B84" w:rsidRPr="00DB746D">
        <w:t>CHF</w:t>
      </w:r>
      <w:r w:rsidR="0033786C" w:rsidRPr="00DB746D">
        <w:t xml:space="preserve"> indicados en el </w:t>
      </w:r>
      <w:r w:rsidR="00C86358" w:rsidRPr="00DB746D">
        <w:t>D</w:t>
      </w:r>
      <w:r w:rsidR="0033786C" w:rsidRPr="00DB746D">
        <w:t xml:space="preserve">ocumento </w:t>
      </w:r>
      <w:hyperlink r:id="rId17" w:history="1">
        <w:r w:rsidR="00C86358" w:rsidRPr="00DB746D">
          <w:rPr>
            <w:rStyle w:val="Hyperlink"/>
            <w:rFonts w:asciiTheme="minorHAnsi" w:hAnsiTheme="minorHAnsi"/>
            <w:szCs w:val="24"/>
          </w:rPr>
          <w:t>C18/123</w:t>
        </w:r>
      </w:hyperlink>
      <w:r w:rsidR="00C86358" w:rsidRPr="00DB746D">
        <w:t xml:space="preserve"> </w:t>
      </w:r>
      <w:r w:rsidR="00383675" w:rsidRPr="00DB746D">
        <w:t>en otros 20 </w:t>
      </w:r>
      <w:r w:rsidR="00901920" w:rsidRPr="00DB746D">
        <w:t>millones</w:t>
      </w:r>
      <w:r w:rsidR="0033786C" w:rsidRPr="00DB746D">
        <w:t xml:space="preserve"> </w:t>
      </w:r>
      <w:r w:rsidR="00F56B84" w:rsidRPr="00DB746D">
        <w:t>CHF</w:t>
      </w:r>
      <w:r w:rsidR="00901920" w:rsidRPr="00DB746D">
        <w:t xml:space="preserve"> o</w:t>
      </w:r>
      <w:r w:rsidR="0033786C" w:rsidRPr="00DB746D">
        <w:t xml:space="preserve"> casi 25 millones </w:t>
      </w:r>
      <w:r w:rsidR="00F56B84" w:rsidRPr="00DB746D">
        <w:t>CHF</w:t>
      </w:r>
      <w:r w:rsidR="00901920" w:rsidRPr="00DB746D">
        <w:t>,</w:t>
      </w:r>
      <w:r w:rsidR="00F56B84" w:rsidRPr="00DB746D">
        <w:t xml:space="preserve"> </w:t>
      </w:r>
      <w:r w:rsidR="0033786C" w:rsidRPr="00DB746D">
        <w:t>si se incluyen los gastos de personal del Equipo de Proyecto</w:t>
      </w:r>
      <w:r w:rsidR="00901920" w:rsidRPr="00DB746D">
        <w:t>.</w:t>
      </w:r>
    </w:p>
    <w:bookmarkEnd w:id="108"/>
    <w:p w:rsidR="00865EA8" w:rsidRPr="00DB746D" w:rsidRDefault="00865EA8" w:rsidP="00426C11">
      <w:r w:rsidRPr="00DB746D">
        <w:t>4.7</w:t>
      </w:r>
      <w:r w:rsidRPr="00DB746D">
        <w:tab/>
      </w:r>
      <w:bookmarkStart w:id="109" w:name="lt_pId188"/>
      <w:r w:rsidR="00901920" w:rsidRPr="00DB746D">
        <w:t xml:space="preserve">Preocupa al </w:t>
      </w:r>
      <w:r w:rsidR="0033786C" w:rsidRPr="00DB746D">
        <w:t xml:space="preserve">GAEM que no se puedan garantizar los ahorros futuros </w:t>
      </w:r>
      <w:r w:rsidR="00901920" w:rsidRPr="00DB746D">
        <w:t xml:space="preserve">de los que depende </w:t>
      </w:r>
      <w:r w:rsidR="0033786C" w:rsidRPr="00DB746D">
        <w:t xml:space="preserve">el proyecto, a pesar de los ahorros propuestos </w:t>
      </w:r>
      <w:r w:rsidR="00901920" w:rsidRPr="00DB746D">
        <w:t>tras</w:t>
      </w:r>
      <w:r w:rsidR="0033786C" w:rsidRPr="00DB746D">
        <w:t xml:space="preserve"> la ejecución del presupuesto de 2018. </w:t>
      </w:r>
      <w:r w:rsidR="00E11213" w:rsidRPr="00DB746D">
        <w:t xml:space="preserve">Los ahorros conseguidos, </w:t>
      </w:r>
      <w:r w:rsidR="00A420CE" w:rsidRPr="00DB746D">
        <w:t>si los hubiere, serían</w:t>
      </w:r>
      <w:r w:rsidR="00901920" w:rsidRPr="00DB746D">
        <w:t xml:space="preserve"> </w:t>
      </w:r>
      <w:r w:rsidR="0033786C" w:rsidRPr="00DB746D">
        <w:t>absorb</w:t>
      </w:r>
      <w:r w:rsidR="00901920" w:rsidRPr="00DB746D">
        <w:t>idos en gran parte o en su totalidad por el proyecto</w:t>
      </w:r>
      <w:r w:rsidR="0033786C" w:rsidRPr="00DB746D">
        <w:t xml:space="preserve"> durante los próximos 7 años. Esto </w:t>
      </w:r>
      <w:r w:rsidR="00901920" w:rsidRPr="00DB746D">
        <w:t>limitará</w:t>
      </w:r>
      <w:r w:rsidR="0033786C" w:rsidRPr="00DB746D">
        <w:t xml:space="preserve"> la capacidad de la Unión para hacer frente a gastos imprevistos</w:t>
      </w:r>
      <w:bookmarkStart w:id="110" w:name="lt_pId190"/>
      <w:bookmarkEnd w:id="109"/>
      <w:r w:rsidRPr="00DB746D">
        <w:t>.</w:t>
      </w:r>
      <w:bookmarkEnd w:id="110"/>
    </w:p>
    <w:p w:rsidR="00865EA8" w:rsidRPr="00DB746D" w:rsidRDefault="00865EA8" w:rsidP="00426C11">
      <w:pPr>
        <w:pStyle w:val="Heading1"/>
      </w:pPr>
      <w:r w:rsidRPr="00DB746D">
        <w:t>5</w:t>
      </w:r>
      <w:r w:rsidRPr="00DB746D">
        <w:tab/>
      </w:r>
      <w:bookmarkStart w:id="111" w:name="lt_pId192"/>
      <w:r w:rsidR="00C3395B" w:rsidRPr="00DB746D">
        <w:t>Conclusió</w:t>
      </w:r>
      <w:r w:rsidRPr="00DB746D">
        <w:t>n</w:t>
      </w:r>
      <w:bookmarkEnd w:id="111"/>
    </w:p>
    <w:p w:rsidR="00865EA8" w:rsidRPr="00DB746D" w:rsidRDefault="00865EA8" w:rsidP="00426C11">
      <w:r w:rsidRPr="00DB746D">
        <w:t>5.1</w:t>
      </w:r>
      <w:r w:rsidRPr="00DB746D">
        <w:tab/>
      </w:r>
      <w:bookmarkStart w:id="112" w:name="lt_pId194"/>
      <w:r w:rsidR="0033786C" w:rsidRPr="00DB746D">
        <w:t xml:space="preserve">Se invita al Consejo a tomar nota del riesgo financiero </w:t>
      </w:r>
      <w:r w:rsidR="00A420CE" w:rsidRPr="00DB746D">
        <w:t xml:space="preserve">que conlleva </w:t>
      </w:r>
      <w:r w:rsidR="0033786C" w:rsidRPr="00DB746D">
        <w:t xml:space="preserve">la </w:t>
      </w:r>
      <w:r w:rsidR="00901920" w:rsidRPr="00DB746D">
        <w:t>ejecuci</w:t>
      </w:r>
      <w:r w:rsidR="0033786C" w:rsidRPr="00DB746D">
        <w:t xml:space="preserve">ón del diseño ganador del proyecto de </w:t>
      </w:r>
      <w:r w:rsidR="00901920" w:rsidRPr="00DB746D">
        <w:t>S</w:t>
      </w:r>
      <w:r w:rsidR="0033786C" w:rsidRPr="00DB746D">
        <w:t xml:space="preserve">ede de la Unión. </w:t>
      </w:r>
      <w:r w:rsidR="00A420CE" w:rsidRPr="00DB746D">
        <w:t>A fin de a</w:t>
      </w:r>
      <w:r w:rsidR="00901920" w:rsidRPr="00DB746D">
        <w:t>tenuar</w:t>
      </w:r>
      <w:r w:rsidR="0033786C" w:rsidRPr="00DB746D">
        <w:t xml:space="preserve"> el riesgo, se propone </w:t>
      </w:r>
      <w:r w:rsidR="00A420CE" w:rsidRPr="00DB746D">
        <w:t xml:space="preserve">limitar </w:t>
      </w:r>
      <w:r w:rsidR="0033786C" w:rsidRPr="00DB746D">
        <w:t xml:space="preserve">el costo total máximo de todos los elementos </w:t>
      </w:r>
      <w:r w:rsidR="00901920" w:rsidRPr="00DB746D">
        <w:t xml:space="preserve">que pueden </w:t>
      </w:r>
      <w:r w:rsidR="00645584" w:rsidRPr="00DB746D">
        <w:t>financiarse</w:t>
      </w:r>
      <w:r w:rsidR="00901920" w:rsidRPr="00DB746D">
        <w:t xml:space="preserve"> con el </w:t>
      </w:r>
      <w:r w:rsidR="0033786C" w:rsidRPr="00DB746D">
        <w:t xml:space="preserve">préstamo del país anfitrión </w:t>
      </w:r>
      <w:r w:rsidR="00A420CE" w:rsidRPr="00DB746D">
        <w:t xml:space="preserve">al importe </w:t>
      </w:r>
      <w:r w:rsidR="0033786C" w:rsidRPr="00DB746D">
        <w:t>del préstamo del país anfitrión</w:t>
      </w:r>
      <w:r w:rsidR="00A420CE" w:rsidRPr="00DB746D">
        <w:t>, complementándolo</w:t>
      </w:r>
      <w:r w:rsidR="0033786C" w:rsidRPr="00DB746D">
        <w:t xml:space="preserve"> con </w:t>
      </w:r>
      <w:r w:rsidR="00645584" w:rsidRPr="00DB746D">
        <w:t xml:space="preserve">las </w:t>
      </w:r>
      <w:r w:rsidR="0033786C" w:rsidRPr="00DB746D">
        <w:t xml:space="preserve">donaciones y </w:t>
      </w:r>
      <w:r w:rsidR="00645584" w:rsidRPr="00DB746D">
        <w:t xml:space="preserve">los </w:t>
      </w:r>
      <w:r w:rsidR="0033786C" w:rsidRPr="00DB746D">
        <w:t xml:space="preserve">patrocinios </w:t>
      </w:r>
      <w:r w:rsidR="00645584" w:rsidRPr="00DB746D">
        <w:t>acordados</w:t>
      </w:r>
      <w:bookmarkEnd w:id="112"/>
      <w:r w:rsidR="00645584" w:rsidRPr="00DB746D">
        <w:t>.</w:t>
      </w:r>
    </w:p>
    <w:p w:rsidR="00865EA8" w:rsidRPr="00DB746D" w:rsidRDefault="00C3395B" w:rsidP="00B90486">
      <w:pPr>
        <w:spacing w:before="720"/>
        <w:rPr>
          <w:rFonts w:asciiTheme="minorHAnsi" w:hAnsiTheme="minorHAnsi" w:cstheme="minorHAnsi"/>
        </w:rPr>
      </w:pPr>
      <w:bookmarkStart w:id="113" w:name="lt_pId196"/>
      <w:r w:rsidRPr="00DB746D">
        <w:rPr>
          <w:rFonts w:asciiTheme="minorHAnsi" w:hAnsiTheme="minorHAnsi" w:cstheme="minorHAnsi"/>
          <w:b/>
          <w:bCs/>
        </w:rPr>
        <w:t>A</w:t>
      </w:r>
      <w:r w:rsidR="00865EA8" w:rsidRPr="00DB746D">
        <w:rPr>
          <w:rFonts w:asciiTheme="minorHAnsi" w:hAnsiTheme="minorHAnsi" w:cstheme="minorHAnsi"/>
          <w:b/>
          <w:bCs/>
        </w:rPr>
        <w:t>nex</w:t>
      </w:r>
      <w:r w:rsidRPr="00DB746D">
        <w:rPr>
          <w:rFonts w:asciiTheme="minorHAnsi" w:hAnsiTheme="minorHAnsi" w:cstheme="minorHAnsi"/>
          <w:b/>
          <w:bCs/>
        </w:rPr>
        <w:t>o</w:t>
      </w:r>
      <w:r w:rsidR="00865EA8" w:rsidRPr="00DB746D">
        <w:rPr>
          <w:rFonts w:asciiTheme="minorHAnsi" w:hAnsiTheme="minorHAnsi" w:cstheme="minorHAnsi"/>
        </w:rPr>
        <w:t>: 1</w:t>
      </w:r>
      <w:bookmarkEnd w:id="113"/>
      <w:r w:rsidR="00865EA8" w:rsidRPr="00DB746D">
        <w:rPr>
          <w:rFonts w:asciiTheme="minorHAnsi" w:hAnsiTheme="minorHAnsi" w:cstheme="minorHAnsi"/>
        </w:rPr>
        <w:br w:type="page"/>
      </w:r>
    </w:p>
    <w:p w:rsidR="00865EA8" w:rsidRPr="00DB746D" w:rsidRDefault="003E3325" w:rsidP="00BD3E02">
      <w:pPr>
        <w:pStyle w:val="AnnexNo"/>
      </w:pPr>
      <w:bookmarkStart w:id="114" w:name="lt_pId197"/>
      <w:r w:rsidRPr="00DB746D">
        <w:lastRenderedPageBreak/>
        <w:t>A</w:t>
      </w:r>
      <w:r w:rsidR="00865EA8" w:rsidRPr="00DB746D">
        <w:t>nex</w:t>
      </w:r>
      <w:bookmarkEnd w:id="114"/>
      <w:r w:rsidRPr="00DB746D">
        <w:t>O</w:t>
      </w:r>
    </w:p>
    <w:p w:rsidR="00865EA8" w:rsidRPr="00DB746D" w:rsidRDefault="003E3325" w:rsidP="00BD15EA">
      <w:pPr>
        <w:pStyle w:val="Annextitle"/>
      </w:pPr>
      <w:r w:rsidRPr="00DB746D">
        <w:t>Detalles de la financiación presupuestaria</w:t>
      </w:r>
    </w:p>
    <w:p w:rsidR="00865EA8" w:rsidRPr="00DB746D" w:rsidRDefault="00865EA8" w:rsidP="006564F4">
      <w:pPr>
        <w:tabs>
          <w:tab w:val="left" w:pos="7088"/>
        </w:tabs>
        <w:spacing w:before="240" w:after="240"/>
        <w:jc w:val="center"/>
        <w:rPr>
          <w:rFonts w:asciiTheme="minorHAnsi" w:hAnsiTheme="minorHAnsi"/>
        </w:rPr>
      </w:pPr>
      <w:bookmarkStart w:id="115" w:name="lt_pId199"/>
      <w:r w:rsidRPr="00DB746D">
        <w:rPr>
          <w:rFonts w:asciiTheme="minorHAnsi" w:hAnsiTheme="minorHAnsi"/>
        </w:rPr>
        <w:t>Revis</w:t>
      </w:r>
      <w:r w:rsidR="0033786C" w:rsidRPr="00DB746D">
        <w:rPr>
          <w:rFonts w:asciiTheme="minorHAnsi" w:hAnsiTheme="minorHAnsi"/>
        </w:rPr>
        <w:t>ado</w:t>
      </w:r>
      <w:r w:rsidR="00645584" w:rsidRPr="00DB746D">
        <w:rPr>
          <w:rFonts w:asciiTheme="minorHAnsi" w:hAnsiTheme="minorHAnsi"/>
        </w:rPr>
        <w:t>s</w:t>
      </w:r>
      <w:r w:rsidR="0033786C" w:rsidRPr="00DB746D">
        <w:rPr>
          <w:rFonts w:asciiTheme="minorHAnsi" w:hAnsiTheme="minorHAnsi"/>
        </w:rPr>
        <w:t xml:space="preserve"> por el GAEM </w:t>
      </w:r>
      <w:r w:rsidRPr="00DB746D">
        <w:rPr>
          <w:rFonts w:asciiTheme="minorHAnsi" w:hAnsiTheme="minorHAnsi"/>
        </w:rPr>
        <w:t>(</w:t>
      </w:r>
      <w:r w:rsidR="0033786C" w:rsidRPr="00DB746D">
        <w:rPr>
          <w:rFonts w:asciiTheme="minorHAnsi" w:hAnsiTheme="minorHAnsi"/>
        </w:rPr>
        <w:t>nuevas cifras en</w:t>
      </w:r>
      <w:r w:rsidRPr="00DB746D">
        <w:rPr>
          <w:rFonts w:asciiTheme="minorHAnsi" w:hAnsiTheme="minorHAnsi"/>
        </w:rPr>
        <w:t xml:space="preserve"> </w:t>
      </w:r>
      <w:r w:rsidR="0033786C" w:rsidRPr="00DB746D">
        <w:rPr>
          <w:rFonts w:asciiTheme="minorHAnsi" w:hAnsiTheme="minorHAnsi"/>
          <w:i/>
          <w:color w:val="FF0000"/>
        </w:rPr>
        <w:t>cursiva</w:t>
      </w:r>
      <w:r w:rsidRPr="00DB746D">
        <w:rPr>
          <w:rFonts w:asciiTheme="minorHAnsi" w:hAnsiTheme="minorHAnsi"/>
        </w:rPr>
        <w:t>)</w:t>
      </w:r>
      <w:bookmarkEnd w:id="115"/>
    </w:p>
    <w:p w:rsidR="00865EA8" w:rsidRPr="00DB746D" w:rsidRDefault="003E3325" w:rsidP="006564F4">
      <w:pPr>
        <w:pStyle w:val="Tabletitle"/>
        <w:rPr>
          <w:highlight w:val="yellow"/>
        </w:rPr>
      </w:pPr>
      <w:r w:rsidRPr="00DB746D">
        <w:t xml:space="preserve">Cuadro: Desglose financiero por categorías CGC, en miles </w:t>
      </w:r>
      <w:r w:rsidR="00204461" w:rsidRPr="00DB746D">
        <w:t xml:space="preserve">de </w:t>
      </w:r>
      <w:r w:rsidRPr="00DB746D">
        <w:t>CHF (abril de 2019)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1423"/>
      </w:tblGrid>
      <w:tr w:rsidR="00865EA8" w:rsidRPr="00DB746D" w:rsidTr="009D2113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Partida</w:t>
            </w:r>
          </w:p>
        </w:tc>
        <w:tc>
          <w:tcPr>
            <w:tcW w:w="1985" w:type="dxa"/>
          </w:tcPr>
          <w:p w:rsidR="00865EA8" w:rsidRPr="00DB746D" w:rsidRDefault="00B939E0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s (</w:t>
            </w:r>
            <w:r w:rsidR="00645584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estimados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23" w:type="dxa"/>
          </w:tcPr>
          <w:p w:rsidR="00865EA8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Financiación</w:t>
            </w:r>
          </w:p>
        </w:tc>
      </w:tr>
      <w:tr w:rsidR="00865EA8" w:rsidRPr="00DB746D" w:rsidTr="009D2113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 xml:space="preserve">Salarios del personal P5, P3, G6 </w:t>
            </w:r>
            <w:r w:rsidR="00645584" w:rsidRPr="00DB746D">
              <w:rPr>
                <w:rFonts w:asciiTheme="minorHAnsi" w:hAnsiTheme="minorHAnsi" w:cstheme="minorHAnsi"/>
                <w:sz w:val="22"/>
                <w:szCs w:val="22"/>
              </w:rPr>
              <w:t xml:space="preserve">financiados con cargo al </w:t>
            </w: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presupuesto de la UIT</w:t>
            </w:r>
          </w:p>
        </w:tc>
        <w:tc>
          <w:tcPr>
            <w:tcW w:w="1985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840</w:t>
            </w:r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840</w:t>
            </w:r>
          </w:p>
        </w:tc>
      </w:tr>
    </w:tbl>
    <w:p w:rsidR="00865EA8" w:rsidRPr="00DB746D" w:rsidRDefault="00865EA8" w:rsidP="006564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1423"/>
      </w:tblGrid>
      <w:tr w:rsidR="00865EA8" w:rsidRPr="00DB746D" w:rsidTr="009D2113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Partidas incluibles en el préstamo del país anfitrión</w:t>
            </w:r>
          </w:p>
        </w:tc>
        <w:tc>
          <w:tcPr>
            <w:tcW w:w="1985" w:type="dxa"/>
          </w:tcPr>
          <w:p w:rsidR="00865EA8" w:rsidRPr="00DB746D" w:rsidRDefault="00865EA8" w:rsidP="00DD58B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5EA8" w:rsidRPr="00DB746D" w:rsidTr="009D2113">
        <w:tc>
          <w:tcPr>
            <w:tcW w:w="5665" w:type="dxa"/>
          </w:tcPr>
          <w:p w:rsidR="00865EA8" w:rsidRPr="00DB746D" w:rsidRDefault="00ED75F8" w:rsidP="00DD58B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6" w:name="lt_pId208"/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CGC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 xml:space="preserve"> 1-4 Construcción </w:t>
            </w:r>
            <w:r w:rsidR="00865EA8" w:rsidRPr="00DB746D">
              <w:rPr>
                <w:rFonts w:asciiTheme="minorHAnsi" w:hAnsiTheme="minorHAnsi" w:cstheme="minorHAnsi"/>
                <w:sz w:val="22"/>
                <w:szCs w:val="22"/>
              </w:rPr>
              <w:t>(+/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65EA8" w:rsidRPr="00DB746D">
              <w:rPr>
                <w:rFonts w:asciiTheme="minorHAnsi" w:hAnsiTheme="minorHAnsi" w:cstheme="minorHAnsi"/>
                <w:sz w:val="22"/>
                <w:szCs w:val="22"/>
              </w:rPr>
              <w:t xml:space="preserve"> 15%)</w:t>
            </w:r>
            <w:bookmarkEnd w:id="116"/>
          </w:p>
        </w:tc>
        <w:tc>
          <w:tcPr>
            <w:tcW w:w="1985" w:type="dxa"/>
          </w:tcPr>
          <w:p w:rsidR="00865EA8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124 </w:t>
            </w:r>
            <w:r w:rsidR="00865EA8" w:rsidRPr="00DB746D">
              <w:rPr>
                <w:rFonts w:asciiTheme="minorHAnsi" w:hAnsiTheme="minorHAnsi" w:cstheme="minorHAnsi"/>
                <w:sz w:val="22"/>
                <w:szCs w:val="22"/>
              </w:rPr>
              <w:t>780</w:t>
            </w:r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EA8" w:rsidRPr="00DB746D" w:rsidTr="009D2113">
        <w:tc>
          <w:tcPr>
            <w:tcW w:w="5665" w:type="dxa"/>
          </w:tcPr>
          <w:p w:rsidR="00865EA8" w:rsidRPr="00DB746D" w:rsidRDefault="0033786C" w:rsidP="00DD58B2">
            <w:pPr>
              <w:spacing w:before="40" w:after="4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117" w:name="lt_pId210"/>
            <w:r w:rsidRPr="00DB746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Imprevistos</w:t>
            </w:r>
            <w:bookmarkEnd w:id="117"/>
          </w:p>
        </w:tc>
        <w:tc>
          <w:tcPr>
            <w:tcW w:w="1985" w:type="dxa"/>
          </w:tcPr>
          <w:p w:rsidR="00865EA8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7 </w:t>
            </w:r>
            <w:r w:rsidR="00865EA8" w:rsidRPr="00DB746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423" w:type="dxa"/>
          </w:tcPr>
          <w:p w:rsidR="00865EA8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7 </w:t>
            </w:r>
            <w:r w:rsidR="00865EA8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000</w:t>
            </w: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</w:pPr>
            <w:r w:rsidRPr="00DB746D">
              <w:t>CGC</w:t>
            </w:r>
            <w:r w:rsidR="003E3325" w:rsidRPr="00DB746D">
              <w:t xml:space="preserve">4 Seguridad adicional </w:t>
            </w:r>
            <w:r w:rsidR="00645584" w:rsidRPr="00DB746D">
              <w:t xml:space="preserve">en cumplimiento de las normas </w:t>
            </w:r>
            <w:r w:rsidR="003E3325" w:rsidRPr="00DB746D">
              <w:t>MOSS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8" w:name="lt_pId214"/>
            <w:r w:rsidRPr="00DB746D">
              <w:rPr>
                <w:rFonts w:asciiTheme="minorHAnsi" w:hAnsiTheme="minorHAnsi" w:cstheme="minorHAnsi"/>
                <w:sz w:val="22"/>
                <w:szCs w:val="22"/>
              </w:rPr>
              <w:t xml:space="preserve">3 000 </w:t>
            </w:r>
            <w:r w:rsidR="009D2113" w:rsidRPr="00DB74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 xml:space="preserve"> 6 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bookmarkEnd w:id="118"/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  <w:rPr>
                <w:szCs w:val="24"/>
              </w:rPr>
            </w:pPr>
            <w:r w:rsidRPr="00DB746D">
              <w:rPr>
                <w:szCs w:val="24"/>
              </w:rPr>
              <w:t>CGC</w:t>
            </w:r>
            <w:r w:rsidR="003E3325" w:rsidRPr="00DB746D">
              <w:rPr>
                <w:szCs w:val="24"/>
              </w:rPr>
              <w:t xml:space="preserve"> 5 Permiso de construcción, tasas y seguros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1 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</w:pPr>
            <w:r w:rsidRPr="00DB746D">
              <w:t>CGC</w:t>
            </w:r>
            <w:r w:rsidR="003E3325" w:rsidRPr="00DB746D">
              <w:t xml:space="preserve"> 5 Concurso proyecto de Sede</w:t>
            </w:r>
          </w:p>
        </w:tc>
        <w:tc>
          <w:tcPr>
            <w:tcW w:w="1985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722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</w:pPr>
            <w:r w:rsidRPr="00DB746D">
              <w:t>CGC</w:t>
            </w:r>
            <w:r w:rsidR="003E3325" w:rsidRPr="00DB746D">
              <w:t xml:space="preserve"> 5 Servicios externos de apoyo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5 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rPr>
          <w:trHeight w:val="231"/>
        </w:trPr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</w:pPr>
            <w:r w:rsidRPr="00DB746D">
              <w:t>CGC</w:t>
            </w:r>
            <w:r w:rsidR="003E3325" w:rsidRPr="00DB746D">
              <w:t xml:space="preserve"> 5 Honorarios CDTK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26 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</w:pPr>
            <w:r w:rsidRPr="00DB746D">
              <w:t>CGC</w:t>
            </w:r>
            <w:r w:rsidR="003E3325" w:rsidRPr="00DB746D">
              <w:t xml:space="preserve"> 5 Honorarios </w:t>
            </w:r>
            <w:r w:rsidR="009D2113" w:rsidRPr="00DB746D">
              <w:t xml:space="preserve">contratista </w:t>
            </w:r>
            <w:r w:rsidR="003E3325" w:rsidRPr="00DB746D">
              <w:t>general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tabs>
                <w:tab w:val="left" w:pos="1335"/>
              </w:tabs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4 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</w:pPr>
            <w:r w:rsidRPr="00DB746D">
              <w:t>CGC</w:t>
            </w:r>
            <w:r w:rsidR="003E3325" w:rsidRPr="00DB746D">
              <w:t xml:space="preserve"> 8 Reubicación del personal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11 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3E3325" w:rsidP="00DD58B2">
            <w:pPr>
              <w:pStyle w:val="Tabletext"/>
              <w:spacing w:before="40" w:after="40"/>
              <w:rPr>
                <w:b/>
                <w:bCs/>
              </w:rPr>
            </w:pPr>
            <w:bookmarkStart w:id="119" w:name="lt_pId155"/>
            <w:r w:rsidRPr="00DB746D">
              <w:rPr>
                <w:b/>
                <w:bCs/>
              </w:rPr>
              <w:t>Total</w:t>
            </w:r>
            <w:bookmarkEnd w:id="119"/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0" w:name="lt_pId228"/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184 </w:t>
            </w:r>
            <w:r w:rsidR="003E3325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082</w:t>
            </w:r>
            <w:r w:rsidR="003E3325" w:rsidRPr="00DB74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187 </w:t>
            </w:r>
            <w:r w:rsidR="003E3325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082</w:t>
            </w:r>
            <w:bookmarkEnd w:id="120"/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3E3325" w:rsidP="00DD58B2">
            <w:pPr>
              <w:pStyle w:val="Tabletext"/>
              <w:spacing w:before="40" w:after="40"/>
              <w:jc w:val="right"/>
              <w:rPr>
                <w:b/>
                <w:bCs/>
              </w:rPr>
            </w:pPr>
            <w:r w:rsidRPr="00DB746D">
              <w:rPr>
                <w:b/>
                <w:bCs/>
              </w:rPr>
              <w:t>Préstamo del país anfitrión</w:t>
            </w:r>
          </w:p>
        </w:tc>
        <w:tc>
          <w:tcPr>
            <w:tcW w:w="1985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140</w:t>
            </w:r>
            <w:r w:rsidR="00471275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 </w:t>
            </w: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000</w:t>
            </w: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3E3325" w:rsidP="00DD58B2">
            <w:pPr>
              <w:pStyle w:val="Tabletext"/>
              <w:spacing w:before="40" w:after="40"/>
              <w:jc w:val="right"/>
              <w:rPr>
                <w:b/>
                <w:bCs/>
              </w:rPr>
            </w:pPr>
            <w:r w:rsidRPr="00DB746D">
              <w:rPr>
                <w:b/>
                <w:bCs/>
              </w:rPr>
              <w:t xml:space="preserve">Partidas incluibles en el préstamo </w:t>
            </w:r>
            <w:r w:rsidR="009D2113" w:rsidRPr="00DB746D">
              <w:rPr>
                <w:b/>
                <w:bCs/>
              </w:rPr>
              <w:br/>
            </w:r>
            <w:r w:rsidRPr="00DB746D">
              <w:rPr>
                <w:b/>
                <w:bCs/>
              </w:rPr>
              <w:t>pendientes de financiación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1" w:name="lt_pId232"/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37 </w:t>
            </w:r>
            <w:r w:rsidR="003E3325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082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40 </w:t>
            </w:r>
            <w:r w:rsidR="003E3325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082</w:t>
            </w:r>
            <w:bookmarkEnd w:id="121"/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EA8" w:rsidRPr="00DB746D" w:rsidRDefault="00865EA8" w:rsidP="006564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1423"/>
      </w:tblGrid>
      <w:tr w:rsidR="00865EA8" w:rsidRPr="00DB746D" w:rsidTr="009D2113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Partidas adicionales no incluibles</w:t>
            </w:r>
          </w:p>
        </w:tc>
        <w:tc>
          <w:tcPr>
            <w:tcW w:w="1985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  <w:rPr>
                <w:szCs w:val="22"/>
              </w:rPr>
            </w:pPr>
            <w:bookmarkStart w:id="122" w:name="lt_pId162"/>
            <w:r w:rsidRPr="00DB746D">
              <w:rPr>
                <w:szCs w:val="22"/>
              </w:rPr>
              <w:t>CGC</w:t>
            </w:r>
            <w:r w:rsidR="003E3325" w:rsidRPr="00DB746D">
              <w:rPr>
                <w:szCs w:val="22"/>
              </w:rPr>
              <w:t xml:space="preserve"> 8 Conferencias y alquiler de salas</w:t>
            </w:r>
            <w:bookmarkEnd w:id="122"/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2 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  <w:rPr>
                <w:szCs w:val="22"/>
              </w:rPr>
            </w:pPr>
            <w:r w:rsidRPr="00DB746D">
              <w:rPr>
                <w:szCs w:val="22"/>
              </w:rPr>
              <w:t>CGC</w:t>
            </w:r>
            <w:r w:rsidR="003E3325" w:rsidRPr="00DB746D">
              <w:rPr>
                <w:szCs w:val="22"/>
              </w:rPr>
              <w:t xml:space="preserve"> 9 Mobiliario</w:t>
            </w:r>
            <w:r w:rsidR="00645584" w:rsidRPr="00DB746D">
              <w:rPr>
                <w:szCs w:val="22"/>
              </w:rPr>
              <w:t xml:space="preserve"> (no fijo)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5 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325" w:rsidRPr="00DB746D" w:rsidTr="009D2113">
        <w:tc>
          <w:tcPr>
            <w:tcW w:w="5665" w:type="dxa"/>
          </w:tcPr>
          <w:p w:rsidR="003E3325" w:rsidRPr="00DB746D" w:rsidRDefault="00ED75F8" w:rsidP="00DD58B2">
            <w:pPr>
              <w:pStyle w:val="Tabletext"/>
              <w:spacing w:before="40" w:after="40"/>
              <w:rPr>
                <w:szCs w:val="22"/>
              </w:rPr>
            </w:pPr>
            <w:r w:rsidRPr="00DB746D">
              <w:rPr>
                <w:szCs w:val="22"/>
              </w:rPr>
              <w:t>CGC</w:t>
            </w:r>
            <w:r w:rsidR="003E3325" w:rsidRPr="00DB746D">
              <w:rPr>
                <w:szCs w:val="22"/>
              </w:rPr>
              <w:t xml:space="preserve"> 9 TIC activas</w:t>
            </w:r>
          </w:p>
        </w:tc>
        <w:tc>
          <w:tcPr>
            <w:tcW w:w="1985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sz w:val="22"/>
                <w:szCs w:val="22"/>
              </w:rPr>
              <w:t>7 </w:t>
            </w:r>
            <w:r w:rsidR="003E3325" w:rsidRPr="00DB746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EA8" w:rsidRPr="00DB746D" w:rsidTr="009D2113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3" w:name="lt_pId168"/>
            <w:r w:rsidRPr="00DB746D">
              <w:rPr>
                <w:b/>
                <w:bCs/>
                <w:sz w:val="22"/>
                <w:szCs w:val="22"/>
              </w:rPr>
              <w:t>Total pendiente de financiación fuera del préstamo antes de las optimizaciones</w:t>
            </w:r>
            <w:bookmarkEnd w:id="123"/>
          </w:p>
        </w:tc>
        <w:tc>
          <w:tcPr>
            <w:tcW w:w="1985" w:type="dxa"/>
          </w:tcPr>
          <w:p w:rsidR="00865EA8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4" w:name="lt_pId241"/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51 </w:t>
            </w:r>
            <w:r w:rsidR="00865EA8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582</w:t>
            </w:r>
            <w:r w:rsidR="00865EA8" w:rsidRPr="00DB74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65EA8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54 </w:t>
            </w:r>
            <w:r w:rsidR="00865EA8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582</w:t>
            </w:r>
            <w:bookmarkEnd w:id="124"/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564F4" w:rsidRPr="00DB746D" w:rsidRDefault="006564F4" w:rsidP="006564F4">
      <w:pPr>
        <w:rPr>
          <w:rFonts w:asciiTheme="minorHAnsi" w:hAnsiTheme="minorHAnsi" w:cstheme="minorHAnsi"/>
          <w:sz w:val="22"/>
          <w:szCs w:val="22"/>
        </w:rPr>
      </w:pPr>
      <w:r w:rsidRPr="00DB746D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1423"/>
      </w:tblGrid>
      <w:tr w:rsidR="00865EA8" w:rsidRPr="00DB746D" w:rsidTr="00893B95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Otra financiación</w:t>
            </w:r>
          </w:p>
        </w:tc>
        <w:tc>
          <w:tcPr>
            <w:tcW w:w="1985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3325" w:rsidRPr="00DB746D" w:rsidTr="00893B95">
        <w:tc>
          <w:tcPr>
            <w:tcW w:w="5665" w:type="dxa"/>
          </w:tcPr>
          <w:p w:rsidR="003E3325" w:rsidRPr="00DB746D" w:rsidRDefault="003E3325" w:rsidP="00DD58B2">
            <w:pPr>
              <w:pStyle w:val="Tabletext"/>
              <w:spacing w:before="40" w:after="40"/>
              <w:rPr>
                <w:szCs w:val="22"/>
              </w:rPr>
            </w:pPr>
            <w:bookmarkStart w:id="125" w:name="lt_pId171"/>
            <w:r w:rsidRPr="00DB746D">
              <w:rPr>
                <w:szCs w:val="22"/>
              </w:rPr>
              <w:t>Donaciones y patrocinios acordados</w:t>
            </w:r>
            <w:bookmarkEnd w:id="125"/>
          </w:p>
        </w:tc>
        <w:tc>
          <w:tcPr>
            <w:tcW w:w="1985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47127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</w:tr>
      <w:tr w:rsidR="003E3325" w:rsidRPr="00DB746D" w:rsidTr="00893B95">
        <w:tc>
          <w:tcPr>
            <w:tcW w:w="5665" w:type="dxa"/>
          </w:tcPr>
          <w:p w:rsidR="003E3325" w:rsidRPr="00DB746D" w:rsidRDefault="003E3325" w:rsidP="00DD58B2">
            <w:pPr>
              <w:pStyle w:val="Tabletext"/>
              <w:spacing w:before="40" w:after="40"/>
              <w:rPr>
                <w:szCs w:val="22"/>
              </w:rPr>
            </w:pPr>
            <w:bookmarkStart w:id="126" w:name="lt_pId173"/>
            <w:r w:rsidRPr="00DB746D">
              <w:rPr>
                <w:szCs w:val="22"/>
              </w:rPr>
              <w:t>Fondo dedicado: superávit presupuestario de 2018</w:t>
            </w:r>
            <w:bookmarkEnd w:id="126"/>
            <w:r w:rsidRPr="00DB746D">
              <w:rPr>
                <w:rStyle w:val="FootnoteReference"/>
              </w:rPr>
              <w:footnoteReference w:id="1"/>
            </w:r>
          </w:p>
        </w:tc>
        <w:tc>
          <w:tcPr>
            <w:tcW w:w="1985" w:type="dxa"/>
          </w:tcPr>
          <w:p w:rsidR="003E3325" w:rsidRPr="00DB746D" w:rsidRDefault="003E332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3E3325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6 </w:t>
            </w:r>
            <w:r w:rsidR="003E3325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</w:tr>
      <w:tr w:rsidR="00865EA8" w:rsidRPr="00DB746D" w:rsidTr="00893B95">
        <w:tc>
          <w:tcPr>
            <w:tcW w:w="5665" w:type="dxa"/>
          </w:tcPr>
          <w:p w:rsidR="00865EA8" w:rsidRPr="00DB746D" w:rsidRDefault="003E3325" w:rsidP="00DD58B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B746D">
              <w:rPr>
                <w:b/>
                <w:bCs/>
                <w:sz w:val="22"/>
                <w:szCs w:val="22"/>
              </w:rPr>
              <w:t xml:space="preserve">Financiación pendiente necesaria: </w:t>
            </w:r>
            <w:r w:rsidR="000424D6" w:rsidRPr="00DB746D">
              <w:rPr>
                <w:b/>
                <w:bCs/>
                <w:sz w:val="22"/>
                <w:szCs w:val="22"/>
              </w:rPr>
              <w:t xml:space="preserve">a partir </w:t>
            </w:r>
            <w:r w:rsidRPr="00DB746D">
              <w:rPr>
                <w:b/>
                <w:bCs/>
                <w:sz w:val="22"/>
                <w:szCs w:val="22"/>
              </w:rPr>
              <w:t xml:space="preserve">de </w:t>
            </w:r>
            <w:r w:rsidR="000424D6" w:rsidRPr="00DB746D">
              <w:rPr>
                <w:b/>
                <w:bCs/>
                <w:sz w:val="22"/>
                <w:szCs w:val="22"/>
              </w:rPr>
              <w:t xml:space="preserve">nuevas </w:t>
            </w:r>
            <w:r w:rsidRPr="00DB746D">
              <w:rPr>
                <w:b/>
                <w:bCs/>
                <w:sz w:val="22"/>
                <w:szCs w:val="22"/>
              </w:rPr>
              <w:t xml:space="preserve">optimizaciones, </w:t>
            </w:r>
            <w:r w:rsidR="000424D6" w:rsidRPr="00DB746D">
              <w:rPr>
                <w:b/>
                <w:bCs/>
                <w:sz w:val="22"/>
                <w:szCs w:val="22"/>
              </w:rPr>
              <w:t xml:space="preserve">nuevas </w:t>
            </w:r>
            <w:r w:rsidRPr="00DB746D">
              <w:rPr>
                <w:b/>
                <w:bCs/>
                <w:sz w:val="22"/>
                <w:szCs w:val="22"/>
              </w:rPr>
              <w:t xml:space="preserve">asignaciones al Fondo </w:t>
            </w:r>
            <w:r w:rsidR="000424D6" w:rsidRPr="00DB746D">
              <w:rPr>
                <w:b/>
                <w:bCs/>
                <w:sz w:val="22"/>
                <w:szCs w:val="22"/>
              </w:rPr>
              <w:t xml:space="preserve">para </w:t>
            </w:r>
            <w:r w:rsidRPr="00DB746D">
              <w:rPr>
                <w:b/>
                <w:bCs/>
                <w:sz w:val="22"/>
                <w:szCs w:val="22"/>
              </w:rPr>
              <w:t>el nuevo edificio procedentes del superávit presupuestario de los años 2019-2025, patrocinios y donaciones</w:t>
            </w:r>
          </w:p>
        </w:tc>
        <w:tc>
          <w:tcPr>
            <w:tcW w:w="1985" w:type="dxa"/>
          </w:tcPr>
          <w:p w:rsidR="00865EA8" w:rsidRPr="00DB746D" w:rsidRDefault="00471275" w:rsidP="00DD58B2">
            <w:pPr>
              <w:spacing w:before="4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7" w:name="lt_pId248"/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30 </w:t>
            </w:r>
            <w:r w:rsidR="00865EA8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442</w:t>
            </w:r>
            <w:r w:rsidR="00865EA8" w:rsidRPr="00DB746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65EA8" w:rsidRPr="00DB74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33 </w:t>
            </w:r>
            <w:r w:rsidR="00865EA8" w:rsidRPr="00DB746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442</w:t>
            </w:r>
            <w:bookmarkEnd w:id="127"/>
          </w:p>
        </w:tc>
        <w:tc>
          <w:tcPr>
            <w:tcW w:w="1423" w:type="dxa"/>
          </w:tcPr>
          <w:p w:rsidR="00865EA8" w:rsidRPr="00DB746D" w:rsidRDefault="00865EA8" w:rsidP="00DD58B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564F4" w:rsidRPr="00DB746D" w:rsidRDefault="006564F4" w:rsidP="0032202E">
      <w:pPr>
        <w:pStyle w:val="Reasons"/>
      </w:pPr>
    </w:p>
    <w:p w:rsidR="006564F4" w:rsidRPr="00DB746D" w:rsidRDefault="006564F4">
      <w:pPr>
        <w:jc w:val="center"/>
      </w:pPr>
      <w:r w:rsidRPr="00DB746D">
        <w:t>______________</w:t>
      </w:r>
    </w:p>
    <w:sectPr w:rsidR="006564F4" w:rsidRPr="00DB746D" w:rsidSect="006710F6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82" w:rsidRDefault="00FF4082">
      <w:r>
        <w:separator/>
      </w:r>
    </w:p>
  </w:endnote>
  <w:endnote w:type="continuationSeparator" w:id="0">
    <w:p w:rsidR="00FF4082" w:rsidRDefault="00F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26" w:rsidRPr="00441D06" w:rsidRDefault="00494426" w:rsidP="00494426">
    <w:pPr>
      <w:pStyle w:val="Footer"/>
      <w:rPr>
        <w:lang w:val="fr-FR"/>
      </w:rPr>
    </w:pPr>
    <w:r>
      <w:rPr>
        <w:lang w:val="en-US"/>
      </w:rPr>
      <w:fldChar w:fldCharType="begin"/>
    </w:r>
    <w:r w:rsidRPr="00441D06">
      <w:rPr>
        <w:lang w:val="fr-FR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fr-FR"/>
      </w:rPr>
      <w:t>P:\ESP\SG\CONSEIL\C19\000\048S.docx</w:t>
    </w:r>
    <w:r>
      <w:rPr>
        <w:lang w:val="en-US"/>
      </w:rPr>
      <w:fldChar w:fldCharType="end"/>
    </w:r>
    <w:r w:rsidRPr="00441D06">
      <w:rPr>
        <w:lang w:val="fr-FR"/>
      </w:rPr>
      <w:t xml:space="preserve"> (450272)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4B" w:rsidRDefault="00645F4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82" w:rsidRDefault="00FF4082">
      <w:r>
        <w:t>____________________</w:t>
      </w:r>
    </w:p>
  </w:footnote>
  <w:footnote w:type="continuationSeparator" w:id="0">
    <w:p w:rsidR="00FF4082" w:rsidRDefault="00FF4082">
      <w:r>
        <w:continuationSeparator/>
      </w:r>
    </w:p>
  </w:footnote>
  <w:footnote w:id="1">
    <w:p w:rsidR="00645F4B" w:rsidRPr="00A31B9F" w:rsidRDefault="00645F4B" w:rsidP="003128E3">
      <w:pPr>
        <w:pStyle w:val="FootnoteText"/>
        <w:rPr>
          <w:rFonts w:asciiTheme="minorHAnsi" w:hAnsiTheme="minorHAnsi" w:cstheme="minorHAnsi"/>
          <w:sz w:val="22"/>
          <w:szCs w:val="22"/>
          <w:lang w:val="es-ES"/>
        </w:rPr>
      </w:pPr>
      <w:r w:rsidRPr="009D2113">
        <w:rPr>
          <w:rStyle w:val="FootnoteReference"/>
        </w:rPr>
        <w:footnoteRef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2113">
        <w:t>Previa aprobación del Consejo en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4B" w:rsidRDefault="00645F4B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DB746D">
      <w:rPr>
        <w:noProof/>
      </w:rPr>
      <w:t>4</w:t>
    </w:r>
    <w:r>
      <w:rPr>
        <w:noProof/>
      </w:rPr>
      <w:fldChar w:fldCharType="end"/>
    </w:r>
  </w:p>
  <w:p w:rsidR="00645F4B" w:rsidRDefault="00645F4B" w:rsidP="00216BA3">
    <w:pPr>
      <w:pStyle w:val="Header"/>
    </w:pPr>
    <w:r>
      <w:t>C19/48-S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C5"/>
    <w:rsid w:val="00004C81"/>
    <w:rsid w:val="000059FF"/>
    <w:rsid w:val="00021979"/>
    <w:rsid w:val="000424D6"/>
    <w:rsid w:val="00043BE7"/>
    <w:rsid w:val="00051398"/>
    <w:rsid w:val="00063DBB"/>
    <w:rsid w:val="00074E93"/>
    <w:rsid w:val="00093EEB"/>
    <w:rsid w:val="000B0D00"/>
    <w:rsid w:val="000B7C15"/>
    <w:rsid w:val="000D1D0F"/>
    <w:rsid w:val="000F5290"/>
    <w:rsid w:val="0010165C"/>
    <w:rsid w:val="001261A9"/>
    <w:rsid w:val="00126A20"/>
    <w:rsid w:val="0012765F"/>
    <w:rsid w:val="001321A1"/>
    <w:rsid w:val="00146BFB"/>
    <w:rsid w:val="00167266"/>
    <w:rsid w:val="001767E4"/>
    <w:rsid w:val="00196795"/>
    <w:rsid w:val="001A5028"/>
    <w:rsid w:val="001A7897"/>
    <w:rsid w:val="001C402D"/>
    <w:rsid w:val="001D34C0"/>
    <w:rsid w:val="001F14A2"/>
    <w:rsid w:val="001F44F5"/>
    <w:rsid w:val="001F5384"/>
    <w:rsid w:val="00202D13"/>
    <w:rsid w:val="00204461"/>
    <w:rsid w:val="00212187"/>
    <w:rsid w:val="00216BA3"/>
    <w:rsid w:val="00232826"/>
    <w:rsid w:val="002472E6"/>
    <w:rsid w:val="00264343"/>
    <w:rsid w:val="002801AA"/>
    <w:rsid w:val="002A0B96"/>
    <w:rsid w:val="002A67F3"/>
    <w:rsid w:val="002C4676"/>
    <w:rsid w:val="002C70B0"/>
    <w:rsid w:val="002D42DB"/>
    <w:rsid w:val="002F3CC4"/>
    <w:rsid w:val="003128E3"/>
    <w:rsid w:val="0032606B"/>
    <w:rsid w:val="0033786C"/>
    <w:rsid w:val="00353704"/>
    <w:rsid w:val="00355C4C"/>
    <w:rsid w:val="003630A9"/>
    <w:rsid w:val="0037372F"/>
    <w:rsid w:val="0038297A"/>
    <w:rsid w:val="00383675"/>
    <w:rsid w:val="003A7B23"/>
    <w:rsid w:val="003C3B06"/>
    <w:rsid w:val="003E24AC"/>
    <w:rsid w:val="003E3325"/>
    <w:rsid w:val="003E4729"/>
    <w:rsid w:val="003F5525"/>
    <w:rsid w:val="0040584A"/>
    <w:rsid w:val="0041341E"/>
    <w:rsid w:val="00417683"/>
    <w:rsid w:val="00425D85"/>
    <w:rsid w:val="00426C11"/>
    <w:rsid w:val="00441D06"/>
    <w:rsid w:val="00445B55"/>
    <w:rsid w:val="00471275"/>
    <w:rsid w:val="00487258"/>
    <w:rsid w:val="00494426"/>
    <w:rsid w:val="004954CF"/>
    <w:rsid w:val="00496291"/>
    <w:rsid w:val="00497523"/>
    <w:rsid w:val="00497F90"/>
    <w:rsid w:val="004A4898"/>
    <w:rsid w:val="004A7CA3"/>
    <w:rsid w:val="004B0290"/>
    <w:rsid w:val="00513630"/>
    <w:rsid w:val="005140E6"/>
    <w:rsid w:val="00560125"/>
    <w:rsid w:val="0057692E"/>
    <w:rsid w:val="00585553"/>
    <w:rsid w:val="0059393F"/>
    <w:rsid w:val="005B34D9"/>
    <w:rsid w:val="005C0CC3"/>
    <w:rsid w:val="005C3E8A"/>
    <w:rsid w:val="005D0CCF"/>
    <w:rsid w:val="005E58B2"/>
    <w:rsid w:val="005F3BCB"/>
    <w:rsid w:val="005F410F"/>
    <w:rsid w:val="005F6672"/>
    <w:rsid w:val="0060149A"/>
    <w:rsid w:val="00601924"/>
    <w:rsid w:val="00604390"/>
    <w:rsid w:val="00605083"/>
    <w:rsid w:val="006159C5"/>
    <w:rsid w:val="006447EA"/>
    <w:rsid w:val="00645584"/>
    <w:rsid w:val="00645F4B"/>
    <w:rsid w:val="0064731F"/>
    <w:rsid w:val="006564F4"/>
    <w:rsid w:val="0066193D"/>
    <w:rsid w:val="00670DC9"/>
    <w:rsid w:val="006710F6"/>
    <w:rsid w:val="00683740"/>
    <w:rsid w:val="006C1B56"/>
    <w:rsid w:val="006C4F6E"/>
    <w:rsid w:val="006D4761"/>
    <w:rsid w:val="006E421E"/>
    <w:rsid w:val="006F2691"/>
    <w:rsid w:val="00700557"/>
    <w:rsid w:val="00723073"/>
    <w:rsid w:val="00726872"/>
    <w:rsid w:val="00760F1C"/>
    <w:rsid w:val="007657F0"/>
    <w:rsid w:val="0077149E"/>
    <w:rsid w:val="0077252D"/>
    <w:rsid w:val="007834DF"/>
    <w:rsid w:val="0079268D"/>
    <w:rsid w:val="007A11A7"/>
    <w:rsid w:val="007A739F"/>
    <w:rsid w:val="007E5DD3"/>
    <w:rsid w:val="007F350B"/>
    <w:rsid w:val="00806460"/>
    <w:rsid w:val="00820BE4"/>
    <w:rsid w:val="00823C27"/>
    <w:rsid w:val="00826745"/>
    <w:rsid w:val="008451E8"/>
    <w:rsid w:val="00865EA8"/>
    <w:rsid w:val="00893B95"/>
    <w:rsid w:val="00895C3B"/>
    <w:rsid w:val="00897DFF"/>
    <w:rsid w:val="008C27BB"/>
    <w:rsid w:val="008C40A2"/>
    <w:rsid w:val="008E3296"/>
    <w:rsid w:val="00901920"/>
    <w:rsid w:val="00913B9C"/>
    <w:rsid w:val="009150C1"/>
    <w:rsid w:val="00925268"/>
    <w:rsid w:val="00933806"/>
    <w:rsid w:val="00951BA5"/>
    <w:rsid w:val="00956E77"/>
    <w:rsid w:val="00957057"/>
    <w:rsid w:val="00970200"/>
    <w:rsid w:val="00980B63"/>
    <w:rsid w:val="009D2113"/>
    <w:rsid w:val="009F4811"/>
    <w:rsid w:val="00A34496"/>
    <w:rsid w:val="00A420CE"/>
    <w:rsid w:val="00A46082"/>
    <w:rsid w:val="00A476D4"/>
    <w:rsid w:val="00A70252"/>
    <w:rsid w:val="00AA390C"/>
    <w:rsid w:val="00AB166F"/>
    <w:rsid w:val="00AD6D74"/>
    <w:rsid w:val="00B0200A"/>
    <w:rsid w:val="00B0768D"/>
    <w:rsid w:val="00B1369A"/>
    <w:rsid w:val="00B16281"/>
    <w:rsid w:val="00B574DB"/>
    <w:rsid w:val="00B826C2"/>
    <w:rsid w:val="00B8298E"/>
    <w:rsid w:val="00B90486"/>
    <w:rsid w:val="00B939E0"/>
    <w:rsid w:val="00BC3BD6"/>
    <w:rsid w:val="00BC4B3D"/>
    <w:rsid w:val="00BD0723"/>
    <w:rsid w:val="00BD15EA"/>
    <w:rsid w:val="00BD2518"/>
    <w:rsid w:val="00BD3E02"/>
    <w:rsid w:val="00BD5E64"/>
    <w:rsid w:val="00BE29B7"/>
    <w:rsid w:val="00BF1D1C"/>
    <w:rsid w:val="00BF3FF6"/>
    <w:rsid w:val="00C20C59"/>
    <w:rsid w:val="00C2727F"/>
    <w:rsid w:val="00C3395B"/>
    <w:rsid w:val="00C55B1F"/>
    <w:rsid w:val="00C61B7C"/>
    <w:rsid w:val="00C64905"/>
    <w:rsid w:val="00C741BB"/>
    <w:rsid w:val="00C86358"/>
    <w:rsid w:val="00C9028E"/>
    <w:rsid w:val="00CA237B"/>
    <w:rsid w:val="00CC0DF8"/>
    <w:rsid w:val="00CF1A67"/>
    <w:rsid w:val="00CF2C09"/>
    <w:rsid w:val="00D2750E"/>
    <w:rsid w:val="00D50B5E"/>
    <w:rsid w:val="00D50E62"/>
    <w:rsid w:val="00D62446"/>
    <w:rsid w:val="00D71D57"/>
    <w:rsid w:val="00DA4DBA"/>
    <w:rsid w:val="00DA4EA2"/>
    <w:rsid w:val="00DB746D"/>
    <w:rsid w:val="00DC1ABA"/>
    <w:rsid w:val="00DC3D3E"/>
    <w:rsid w:val="00DD5205"/>
    <w:rsid w:val="00DD58B2"/>
    <w:rsid w:val="00DE2C90"/>
    <w:rsid w:val="00DE3B24"/>
    <w:rsid w:val="00DE504B"/>
    <w:rsid w:val="00E06947"/>
    <w:rsid w:val="00E108CB"/>
    <w:rsid w:val="00E11213"/>
    <w:rsid w:val="00E3592D"/>
    <w:rsid w:val="00E41B16"/>
    <w:rsid w:val="00E5411E"/>
    <w:rsid w:val="00E8342C"/>
    <w:rsid w:val="00E85120"/>
    <w:rsid w:val="00E92DE8"/>
    <w:rsid w:val="00EA3B1E"/>
    <w:rsid w:val="00EB1212"/>
    <w:rsid w:val="00EB45AA"/>
    <w:rsid w:val="00EC3CB0"/>
    <w:rsid w:val="00ED4C14"/>
    <w:rsid w:val="00ED65AB"/>
    <w:rsid w:val="00ED733A"/>
    <w:rsid w:val="00ED75F8"/>
    <w:rsid w:val="00F12850"/>
    <w:rsid w:val="00F33BF4"/>
    <w:rsid w:val="00F54679"/>
    <w:rsid w:val="00F56B84"/>
    <w:rsid w:val="00F56D75"/>
    <w:rsid w:val="00F7105E"/>
    <w:rsid w:val="00F74693"/>
    <w:rsid w:val="00F75F57"/>
    <w:rsid w:val="00F82FEE"/>
    <w:rsid w:val="00FB449C"/>
    <w:rsid w:val="00FD0EC7"/>
    <w:rsid w:val="00FD57D3"/>
    <w:rsid w:val="00FE0190"/>
    <w:rsid w:val="00FE4013"/>
    <w:rsid w:val="00FF11BD"/>
    <w:rsid w:val="00FF3A34"/>
    <w:rsid w:val="00FF4082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690E2DC-2AA8-42C6-B2BA-B59FF13F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customStyle="1" w:styleId="TableNormal1">
    <w:name w:val="Table Normal1"/>
    <w:uiPriority w:val="2"/>
    <w:semiHidden/>
    <w:unhideWhenUsed/>
    <w:qFormat/>
    <w:rsid w:val="00865EA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5EA8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65E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locked/>
    <w:rsid w:val="00865EA8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865EA8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48/es" TargetMode="External"/><Relationship Id="rId13" Type="http://schemas.openxmlformats.org/officeDocument/2006/relationships/hyperlink" Target="https://www.itu.int/md/S18-CL-C-0123/e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tu.int/en/council/Documents/basic-texts/RES-212-S.pdf" TargetMode="External"/><Relationship Id="rId12" Type="http://schemas.openxmlformats.org/officeDocument/2006/relationships/hyperlink" Target="https://www.itu.int/md/S19-CL-C-0007/es" TargetMode="External"/><Relationship Id="rId17" Type="http://schemas.openxmlformats.org/officeDocument/2006/relationships/hyperlink" Target="https://www.itu.int/md/S18-CL-C-0123/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tu.int/md/S19-CL-C-0007/e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Excel_Worksheet1.xlsx"/><Relationship Id="rId5" Type="http://schemas.openxmlformats.org/officeDocument/2006/relationships/endnotes" Target="endnotes.xml"/><Relationship Id="rId15" Type="http://schemas.openxmlformats.org/officeDocument/2006/relationships/hyperlink" Target="https://www.itu.int/md/S14-PP-C-0057/es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tu.int/en/hq-building/Pages/default.aspx" TargetMode="External"/><Relationship Id="rId14" Type="http://schemas.openxmlformats.org/officeDocument/2006/relationships/hyperlink" Target="https://www.itu.int/md/S19-CL-C-0007/e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130</TotalTime>
  <Pages>8</Pages>
  <Words>2717</Words>
  <Characters>14284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16968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67</cp:revision>
  <cp:lastPrinted>2019-05-31T09:43:00Z</cp:lastPrinted>
  <dcterms:created xsi:type="dcterms:W3CDTF">2019-06-03T07:09:00Z</dcterms:created>
  <dcterms:modified xsi:type="dcterms:W3CDTF">2019-06-03T09:21:00Z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