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73489">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73489">
              <w:rPr>
                <w:b/>
              </w:rPr>
              <w:t>ADM</w:t>
            </w:r>
            <w:r w:rsidR="00B40A53">
              <w:rPr>
                <w:b/>
              </w:rPr>
              <w:t xml:space="preserve"> 4</w:t>
            </w:r>
          </w:p>
        </w:tc>
        <w:tc>
          <w:tcPr>
            <w:tcW w:w="3120" w:type="dxa"/>
          </w:tcPr>
          <w:p w:rsidR="00700D1F" w:rsidRPr="00700D1F" w:rsidRDefault="00700D1F" w:rsidP="0037348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373489">
              <w:rPr>
                <w:b/>
                <w:bCs/>
                <w:szCs w:val="24"/>
                <w:lang w:eastAsia="zh-CN"/>
              </w:rPr>
              <w:t>50</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73489">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373489">
              <w:rPr>
                <w:rFonts w:asciiTheme="minorHAnsi" w:hAnsiTheme="minorHAnsi" w:cstheme="minorHAnsi"/>
                <w:b/>
                <w:bCs/>
                <w:szCs w:val="24"/>
                <w:lang w:eastAsia="zh-CN"/>
              </w:rPr>
              <w:t>3</w:t>
            </w:r>
            <w:r w:rsidRPr="00FC5386">
              <w:rPr>
                <w:rFonts w:hint="eastAsia"/>
                <w:b/>
                <w:bCs/>
                <w:szCs w:val="24"/>
                <w:lang w:eastAsia="zh-CN"/>
              </w:rPr>
              <w:t>月</w:t>
            </w:r>
            <w:r w:rsidR="00373489">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73489" w:rsidP="00001B77">
            <w:pPr>
              <w:pStyle w:val="Source"/>
              <w:rPr>
                <w:lang w:eastAsia="zh-CN"/>
              </w:rPr>
            </w:pPr>
            <w:r>
              <w:rPr>
                <w:rFonts w:hint="eastAsia"/>
                <w:bCs/>
                <w:lang w:eastAsia="zh-CN"/>
              </w:rPr>
              <w:t>理事会财务和人力资源工作组（</w:t>
            </w:r>
            <w:r>
              <w:rPr>
                <w:bCs/>
                <w:lang w:eastAsia="zh-CN"/>
              </w:rPr>
              <w:t>CWG-FHR</w:t>
            </w:r>
            <w:r>
              <w:rPr>
                <w:rFonts w:hint="eastAsia"/>
                <w:bCs/>
                <w:lang w:eastAsia="zh-CN"/>
              </w:rPr>
              <w:t>）</w:t>
            </w:r>
            <w:r>
              <w:rPr>
                <w:rFonts w:hint="eastAsia"/>
                <w:lang w:eastAsia="zh-CN"/>
              </w:rPr>
              <w:t>主席</w:t>
            </w:r>
            <w:r>
              <w:rPr>
                <w:rFonts w:hint="eastAsia"/>
                <w:bCs/>
                <w:lang w:eastAsia="zh-CN"/>
              </w:rPr>
              <w:t>报告</w:t>
            </w:r>
          </w:p>
        </w:tc>
      </w:tr>
      <w:tr w:rsidR="0093362E">
        <w:trPr>
          <w:cantSplit/>
        </w:trPr>
        <w:tc>
          <w:tcPr>
            <w:tcW w:w="10031" w:type="dxa"/>
          </w:tcPr>
          <w:p w:rsidR="0093362E" w:rsidRDefault="0093362E" w:rsidP="00001B77">
            <w:pPr>
              <w:pStyle w:val="Title1"/>
              <w:rPr>
                <w:bCs/>
                <w:lang w:eastAsia="zh-CN"/>
              </w:rPr>
            </w:pPr>
          </w:p>
        </w:tc>
      </w:tr>
    </w:tbl>
    <w:p w:rsidR="00B40A53" w:rsidRPr="00513A81"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626856" w:rsidRDefault="00B40A53" w:rsidP="003C2E37">
            <w:pPr>
              <w:pStyle w:val="Headingb"/>
              <w:rPr>
                <w:szCs w:val="24"/>
                <w:lang w:val="fr-FR" w:eastAsia="zh-CN"/>
              </w:rPr>
            </w:pPr>
            <w:r w:rsidRPr="00626856">
              <w:rPr>
                <w:rFonts w:hint="eastAsia"/>
                <w:szCs w:val="24"/>
                <w:lang w:val="fr-FR" w:eastAsia="zh-CN"/>
              </w:rPr>
              <w:t>概</w:t>
            </w:r>
            <w:r w:rsidRPr="00626856">
              <w:rPr>
                <w:rFonts w:hint="eastAsia"/>
                <w:szCs w:val="24"/>
                <w:lang w:eastAsia="zh-CN"/>
              </w:rPr>
              <w:t>要</w:t>
            </w:r>
          </w:p>
          <w:p w:rsidR="00373489" w:rsidRPr="00626856" w:rsidRDefault="00373489" w:rsidP="00513A81">
            <w:pPr>
              <w:ind w:firstLineChars="200" w:firstLine="480"/>
              <w:rPr>
                <w:szCs w:val="24"/>
                <w:lang w:val="fr-FR" w:eastAsia="zh-CN"/>
              </w:rPr>
            </w:pPr>
            <w:r w:rsidRPr="00626856">
              <w:rPr>
                <w:rFonts w:hint="eastAsia"/>
                <w:szCs w:val="24"/>
                <w:lang w:val="fr-FR" w:eastAsia="zh-CN"/>
              </w:rPr>
              <w:t>本文件为理事会财务和人力资源工作组（</w:t>
            </w:r>
            <w:r w:rsidRPr="00626856">
              <w:rPr>
                <w:szCs w:val="24"/>
                <w:lang w:val="fr-FR" w:eastAsia="zh-CN"/>
              </w:rPr>
              <w:t>CWG-FHR</w:t>
            </w:r>
            <w:r w:rsidRPr="00626856">
              <w:rPr>
                <w:rFonts w:hint="eastAsia"/>
                <w:szCs w:val="24"/>
                <w:lang w:val="fr-FR" w:eastAsia="zh-CN"/>
              </w:rPr>
              <w:t>）</w:t>
            </w:r>
            <w:r w:rsidRPr="00626856">
              <w:rPr>
                <w:szCs w:val="24"/>
                <w:lang w:val="fr-FR" w:eastAsia="zh-CN"/>
              </w:rPr>
              <w:t>201</w:t>
            </w:r>
            <w:r w:rsidR="00513A81" w:rsidRPr="00626856">
              <w:rPr>
                <w:szCs w:val="24"/>
                <w:lang w:val="fr-FR" w:eastAsia="zh-CN"/>
              </w:rPr>
              <w:t>9</w:t>
            </w:r>
            <w:r w:rsidRPr="00626856">
              <w:rPr>
                <w:rFonts w:hint="eastAsia"/>
                <w:szCs w:val="24"/>
                <w:lang w:val="fr-FR" w:eastAsia="zh-CN"/>
              </w:rPr>
              <w:t>年</w:t>
            </w:r>
            <w:r w:rsidRPr="00626856">
              <w:rPr>
                <w:szCs w:val="24"/>
                <w:lang w:val="fr-FR" w:eastAsia="zh-CN"/>
              </w:rPr>
              <w:t>1</w:t>
            </w:r>
            <w:r w:rsidRPr="00626856">
              <w:rPr>
                <w:rFonts w:hint="eastAsia"/>
                <w:szCs w:val="24"/>
                <w:lang w:val="fr-FR" w:eastAsia="zh-CN"/>
              </w:rPr>
              <w:t>月</w:t>
            </w:r>
            <w:r w:rsidRPr="00626856">
              <w:rPr>
                <w:rFonts w:hint="eastAsia"/>
                <w:szCs w:val="24"/>
                <w:lang w:val="fr-FR" w:eastAsia="zh-CN"/>
              </w:rPr>
              <w:t>2</w:t>
            </w:r>
            <w:r w:rsidR="00513A81" w:rsidRPr="00626856">
              <w:rPr>
                <w:szCs w:val="24"/>
                <w:lang w:val="fr-FR" w:eastAsia="zh-CN"/>
              </w:rPr>
              <w:t>9</w:t>
            </w:r>
            <w:r w:rsidRPr="00626856">
              <w:rPr>
                <w:rFonts w:hint="eastAsia"/>
                <w:szCs w:val="24"/>
                <w:lang w:val="fr-FR" w:eastAsia="zh-CN"/>
              </w:rPr>
              <w:t>至</w:t>
            </w:r>
            <w:r w:rsidR="00513A81" w:rsidRPr="00626856">
              <w:rPr>
                <w:szCs w:val="24"/>
                <w:lang w:val="fr-FR" w:eastAsia="zh-CN"/>
              </w:rPr>
              <w:t>30</w:t>
            </w:r>
            <w:r w:rsidRPr="00626856">
              <w:rPr>
                <w:rFonts w:hint="eastAsia"/>
                <w:szCs w:val="24"/>
                <w:lang w:val="fr-FR" w:eastAsia="zh-CN"/>
              </w:rPr>
              <w:t>日会议讨论情况的报告。</w:t>
            </w:r>
          </w:p>
          <w:p w:rsidR="00B40A53" w:rsidRPr="00626856" w:rsidRDefault="00B40A53" w:rsidP="003C2E37">
            <w:pPr>
              <w:pStyle w:val="Headingb"/>
              <w:rPr>
                <w:szCs w:val="24"/>
                <w:lang w:eastAsia="zh-CN"/>
              </w:rPr>
            </w:pPr>
            <w:r w:rsidRPr="00626856">
              <w:rPr>
                <w:rFonts w:hint="eastAsia"/>
                <w:szCs w:val="24"/>
                <w:lang w:eastAsia="zh-CN"/>
              </w:rPr>
              <w:t>需采取的行动</w:t>
            </w:r>
          </w:p>
          <w:p w:rsidR="00373489" w:rsidRPr="00626856" w:rsidRDefault="00373489" w:rsidP="00373489">
            <w:pPr>
              <w:pStyle w:val="BodyTextIndent3"/>
              <w:spacing w:before="120"/>
              <w:ind w:firstLineChars="200" w:firstLine="480"/>
              <w:textAlignment w:val="baseline"/>
              <w:rPr>
                <w:sz w:val="24"/>
                <w:szCs w:val="24"/>
              </w:rPr>
            </w:pPr>
            <w:r w:rsidRPr="00626856">
              <w:rPr>
                <w:rFonts w:hint="eastAsia"/>
                <w:sz w:val="24"/>
                <w:szCs w:val="24"/>
              </w:rPr>
              <w:t>请理事会将</w:t>
            </w:r>
            <w:r w:rsidRPr="00626856">
              <w:rPr>
                <w:sz w:val="24"/>
                <w:szCs w:val="24"/>
              </w:rPr>
              <w:t>CWG-FHR</w:t>
            </w:r>
            <w:r w:rsidRPr="00626856">
              <w:rPr>
                <w:rFonts w:hint="eastAsia"/>
                <w:sz w:val="24"/>
                <w:szCs w:val="24"/>
              </w:rPr>
              <w:t>的工作</w:t>
            </w:r>
            <w:r w:rsidRPr="00626856">
              <w:rPr>
                <w:rFonts w:hint="eastAsia"/>
                <w:b/>
                <w:bCs/>
                <w:sz w:val="24"/>
                <w:szCs w:val="24"/>
              </w:rPr>
              <w:t>记录在案</w:t>
            </w:r>
            <w:r w:rsidRPr="00626856">
              <w:rPr>
                <w:rFonts w:hint="eastAsia"/>
                <w:sz w:val="24"/>
                <w:szCs w:val="24"/>
              </w:rPr>
              <w:t>，同时亦</w:t>
            </w:r>
            <w:r w:rsidRPr="00626856">
              <w:rPr>
                <w:rFonts w:hint="eastAsia"/>
                <w:b/>
                <w:bCs/>
                <w:sz w:val="24"/>
                <w:szCs w:val="24"/>
              </w:rPr>
              <w:t>审议</w:t>
            </w:r>
            <w:r w:rsidRPr="00626856">
              <w:rPr>
                <w:rFonts w:hint="eastAsia"/>
                <w:sz w:val="24"/>
                <w:szCs w:val="24"/>
              </w:rPr>
              <w:t>报告中确定的行动并酌情</w:t>
            </w:r>
            <w:r w:rsidRPr="00626856">
              <w:rPr>
                <w:rFonts w:hint="eastAsia"/>
                <w:b/>
                <w:bCs/>
                <w:sz w:val="24"/>
                <w:szCs w:val="24"/>
              </w:rPr>
              <w:t>发表意见</w:t>
            </w:r>
            <w:r w:rsidRPr="00626856">
              <w:rPr>
                <w:rFonts w:hint="eastAsia"/>
                <w:sz w:val="24"/>
                <w:szCs w:val="24"/>
              </w:rPr>
              <w:t>。</w:t>
            </w:r>
          </w:p>
          <w:p w:rsidR="00B40A53" w:rsidRPr="00626856" w:rsidRDefault="00B40A53">
            <w:pPr>
              <w:jc w:val="center"/>
              <w:rPr>
                <w:szCs w:val="24"/>
                <w:lang w:eastAsia="zh-CN"/>
              </w:rPr>
            </w:pPr>
            <w:r w:rsidRPr="00626856">
              <w:rPr>
                <w:szCs w:val="24"/>
                <w:lang w:eastAsia="zh-CN"/>
              </w:rPr>
              <w:t>______________</w:t>
            </w:r>
          </w:p>
          <w:p w:rsidR="009164A9" w:rsidRPr="00626856" w:rsidRDefault="009164A9" w:rsidP="003C2E37">
            <w:pPr>
              <w:pStyle w:val="Headingb"/>
              <w:rPr>
                <w:szCs w:val="24"/>
                <w:lang w:val="fr-FR" w:eastAsia="zh-CN"/>
              </w:rPr>
            </w:pPr>
            <w:r w:rsidRPr="00626856">
              <w:rPr>
                <w:rFonts w:hint="eastAsia"/>
                <w:szCs w:val="24"/>
                <w:lang w:eastAsia="zh-CN"/>
              </w:rPr>
              <w:t>参考文件</w:t>
            </w:r>
          </w:p>
          <w:p w:rsidR="00B40A53" w:rsidRPr="00373489" w:rsidRDefault="00A349B5" w:rsidP="0037348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imes New Roman" w:eastAsia="STKaiti" w:hAnsi="Times New Roman"/>
                <w:iCs/>
                <w:caps/>
                <w:sz w:val="24"/>
                <w:szCs w:val="22"/>
                <w:lang w:val="fr-FR" w:eastAsia="zh-CN"/>
              </w:rPr>
            </w:pPr>
            <w:hyperlink r:id="rId9" w:history="1">
              <w:r w:rsidR="00373489" w:rsidRPr="00626856">
                <w:rPr>
                  <w:rFonts w:ascii="Times New Roman" w:eastAsia="STKaiti" w:hAnsi="Times New Roman"/>
                  <w:iCs/>
                  <w:color w:val="0000FF"/>
                  <w:sz w:val="24"/>
                  <w:szCs w:val="24"/>
                  <w:u w:val="single"/>
                  <w:lang w:eastAsia="zh-CN"/>
                </w:rPr>
                <w:t>C18/50</w:t>
              </w:r>
            </w:hyperlink>
            <w:r w:rsidR="00373489" w:rsidRPr="00626856">
              <w:rPr>
                <w:rFonts w:ascii="Times New Roman" w:eastAsia="STKaiti" w:hAnsi="Times New Roman"/>
                <w:iCs/>
                <w:sz w:val="24"/>
                <w:szCs w:val="24"/>
                <w:lang w:val="en-US" w:eastAsia="zh-CN"/>
              </w:rPr>
              <w:t>号文件和</w:t>
            </w:r>
            <w:hyperlink r:id="rId10" w:history="1">
              <w:r w:rsidR="00373489" w:rsidRPr="00626856">
                <w:rPr>
                  <w:rFonts w:ascii="Times New Roman" w:eastAsia="STKaiti" w:hAnsi="Times New Roman"/>
                  <w:iCs/>
                  <w:color w:val="0000FF"/>
                  <w:sz w:val="24"/>
                  <w:szCs w:val="24"/>
                  <w:u w:val="single"/>
                  <w:lang w:eastAsia="zh-CN"/>
                </w:rPr>
                <w:t>理事会第</w:t>
              </w:r>
              <w:r w:rsidR="00373489" w:rsidRPr="00626856">
                <w:rPr>
                  <w:rFonts w:ascii="Times New Roman" w:eastAsia="STKaiti" w:hAnsi="Times New Roman"/>
                  <w:iCs/>
                  <w:color w:val="0000FF"/>
                  <w:sz w:val="24"/>
                  <w:szCs w:val="24"/>
                  <w:u w:val="single"/>
                  <w:lang w:eastAsia="zh-CN"/>
                </w:rPr>
                <w:t>563</w:t>
              </w:r>
            </w:hyperlink>
            <w:r w:rsidR="00373489" w:rsidRPr="00626856">
              <w:rPr>
                <w:rFonts w:ascii="Times New Roman" w:eastAsia="STKaiti" w:hAnsi="Times New Roman"/>
                <w:iCs/>
                <w:color w:val="0000FF"/>
                <w:sz w:val="24"/>
                <w:szCs w:val="24"/>
                <w:u w:val="single"/>
                <w:lang w:eastAsia="zh-CN"/>
              </w:rPr>
              <w:t>号决定</w:t>
            </w:r>
          </w:p>
        </w:tc>
      </w:tr>
    </w:tbl>
    <w:p w:rsidR="00373489" w:rsidRPr="001553EA" w:rsidRDefault="00A2649C" w:rsidP="000836F3">
      <w:pPr>
        <w:spacing w:before="480"/>
        <w:ind w:firstLineChars="200" w:firstLine="480"/>
        <w:rPr>
          <w:rFonts w:cs="Calibri"/>
          <w:b/>
          <w:color w:val="800000"/>
          <w:sz w:val="22"/>
          <w:szCs w:val="24"/>
          <w:lang w:eastAsia="zh-CN"/>
        </w:rPr>
      </w:pPr>
      <w:bookmarkStart w:id="2" w:name="dstart"/>
      <w:bookmarkStart w:id="3" w:name="dbreak"/>
      <w:bookmarkStart w:id="4" w:name="lt_pId020"/>
      <w:bookmarkStart w:id="5" w:name="dbluepink" w:colFirst="0" w:colLast="0"/>
      <w:bookmarkStart w:id="6" w:name="dorlang" w:colFirst="1" w:colLast="1"/>
      <w:bookmarkEnd w:id="2"/>
      <w:bookmarkEnd w:id="3"/>
      <w:r>
        <w:rPr>
          <w:rFonts w:hint="eastAsia"/>
          <w:lang w:val="fr-FR" w:eastAsia="zh-CN"/>
        </w:rPr>
        <w:t>自理事会</w:t>
      </w:r>
      <w:r>
        <w:rPr>
          <w:lang w:val="fr-FR" w:eastAsia="zh-CN"/>
        </w:rPr>
        <w:t>201</w:t>
      </w:r>
      <w:r w:rsidR="000836F3">
        <w:rPr>
          <w:rFonts w:hint="eastAsia"/>
          <w:lang w:val="fr-FR" w:eastAsia="zh-CN"/>
        </w:rPr>
        <w:t>8</w:t>
      </w:r>
      <w:r>
        <w:rPr>
          <w:rFonts w:hint="eastAsia"/>
          <w:lang w:val="fr-FR" w:eastAsia="zh-CN"/>
        </w:rPr>
        <w:t>年会议以来，理事会财务和人力资源工作组（</w:t>
      </w:r>
      <w:r>
        <w:rPr>
          <w:lang w:val="fr-FR" w:eastAsia="zh-CN"/>
        </w:rPr>
        <w:t>CWG-FHR</w:t>
      </w:r>
      <w:r>
        <w:rPr>
          <w:rFonts w:hint="eastAsia"/>
          <w:lang w:val="fr-FR" w:eastAsia="zh-CN"/>
        </w:rPr>
        <w:t>）于</w:t>
      </w:r>
      <w:r>
        <w:rPr>
          <w:lang w:val="fr-FR" w:eastAsia="zh-CN"/>
        </w:rPr>
        <w:t>201</w:t>
      </w:r>
      <w:r w:rsidR="000836F3">
        <w:rPr>
          <w:rFonts w:hint="eastAsia"/>
          <w:lang w:val="fr-FR" w:eastAsia="zh-CN"/>
        </w:rPr>
        <w:t>9</w:t>
      </w:r>
      <w:r>
        <w:rPr>
          <w:rFonts w:hint="eastAsia"/>
          <w:lang w:val="fr-FR" w:eastAsia="zh-CN"/>
        </w:rPr>
        <w:t>年</w:t>
      </w:r>
      <w:r>
        <w:rPr>
          <w:lang w:val="fr-FR" w:eastAsia="zh-CN"/>
        </w:rPr>
        <w:t>1</w:t>
      </w:r>
      <w:r>
        <w:rPr>
          <w:rFonts w:hint="eastAsia"/>
          <w:lang w:val="fr-FR" w:eastAsia="zh-CN"/>
        </w:rPr>
        <w:t>月</w:t>
      </w:r>
      <w:r w:rsidR="000836F3">
        <w:rPr>
          <w:rFonts w:hint="eastAsia"/>
          <w:lang w:val="fr-FR" w:eastAsia="zh-CN"/>
        </w:rPr>
        <w:t>29</w:t>
      </w:r>
      <w:r>
        <w:rPr>
          <w:rFonts w:hint="eastAsia"/>
          <w:lang w:val="fr-FR" w:eastAsia="zh-CN"/>
        </w:rPr>
        <w:t>至</w:t>
      </w:r>
      <w:r w:rsidR="000836F3">
        <w:rPr>
          <w:rFonts w:hint="eastAsia"/>
          <w:lang w:val="fr-FR" w:eastAsia="zh-CN"/>
        </w:rPr>
        <w:t>30</w:t>
      </w:r>
      <w:r>
        <w:rPr>
          <w:rFonts w:hint="eastAsia"/>
          <w:lang w:val="fr-FR" w:eastAsia="zh-CN"/>
        </w:rPr>
        <w:t>日在日内瓦举行过一次会议，由</w:t>
      </w:r>
      <w:proofErr w:type="spellStart"/>
      <w:r w:rsidRPr="001D4691">
        <w:rPr>
          <w:rFonts w:eastAsia="Times New Roman" w:cs="Calibri"/>
          <w:spacing w:val="-2"/>
          <w:lang w:eastAsia="zh-CN"/>
        </w:rPr>
        <w:t>Dietmar</w:t>
      </w:r>
      <w:proofErr w:type="spellEnd"/>
      <w:r w:rsidRPr="001D4691">
        <w:rPr>
          <w:rFonts w:eastAsia="Times New Roman" w:cs="Calibri"/>
          <w:spacing w:val="-2"/>
          <w:lang w:eastAsia="zh-CN"/>
        </w:rPr>
        <w:t xml:space="preserve"> </w:t>
      </w:r>
      <w:proofErr w:type="spellStart"/>
      <w:r w:rsidRPr="001D4691">
        <w:rPr>
          <w:rFonts w:eastAsia="Times New Roman" w:cs="Calibri"/>
          <w:spacing w:val="-2"/>
          <w:lang w:eastAsia="zh-CN"/>
        </w:rPr>
        <w:t>Plesse</w:t>
      </w:r>
      <w:proofErr w:type="spellEnd"/>
      <w:r>
        <w:rPr>
          <w:rFonts w:asciiTheme="minorEastAsia" w:eastAsiaTheme="minorEastAsia" w:hAnsiTheme="minorEastAsia" w:cs="Calibri" w:hint="eastAsia"/>
          <w:spacing w:val="-2"/>
          <w:lang w:eastAsia="zh-CN"/>
        </w:rPr>
        <w:t>先生</w:t>
      </w:r>
      <w:r>
        <w:rPr>
          <w:rFonts w:asciiTheme="minorHAnsi" w:hAnsiTheme="minorHAnsi" w:cs="Calibri" w:hint="eastAsia"/>
          <w:spacing w:val="-2"/>
          <w:szCs w:val="24"/>
          <w:lang w:eastAsia="zh-CN"/>
        </w:rPr>
        <w:t>（德国）</w:t>
      </w:r>
      <w:r>
        <w:rPr>
          <w:rFonts w:hint="eastAsia"/>
          <w:lang w:eastAsia="zh-CN"/>
        </w:rPr>
        <w:t>担任主席。可通过以下链接阅读工作组上一次会议（</w:t>
      </w:r>
      <w:r>
        <w:rPr>
          <w:lang w:eastAsia="zh-CN"/>
        </w:rPr>
        <w:t>201</w:t>
      </w:r>
      <w:r w:rsidR="000836F3">
        <w:rPr>
          <w:rFonts w:hint="eastAsia"/>
          <w:lang w:eastAsia="zh-CN"/>
        </w:rPr>
        <w:t>9</w:t>
      </w:r>
      <w:r>
        <w:rPr>
          <w:rFonts w:hint="eastAsia"/>
          <w:lang w:eastAsia="zh-CN"/>
        </w:rPr>
        <w:t>年</w:t>
      </w:r>
      <w:r>
        <w:rPr>
          <w:lang w:eastAsia="zh-CN"/>
        </w:rPr>
        <w:t>1</w:t>
      </w:r>
      <w:r>
        <w:rPr>
          <w:rFonts w:hint="eastAsia"/>
          <w:lang w:eastAsia="zh-CN"/>
        </w:rPr>
        <w:t>月</w:t>
      </w:r>
      <w:r w:rsidR="000836F3">
        <w:rPr>
          <w:rFonts w:hint="eastAsia"/>
          <w:lang w:eastAsia="zh-CN"/>
        </w:rPr>
        <w:t>29</w:t>
      </w:r>
      <w:r>
        <w:rPr>
          <w:rFonts w:hint="eastAsia"/>
          <w:lang w:eastAsia="zh-CN"/>
        </w:rPr>
        <w:t>至</w:t>
      </w:r>
      <w:r w:rsidR="000836F3">
        <w:rPr>
          <w:lang w:eastAsia="zh-CN"/>
        </w:rPr>
        <w:t>30</w:t>
      </w:r>
      <w:r>
        <w:rPr>
          <w:rFonts w:hint="eastAsia"/>
          <w:lang w:eastAsia="zh-CN"/>
        </w:rPr>
        <w:t>日）的报告全文：</w:t>
      </w:r>
      <w:r w:rsidR="000836F3" w:rsidRPr="000836F3">
        <w:rPr>
          <w:color w:val="0000FF"/>
          <w:szCs w:val="24"/>
          <w:u w:val="single"/>
        </w:rPr>
        <w:fldChar w:fldCharType="begin"/>
      </w:r>
      <w:r w:rsidR="000836F3" w:rsidRPr="000836F3">
        <w:rPr>
          <w:color w:val="0000FF"/>
          <w:szCs w:val="24"/>
          <w:u w:val="single"/>
          <w:lang w:eastAsia="zh-CN"/>
        </w:rPr>
        <w:instrText xml:space="preserve"> HYPERLINK "https://www.itu.int/md/S19-CLCWGFHR09-C-0015/en" </w:instrText>
      </w:r>
      <w:r w:rsidR="000836F3" w:rsidRPr="000836F3">
        <w:rPr>
          <w:color w:val="0000FF"/>
          <w:szCs w:val="24"/>
          <w:u w:val="single"/>
        </w:rPr>
        <w:fldChar w:fldCharType="separate"/>
      </w:r>
      <w:r w:rsidR="000836F3" w:rsidRPr="000836F3">
        <w:rPr>
          <w:color w:val="0000FF"/>
          <w:szCs w:val="24"/>
          <w:u w:val="single"/>
          <w:lang w:eastAsia="zh-CN"/>
        </w:rPr>
        <w:t>https://www.itu.int/md/S19-CLCWGFHR09-C-0015/en</w:t>
      </w:r>
      <w:r w:rsidR="000836F3" w:rsidRPr="000836F3">
        <w:rPr>
          <w:color w:val="0000FF"/>
          <w:szCs w:val="24"/>
          <w:u w:val="single"/>
        </w:rPr>
        <w:fldChar w:fldCharType="end"/>
      </w:r>
      <w:r>
        <w:rPr>
          <w:rFonts w:hint="eastAsia"/>
          <w:lang w:eastAsia="zh-CN"/>
        </w:rPr>
        <w:t>。</w:t>
      </w:r>
      <w:bookmarkStart w:id="7" w:name="lt_pId023"/>
      <w:bookmarkEnd w:id="4"/>
      <w:r>
        <w:rPr>
          <w:rFonts w:hint="eastAsia"/>
          <w:lang w:eastAsia="zh-CN"/>
        </w:rPr>
        <w:t>参加理事会会议的代表可通过阅读该报告了解在上述会议期间各方发表的繁复多样的意见。</w:t>
      </w:r>
      <w:bookmarkEnd w:id="7"/>
    </w:p>
    <w:p w:rsidR="00373489" w:rsidRPr="00333702" w:rsidRDefault="00373489" w:rsidP="00373489">
      <w:pPr>
        <w:jc w:val="both"/>
        <w:rPr>
          <w:rFonts w:cs="Calibri"/>
          <w:b/>
          <w:bCs/>
          <w:caps/>
          <w:szCs w:val="24"/>
          <w:lang w:eastAsia="zh-CN"/>
        </w:rPr>
      </w:pPr>
      <w:r w:rsidRPr="00333702">
        <w:rPr>
          <w:rFonts w:cs="Calibri"/>
          <w:b/>
          <w:bCs/>
          <w:caps/>
          <w:szCs w:val="24"/>
          <w:lang w:eastAsia="zh-CN"/>
        </w:rPr>
        <w:br w:type="page"/>
      </w:r>
    </w:p>
    <w:p w:rsidR="00373489" w:rsidRPr="001553EA" w:rsidRDefault="00373489" w:rsidP="000836F3">
      <w:pPr>
        <w:pStyle w:val="Heading1"/>
        <w:rPr>
          <w:lang w:eastAsia="zh-CN"/>
        </w:rPr>
      </w:pPr>
      <w:r>
        <w:rPr>
          <w:lang w:eastAsia="zh-CN"/>
        </w:rPr>
        <w:lastRenderedPageBreak/>
        <w:t>1</w:t>
      </w:r>
      <w:r>
        <w:rPr>
          <w:lang w:eastAsia="zh-CN"/>
        </w:rPr>
        <w:tab/>
      </w:r>
      <w:bookmarkStart w:id="8" w:name="lt_pId025"/>
      <w:r w:rsidR="000836F3">
        <w:rPr>
          <w:rFonts w:hint="eastAsia"/>
          <w:lang w:eastAsia="zh-CN"/>
        </w:rPr>
        <w:t>落实</w:t>
      </w:r>
      <w:r w:rsidRPr="001553EA">
        <w:rPr>
          <w:lang w:eastAsia="zh-CN"/>
        </w:rPr>
        <w:t>PP-18</w:t>
      </w:r>
      <w:r w:rsidR="000836F3">
        <w:rPr>
          <w:rFonts w:hint="eastAsia"/>
          <w:lang w:eastAsia="zh-CN"/>
        </w:rPr>
        <w:t>有关中小企业（</w:t>
      </w:r>
      <w:r w:rsidR="000836F3">
        <w:rPr>
          <w:rFonts w:hint="eastAsia"/>
          <w:lang w:eastAsia="zh-CN"/>
        </w:rPr>
        <w:t>SME</w:t>
      </w:r>
      <w:r w:rsidR="000836F3">
        <w:rPr>
          <w:rFonts w:hint="eastAsia"/>
          <w:lang w:eastAsia="zh-CN"/>
        </w:rPr>
        <w:t>）参加国际电联工作的新决议（</w:t>
      </w:r>
      <w:bookmarkStart w:id="9" w:name="lt_pId026"/>
      <w:bookmarkEnd w:id="8"/>
      <w:r w:rsidR="0072262E">
        <w:rPr>
          <w:rStyle w:val="Hyperlink"/>
          <w:bCs/>
          <w:szCs w:val="24"/>
        </w:rPr>
        <w:fldChar w:fldCharType="begin"/>
      </w:r>
      <w:r w:rsidR="0072262E">
        <w:rPr>
          <w:rStyle w:val="Hyperlink"/>
          <w:bCs/>
          <w:szCs w:val="24"/>
          <w:lang w:eastAsia="zh-CN"/>
        </w:rPr>
        <w:instrText xml:space="preserve"> HYPERLINK "https://www.itu.int/md/S19-CLCWGFHR09-C-0004/en" </w:instrText>
      </w:r>
      <w:r w:rsidR="0072262E">
        <w:rPr>
          <w:rStyle w:val="Hyperlink"/>
          <w:bCs/>
          <w:szCs w:val="24"/>
        </w:rPr>
        <w:fldChar w:fldCharType="separate"/>
      </w:r>
      <w:r w:rsidRPr="001553EA">
        <w:rPr>
          <w:rStyle w:val="Hyperlink"/>
          <w:bCs/>
          <w:szCs w:val="24"/>
          <w:lang w:eastAsia="zh-CN"/>
        </w:rPr>
        <w:t>CWG-FHR 9/4</w:t>
      </w:r>
      <w:r w:rsidR="0072262E">
        <w:rPr>
          <w:rStyle w:val="Hyperlink"/>
          <w:bCs/>
          <w:szCs w:val="24"/>
        </w:rPr>
        <w:fldChar w:fldCharType="end"/>
      </w:r>
      <w:bookmarkEnd w:id="9"/>
      <w:r w:rsidR="000836F3" w:rsidRPr="000836F3">
        <w:rPr>
          <w:rFonts w:hint="eastAsia"/>
          <w:lang w:eastAsia="zh-CN"/>
        </w:rPr>
        <w:t>号文件）</w:t>
      </w:r>
    </w:p>
    <w:p w:rsidR="0072262E" w:rsidRDefault="00373489" w:rsidP="00875A37">
      <w:pPr>
        <w:rPr>
          <w:lang w:eastAsia="zh-CN"/>
        </w:rPr>
      </w:pPr>
      <w:r w:rsidRPr="001553EA">
        <w:rPr>
          <w:lang w:eastAsia="zh-CN"/>
        </w:rPr>
        <w:t>1.1</w:t>
      </w:r>
      <w:r w:rsidRPr="001553EA">
        <w:rPr>
          <w:lang w:eastAsia="zh-CN"/>
        </w:rPr>
        <w:tab/>
      </w:r>
      <w:bookmarkStart w:id="10" w:name="lt_pId028"/>
      <w:r w:rsidR="000836F3">
        <w:rPr>
          <w:rFonts w:hint="eastAsia"/>
          <w:lang w:eastAsia="zh-CN"/>
        </w:rPr>
        <w:t>继理事会</w:t>
      </w:r>
      <w:r w:rsidR="000836F3">
        <w:rPr>
          <w:rFonts w:hint="eastAsia"/>
          <w:lang w:eastAsia="zh-CN"/>
        </w:rPr>
        <w:t>2017</w:t>
      </w:r>
      <w:r w:rsidR="008A6943">
        <w:rPr>
          <w:rFonts w:hint="eastAsia"/>
          <w:lang w:eastAsia="zh-CN"/>
        </w:rPr>
        <w:t>年会议出台有关</w:t>
      </w:r>
      <w:r w:rsidR="000836F3">
        <w:rPr>
          <w:rFonts w:hint="eastAsia"/>
          <w:lang w:eastAsia="zh-CN"/>
        </w:rPr>
        <w:t>SME</w:t>
      </w:r>
      <w:r w:rsidR="000836F3">
        <w:rPr>
          <w:rFonts w:hint="eastAsia"/>
          <w:lang w:eastAsia="zh-CN"/>
        </w:rPr>
        <w:t>的试点项目后，</w:t>
      </w:r>
      <w:r w:rsidR="000836F3">
        <w:rPr>
          <w:rFonts w:hint="eastAsia"/>
          <w:lang w:eastAsia="zh-CN"/>
        </w:rPr>
        <w:t>PP-</w:t>
      </w:r>
      <w:proofErr w:type="gramStart"/>
      <w:r w:rsidR="000836F3">
        <w:rPr>
          <w:rFonts w:hint="eastAsia"/>
          <w:lang w:eastAsia="zh-CN"/>
        </w:rPr>
        <w:t>18</w:t>
      </w:r>
      <w:r w:rsidR="000836F3">
        <w:rPr>
          <w:rFonts w:hint="eastAsia"/>
          <w:lang w:eastAsia="zh-CN"/>
        </w:rPr>
        <w:t>通过了第</w:t>
      </w:r>
      <w:r w:rsidR="000836F3">
        <w:rPr>
          <w:rFonts w:hint="eastAsia"/>
          <w:lang w:eastAsia="zh-CN"/>
        </w:rPr>
        <w:t>209</w:t>
      </w:r>
      <w:r w:rsidR="000836F3">
        <w:rPr>
          <w:rFonts w:hint="eastAsia"/>
          <w:lang w:eastAsia="zh-CN"/>
        </w:rPr>
        <w:t>号</w:t>
      </w:r>
      <w:r w:rsidRPr="001553EA">
        <w:rPr>
          <w:lang w:eastAsia="zh-CN"/>
        </w:rPr>
        <w:t>[</w:t>
      </w:r>
      <w:proofErr w:type="gramEnd"/>
      <w:r w:rsidRPr="001553EA">
        <w:rPr>
          <w:lang w:eastAsia="zh-CN"/>
        </w:rPr>
        <w:t>COM5/3]</w:t>
      </w:r>
      <w:r w:rsidR="000836F3">
        <w:rPr>
          <w:rFonts w:hint="eastAsia"/>
          <w:lang w:eastAsia="zh-CN"/>
        </w:rPr>
        <w:t>号决议（</w:t>
      </w:r>
      <w:r w:rsidR="000836F3">
        <w:rPr>
          <w:rFonts w:hint="eastAsia"/>
          <w:lang w:eastAsia="zh-CN"/>
        </w:rPr>
        <w:t>2018</w:t>
      </w:r>
      <w:r w:rsidR="000836F3">
        <w:rPr>
          <w:rFonts w:hint="eastAsia"/>
          <w:lang w:eastAsia="zh-CN"/>
        </w:rPr>
        <w:t>年，迪拜），鼓励</w:t>
      </w:r>
      <w:r w:rsidR="000836F3">
        <w:rPr>
          <w:rFonts w:hint="eastAsia"/>
          <w:lang w:eastAsia="zh-CN"/>
        </w:rPr>
        <w:t>SME</w:t>
      </w:r>
      <w:r w:rsidR="000836F3">
        <w:rPr>
          <w:rFonts w:hint="eastAsia"/>
          <w:lang w:eastAsia="zh-CN"/>
        </w:rPr>
        <w:t>在缴纳更低会费的条件下</w:t>
      </w:r>
      <w:r w:rsidR="00875A37">
        <w:rPr>
          <w:rFonts w:hint="eastAsia"/>
          <w:lang w:eastAsia="zh-CN"/>
        </w:rPr>
        <w:t>作为</w:t>
      </w:r>
      <w:r w:rsidR="000836F3">
        <w:rPr>
          <w:rFonts w:hint="eastAsia"/>
          <w:lang w:eastAsia="zh-CN"/>
        </w:rPr>
        <w:t>部门准成员参加国际电联各部门的工作。申请方需得到相关成员国的批准，证明申请方是符合其所在国关于</w:t>
      </w:r>
      <w:r w:rsidR="000836F3">
        <w:rPr>
          <w:rFonts w:hint="eastAsia"/>
          <w:lang w:eastAsia="zh-CN"/>
        </w:rPr>
        <w:t>SME</w:t>
      </w:r>
      <w:r w:rsidR="000836F3">
        <w:rPr>
          <w:rFonts w:hint="eastAsia"/>
          <w:lang w:eastAsia="zh-CN"/>
        </w:rPr>
        <w:t>定义的</w:t>
      </w:r>
      <w:r w:rsidR="000836F3">
        <w:rPr>
          <w:rFonts w:hint="eastAsia"/>
          <w:lang w:eastAsia="zh-CN"/>
        </w:rPr>
        <w:t>SME</w:t>
      </w:r>
      <w:r w:rsidR="000836F3">
        <w:rPr>
          <w:rFonts w:hint="eastAsia"/>
          <w:lang w:eastAsia="zh-CN"/>
        </w:rPr>
        <w:t>。如果实体得到其各自成员国的批准，</w:t>
      </w:r>
      <w:r w:rsidR="00875A37">
        <w:rPr>
          <w:rFonts w:hint="eastAsia"/>
          <w:lang w:eastAsia="zh-CN"/>
        </w:rPr>
        <w:t>则</w:t>
      </w:r>
      <w:r w:rsidR="000836F3">
        <w:rPr>
          <w:rFonts w:hint="eastAsia"/>
          <w:lang w:eastAsia="zh-CN"/>
        </w:rPr>
        <w:t>他们还必须是雇员少于</w:t>
      </w:r>
      <w:r w:rsidR="000836F3">
        <w:rPr>
          <w:rFonts w:hint="eastAsia"/>
          <w:lang w:eastAsia="zh-CN"/>
        </w:rPr>
        <w:t>250</w:t>
      </w:r>
      <w:r w:rsidR="000836F3">
        <w:rPr>
          <w:rFonts w:hint="eastAsia"/>
          <w:lang w:eastAsia="zh-CN"/>
        </w:rPr>
        <w:t>人、且年收入低于理事会确定的最大年收入数额的企业。为了协助理事会</w:t>
      </w:r>
      <w:r w:rsidR="000836F3">
        <w:rPr>
          <w:rFonts w:hint="eastAsia"/>
          <w:lang w:eastAsia="zh-CN"/>
        </w:rPr>
        <w:t>2019</w:t>
      </w:r>
      <w:r w:rsidR="000836F3">
        <w:rPr>
          <w:rFonts w:hint="eastAsia"/>
          <w:lang w:eastAsia="zh-CN"/>
        </w:rPr>
        <w:t>年会议确定这一最大年收入数额，</w:t>
      </w:r>
      <w:r w:rsidR="000836F3">
        <w:rPr>
          <w:rFonts w:hint="eastAsia"/>
          <w:lang w:eastAsia="zh-CN"/>
        </w:rPr>
        <w:t>CWG-</w:t>
      </w:r>
      <w:r w:rsidR="000836F3">
        <w:rPr>
          <w:lang w:eastAsia="zh-CN"/>
        </w:rPr>
        <w:t>FHR</w:t>
      </w:r>
      <w:r w:rsidR="00875A37">
        <w:rPr>
          <w:rFonts w:hint="eastAsia"/>
          <w:lang w:eastAsia="zh-CN"/>
        </w:rPr>
        <w:t>已</w:t>
      </w:r>
      <w:r w:rsidR="000836F3">
        <w:rPr>
          <w:rFonts w:hint="eastAsia"/>
          <w:lang w:eastAsia="zh-CN"/>
        </w:rPr>
        <w:t>要求秘书处在现有国际指标基础上，分析两种潜在门栏金额</w:t>
      </w:r>
      <w:r w:rsidR="000836F3">
        <w:rPr>
          <w:rFonts w:hint="eastAsia"/>
          <w:lang w:eastAsia="zh-CN"/>
        </w:rPr>
        <w:t xml:space="preserve"> </w:t>
      </w:r>
      <w:r w:rsidR="000836F3" w:rsidRPr="000836F3">
        <w:rPr>
          <w:lang w:eastAsia="zh-CN"/>
        </w:rPr>
        <w:t>–</w:t>
      </w:r>
      <w:r w:rsidR="000836F3">
        <w:rPr>
          <w:lang w:eastAsia="zh-CN"/>
        </w:rPr>
        <w:t xml:space="preserve"> </w:t>
      </w:r>
      <w:r w:rsidR="0072262E">
        <w:rPr>
          <w:lang w:eastAsia="zh-CN"/>
        </w:rPr>
        <w:t>1</w:t>
      </w:r>
      <w:r w:rsidR="00B66B67">
        <w:rPr>
          <w:rFonts w:hint="eastAsia"/>
          <w:lang w:eastAsia="zh-CN"/>
        </w:rPr>
        <w:t>,</w:t>
      </w:r>
      <w:r w:rsidR="0072262E">
        <w:rPr>
          <w:lang w:eastAsia="zh-CN"/>
        </w:rPr>
        <w:t>500</w:t>
      </w:r>
      <w:r w:rsidR="0072262E">
        <w:rPr>
          <w:rFonts w:hint="eastAsia"/>
          <w:lang w:eastAsia="zh-CN"/>
        </w:rPr>
        <w:t>万瑞郎和</w:t>
      </w:r>
      <w:r w:rsidR="0072262E">
        <w:rPr>
          <w:rFonts w:hint="eastAsia"/>
          <w:lang w:eastAsia="zh-CN"/>
        </w:rPr>
        <w:t>5</w:t>
      </w:r>
      <w:proofErr w:type="gramStart"/>
      <w:r w:rsidR="00B66B67">
        <w:rPr>
          <w:rFonts w:hint="eastAsia"/>
          <w:lang w:eastAsia="zh-CN"/>
        </w:rPr>
        <w:t>,</w:t>
      </w:r>
      <w:r w:rsidR="0072262E">
        <w:rPr>
          <w:lang w:eastAsia="zh-CN"/>
        </w:rPr>
        <w:t>000</w:t>
      </w:r>
      <w:r w:rsidR="0072262E">
        <w:rPr>
          <w:rFonts w:hint="eastAsia"/>
          <w:lang w:eastAsia="zh-CN"/>
        </w:rPr>
        <w:t>万瑞郎</w:t>
      </w:r>
      <w:proofErr w:type="gramEnd"/>
      <w:r w:rsidR="0072262E">
        <w:rPr>
          <w:rFonts w:hint="eastAsia"/>
          <w:lang w:eastAsia="zh-CN"/>
        </w:rPr>
        <w:t xml:space="preserve"> </w:t>
      </w:r>
      <w:r w:rsidR="0072262E" w:rsidRPr="0072262E">
        <w:rPr>
          <w:lang w:eastAsia="zh-CN"/>
        </w:rPr>
        <w:t>–</w:t>
      </w:r>
      <w:r w:rsidR="0072262E">
        <w:rPr>
          <w:lang w:eastAsia="zh-CN"/>
        </w:rPr>
        <w:t xml:space="preserve"> </w:t>
      </w:r>
      <w:r w:rsidR="0072262E">
        <w:rPr>
          <w:rFonts w:hint="eastAsia"/>
          <w:lang w:eastAsia="zh-CN"/>
        </w:rPr>
        <w:t>将产生的财务影响。</w:t>
      </w:r>
      <w:r w:rsidR="0072262E">
        <w:rPr>
          <w:rFonts w:hint="eastAsia"/>
          <w:lang w:eastAsia="zh-CN"/>
        </w:rPr>
        <w:t>CWG-FHR</w:t>
      </w:r>
      <w:r w:rsidR="00B66B67">
        <w:rPr>
          <w:rFonts w:hint="eastAsia"/>
          <w:lang w:eastAsia="zh-CN"/>
        </w:rPr>
        <w:t>建议</w:t>
      </w:r>
      <w:r w:rsidR="0072262E">
        <w:rPr>
          <w:rFonts w:hint="eastAsia"/>
          <w:lang w:eastAsia="zh-CN"/>
        </w:rPr>
        <w:t>将现有</w:t>
      </w:r>
      <w:r w:rsidR="0072262E">
        <w:rPr>
          <w:rFonts w:hint="eastAsia"/>
          <w:lang w:eastAsia="zh-CN"/>
        </w:rPr>
        <w:t>SME</w:t>
      </w:r>
      <w:r w:rsidR="0072262E">
        <w:rPr>
          <w:rFonts w:hint="eastAsia"/>
          <w:lang w:eastAsia="zh-CN"/>
        </w:rPr>
        <w:t>的试点项目延期至</w:t>
      </w:r>
      <w:r w:rsidR="0072262E">
        <w:rPr>
          <w:rFonts w:hint="eastAsia"/>
          <w:lang w:eastAsia="zh-CN"/>
        </w:rPr>
        <w:t>2020</w:t>
      </w:r>
      <w:r w:rsidR="0072262E">
        <w:rPr>
          <w:rFonts w:hint="eastAsia"/>
          <w:lang w:eastAsia="zh-CN"/>
        </w:rPr>
        <w:t>年</w:t>
      </w:r>
      <w:r w:rsidR="0072262E">
        <w:rPr>
          <w:rFonts w:hint="eastAsia"/>
          <w:lang w:eastAsia="zh-CN"/>
        </w:rPr>
        <w:t>1</w:t>
      </w:r>
      <w:r w:rsidR="0072262E">
        <w:rPr>
          <w:rFonts w:hint="eastAsia"/>
          <w:lang w:eastAsia="zh-CN"/>
        </w:rPr>
        <w:t>月</w:t>
      </w:r>
      <w:r w:rsidR="0072262E">
        <w:rPr>
          <w:rFonts w:hint="eastAsia"/>
          <w:lang w:eastAsia="zh-CN"/>
        </w:rPr>
        <w:t>31</w:t>
      </w:r>
      <w:r w:rsidR="000A1B65">
        <w:rPr>
          <w:rFonts w:hint="eastAsia"/>
          <w:lang w:eastAsia="zh-CN"/>
        </w:rPr>
        <w:t>日，以方便在</w:t>
      </w:r>
      <w:r w:rsidR="0072262E">
        <w:rPr>
          <w:rFonts w:hint="eastAsia"/>
          <w:lang w:eastAsia="zh-CN"/>
        </w:rPr>
        <w:t>落实上述新决议前进行过渡。</w:t>
      </w:r>
    </w:p>
    <w:bookmarkEnd w:id="10"/>
    <w:p w:rsidR="00373489" w:rsidRDefault="00373489" w:rsidP="00545308">
      <w:pPr>
        <w:pStyle w:val="Headingb"/>
        <w:rPr>
          <w:lang w:eastAsia="zh-CN"/>
        </w:rPr>
      </w:pPr>
      <w:r w:rsidRPr="003344DA">
        <w:rPr>
          <w:lang w:eastAsia="zh-CN"/>
        </w:rPr>
        <w:tab/>
      </w:r>
      <w:bookmarkStart w:id="11" w:name="lt_pId033"/>
      <w:r w:rsidR="0072262E" w:rsidRPr="0072262E">
        <w:rPr>
          <w:rFonts w:hint="eastAsia"/>
          <w:lang w:eastAsia="zh-CN"/>
        </w:rPr>
        <w:t>免除国际和区域性组织的会费</w:t>
      </w:r>
      <w:r w:rsidR="0072262E">
        <w:rPr>
          <w:rFonts w:hint="eastAsia"/>
          <w:lang w:eastAsia="zh-CN"/>
        </w:rPr>
        <w:t>（</w:t>
      </w:r>
      <w:bookmarkEnd w:id="5"/>
      <w:bookmarkEnd w:id="6"/>
      <w:r w:rsidR="0072262E">
        <w:rPr>
          <w:rStyle w:val="Hyperlink"/>
          <w:bCs/>
          <w:szCs w:val="24"/>
        </w:rPr>
        <w:fldChar w:fldCharType="begin"/>
      </w:r>
      <w:r w:rsidR="0072262E">
        <w:rPr>
          <w:rStyle w:val="Hyperlink"/>
          <w:bCs/>
          <w:szCs w:val="24"/>
          <w:lang w:eastAsia="zh-CN"/>
        </w:rPr>
        <w:instrText xml:space="preserve"> HYPERLINK "https://www.itu.int/md/S19-CLCWGFHR09-C-0005/en" </w:instrText>
      </w:r>
      <w:r w:rsidR="0072262E">
        <w:rPr>
          <w:rStyle w:val="Hyperlink"/>
          <w:bCs/>
          <w:szCs w:val="24"/>
        </w:rPr>
        <w:fldChar w:fldCharType="separate"/>
      </w:r>
      <w:r w:rsidRPr="001553EA">
        <w:rPr>
          <w:rStyle w:val="Hyperlink"/>
          <w:bCs/>
          <w:szCs w:val="24"/>
          <w:lang w:eastAsia="zh-CN"/>
        </w:rPr>
        <w:t>CWG</w:t>
      </w:r>
      <w:r w:rsidRPr="001553EA">
        <w:rPr>
          <w:rStyle w:val="Hyperlink"/>
          <w:bCs/>
          <w:szCs w:val="24"/>
          <w:lang w:eastAsia="zh-CN"/>
        </w:rPr>
        <w:noBreakHyphen/>
        <w:t>FHR 9/5</w:t>
      </w:r>
      <w:r w:rsidR="0072262E">
        <w:rPr>
          <w:rStyle w:val="Hyperlink"/>
          <w:bCs/>
          <w:szCs w:val="24"/>
        </w:rPr>
        <w:fldChar w:fldCharType="end"/>
      </w:r>
      <w:bookmarkEnd w:id="11"/>
      <w:r w:rsidR="0072262E" w:rsidRPr="0072262E">
        <w:rPr>
          <w:rFonts w:hint="eastAsia"/>
          <w:lang w:eastAsia="zh-CN"/>
        </w:rPr>
        <w:t>号文件）</w:t>
      </w:r>
    </w:p>
    <w:p w:rsidR="0072262E" w:rsidRDefault="00373489" w:rsidP="00545308">
      <w:pPr>
        <w:rPr>
          <w:lang w:eastAsia="zh-CN"/>
        </w:rPr>
      </w:pPr>
      <w:r>
        <w:rPr>
          <w:lang w:eastAsia="zh-CN"/>
        </w:rPr>
        <w:t>1.2</w:t>
      </w:r>
      <w:r>
        <w:rPr>
          <w:lang w:eastAsia="zh-CN"/>
        </w:rPr>
        <w:tab/>
      </w:r>
      <w:bookmarkStart w:id="12" w:name="lt_pId035"/>
      <w:r w:rsidRPr="001553EA">
        <w:rPr>
          <w:lang w:eastAsia="zh-CN"/>
        </w:rPr>
        <w:t>PP-14</w:t>
      </w:r>
      <w:r w:rsidR="0072262E">
        <w:rPr>
          <w:rFonts w:hint="eastAsia"/>
          <w:lang w:eastAsia="zh-CN"/>
        </w:rPr>
        <w:t>责成理事会审议有关免除国际和区域性组织会费的标准。理事会</w:t>
      </w:r>
      <w:r w:rsidR="0072262E">
        <w:rPr>
          <w:rFonts w:hint="eastAsia"/>
          <w:lang w:eastAsia="zh-CN"/>
        </w:rPr>
        <w:t>2017</w:t>
      </w:r>
      <w:r w:rsidR="00555563">
        <w:rPr>
          <w:rFonts w:hint="eastAsia"/>
          <w:lang w:eastAsia="zh-CN"/>
        </w:rPr>
        <w:t>年会议批准了经修订的标准，而且这些标准已用于所收到的新</w:t>
      </w:r>
      <w:r w:rsidR="0072262E">
        <w:rPr>
          <w:rFonts w:hint="eastAsia"/>
          <w:lang w:eastAsia="zh-CN"/>
        </w:rPr>
        <w:t>申请。秘书处突出强调了在实施经修订的标准中的一项，即</w:t>
      </w:r>
      <w:r w:rsidR="0072262E">
        <w:rPr>
          <w:rFonts w:hint="eastAsia"/>
          <w:lang w:eastAsia="zh-CN"/>
        </w:rPr>
        <w:t>1.2</w:t>
      </w:r>
      <w:r w:rsidR="0072262E">
        <w:rPr>
          <w:lang w:eastAsia="zh-CN"/>
        </w:rPr>
        <w:t xml:space="preserve"> b)</w:t>
      </w:r>
      <w:r w:rsidR="0072262E">
        <w:rPr>
          <w:rFonts w:hint="eastAsia"/>
          <w:lang w:eastAsia="zh-CN"/>
        </w:rPr>
        <w:t>点，方面遇到的挑战。该款要求，如果免除相关实体的会费，则该实体不仅应是非营利实体，而且还应“代表主要是非营利实体的成员。”这一款难以在实践中得到应用，主要因为有些成员具有多重成员资格，而且还因为这样做会使国际电联面临</w:t>
      </w:r>
      <w:r w:rsidR="00555563">
        <w:rPr>
          <w:rFonts w:hint="eastAsia"/>
          <w:lang w:eastAsia="zh-CN"/>
        </w:rPr>
        <w:t>失去已多年参加本组织工作、</w:t>
      </w:r>
      <w:r w:rsidR="0072262E">
        <w:rPr>
          <w:rFonts w:hint="eastAsia"/>
          <w:lang w:eastAsia="zh-CN"/>
        </w:rPr>
        <w:t>特别是区域层面工作成员的风险，而在区域层面，此类成员往往是在国际电联这类活动中唯一代表业界的声音。考虑到所提出的这些问题，</w:t>
      </w:r>
      <w:r w:rsidR="0072262E">
        <w:rPr>
          <w:rFonts w:hint="eastAsia"/>
          <w:lang w:eastAsia="zh-CN"/>
        </w:rPr>
        <w:t>CWG-FHR</w:t>
      </w:r>
      <w:r w:rsidR="0072262E">
        <w:rPr>
          <w:rFonts w:hint="eastAsia"/>
          <w:lang w:eastAsia="zh-CN"/>
        </w:rPr>
        <w:t>建议理事会按照理事会</w:t>
      </w:r>
      <w:r w:rsidR="0072262E">
        <w:rPr>
          <w:rFonts w:hint="eastAsia"/>
          <w:lang w:eastAsia="zh-CN"/>
        </w:rPr>
        <w:t>2000</w:t>
      </w:r>
      <w:r w:rsidR="00555563">
        <w:rPr>
          <w:rFonts w:hint="eastAsia"/>
          <w:lang w:eastAsia="zh-CN"/>
        </w:rPr>
        <w:t>年</w:t>
      </w:r>
      <w:r w:rsidR="0072262E">
        <w:rPr>
          <w:rFonts w:hint="eastAsia"/>
          <w:lang w:eastAsia="zh-CN"/>
        </w:rPr>
        <w:t>确立的标准，将现有享受免费会待遇的成员实体名单再延期</w:t>
      </w:r>
      <w:r w:rsidR="00555563">
        <w:rPr>
          <w:rFonts w:hint="eastAsia"/>
          <w:lang w:eastAsia="zh-CN"/>
        </w:rPr>
        <w:t>四</w:t>
      </w:r>
      <w:r w:rsidR="0072262E">
        <w:rPr>
          <w:rFonts w:hint="eastAsia"/>
          <w:lang w:eastAsia="zh-CN"/>
        </w:rPr>
        <w:t>年，同时对新申请方继续应用理事会</w:t>
      </w:r>
      <w:r w:rsidR="0072262E">
        <w:rPr>
          <w:rFonts w:hint="eastAsia"/>
          <w:lang w:eastAsia="zh-CN"/>
        </w:rPr>
        <w:t>2017</w:t>
      </w:r>
      <w:r w:rsidR="0072262E">
        <w:rPr>
          <w:rFonts w:hint="eastAsia"/>
          <w:lang w:eastAsia="zh-CN"/>
        </w:rPr>
        <w:t>年</w:t>
      </w:r>
      <w:r w:rsidR="00555563">
        <w:rPr>
          <w:rFonts w:hint="eastAsia"/>
          <w:lang w:eastAsia="zh-CN"/>
        </w:rPr>
        <w:t>会议</w:t>
      </w:r>
      <w:r w:rsidR="0072262E">
        <w:rPr>
          <w:rFonts w:hint="eastAsia"/>
          <w:lang w:eastAsia="zh-CN"/>
        </w:rPr>
        <w:t>批准的新标准。</w:t>
      </w:r>
    </w:p>
    <w:bookmarkEnd w:id="12"/>
    <w:p w:rsidR="00373489" w:rsidRPr="00B06FD8" w:rsidRDefault="00373489" w:rsidP="00FA36BA">
      <w:pPr>
        <w:pStyle w:val="Heading1"/>
        <w:rPr>
          <w:lang w:eastAsia="zh-CN"/>
        </w:rPr>
      </w:pPr>
      <w:r w:rsidRPr="00B06FD8">
        <w:rPr>
          <w:rFonts w:cs="Calibri"/>
          <w:lang w:val="en-AU" w:eastAsia="zh-CN"/>
        </w:rPr>
        <w:t>2</w:t>
      </w:r>
      <w:bookmarkStart w:id="13" w:name="lt_pId041"/>
      <w:r w:rsidR="0072262E">
        <w:rPr>
          <w:rFonts w:cs="Calibri"/>
          <w:lang w:val="en-AU" w:eastAsia="zh-CN"/>
        </w:rPr>
        <w:tab/>
      </w:r>
      <w:r w:rsidR="00FA36BA">
        <w:rPr>
          <w:rFonts w:cs="Calibri" w:hint="eastAsia"/>
          <w:lang w:val="en-AU" w:eastAsia="zh-CN"/>
        </w:rPr>
        <w:t>受</w:t>
      </w:r>
      <w:r w:rsidR="0072262E">
        <w:rPr>
          <w:rFonts w:cs="Calibri" w:hint="eastAsia"/>
          <w:lang w:val="en-AU" w:eastAsia="zh-CN"/>
        </w:rPr>
        <w:t>雇用</w:t>
      </w:r>
      <w:r w:rsidR="00FA36BA">
        <w:rPr>
          <w:rFonts w:cs="Calibri" w:hint="eastAsia"/>
          <w:lang w:val="en-AU" w:eastAsia="zh-CN"/>
        </w:rPr>
        <w:t>进行国际电联世界电信展活动的战略和财务审查工作的</w:t>
      </w:r>
      <w:r w:rsidR="0072262E">
        <w:rPr>
          <w:rFonts w:cs="Calibri" w:hint="eastAsia"/>
          <w:lang w:val="en-AU" w:eastAsia="zh-CN"/>
        </w:rPr>
        <w:t>外部管理</w:t>
      </w:r>
      <w:r w:rsidR="00FA36BA">
        <w:rPr>
          <w:rFonts w:cs="Calibri" w:hint="eastAsia"/>
          <w:lang w:val="en-AU" w:eastAsia="zh-CN"/>
        </w:rPr>
        <w:t>顾问的</w:t>
      </w:r>
      <w:r w:rsidR="0072262E">
        <w:rPr>
          <w:rFonts w:cs="Calibri" w:hint="eastAsia"/>
          <w:lang w:val="en-AU" w:eastAsia="zh-CN"/>
        </w:rPr>
        <w:t>职责范围（</w:t>
      </w:r>
      <w:bookmarkStart w:id="14" w:name="lt_pId042"/>
      <w:bookmarkEnd w:id="13"/>
      <w:r w:rsidR="0072262E">
        <w:rPr>
          <w:rStyle w:val="Hyperlink"/>
          <w:bCs/>
          <w:szCs w:val="24"/>
        </w:rPr>
        <w:fldChar w:fldCharType="begin"/>
      </w:r>
      <w:r w:rsidR="0072262E">
        <w:rPr>
          <w:rStyle w:val="Hyperlink"/>
          <w:bCs/>
          <w:szCs w:val="24"/>
          <w:lang w:eastAsia="zh-CN"/>
        </w:rPr>
        <w:instrText xml:space="preserve"> HYPERLINK "https://www.itu.int/md/S19-CLCWGFHR09-C-0010/en" </w:instrText>
      </w:r>
      <w:r w:rsidR="0072262E">
        <w:rPr>
          <w:rStyle w:val="Hyperlink"/>
          <w:bCs/>
          <w:szCs w:val="24"/>
        </w:rPr>
        <w:fldChar w:fldCharType="separate"/>
      </w:r>
      <w:r w:rsidRPr="00B06FD8">
        <w:rPr>
          <w:rStyle w:val="Hyperlink"/>
          <w:bCs/>
          <w:szCs w:val="24"/>
          <w:lang w:eastAsia="zh-CN"/>
        </w:rPr>
        <w:t>CWG-FHR 9/10</w:t>
      </w:r>
      <w:r w:rsidR="0072262E">
        <w:rPr>
          <w:rStyle w:val="Hyperlink"/>
          <w:bCs/>
          <w:szCs w:val="24"/>
        </w:rPr>
        <w:fldChar w:fldCharType="end"/>
      </w:r>
      <w:r w:rsidRPr="00B06FD8">
        <w:rPr>
          <w:rStyle w:val="Hyperlink"/>
          <w:bCs/>
          <w:szCs w:val="24"/>
          <w:lang w:eastAsia="zh-CN"/>
        </w:rPr>
        <w:t xml:space="preserve"> + Add. 1-2</w:t>
      </w:r>
      <w:bookmarkEnd w:id="14"/>
      <w:r w:rsidR="0072262E" w:rsidRPr="0072262E">
        <w:rPr>
          <w:rFonts w:hint="eastAsia"/>
          <w:lang w:eastAsia="zh-CN"/>
        </w:rPr>
        <w:t>号文件）</w:t>
      </w:r>
    </w:p>
    <w:p w:rsidR="00373489" w:rsidRDefault="00373489" w:rsidP="00545308">
      <w:pPr>
        <w:rPr>
          <w:lang w:val="en-AU" w:eastAsia="zh-CN"/>
        </w:rPr>
      </w:pPr>
      <w:r w:rsidRPr="00B06FD8">
        <w:rPr>
          <w:lang w:val="en-AU" w:eastAsia="zh-CN"/>
        </w:rPr>
        <w:t>2.1</w:t>
      </w:r>
      <w:r w:rsidRPr="00B06FD8">
        <w:rPr>
          <w:lang w:val="en-AU" w:eastAsia="zh-CN"/>
        </w:rPr>
        <w:tab/>
      </w:r>
      <w:bookmarkStart w:id="15" w:name="lt_pId044"/>
      <w:r w:rsidR="0072262E">
        <w:rPr>
          <w:rFonts w:hint="eastAsia"/>
          <w:lang w:val="en-AU" w:eastAsia="zh-CN"/>
        </w:rPr>
        <w:t>秘书处介绍的相关文件概要说明了国际电联按照第</w:t>
      </w:r>
      <w:r w:rsidR="0072262E">
        <w:rPr>
          <w:rFonts w:hint="eastAsia"/>
          <w:lang w:val="en-AU" w:eastAsia="zh-CN"/>
        </w:rPr>
        <w:t>11</w:t>
      </w:r>
      <w:r w:rsidR="0072262E">
        <w:rPr>
          <w:rFonts w:hint="eastAsia"/>
          <w:lang w:val="en-AU" w:eastAsia="zh-CN"/>
        </w:rPr>
        <w:t>号决议（</w:t>
      </w:r>
      <w:r w:rsidR="00430FBF">
        <w:rPr>
          <w:rFonts w:hint="eastAsia"/>
          <w:lang w:val="en-AU" w:eastAsia="zh-CN"/>
        </w:rPr>
        <w:t>2018</w:t>
      </w:r>
      <w:r w:rsidR="00AB3E30">
        <w:rPr>
          <w:rFonts w:hint="eastAsia"/>
          <w:lang w:val="en-AU" w:eastAsia="zh-CN"/>
        </w:rPr>
        <w:t>年，迪拜，修订版）在</w:t>
      </w:r>
      <w:r w:rsidR="00430FBF">
        <w:rPr>
          <w:rFonts w:hint="eastAsia"/>
          <w:lang w:val="en-AU" w:eastAsia="zh-CN"/>
        </w:rPr>
        <w:t>雇用外部管理</w:t>
      </w:r>
      <w:r w:rsidR="00AB3E30">
        <w:rPr>
          <w:rFonts w:hint="eastAsia"/>
          <w:lang w:val="en-AU" w:eastAsia="zh-CN"/>
        </w:rPr>
        <w:t>顾问（</w:t>
      </w:r>
      <w:r w:rsidR="00AB3E30">
        <w:rPr>
          <w:rFonts w:hint="eastAsia"/>
          <w:lang w:val="en-AU" w:eastAsia="zh-CN"/>
        </w:rPr>
        <w:t>c</w:t>
      </w:r>
      <w:r w:rsidR="00AB3E30">
        <w:rPr>
          <w:lang w:val="en-AU" w:eastAsia="zh-CN"/>
        </w:rPr>
        <w:t>onsultancy</w:t>
      </w:r>
      <w:r w:rsidR="00AB3E30">
        <w:rPr>
          <w:rFonts w:hint="eastAsia"/>
          <w:lang w:val="en-AU" w:eastAsia="zh-CN"/>
        </w:rPr>
        <w:t>）</w:t>
      </w:r>
      <w:r w:rsidR="00430FBF">
        <w:rPr>
          <w:rFonts w:hint="eastAsia"/>
          <w:lang w:val="en-AU" w:eastAsia="zh-CN"/>
        </w:rPr>
        <w:t>进行国际电联世界电信展活动的战略和财务评估方面采取的措施以及</w:t>
      </w:r>
      <w:r w:rsidR="00AB3E30">
        <w:rPr>
          <w:rFonts w:hint="eastAsia"/>
          <w:lang w:val="en-AU" w:eastAsia="zh-CN"/>
        </w:rPr>
        <w:t>其</w:t>
      </w:r>
      <w:r w:rsidR="00430FBF">
        <w:rPr>
          <w:rFonts w:hint="eastAsia"/>
          <w:lang w:val="en-AU" w:eastAsia="zh-CN"/>
        </w:rPr>
        <w:t>拟议的职责范围。</w:t>
      </w:r>
      <w:bookmarkEnd w:id="15"/>
    </w:p>
    <w:p w:rsidR="00373489" w:rsidRPr="009C7201" w:rsidRDefault="00373489" w:rsidP="00545308">
      <w:pPr>
        <w:rPr>
          <w:color w:val="000000"/>
          <w:lang w:val="en-CA" w:eastAsia="zh-CN"/>
        </w:rPr>
      </w:pPr>
      <w:r w:rsidRPr="009C7201">
        <w:rPr>
          <w:color w:val="000000"/>
          <w:lang w:val="en-CA" w:eastAsia="zh-CN"/>
        </w:rPr>
        <w:t>2.2</w:t>
      </w:r>
      <w:r w:rsidRPr="009C7201">
        <w:rPr>
          <w:color w:val="000000"/>
          <w:lang w:val="en-CA" w:eastAsia="zh-CN"/>
        </w:rPr>
        <w:tab/>
      </w:r>
      <w:bookmarkStart w:id="16" w:name="lt_pId046"/>
      <w:r w:rsidR="00BC6A3E">
        <w:rPr>
          <w:rFonts w:hint="eastAsia"/>
          <w:color w:val="000000"/>
          <w:lang w:val="en-CA" w:eastAsia="zh-CN"/>
        </w:rPr>
        <w:t>秘书处在该文件中提供有关雇用</w:t>
      </w:r>
      <w:r w:rsidR="00430FBF">
        <w:rPr>
          <w:rFonts w:hint="eastAsia"/>
          <w:color w:val="000000"/>
          <w:lang w:val="en-CA" w:eastAsia="zh-CN"/>
        </w:rPr>
        <w:t>外部管理</w:t>
      </w:r>
      <w:r w:rsidR="004D5B56">
        <w:rPr>
          <w:rFonts w:hint="eastAsia"/>
          <w:color w:val="000000"/>
          <w:lang w:val="en-CA" w:eastAsia="zh-CN"/>
        </w:rPr>
        <w:t>顾问</w:t>
      </w:r>
      <w:r w:rsidR="000F0514">
        <w:rPr>
          <w:rFonts w:hint="eastAsia"/>
          <w:color w:val="000000"/>
          <w:lang w:val="en-CA" w:eastAsia="zh-CN"/>
        </w:rPr>
        <w:t>的背景情况（包括利用电信展周转资本</w:t>
      </w:r>
      <w:r w:rsidR="00430FBF">
        <w:rPr>
          <w:rFonts w:hint="eastAsia"/>
          <w:color w:val="000000"/>
          <w:lang w:val="en-CA" w:eastAsia="zh-CN"/>
        </w:rPr>
        <w:t>基金（</w:t>
      </w:r>
      <w:r w:rsidR="00430FBF">
        <w:rPr>
          <w:rFonts w:hint="eastAsia"/>
          <w:color w:val="000000"/>
          <w:lang w:val="en-CA" w:eastAsia="zh-CN"/>
        </w:rPr>
        <w:t>EWCF</w:t>
      </w:r>
      <w:r w:rsidR="00430FBF">
        <w:rPr>
          <w:rFonts w:hint="eastAsia"/>
          <w:color w:val="000000"/>
          <w:lang w:val="en-CA" w:eastAsia="zh-CN"/>
        </w:rPr>
        <w:t>）为之出资）并提出了这一</w:t>
      </w:r>
      <w:r w:rsidR="000F0514">
        <w:rPr>
          <w:rFonts w:hint="eastAsia"/>
          <w:color w:val="000000"/>
          <w:lang w:val="en-CA" w:eastAsia="zh-CN"/>
        </w:rPr>
        <w:t>顾问</w:t>
      </w:r>
      <w:r w:rsidR="00430FBF">
        <w:rPr>
          <w:rFonts w:hint="eastAsia"/>
          <w:color w:val="000000"/>
          <w:lang w:val="en-CA" w:eastAsia="zh-CN"/>
        </w:rPr>
        <w:t>的职责范围，供</w:t>
      </w:r>
      <w:r w:rsidR="00430FBF">
        <w:rPr>
          <w:rFonts w:hint="eastAsia"/>
          <w:color w:val="000000"/>
          <w:lang w:val="en-CA" w:eastAsia="zh-CN"/>
        </w:rPr>
        <w:lastRenderedPageBreak/>
        <w:t>CWG-FHR</w:t>
      </w:r>
      <w:r w:rsidR="00430FBF">
        <w:rPr>
          <w:rFonts w:hint="eastAsia"/>
          <w:color w:val="000000"/>
          <w:lang w:val="en-CA" w:eastAsia="zh-CN"/>
        </w:rPr>
        <w:t>批准，同时该</w:t>
      </w:r>
      <w:r w:rsidR="000F0514">
        <w:rPr>
          <w:rFonts w:hint="eastAsia"/>
          <w:color w:val="000000"/>
          <w:lang w:val="en-CA" w:eastAsia="zh-CN"/>
        </w:rPr>
        <w:t>顾问</w:t>
      </w:r>
      <w:r w:rsidR="00430FBF">
        <w:rPr>
          <w:rFonts w:hint="eastAsia"/>
          <w:color w:val="000000"/>
          <w:lang w:val="en-CA" w:eastAsia="zh-CN"/>
        </w:rPr>
        <w:t>还提交了一份报告，其中包括有待理事会</w:t>
      </w:r>
      <w:r w:rsidR="00430FBF">
        <w:rPr>
          <w:rFonts w:hint="eastAsia"/>
          <w:color w:val="000000"/>
          <w:lang w:val="en-CA" w:eastAsia="zh-CN"/>
        </w:rPr>
        <w:t>2020</w:t>
      </w:r>
      <w:r w:rsidR="00430FBF">
        <w:rPr>
          <w:rFonts w:hint="eastAsia"/>
          <w:color w:val="000000"/>
          <w:lang w:val="en-CA" w:eastAsia="zh-CN"/>
        </w:rPr>
        <w:t>年会议采取行动的建议和多种不同战略。</w:t>
      </w:r>
      <w:bookmarkEnd w:id="16"/>
    </w:p>
    <w:p w:rsidR="00373489" w:rsidRPr="009C7201" w:rsidRDefault="00373489" w:rsidP="00545308">
      <w:pPr>
        <w:rPr>
          <w:lang w:val="en-AU" w:eastAsia="zh-CN"/>
        </w:rPr>
      </w:pPr>
      <w:r w:rsidRPr="009C7201">
        <w:rPr>
          <w:color w:val="000000"/>
          <w:lang w:val="en-CA" w:eastAsia="zh-CN"/>
        </w:rPr>
        <w:t>2.3</w:t>
      </w:r>
      <w:r w:rsidRPr="009C7201">
        <w:rPr>
          <w:color w:val="000000"/>
          <w:lang w:val="en-CA" w:eastAsia="zh-CN"/>
        </w:rPr>
        <w:tab/>
      </w:r>
      <w:bookmarkStart w:id="17" w:name="lt_pId048"/>
      <w:r w:rsidR="00DE31F9">
        <w:rPr>
          <w:rFonts w:hint="eastAsia"/>
          <w:lang w:val="en-AU" w:eastAsia="zh-CN"/>
        </w:rPr>
        <w:t>秘书长已</w:t>
      </w:r>
      <w:r w:rsidR="00430FBF">
        <w:rPr>
          <w:rFonts w:hint="eastAsia"/>
          <w:lang w:val="en-AU" w:eastAsia="zh-CN"/>
        </w:rPr>
        <w:t>请国际电联</w:t>
      </w:r>
      <w:r w:rsidR="00494930" w:rsidRPr="00F426F0">
        <w:rPr>
          <w:rFonts w:hint="eastAsia"/>
          <w:lang w:eastAsia="zh-CN"/>
        </w:rPr>
        <w:t>各成员国</w:t>
      </w:r>
      <w:r w:rsidR="00430FBF">
        <w:rPr>
          <w:rFonts w:hint="eastAsia"/>
          <w:lang w:eastAsia="zh-CN"/>
        </w:rPr>
        <w:t>（</w:t>
      </w:r>
      <w:r w:rsidR="00430FBF">
        <w:rPr>
          <w:rFonts w:hint="eastAsia"/>
          <w:lang w:eastAsia="zh-CN"/>
        </w:rPr>
        <w:t>CL-18/54</w:t>
      </w:r>
      <w:r w:rsidR="00430FBF">
        <w:rPr>
          <w:rFonts w:hint="eastAsia"/>
          <w:lang w:eastAsia="zh-CN"/>
        </w:rPr>
        <w:t>号通函）就雇用此类</w:t>
      </w:r>
      <w:r w:rsidR="00DE31F9">
        <w:rPr>
          <w:rFonts w:hint="eastAsia"/>
          <w:lang w:eastAsia="zh-CN"/>
        </w:rPr>
        <w:t>顾问</w:t>
      </w:r>
      <w:r w:rsidR="00430FBF">
        <w:rPr>
          <w:rFonts w:hint="eastAsia"/>
          <w:lang w:eastAsia="zh-CN"/>
        </w:rPr>
        <w:t>的职责范围献计献策，以确保全面解决人们关心且关切的问题。迄今已收到了</w:t>
      </w:r>
      <w:bookmarkStart w:id="18" w:name="lt_pId049"/>
      <w:bookmarkEnd w:id="17"/>
      <w:r w:rsidR="00430FBF">
        <w:rPr>
          <w:rFonts w:hint="eastAsia"/>
          <w:lang w:eastAsia="zh-CN"/>
        </w:rPr>
        <w:t>三</w:t>
      </w:r>
      <w:r w:rsidR="00430FBF">
        <w:rPr>
          <w:lang w:val="en-AU" w:eastAsia="zh-CN"/>
        </w:rPr>
        <w:t>（</w:t>
      </w:r>
      <w:r w:rsidR="00430FBF" w:rsidRPr="009C7201">
        <w:rPr>
          <w:lang w:val="en-AU" w:eastAsia="zh-CN"/>
        </w:rPr>
        <w:t>3</w:t>
      </w:r>
      <w:r w:rsidR="00430FBF">
        <w:rPr>
          <w:lang w:val="en-AU" w:eastAsia="zh-CN"/>
        </w:rPr>
        <w:t>）</w:t>
      </w:r>
      <w:r w:rsidR="00DE31F9">
        <w:rPr>
          <w:rFonts w:hint="eastAsia"/>
          <w:lang w:val="en-AU" w:eastAsia="zh-CN"/>
        </w:rPr>
        <w:t>个</w:t>
      </w:r>
      <w:r w:rsidR="00430FBF">
        <w:rPr>
          <w:rFonts w:hint="eastAsia"/>
          <w:lang w:val="en-AU" w:eastAsia="zh-CN"/>
        </w:rPr>
        <w:t>成员国（</w:t>
      </w:r>
      <w:r w:rsidR="00430FBF" w:rsidRPr="00A349B5">
        <w:rPr>
          <w:spacing w:val="-4"/>
          <w:lang w:val="en-AU" w:eastAsia="zh-CN"/>
        </w:rPr>
        <w:t>沙特阿拉伯王国、德国</w:t>
      </w:r>
      <w:r w:rsidR="00430FBF" w:rsidRPr="00A349B5">
        <w:rPr>
          <w:rFonts w:hint="eastAsia"/>
          <w:spacing w:val="-4"/>
          <w:lang w:val="en-AU" w:eastAsia="zh-CN"/>
        </w:rPr>
        <w:t>和</w:t>
      </w:r>
      <w:r w:rsidR="00430FBF" w:rsidRPr="00A349B5">
        <w:rPr>
          <w:spacing w:val="-4"/>
          <w:lang w:val="en-AU" w:eastAsia="zh-CN"/>
        </w:rPr>
        <w:t>南非）</w:t>
      </w:r>
      <w:r w:rsidR="00430FBF" w:rsidRPr="00A349B5">
        <w:rPr>
          <w:rFonts w:hint="eastAsia"/>
          <w:spacing w:val="-4"/>
          <w:lang w:val="en-AU" w:eastAsia="zh-CN"/>
        </w:rPr>
        <w:t>为此提交的文稿，在制定拟议的职责范围过程中，这些文稿已得到考虑。</w:t>
      </w:r>
      <w:bookmarkEnd w:id="18"/>
    </w:p>
    <w:p w:rsidR="00515015" w:rsidRDefault="00373489" w:rsidP="00545308">
      <w:pPr>
        <w:rPr>
          <w:color w:val="000000"/>
          <w:lang w:val="en-CA" w:eastAsia="zh-CN"/>
        </w:rPr>
      </w:pPr>
      <w:r w:rsidRPr="009C7201">
        <w:rPr>
          <w:color w:val="000000"/>
          <w:lang w:val="en-CA" w:eastAsia="zh-CN"/>
        </w:rPr>
        <w:t>2.4</w:t>
      </w:r>
      <w:r w:rsidRPr="009C7201">
        <w:rPr>
          <w:color w:val="000000"/>
          <w:lang w:val="en-CA" w:eastAsia="zh-CN"/>
        </w:rPr>
        <w:tab/>
      </w:r>
      <w:bookmarkStart w:id="19" w:name="lt_pId051"/>
      <w:r w:rsidR="00430FBF">
        <w:rPr>
          <w:rFonts w:hint="eastAsia"/>
          <w:color w:val="000000"/>
          <w:lang w:val="en-CA" w:eastAsia="zh-CN"/>
        </w:rPr>
        <w:t>考虑到内部采购程序，预计</w:t>
      </w:r>
      <w:r w:rsidR="009158FB">
        <w:rPr>
          <w:rFonts w:hint="eastAsia"/>
          <w:color w:val="000000"/>
          <w:lang w:val="en-CA" w:eastAsia="zh-CN"/>
        </w:rPr>
        <w:t>顾问</w:t>
      </w:r>
      <w:r w:rsidR="00430FBF">
        <w:rPr>
          <w:rFonts w:hint="eastAsia"/>
          <w:color w:val="000000"/>
          <w:lang w:val="en-CA" w:eastAsia="zh-CN"/>
        </w:rPr>
        <w:t>服务将于</w:t>
      </w:r>
      <w:r w:rsidR="00430FBF">
        <w:rPr>
          <w:rFonts w:hint="eastAsia"/>
          <w:color w:val="000000"/>
          <w:lang w:val="en-CA" w:eastAsia="zh-CN"/>
        </w:rPr>
        <w:t>2</w:t>
      </w:r>
      <w:bookmarkStart w:id="20" w:name="_GoBack"/>
      <w:bookmarkEnd w:id="20"/>
      <w:r w:rsidR="00430FBF">
        <w:rPr>
          <w:rFonts w:hint="eastAsia"/>
          <w:color w:val="000000"/>
          <w:lang w:val="en-CA" w:eastAsia="zh-CN"/>
        </w:rPr>
        <w:t>019</w:t>
      </w:r>
      <w:r w:rsidR="00430FBF">
        <w:rPr>
          <w:rFonts w:hint="eastAsia"/>
          <w:color w:val="000000"/>
          <w:lang w:val="en-CA" w:eastAsia="zh-CN"/>
        </w:rPr>
        <w:t>年</w:t>
      </w:r>
      <w:r w:rsidR="00430FBF">
        <w:rPr>
          <w:rFonts w:hint="eastAsia"/>
          <w:color w:val="000000"/>
          <w:lang w:val="en-CA" w:eastAsia="zh-CN"/>
        </w:rPr>
        <w:t>4</w:t>
      </w:r>
      <w:r w:rsidR="00430FBF">
        <w:rPr>
          <w:rFonts w:hint="eastAsia"/>
          <w:color w:val="000000"/>
          <w:lang w:val="en-CA" w:eastAsia="zh-CN"/>
        </w:rPr>
        <w:t>月</w:t>
      </w:r>
      <w:r w:rsidR="00430FBF">
        <w:rPr>
          <w:rFonts w:hint="eastAsia"/>
          <w:color w:val="000000"/>
          <w:lang w:val="en-CA" w:eastAsia="zh-CN"/>
        </w:rPr>
        <w:t>1</w:t>
      </w:r>
      <w:r w:rsidR="00430FBF">
        <w:rPr>
          <w:rFonts w:hint="eastAsia"/>
          <w:color w:val="000000"/>
          <w:lang w:val="en-CA" w:eastAsia="zh-CN"/>
        </w:rPr>
        <w:t>日开始，但顾问本身将在</w:t>
      </w:r>
      <w:r w:rsidR="00430FBF">
        <w:rPr>
          <w:rFonts w:hint="eastAsia"/>
          <w:color w:val="000000"/>
          <w:lang w:val="en-CA" w:eastAsia="zh-CN"/>
        </w:rPr>
        <w:t>2019</w:t>
      </w:r>
      <w:r w:rsidR="00430FBF">
        <w:rPr>
          <w:rFonts w:hint="eastAsia"/>
          <w:color w:val="000000"/>
          <w:lang w:val="en-CA" w:eastAsia="zh-CN"/>
        </w:rPr>
        <w:t>年</w:t>
      </w:r>
      <w:r w:rsidR="00430FBF">
        <w:rPr>
          <w:rFonts w:hint="eastAsia"/>
          <w:color w:val="000000"/>
          <w:lang w:val="en-CA" w:eastAsia="zh-CN"/>
        </w:rPr>
        <w:t>6</w:t>
      </w:r>
      <w:r w:rsidR="00430FBF">
        <w:rPr>
          <w:rFonts w:hint="eastAsia"/>
          <w:color w:val="000000"/>
          <w:lang w:val="en-CA" w:eastAsia="zh-CN"/>
        </w:rPr>
        <w:t>月得到聘用</w:t>
      </w:r>
      <w:r w:rsidR="00515015">
        <w:rPr>
          <w:rFonts w:hint="eastAsia"/>
          <w:color w:val="000000"/>
          <w:lang w:val="en-CA" w:eastAsia="zh-CN"/>
        </w:rPr>
        <w:t>，这就为完成综合审查和评估并将其报告提交理事会</w:t>
      </w:r>
      <w:r w:rsidR="00515015">
        <w:rPr>
          <w:rFonts w:hint="eastAsia"/>
          <w:color w:val="000000"/>
          <w:lang w:val="en-CA" w:eastAsia="zh-CN"/>
        </w:rPr>
        <w:t>2020</w:t>
      </w:r>
      <w:r w:rsidR="00515015">
        <w:rPr>
          <w:rFonts w:hint="eastAsia"/>
          <w:color w:val="000000"/>
          <w:lang w:val="en-CA" w:eastAsia="zh-CN"/>
        </w:rPr>
        <w:t>年会议留出了充裕时间。</w:t>
      </w:r>
    </w:p>
    <w:bookmarkEnd w:id="19"/>
    <w:p w:rsidR="00515015" w:rsidRDefault="00373489" w:rsidP="00545308">
      <w:pPr>
        <w:rPr>
          <w:lang w:val="en-CA" w:eastAsia="zh-CN"/>
        </w:rPr>
      </w:pPr>
      <w:r w:rsidRPr="009C7201">
        <w:rPr>
          <w:lang w:val="en-CA" w:eastAsia="zh-CN"/>
        </w:rPr>
        <w:t>2.5</w:t>
      </w:r>
      <w:r w:rsidRPr="009C7201">
        <w:rPr>
          <w:lang w:val="en-CA" w:eastAsia="zh-CN"/>
        </w:rPr>
        <w:tab/>
      </w:r>
      <w:bookmarkStart w:id="21" w:name="lt_pId053"/>
      <w:r w:rsidR="00515015">
        <w:rPr>
          <w:rFonts w:hint="eastAsia"/>
          <w:lang w:val="en-CA" w:eastAsia="zh-CN"/>
        </w:rPr>
        <w:t>拟议职责范围包括国际电联电信展活动的背景、外部管理</w:t>
      </w:r>
      <w:r w:rsidR="009158FB">
        <w:rPr>
          <w:rFonts w:hint="eastAsia"/>
          <w:lang w:val="en-CA" w:eastAsia="zh-CN"/>
        </w:rPr>
        <w:t>顾问</w:t>
      </w:r>
      <w:r w:rsidR="00515015">
        <w:rPr>
          <w:rFonts w:hint="eastAsia"/>
          <w:lang w:val="en-CA" w:eastAsia="zh-CN"/>
        </w:rPr>
        <w:t>的宗旨和目标、所要求的经历和资格、评估和审查范围（项目第一期）以及如下所述的项目实际成果和时间范围：</w:t>
      </w:r>
    </w:p>
    <w:p w:rsidR="00515015" w:rsidRDefault="00515015" w:rsidP="00515015">
      <w:pPr>
        <w:pStyle w:val="enumlev1"/>
        <w:rPr>
          <w:lang w:val="en-CA" w:eastAsia="zh-CN"/>
        </w:rPr>
      </w:pPr>
      <w:r w:rsidRPr="00515015">
        <w:rPr>
          <w:lang w:val="en-CA" w:eastAsia="zh-CN"/>
        </w:rPr>
        <w:t>•</w:t>
      </w:r>
      <w:r>
        <w:rPr>
          <w:lang w:val="en-CA" w:eastAsia="zh-CN"/>
        </w:rPr>
        <w:tab/>
        <w:t>2020</w:t>
      </w:r>
      <w:r>
        <w:rPr>
          <w:rFonts w:hint="eastAsia"/>
          <w:lang w:val="en-CA" w:eastAsia="zh-CN"/>
        </w:rPr>
        <w:t>年</w:t>
      </w:r>
      <w:r>
        <w:rPr>
          <w:rFonts w:hint="eastAsia"/>
          <w:lang w:val="en-CA" w:eastAsia="zh-CN"/>
        </w:rPr>
        <w:t>4</w:t>
      </w:r>
      <w:r>
        <w:rPr>
          <w:rFonts w:hint="eastAsia"/>
          <w:lang w:val="en-CA" w:eastAsia="zh-CN"/>
        </w:rPr>
        <w:t>月</w:t>
      </w:r>
      <w:r>
        <w:rPr>
          <w:rFonts w:hint="eastAsia"/>
          <w:lang w:val="en-CA" w:eastAsia="zh-CN"/>
        </w:rPr>
        <w:t>1</w:t>
      </w:r>
      <w:r>
        <w:rPr>
          <w:rFonts w:hint="eastAsia"/>
          <w:lang w:val="en-CA" w:eastAsia="zh-CN"/>
        </w:rPr>
        <w:t>日：向国际电联提交最后综合报告；</w:t>
      </w:r>
    </w:p>
    <w:p w:rsidR="00515015" w:rsidRDefault="00515015" w:rsidP="00515015">
      <w:pPr>
        <w:pStyle w:val="enumlev1"/>
        <w:rPr>
          <w:lang w:val="en-CA" w:eastAsia="zh-CN"/>
        </w:rPr>
      </w:pPr>
      <w:r w:rsidRPr="00515015">
        <w:rPr>
          <w:lang w:val="en-CA" w:eastAsia="zh-CN"/>
        </w:rPr>
        <w:t>•</w:t>
      </w:r>
      <w:r>
        <w:rPr>
          <w:lang w:val="en-CA" w:eastAsia="zh-CN"/>
        </w:rPr>
        <w:tab/>
      </w:r>
      <w:r>
        <w:rPr>
          <w:rFonts w:hint="eastAsia"/>
          <w:lang w:val="en-CA" w:eastAsia="zh-CN"/>
        </w:rPr>
        <w:t>在提交上述报告后的两周内：向国际电联高层管理人员做出口头介绍；</w:t>
      </w:r>
    </w:p>
    <w:p w:rsidR="00515015" w:rsidRDefault="00515015" w:rsidP="00515015">
      <w:pPr>
        <w:pStyle w:val="enumlev1"/>
        <w:rPr>
          <w:lang w:val="en-CA" w:eastAsia="zh-CN"/>
        </w:rPr>
      </w:pPr>
      <w:r w:rsidRPr="00515015">
        <w:rPr>
          <w:lang w:val="en-CA" w:eastAsia="zh-CN"/>
        </w:rPr>
        <w:t>•</w:t>
      </w:r>
      <w:r>
        <w:rPr>
          <w:lang w:val="en-CA" w:eastAsia="zh-CN"/>
        </w:rPr>
        <w:tab/>
        <w:t>2020</w:t>
      </w:r>
      <w:r>
        <w:rPr>
          <w:rFonts w:hint="eastAsia"/>
          <w:lang w:val="en-CA" w:eastAsia="zh-CN"/>
        </w:rPr>
        <w:t>年</w:t>
      </w:r>
      <w:r>
        <w:rPr>
          <w:rFonts w:hint="eastAsia"/>
          <w:lang w:val="en-CA" w:eastAsia="zh-CN"/>
        </w:rPr>
        <w:t>6</w:t>
      </w:r>
      <w:r>
        <w:rPr>
          <w:rFonts w:hint="eastAsia"/>
          <w:lang w:val="en-CA" w:eastAsia="zh-CN"/>
        </w:rPr>
        <w:t>月：向理事会口头介绍最终报告概要；</w:t>
      </w:r>
    </w:p>
    <w:p w:rsidR="00515015" w:rsidRDefault="00515015" w:rsidP="00515015">
      <w:pPr>
        <w:pStyle w:val="enumlev1"/>
        <w:rPr>
          <w:lang w:val="en-CA" w:eastAsia="zh-CN"/>
        </w:rPr>
      </w:pPr>
      <w:r w:rsidRPr="00515015">
        <w:rPr>
          <w:lang w:val="en-CA" w:eastAsia="zh-CN"/>
        </w:rPr>
        <w:t>•</w:t>
      </w:r>
      <w:r>
        <w:rPr>
          <w:lang w:val="en-CA" w:eastAsia="zh-CN"/>
        </w:rPr>
        <w:tab/>
        <w:t>2021</w:t>
      </w:r>
      <w:r>
        <w:rPr>
          <w:rFonts w:hint="eastAsia"/>
          <w:lang w:val="en-CA" w:eastAsia="zh-CN"/>
        </w:rPr>
        <w:t>年</w:t>
      </w:r>
      <w:r>
        <w:rPr>
          <w:rFonts w:hint="eastAsia"/>
          <w:lang w:val="en-CA" w:eastAsia="zh-CN"/>
        </w:rPr>
        <w:t>6</w:t>
      </w:r>
      <w:r>
        <w:rPr>
          <w:rFonts w:hint="eastAsia"/>
          <w:lang w:val="en-CA" w:eastAsia="zh-CN"/>
        </w:rPr>
        <w:t>月：如果需要委托</w:t>
      </w:r>
      <w:r w:rsidR="009158FB">
        <w:rPr>
          <w:rFonts w:hint="eastAsia"/>
          <w:lang w:val="en-CA" w:eastAsia="zh-CN"/>
        </w:rPr>
        <w:t>开展</w:t>
      </w:r>
      <w:r>
        <w:rPr>
          <w:rFonts w:hint="eastAsia"/>
          <w:lang w:val="en-CA" w:eastAsia="zh-CN"/>
        </w:rPr>
        <w:t>合同的第二期工作</w:t>
      </w:r>
      <w:r>
        <w:rPr>
          <w:rFonts w:hint="eastAsia"/>
          <w:lang w:val="en-CA" w:eastAsia="zh-CN"/>
        </w:rPr>
        <w:t xml:space="preserve"> </w:t>
      </w:r>
      <w:r w:rsidRPr="00515015">
        <w:rPr>
          <w:lang w:val="en-CA" w:eastAsia="zh-CN"/>
        </w:rPr>
        <w:t>–</w:t>
      </w:r>
      <w:r>
        <w:rPr>
          <w:lang w:val="en-CA" w:eastAsia="zh-CN"/>
        </w:rPr>
        <w:t xml:space="preserve"> </w:t>
      </w:r>
      <w:r>
        <w:rPr>
          <w:rFonts w:hint="eastAsia"/>
          <w:lang w:val="en-CA" w:eastAsia="zh-CN"/>
        </w:rPr>
        <w:t>制定涵盖各方面内容的、得到重新</w:t>
      </w:r>
      <w:r w:rsidR="009158FB">
        <w:rPr>
          <w:rFonts w:hint="eastAsia"/>
          <w:lang w:val="en-CA" w:eastAsia="zh-CN"/>
        </w:rPr>
        <w:t>设计</w:t>
      </w:r>
      <w:r w:rsidR="007F57EB">
        <w:rPr>
          <w:rFonts w:hint="eastAsia"/>
          <w:lang w:val="en-CA" w:eastAsia="zh-CN"/>
        </w:rPr>
        <w:t>的</w:t>
      </w:r>
      <w:r>
        <w:rPr>
          <w:rFonts w:hint="eastAsia"/>
          <w:lang w:val="en-CA" w:eastAsia="zh-CN"/>
        </w:rPr>
        <w:t>国际电联电信展计划，则提交第二阶段报告，以包括新的战略和实施计划。</w:t>
      </w:r>
    </w:p>
    <w:bookmarkEnd w:id="21"/>
    <w:p w:rsidR="00515015" w:rsidRDefault="00373489" w:rsidP="00545308">
      <w:pPr>
        <w:rPr>
          <w:lang w:val="en-CA" w:eastAsia="zh-CN"/>
        </w:rPr>
      </w:pPr>
      <w:r w:rsidRPr="009C7201">
        <w:rPr>
          <w:lang w:val="en-CA" w:eastAsia="zh-CN"/>
        </w:rPr>
        <w:t>2.6</w:t>
      </w:r>
      <w:r w:rsidRPr="009C7201">
        <w:rPr>
          <w:lang w:val="en-CA" w:eastAsia="zh-CN"/>
        </w:rPr>
        <w:tab/>
      </w:r>
      <w:bookmarkStart w:id="22" w:name="lt_pId059"/>
      <w:r w:rsidR="00515015">
        <w:rPr>
          <w:rFonts w:hint="eastAsia"/>
          <w:lang w:val="en-CA" w:eastAsia="zh-CN"/>
        </w:rPr>
        <w:t>由于若干代表对</w:t>
      </w:r>
      <w:r w:rsidR="00793E37">
        <w:rPr>
          <w:rFonts w:hint="eastAsia"/>
          <w:lang w:val="en-CA" w:eastAsia="zh-CN"/>
        </w:rPr>
        <w:t>顾问</w:t>
      </w:r>
      <w:r w:rsidR="00515015">
        <w:rPr>
          <w:rFonts w:hint="eastAsia"/>
          <w:lang w:val="en-CA" w:eastAsia="zh-CN"/>
        </w:rPr>
        <w:t>的职责范围提出了一些修订建议，</w:t>
      </w:r>
      <w:r w:rsidR="00793E37">
        <w:rPr>
          <w:rFonts w:hint="eastAsia"/>
          <w:lang w:val="en-CA" w:eastAsia="zh-CN"/>
        </w:rPr>
        <w:t>因此</w:t>
      </w:r>
      <w:r w:rsidR="00515015">
        <w:rPr>
          <w:rFonts w:hint="eastAsia"/>
          <w:lang w:val="en-CA" w:eastAsia="zh-CN"/>
        </w:rPr>
        <w:t>主席任命了一个由加拿大代表牵头的</w:t>
      </w:r>
      <w:r w:rsidR="00515015" w:rsidRPr="00515015">
        <w:rPr>
          <w:rFonts w:eastAsia="STKaiti" w:hint="eastAsia"/>
          <w:lang w:val="en-CA" w:eastAsia="zh-CN"/>
        </w:rPr>
        <w:t>特设</w:t>
      </w:r>
      <w:r w:rsidR="00515015">
        <w:rPr>
          <w:rFonts w:hint="eastAsia"/>
          <w:lang w:val="en-CA" w:eastAsia="zh-CN"/>
        </w:rPr>
        <w:t>组，以综合工作组成员的输入意见，并将经修订的职责范围草案提交</w:t>
      </w:r>
      <w:r w:rsidR="00515015">
        <w:rPr>
          <w:rFonts w:hint="eastAsia"/>
          <w:lang w:val="en-CA" w:eastAsia="zh-CN"/>
        </w:rPr>
        <w:t>CWG-FHR</w:t>
      </w:r>
      <w:r w:rsidR="00515015">
        <w:rPr>
          <w:rFonts w:hint="eastAsia"/>
          <w:lang w:val="en-CA" w:eastAsia="zh-CN"/>
        </w:rPr>
        <w:t>次日举行的会议。</w:t>
      </w:r>
    </w:p>
    <w:bookmarkEnd w:id="22"/>
    <w:p w:rsidR="00515015" w:rsidRDefault="00373489" w:rsidP="00545308">
      <w:pPr>
        <w:rPr>
          <w:lang w:val="en-CA" w:eastAsia="zh-CN"/>
        </w:rPr>
      </w:pPr>
      <w:r w:rsidRPr="009C7201">
        <w:rPr>
          <w:lang w:val="en-CA" w:eastAsia="zh-CN"/>
        </w:rPr>
        <w:t>2.7</w:t>
      </w:r>
      <w:r w:rsidRPr="009C7201">
        <w:rPr>
          <w:lang w:val="en-CA" w:eastAsia="zh-CN"/>
        </w:rPr>
        <w:tab/>
      </w:r>
      <w:bookmarkStart w:id="23" w:name="lt_pId061"/>
      <w:r w:rsidR="00515015">
        <w:rPr>
          <w:rFonts w:hint="eastAsia"/>
          <w:lang w:val="en-CA" w:eastAsia="zh-CN"/>
        </w:rPr>
        <w:t>以下是在修订职责范围中得到考虑的成员国发表的相关输入意见和建议：</w:t>
      </w:r>
    </w:p>
    <w:p w:rsidR="00515015" w:rsidRDefault="008C5B08" w:rsidP="00683621">
      <w:pPr>
        <w:pStyle w:val="enumlev1"/>
        <w:rPr>
          <w:lang w:val="en-CA" w:eastAsia="zh-CN"/>
        </w:rPr>
      </w:pPr>
      <w:r w:rsidRPr="008C5B08">
        <w:rPr>
          <w:lang w:val="en-CA" w:eastAsia="zh-CN"/>
        </w:rPr>
        <w:t>•</w:t>
      </w:r>
      <w:r>
        <w:rPr>
          <w:lang w:val="en-CA" w:eastAsia="zh-CN"/>
        </w:rPr>
        <w:tab/>
      </w:r>
      <w:r w:rsidR="00683621">
        <w:rPr>
          <w:rFonts w:hint="eastAsia"/>
          <w:lang w:val="en-CA" w:eastAsia="zh-CN"/>
        </w:rPr>
        <w:t>应针对顾问</w:t>
      </w:r>
      <w:r w:rsidR="00515015">
        <w:rPr>
          <w:rFonts w:hint="eastAsia"/>
          <w:lang w:val="en-CA" w:eastAsia="zh-CN"/>
        </w:rPr>
        <w:t>的预期成果和性质明确评估范围：对国际电联电信展活动进行全面的战略和财务评估及审查，还是将重点放在改善国际电联电信展活动上？</w:t>
      </w:r>
    </w:p>
    <w:p w:rsidR="008C5B08" w:rsidRDefault="008C5B08" w:rsidP="008C5B08">
      <w:pPr>
        <w:pStyle w:val="enumlev1"/>
        <w:rPr>
          <w:lang w:val="en-CA" w:eastAsia="zh-CN"/>
        </w:rPr>
      </w:pPr>
      <w:r w:rsidRPr="008C5B08">
        <w:rPr>
          <w:lang w:val="en-CA" w:eastAsia="zh-CN"/>
        </w:rPr>
        <w:t>•</w:t>
      </w:r>
      <w:r>
        <w:rPr>
          <w:lang w:val="en-CA" w:eastAsia="zh-CN"/>
        </w:rPr>
        <w:tab/>
      </w:r>
      <w:r w:rsidRPr="008C5B08">
        <w:rPr>
          <w:rFonts w:asciiTheme="minorEastAsia" w:eastAsiaTheme="minorEastAsia" w:hAnsiTheme="minorEastAsia"/>
          <w:lang w:val="en-CA" w:eastAsia="zh-CN"/>
        </w:rPr>
        <w:t>“</w:t>
      </w:r>
      <w:r>
        <w:rPr>
          <w:rFonts w:hint="eastAsia"/>
          <w:lang w:val="en-CA" w:eastAsia="zh-CN"/>
        </w:rPr>
        <w:t>背景”不应成为职责范围的一部分；</w:t>
      </w:r>
    </w:p>
    <w:p w:rsidR="008C5B08" w:rsidRDefault="008C5B08" w:rsidP="008C5B08">
      <w:pPr>
        <w:pStyle w:val="enumlev1"/>
        <w:rPr>
          <w:lang w:val="en-CA" w:eastAsia="zh-CN"/>
        </w:rPr>
      </w:pPr>
      <w:r w:rsidRPr="008C5B08">
        <w:rPr>
          <w:lang w:val="en-CA" w:eastAsia="zh-CN"/>
        </w:rPr>
        <w:t>•</w:t>
      </w:r>
      <w:r>
        <w:rPr>
          <w:lang w:val="en-CA" w:eastAsia="zh-CN"/>
        </w:rPr>
        <w:tab/>
      </w:r>
      <w:r>
        <w:rPr>
          <w:rFonts w:hint="eastAsia"/>
          <w:lang w:val="en-CA" w:eastAsia="zh-CN"/>
        </w:rPr>
        <w:t>在对所介绍的、关于</w:t>
      </w:r>
      <w:r w:rsidR="00683621">
        <w:rPr>
          <w:rFonts w:hint="eastAsia"/>
          <w:lang w:val="en-CA" w:eastAsia="zh-CN"/>
        </w:rPr>
        <w:t>顾问</w:t>
      </w:r>
      <w:r>
        <w:rPr>
          <w:rFonts w:hint="eastAsia"/>
          <w:lang w:val="en-CA" w:eastAsia="zh-CN"/>
        </w:rPr>
        <w:t>将提供的分析的</w:t>
      </w:r>
      <w:r>
        <w:rPr>
          <w:rFonts w:hint="eastAsia"/>
          <w:lang w:val="en-CA" w:eastAsia="zh-CN"/>
        </w:rPr>
        <w:t>4</w:t>
      </w:r>
      <w:r w:rsidR="00E75361">
        <w:rPr>
          <w:rFonts w:hint="eastAsia"/>
          <w:lang w:val="en-CA" w:eastAsia="zh-CN"/>
        </w:rPr>
        <w:t>种</w:t>
      </w:r>
      <w:r>
        <w:rPr>
          <w:rFonts w:hint="eastAsia"/>
          <w:lang w:val="en-CA" w:eastAsia="zh-CN"/>
        </w:rPr>
        <w:t>方案进行深入讨论后，工作组接受了下列案文：</w:t>
      </w:r>
    </w:p>
    <w:p w:rsidR="008C5B08" w:rsidRPr="008C5B08" w:rsidRDefault="008C5B08" w:rsidP="008C5B08">
      <w:pPr>
        <w:pStyle w:val="enumlev1"/>
        <w:rPr>
          <w:rFonts w:eastAsia="STKaiti"/>
          <w:lang w:val="en-CA" w:eastAsia="zh-CN"/>
        </w:rPr>
      </w:pPr>
      <w:r>
        <w:rPr>
          <w:rFonts w:asciiTheme="majorEastAsia" w:eastAsia="STKaiti" w:hAnsiTheme="majorEastAsia"/>
          <w:lang w:val="en-CA" w:eastAsia="zh-CN"/>
        </w:rPr>
        <w:lastRenderedPageBreak/>
        <w:tab/>
      </w:r>
      <w:r w:rsidRPr="008C5B08">
        <w:rPr>
          <w:rFonts w:asciiTheme="majorEastAsia" w:eastAsia="STKaiti" w:hAnsiTheme="majorEastAsia"/>
          <w:lang w:val="en-CA" w:eastAsia="zh-CN"/>
        </w:rPr>
        <w:t>“</w:t>
      </w:r>
      <w:r w:rsidRPr="008C5B08">
        <w:rPr>
          <w:rFonts w:eastAsia="STKaiti" w:hint="eastAsia"/>
          <w:lang w:val="en-CA" w:eastAsia="zh-CN"/>
        </w:rPr>
        <w:t>全面研究国际电联电信展活动，包括其差距和</w:t>
      </w:r>
      <w:r w:rsidRPr="008C5B08">
        <w:rPr>
          <w:rFonts w:eastAsia="STKaiti" w:hint="eastAsia"/>
          <w:lang w:val="en-CA" w:eastAsia="zh-CN"/>
        </w:rPr>
        <w:t>SWOT</w:t>
      </w:r>
      <w:r w:rsidRPr="008C5B08">
        <w:rPr>
          <w:rFonts w:eastAsia="STKaiti" w:hint="eastAsia"/>
          <w:lang w:val="en-CA" w:eastAsia="zh-CN"/>
        </w:rPr>
        <w:t>（优势、弱势、机会、威胁）分析，以实现这样的目标，即</w:t>
      </w:r>
      <w:r w:rsidR="00982EEF">
        <w:rPr>
          <w:rFonts w:eastAsia="STKaiti" w:hint="eastAsia"/>
          <w:lang w:val="en-CA" w:eastAsia="zh-CN"/>
        </w:rPr>
        <w:t>，</w:t>
      </w:r>
      <w:r w:rsidRPr="008C5B08">
        <w:rPr>
          <w:rFonts w:eastAsia="STKaiti" w:hint="eastAsia"/>
          <w:lang w:val="en-CA" w:eastAsia="zh-CN"/>
        </w:rPr>
        <w:t>使国际电联成员随时了解涉及电信</w:t>
      </w:r>
      <w:r w:rsidRPr="008C5B08">
        <w:rPr>
          <w:rFonts w:eastAsia="STKaiti" w:hint="eastAsia"/>
          <w:lang w:val="en-CA" w:eastAsia="zh-CN"/>
        </w:rPr>
        <w:t>/ICT</w:t>
      </w:r>
      <w:r w:rsidRPr="008C5B08">
        <w:rPr>
          <w:rFonts w:eastAsia="STKaiti" w:hint="eastAsia"/>
          <w:lang w:val="en-CA" w:eastAsia="zh-CN"/>
        </w:rPr>
        <w:t>及相关活动领域各方面的最新技术、战略和政策。”</w:t>
      </w:r>
    </w:p>
    <w:p w:rsidR="008C5B08" w:rsidRDefault="008C5B08" w:rsidP="008C5B08">
      <w:pPr>
        <w:pStyle w:val="enumlev1"/>
        <w:rPr>
          <w:lang w:val="en-CA" w:eastAsia="zh-CN"/>
        </w:rPr>
      </w:pPr>
      <w:r w:rsidRPr="008C5B08">
        <w:rPr>
          <w:lang w:val="en-CA" w:eastAsia="zh-CN"/>
        </w:rPr>
        <w:t>•</w:t>
      </w:r>
      <w:r>
        <w:rPr>
          <w:lang w:val="en-CA" w:eastAsia="zh-CN"/>
        </w:rPr>
        <w:tab/>
      </w:r>
      <w:r>
        <w:rPr>
          <w:rFonts w:hint="eastAsia"/>
          <w:lang w:val="en-CA" w:eastAsia="zh-CN"/>
        </w:rPr>
        <w:t>上述经修订的案文包括对国际电联电信展活动独一无二价值的考虑；</w:t>
      </w:r>
    </w:p>
    <w:p w:rsidR="008C5B08" w:rsidRDefault="008C5B08" w:rsidP="008C5B08">
      <w:pPr>
        <w:pStyle w:val="enumlev1"/>
        <w:rPr>
          <w:lang w:val="en-CA" w:eastAsia="zh-CN"/>
        </w:rPr>
      </w:pPr>
      <w:r w:rsidRPr="008C5B08">
        <w:rPr>
          <w:lang w:val="en-CA" w:eastAsia="zh-CN"/>
        </w:rPr>
        <w:t>•</w:t>
      </w:r>
      <w:r>
        <w:rPr>
          <w:lang w:val="en-CA" w:eastAsia="zh-CN"/>
        </w:rPr>
        <w:tab/>
      </w:r>
      <w:r>
        <w:rPr>
          <w:rFonts w:hint="eastAsia"/>
          <w:lang w:val="en-CA" w:eastAsia="zh-CN"/>
        </w:rPr>
        <w:t>工作组决定将有关组织和财务问题以及成本回收作为两个单独段落加以保留；</w:t>
      </w:r>
    </w:p>
    <w:p w:rsidR="008C5B08" w:rsidRDefault="008C5B08" w:rsidP="008C5B08">
      <w:pPr>
        <w:pStyle w:val="enumlev1"/>
        <w:rPr>
          <w:lang w:val="en-CA" w:eastAsia="zh-CN"/>
        </w:rPr>
      </w:pPr>
      <w:r w:rsidRPr="008C5B08">
        <w:rPr>
          <w:lang w:val="en-CA" w:eastAsia="zh-CN"/>
        </w:rPr>
        <w:t>•</w:t>
      </w:r>
      <w:r>
        <w:rPr>
          <w:lang w:val="en-CA" w:eastAsia="zh-CN"/>
        </w:rPr>
        <w:tab/>
      </w:r>
      <w:r>
        <w:rPr>
          <w:rFonts w:hint="eastAsia"/>
          <w:lang w:val="en-CA" w:eastAsia="zh-CN"/>
        </w:rPr>
        <w:t>考虑到各方在</w:t>
      </w:r>
      <w:r>
        <w:rPr>
          <w:rFonts w:hint="eastAsia"/>
          <w:lang w:val="en-CA" w:eastAsia="zh-CN"/>
        </w:rPr>
        <w:t>PP-18</w:t>
      </w:r>
      <w:r>
        <w:rPr>
          <w:rFonts w:hint="eastAsia"/>
          <w:lang w:val="en-CA" w:eastAsia="zh-CN"/>
        </w:rPr>
        <w:t>上表达的关切，研究</w:t>
      </w:r>
      <w:r w:rsidR="00683621">
        <w:rPr>
          <w:rFonts w:hint="eastAsia"/>
          <w:lang w:val="en-CA" w:eastAsia="zh-CN"/>
        </w:rPr>
        <w:t>工作</w:t>
      </w:r>
      <w:r>
        <w:rPr>
          <w:rFonts w:hint="eastAsia"/>
          <w:lang w:val="en-CA" w:eastAsia="zh-CN"/>
        </w:rPr>
        <w:t>还将包括审视发展中国家在参加国际电联电信展活动方面所特有的益处和障碍；</w:t>
      </w:r>
    </w:p>
    <w:p w:rsidR="008C5B08" w:rsidRDefault="008C5B08" w:rsidP="008C5B08">
      <w:pPr>
        <w:pStyle w:val="enumlev1"/>
        <w:rPr>
          <w:lang w:val="en-CA" w:eastAsia="zh-CN"/>
        </w:rPr>
      </w:pPr>
      <w:r w:rsidRPr="008C5B08">
        <w:rPr>
          <w:lang w:val="en-CA" w:eastAsia="zh-CN"/>
        </w:rPr>
        <w:t>•</w:t>
      </w:r>
      <w:r>
        <w:rPr>
          <w:lang w:val="en-CA" w:eastAsia="zh-CN"/>
        </w:rPr>
        <w:tab/>
      </w:r>
      <w:r>
        <w:rPr>
          <w:rFonts w:hint="eastAsia"/>
          <w:lang w:val="en-CA" w:eastAsia="zh-CN"/>
        </w:rPr>
        <w:t>工作组还同意，应考虑最近</w:t>
      </w:r>
      <w:r>
        <w:rPr>
          <w:rFonts w:hint="eastAsia"/>
          <w:lang w:val="en-CA" w:eastAsia="zh-CN"/>
        </w:rPr>
        <w:t>8</w:t>
      </w:r>
      <w:r>
        <w:rPr>
          <w:rFonts w:hint="eastAsia"/>
          <w:lang w:val="en-CA" w:eastAsia="zh-CN"/>
        </w:rPr>
        <w:t>年而非最近</w:t>
      </w:r>
      <w:r>
        <w:rPr>
          <w:rFonts w:hint="eastAsia"/>
          <w:lang w:val="en-CA" w:eastAsia="zh-CN"/>
        </w:rPr>
        <w:t>4</w:t>
      </w:r>
      <w:r>
        <w:rPr>
          <w:rFonts w:hint="eastAsia"/>
          <w:lang w:val="en-CA" w:eastAsia="zh-CN"/>
        </w:rPr>
        <w:t>年的国际电联电信展活动的结果；</w:t>
      </w:r>
    </w:p>
    <w:p w:rsidR="008C5B08" w:rsidRDefault="008C5B08" w:rsidP="008C5B08">
      <w:pPr>
        <w:pStyle w:val="enumlev1"/>
        <w:rPr>
          <w:lang w:val="en-CA" w:eastAsia="zh-CN"/>
        </w:rPr>
      </w:pPr>
      <w:r w:rsidRPr="008C5B08">
        <w:rPr>
          <w:lang w:val="en-CA" w:eastAsia="zh-CN"/>
        </w:rPr>
        <w:t>•</w:t>
      </w:r>
      <w:r>
        <w:rPr>
          <w:lang w:val="en-CA" w:eastAsia="zh-CN"/>
        </w:rPr>
        <w:tab/>
      </w:r>
      <w:r>
        <w:rPr>
          <w:rFonts w:hint="eastAsia"/>
          <w:lang w:val="en-CA" w:eastAsia="zh-CN"/>
        </w:rPr>
        <w:t>针对应采访的利益攸关方，建</w:t>
      </w:r>
      <w:r w:rsidR="000739A7">
        <w:rPr>
          <w:rFonts w:hint="eastAsia"/>
          <w:lang w:val="en-CA" w:eastAsia="zh-CN"/>
        </w:rPr>
        <w:t>议被雇用的</w:t>
      </w:r>
      <w:r w:rsidR="00683621">
        <w:rPr>
          <w:rFonts w:hint="eastAsia"/>
          <w:lang w:val="en-CA" w:eastAsia="zh-CN"/>
        </w:rPr>
        <w:t>顾问</w:t>
      </w:r>
      <w:r w:rsidR="000739A7">
        <w:rPr>
          <w:rFonts w:hint="eastAsia"/>
          <w:lang w:val="en-CA" w:eastAsia="zh-CN"/>
        </w:rPr>
        <w:t>可在网上提供问卷调查表，以便于各方方便和快捷地</w:t>
      </w:r>
      <w:r>
        <w:rPr>
          <w:rFonts w:hint="eastAsia"/>
          <w:lang w:val="en-CA" w:eastAsia="zh-CN"/>
        </w:rPr>
        <w:t>获取。</w:t>
      </w:r>
    </w:p>
    <w:bookmarkEnd w:id="23"/>
    <w:p w:rsidR="00373489" w:rsidRPr="009C7201" w:rsidRDefault="00373489" w:rsidP="00545308">
      <w:pPr>
        <w:rPr>
          <w:lang w:val="en-AU" w:eastAsia="zh-CN"/>
        </w:rPr>
      </w:pPr>
      <w:r w:rsidRPr="009C7201">
        <w:rPr>
          <w:lang w:val="en-AU" w:eastAsia="zh-CN"/>
        </w:rPr>
        <w:t>2.8</w:t>
      </w:r>
      <w:r w:rsidRPr="009C7201">
        <w:rPr>
          <w:lang w:val="en-AU" w:eastAsia="zh-CN"/>
        </w:rPr>
        <w:tab/>
      </w:r>
      <w:bookmarkStart w:id="24" w:name="lt_pId072"/>
      <w:r w:rsidR="008C5B08">
        <w:rPr>
          <w:rFonts w:hint="eastAsia"/>
          <w:lang w:val="en-AU" w:eastAsia="zh-CN"/>
        </w:rPr>
        <w:t>主席提醒工作组说，为了获得不偏不倚和独立的研究成果，成员国不应在</w:t>
      </w:r>
      <w:r w:rsidR="007353EB">
        <w:rPr>
          <w:rFonts w:hint="eastAsia"/>
          <w:lang w:val="en-AU" w:eastAsia="zh-CN"/>
        </w:rPr>
        <w:t>顾问</w:t>
      </w:r>
      <w:r w:rsidR="008C5B08">
        <w:rPr>
          <w:rFonts w:hint="eastAsia"/>
          <w:lang w:val="en-AU" w:eastAsia="zh-CN"/>
        </w:rPr>
        <w:t>的实际工作方面进行干预。不应设想</w:t>
      </w:r>
      <w:r w:rsidR="007353EB">
        <w:rPr>
          <w:rFonts w:hint="eastAsia"/>
          <w:lang w:val="en-AU" w:eastAsia="zh-CN"/>
        </w:rPr>
        <w:t>顾问</w:t>
      </w:r>
      <w:r w:rsidR="008C5B08">
        <w:rPr>
          <w:rFonts w:hint="eastAsia"/>
          <w:lang w:val="en-AU" w:eastAsia="zh-CN"/>
        </w:rPr>
        <w:t>的目的是终止国际电联电信展活动，因为第</w:t>
      </w:r>
      <w:r w:rsidR="008C5B08">
        <w:rPr>
          <w:rFonts w:hint="eastAsia"/>
          <w:lang w:val="en-AU" w:eastAsia="zh-CN"/>
        </w:rPr>
        <w:t>11</w:t>
      </w:r>
      <w:r w:rsidR="008C5B08">
        <w:rPr>
          <w:rFonts w:hint="eastAsia"/>
          <w:lang w:val="en-AU" w:eastAsia="zh-CN"/>
        </w:rPr>
        <w:t>号决议</w:t>
      </w:r>
      <w:r w:rsidR="008C5B08" w:rsidRPr="008C5B08">
        <w:rPr>
          <w:rFonts w:eastAsia="STKaiti" w:hint="eastAsia"/>
          <w:lang w:val="en-AU" w:eastAsia="zh-CN"/>
        </w:rPr>
        <w:t>做出决议</w:t>
      </w:r>
      <w:r w:rsidR="008C5B08">
        <w:rPr>
          <w:rFonts w:hint="eastAsia"/>
          <w:lang w:val="en-AU" w:eastAsia="zh-CN"/>
        </w:rPr>
        <w:t>第</w:t>
      </w:r>
      <w:r w:rsidR="008C5B08">
        <w:rPr>
          <w:rFonts w:hint="eastAsia"/>
          <w:lang w:val="en-AU" w:eastAsia="zh-CN"/>
        </w:rPr>
        <w:t>1</w:t>
      </w:r>
      <w:r w:rsidR="008C5B08">
        <w:rPr>
          <w:rFonts w:hint="eastAsia"/>
          <w:lang w:val="en-AU" w:eastAsia="zh-CN"/>
        </w:rPr>
        <w:t>段表明，国际电联应继续组织此类活动。</w:t>
      </w:r>
      <w:bookmarkEnd w:id="24"/>
    </w:p>
    <w:p w:rsidR="00373489" w:rsidRPr="009C7201" w:rsidRDefault="00373489" w:rsidP="00545308">
      <w:pPr>
        <w:rPr>
          <w:szCs w:val="24"/>
          <w:lang w:val="en-AU" w:eastAsia="zh-CN"/>
        </w:rPr>
      </w:pPr>
      <w:r w:rsidRPr="009C7201">
        <w:rPr>
          <w:szCs w:val="24"/>
          <w:lang w:val="en-AU" w:eastAsia="zh-CN"/>
        </w:rPr>
        <w:t>2.9</w:t>
      </w:r>
      <w:r w:rsidRPr="009C7201">
        <w:rPr>
          <w:szCs w:val="24"/>
          <w:lang w:val="en-AU" w:eastAsia="zh-CN"/>
        </w:rPr>
        <w:tab/>
      </w:r>
      <w:bookmarkStart w:id="25" w:name="lt_pId075"/>
      <w:r w:rsidR="008C5B08">
        <w:rPr>
          <w:rFonts w:hint="eastAsia"/>
          <w:szCs w:val="24"/>
          <w:lang w:val="en-AU" w:eastAsia="zh-CN"/>
        </w:rPr>
        <w:t>按照第</w:t>
      </w:r>
      <w:r w:rsidR="008C5B08">
        <w:rPr>
          <w:rFonts w:hint="eastAsia"/>
          <w:szCs w:val="24"/>
          <w:lang w:val="en-AU" w:eastAsia="zh-CN"/>
        </w:rPr>
        <w:t>11</w:t>
      </w:r>
      <w:r w:rsidR="008C5B08">
        <w:rPr>
          <w:rFonts w:hint="eastAsia"/>
          <w:szCs w:val="24"/>
          <w:lang w:val="en-AU" w:eastAsia="zh-CN"/>
        </w:rPr>
        <w:t>号决议（</w:t>
      </w:r>
      <w:r w:rsidR="008C5B08">
        <w:rPr>
          <w:rFonts w:hint="eastAsia"/>
          <w:szCs w:val="24"/>
          <w:lang w:val="en-AU" w:eastAsia="zh-CN"/>
        </w:rPr>
        <w:t>2018</w:t>
      </w:r>
      <w:r w:rsidR="008C5B08">
        <w:rPr>
          <w:rFonts w:hint="eastAsia"/>
          <w:szCs w:val="24"/>
          <w:lang w:val="en-AU" w:eastAsia="zh-CN"/>
        </w:rPr>
        <w:t>年，迪拜，修订版）</w:t>
      </w:r>
      <w:r w:rsidR="000C7B60">
        <w:rPr>
          <w:rFonts w:hint="eastAsia"/>
          <w:szCs w:val="24"/>
          <w:lang w:val="en-AU" w:eastAsia="zh-CN"/>
        </w:rPr>
        <w:t>的</w:t>
      </w:r>
      <w:r w:rsidR="008C5B08">
        <w:rPr>
          <w:rFonts w:hint="eastAsia"/>
          <w:szCs w:val="24"/>
          <w:lang w:val="en-AU" w:eastAsia="zh-CN"/>
        </w:rPr>
        <w:t>要求，工作组已批准了</w:t>
      </w:r>
      <w:r w:rsidR="00080923">
        <w:rPr>
          <w:rFonts w:hint="eastAsia"/>
          <w:szCs w:val="24"/>
          <w:lang w:val="en-AU" w:eastAsia="zh-CN"/>
        </w:rPr>
        <w:t>顾问</w:t>
      </w:r>
      <w:r w:rsidR="008C5B08">
        <w:rPr>
          <w:rFonts w:hint="eastAsia"/>
          <w:szCs w:val="24"/>
          <w:lang w:val="en-AU" w:eastAsia="zh-CN"/>
        </w:rPr>
        <w:t>的职责范围，因此，现在可以启动采购程序了。</w:t>
      </w:r>
      <w:bookmarkEnd w:id="25"/>
    </w:p>
    <w:p w:rsidR="00373489" w:rsidRPr="00B06FD8" w:rsidRDefault="00373489" w:rsidP="00545308">
      <w:pPr>
        <w:pStyle w:val="Heading1"/>
        <w:rPr>
          <w:lang w:eastAsia="zh-CN"/>
        </w:rPr>
      </w:pPr>
      <w:r w:rsidRPr="00B06FD8">
        <w:rPr>
          <w:lang w:val="en-AU" w:eastAsia="zh-CN"/>
        </w:rPr>
        <w:t>3</w:t>
      </w:r>
      <w:r w:rsidRPr="00B06FD8">
        <w:rPr>
          <w:lang w:val="en-AU" w:eastAsia="zh-CN"/>
        </w:rPr>
        <w:tab/>
      </w:r>
      <w:bookmarkStart w:id="26" w:name="lt_pId078"/>
      <w:r w:rsidR="008C5B08">
        <w:rPr>
          <w:rFonts w:hint="eastAsia"/>
          <w:lang w:val="en-AU" w:eastAsia="zh-CN"/>
        </w:rPr>
        <w:t>审查人力资源战略规划和第</w:t>
      </w:r>
      <w:r w:rsidR="008C5B08">
        <w:rPr>
          <w:rFonts w:hint="eastAsia"/>
          <w:lang w:val="en-AU" w:eastAsia="zh-CN"/>
        </w:rPr>
        <w:t>48</w:t>
      </w:r>
      <w:r w:rsidR="008C5B08">
        <w:rPr>
          <w:rFonts w:hint="eastAsia"/>
          <w:lang w:val="en-AU" w:eastAsia="zh-CN"/>
        </w:rPr>
        <w:t>号决议的落实情况</w:t>
      </w:r>
      <w:bookmarkEnd w:id="26"/>
    </w:p>
    <w:p w:rsidR="00373489" w:rsidRPr="00B06FD8" w:rsidRDefault="00373489" w:rsidP="00545308">
      <w:pPr>
        <w:pStyle w:val="Headingb"/>
        <w:rPr>
          <w:lang w:eastAsia="zh-CN"/>
        </w:rPr>
      </w:pPr>
      <w:r w:rsidRPr="00B06FD8">
        <w:rPr>
          <w:lang w:eastAsia="zh-CN"/>
        </w:rPr>
        <w:tab/>
      </w:r>
      <w:bookmarkStart w:id="27" w:name="lt_pId079"/>
      <w:r w:rsidR="008C5B08">
        <w:rPr>
          <w:lang w:eastAsia="zh-CN"/>
        </w:rPr>
        <w:t>2020</w:t>
      </w:r>
      <w:r w:rsidR="009A5DC1">
        <w:rPr>
          <w:lang w:eastAsia="zh-CN"/>
        </w:rPr>
        <w:t>-2023</w:t>
      </w:r>
      <w:r w:rsidR="009A5DC1">
        <w:rPr>
          <w:rFonts w:hint="eastAsia"/>
          <w:lang w:eastAsia="zh-CN"/>
        </w:rPr>
        <w:t>年新人力资源</w:t>
      </w:r>
      <w:r w:rsidR="00B17188">
        <w:rPr>
          <w:rFonts w:hint="eastAsia"/>
          <w:lang w:eastAsia="zh-CN"/>
        </w:rPr>
        <w:t>战略</w:t>
      </w:r>
      <w:r w:rsidR="009A5DC1">
        <w:rPr>
          <w:rFonts w:hint="eastAsia"/>
          <w:lang w:eastAsia="zh-CN"/>
        </w:rPr>
        <w:t>规划框架（</w:t>
      </w:r>
      <w:hyperlink r:id="rId11" w:history="1">
        <w:r w:rsidRPr="00B06FD8">
          <w:rPr>
            <w:rStyle w:val="Hyperlink"/>
            <w:bCs/>
            <w:szCs w:val="24"/>
            <w:lang w:eastAsia="zh-CN"/>
          </w:rPr>
          <w:t>CWG-FHR 9/11</w:t>
        </w:r>
      </w:hyperlink>
      <w:bookmarkEnd w:id="27"/>
      <w:r w:rsidR="009A5DC1" w:rsidRPr="009A5DC1">
        <w:rPr>
          <w:rFonts w:hint="eastAsia"/>
          <w:lang w:eastAsia="zh-CN"/>
        </w:rPr>
        <w:t>号文件）</w:t>
      </w:r>
    </w:p>
    <w:p w:rsidR="00373489" w:rsidRPr="00B06FD8" w:rsidRDefault="00373489" w:rsidP="00545308">
      <w:pPr>
        <w:rPr>
          <w:sz w:val="22"/>
          <w:lang w:val="en-US" w:eastAsia="zh-CN"/>
        </w:rPr>
      </w:pPr>
      <w:r w:rsidRPr="00B06FD8">
        <w:rPr>
          <w:lang w:eastAsia="zh-CN"/>
        </w:rPr>
        <w:t>3.1</w:t>
      </w:r>
      <w:r w:rsidRPr="00B06FD8">
        <w:rPr>
          <w:lang w:eastAsia="zh-CN"/>
        </w:rPr>
        <w:tab/>
      </w:r>
      <w:bookmarkStart w:id="28" w:name="lt_pId081"/>
      <w:r w:rsidR="009A5DC1">
        <w:rPr>
          <w:rFonts w:hint="eastAsia"/>
          <w:lang w:eastAsia="zh-CN"/>
        </w:rPr>
        <w:t>人力资源（</w:t>
      </w:r>
      <w:r w:rsidR="009A5DC1">
        <w:rPr>
          <w:rFonts w:hint="eastAsia"/>
          <w:lang w:eastAsia="zh-CN"/>
        </w:rPr>
        <w:t>HR</w:t>
      </w:r>
      <w:r w:rsidR="009A5DC1">
        <w:rPr>
          <w:rFonts w:hint="eastAsia"/>
          <w:lang w:eastAsia="zh-CN"/>
        </w:rPr>
        <w:t>）管理部主任介绍了</w:t>
      </w:r>
      <w:r w:rsidRPr="00B06FD8">
        <w:rPr>
          <w:lang w:eastAsia="zh-CN"/>
        </w:rPr>
        <w:t>CWG-FHR</w:t>
      </w:r>
      <w:r w:rsidR="003D163A">
        <w:rPr>
          <w:lang w:eastAsia="zh-CN"/>
        </w:rPr>
        <w:t xml:space="preserve"> </w:t>
      </w:r>
      <w:r w:rsidRPr="00B06FD8">
        <w:rPr>
          <w:lang w:eastAsia="zh-CN"/>
        </w:rPr>
        <w:t>9/11</w:t>
      </w:r>
      <w:r w:rsidR="009A5DC1">
        <w:rPr>
          <w:rFonts w:hint="eastAsia"/>
          <w:lang w:eastAsia="zh-CN"/>
        </w:rPr>
        <w:t>号文件。人力资源管理部（</w:t>
      </w:r>
      <w:r w:rsidR="009A5DC1">
        <w:rPr>
          <w:rFonts w:hint="eastAsia"/>
          <w:lang w:eastAsia="zh-CN"/>
        </w:rPr>
        <w:t>HRMD</w:t>
      </w:r>
      <w:r w:rsidR="009A5DC1">
        <w:rPr>
          <w:rFonts w:hint="eastAsia"/>
          <w:lang w:eastAsia="zh-CN"/>
        </w:rPr>
        <w:t>）已按照第</w:t>
      </w:r>
      <w:r w:rsidR="009A5DC1">
        <w:rPr>
          <w:rFonts w:hint="eastAsia"/>
          <w:lang w:eastAsia="zh-CN"/>
        </w:rPr>
        <w:t>48</w:t>
      </w:r>
      <w:r w:rsidR="009A5DC1">
        <w:rPr>
          <w:rFonts w:hint="eastAsia"/>
          <w:lang w:eastAsia="zh-CN"/>
        </w:rPr>
        <w:t>号决议（</w:t>
      </w:r>
      <w:r w:rsidR="009A5DC1">
        <w:rPr>
          <w:rFonts w:hint="eastAsia"/>
          <w:lang w:eastAsia="zh-CN"/>
        </w:rPr>
        <w:t>2018</w:t>
      </w:r>
      <w:r w:rsidR="009A5DC1">
        <w:rPr>
          <w:rFonts w:hint="eastAsia"/>
          <w:lang w:eastAsia="zh-CN"/>
        </w:rPr>
        <w:t>年，迪拜，修订版）开始了旨在确立</w:t>
      </w:r>
      <w:r w:rsidR="009A5DC1">
        <w:rPr>
          <w:rFonts w:hint="eastAsia"/>
          <w:lang w:eastAsia="zh-CN"/>
        </w:rPr>
        <w:t>2020-2023</w:t>
      </w:r>
      <w:r w:rsidR="009A5DC1">
        <w:rPr>
          <w:rFonts w:hint="eastAsia"/>
          <w:lang w:eastAsia="zh-CN"/>
        </w:rPr>
        <w:t>年四年期人力资源战略规划（</w:t>
      </w:r>
      <w:r w:rsidR="009A5DC1">
        <w:rPr>
          <w:rFonts w:hint="eastAsia"/>
          <w:lang w:eastAsia="zh-CN"/>
        </w:rPr>
        <w:t>HRSP</w:t>
      </w:r>
      <w:r w:rsidR="009A5DC1">
        <w:rPr>
          <w:rFonts w:hint="eastAsia"/>
          <w:lang w:eastAsia="zh-CN"/>
        </w:rPr>
        <w:t>）的工作。上</w:t>
      </w:r>
      <w:r w:rsidR="00290EBC">
        <w:rPr>
          <w:rFonts w:hint="eastAsia"/>
          <w:lang w:eastAsia="zh-CN"/>
        </w:rPr>
        <w:t>述决议责成秘书长在协调委员会的协助</w:t>
      </w:r>
      <w:r w:rsidR="00B17188">
        <w:rPr>
          <w:rFonts w:hint="eastAsia"/>
          <w:lang w:eastAsia="zh-CN"/>
        </w:rPr>
        <w:t>下</w:t>
      </w:r>
      <w:r w:rsidR="00290EBC">
        <w:rPr>
          <w:rFonts w:hint="eastAsia"/>
          <w:lang w:eastAsia="zh-CN"/>
        </w:rPr>
        <w:t>并与职工委员会和区域代表处协作</w:t>
      </w:r>
      <w:r w:rsidR="009A5DC1">
        <w:rPr>
          <w:rFonts w:hint="eastAsia"/>
          <w:lang w:eastAsia="zh-CN"/>
        </w:rPr>
        <w:t>制定并实施人力资源战略规划，同时将其与国际电联战略和财务规划相统一，以便满足国际电联、国际电联成员和国际电联工作人员的需求。</w:t>
      </w:r>
      <w:bookmarkEnd w:id="28"/>
    </w:p>
    <w:p w:rsidR="00373489" w:rsidRPr="00B06FD8" w:rsidRDefault="00373489" w:rsidP="00545308">
      <w:pPr>
        <w:rPr>
          <w:lang w:eastAsia="zh-CN"/>
        </w:rPr>
      </w:pPr>
      <w:r w:rsidRPr="00B06FD8">
        <w:rPr>
          <w:lang w:eastAsia="zh-CN"/>
        </w:rPr>
        <w:t>3.2</w:t>
      </w:r>
      <w:r w:rsidRPr="00B06FD8">
        <w:rPr>
          <w:lang w:eastAsia="zh-CN"/>
        </w:rPr>
        <w:tab/>
      </w:r>
      <w:bookmarkStart w:id="29" w:name="lt_pId084"/>
      <w:r w:rsidR="009A5DC1">
        <w:rPr>
          <w:rFonts w:hint="eastAsia"/>
          <w:lang w:eastAsia="zh-CN"/>
        </w:rPr>
        <w:t>本文件的目的是向</w:t>
      </w:r>
      <w:r w:rsidR="009A5DC1">
        <w:rPr>
          <w:rFonts w:hint="eastAsia"/>
          <w:lang w:eastAsia="zh-CN"/>
        </w:rPr>
        <w:t>CWG-FHR</w:t>
      </w:r>
      <w:r w:rsidR="009A5DC1">
        <w:rPr>
          <w:rFonts w:hint="eastAsia"/>
          <w:lang w:eastAsia="zh-CN"/>
        </w:rPr>
        <w:t>介绍人力资源管理部将遵循的、确立</w:t>
      </w:r>
      <w:r w:rsidR="009A5DC1">
        <w:rPr>
          <w:rFonts w:hint="eastAsia"/>
          <w:lang w:eastAsia="zh-CN"/>
        </w:rPr>
        <w:t>HRSP</w:t>
      </w:r>
      <w:r w:rsidR="000A18A9">
        <w:rPr>
          <w:rFonts w:hint="eastAsia"/>
          <w:lang w:eastAsia="zh-CN"/>
        </w:rPr>
        <w:t>的程序：</w:t>
      </w:r>
      <w:r w:rsidR="009A5DC1">
        <w:rPr>
          <w:rFonts w:hint="eastAsia"/>
          <w:lang w:eastAsia="zh-CN"/>
        </w:rPr>
        <w:t>以国际电联</w:t>
      </w:r>
      <w:r w:rsidR="000F4823">
        <w:rPr>
          <w:rFonts w:hint="eastAsia"/>
          <w:lang w:eastAsia="zh-CN"/>
        </w:rPr>
        <w:t>人员战略为出发点，</w:t>
      </w:r>
      <w:r w:rsidR="000A18A9">
        <w:rPr>
          <w:rFonts w:hint="eastAsia"/>
          <w:lang w:eastAsia="zh-CN"/>
        </w:rPr>
        <w:t>并参考</w:t>
      </w:r>
      <w:r w:rsidR="000F4823">
        <w:rPr>
          <w:rFonts w:hint="eastAsia"/>
          <w:lang w:eastAsia="zh-CN"/>
        </w:rPr>
        <w:t>现有的联合国共同制度、全权代表大会、理事会、管理协调组文件</w:t>
      </w:r>
      <w:r w:rsidR="003C7AD9">
        <w:rPr>
          <w:rFonts w:hint="eastAsia"/>
          <w:lang w:eastAsia="zh-CN"/>
        </w:rPr>
        <w:t>，</w:t>
      </w:r>
      <w:r w:rsidR="000A18A9">
        <w:rPr>
          <w:rFonts w:hint="eastAsia"/>
          <w:lang w:eastAsia="zh-CN"/>
        </w:rPr>
        <w:t>同时参照</w:t>
      </w:r>
      <w:r w:rsidR="000F4823">
        <w:rPr>
          <w:rFonts w:hint="eastAsia"/>
          <w:lang w:eastAsia="zh-CN"/>
        </w:rPr>
        <w:t>其他国际组织的人力资源战略进行基本衡量。</w:t>
      </w:r>
      <w:bookmarkEnd w:id="29"/>
    </w:p>
    <w:p w:rsidR="000F4823" w:rsidRDefault="00373489" w:rsidP="00545308">
      <w:pPr>
        <w:rPr>
          <w:lang w:eastAsia="zh-CN"/>
        </w:rPr>
      </w:pPr>
      <w:r w:rsidRPr="00B06FD8">
        <w:rPr>
          <w:lang w:eastAsia="zh-CN"/>
        </w:rPr>
        <w:lastRenderedPageBreak/>
        <w:t>3.3</w:t>
      </w:r>
      <w:r w:rsidRPr="00B06FD8">
        <w:rPr>
          <w:lang w:eastAsia="zh-CN"/>
        </w:rPr>
        <w:tab/>
      </w:r>
      <w:bookmarkStart w:id="30" w:name="lt_pId086"/>
      <w:r w:rsidRPr="00B06FD8">
        <w:rPr>
          <w:lang w:eastAsia="zh-CN"/>
        </w:rPr>
        <w:t>HRMD</w:t>
      </w:r>
      <w:r w:rsidR="000F4823">
        <w:rPr>
          <w:rFonts w:hint="eastAsia"/>
          <w:lang w:eastAsia="zh-CN"/>
        </w:rPr>
        <w:t>将于</w:t>
      </w:r>
      <w:r w:rsidR="000F4823">
        <w:rPr>
          <w:rFonts w:hint="eastAsia"/>
          <w:lang w:eastAsia="zh-CN"/>
        </w:rPr>
        <w:t>2</w:t>
      </w:r>
      <w:r w:rsidR="000F4823">
        <w:rPr>
          <w:rFonts w:hint="eastAsia"/>
          <w:lang w:eastAsia="zh-CN"/>
        </w:rPr>
        <w:t>月开始与各局、总秘书处各部和职工委员会进行磋商，以便将国际电联人员战略的优先工作和总体目标转化为由各部门具体需求所驱动并与国际电联总体优先工作和目标</w:t>
      </w:r>
      <w:r w:rsidR="00B12626">
        <w:rPr>
          <w:rFonts w:hint="eastAsia"/>
          <w:lang w:eastAsia="zh-CN"/>
        </w:rPr>
        <w:t>相</w:t>
      </w:r>
      <w:r w:rsidR="000F4823">
        <w:rPr>
          <w:rFonts w:hint="eastAsia"/>
          <w:lang w:eastAsia="zh-CN"/>
        </w:rPr>
        <w:t>吻合的</w:t>
      </w:r>
      <w:r w:rsidR="000F4823">
        <w:rPr>
          <w:rFonts w:hint="eastAsia"/>
          <w:lang w:eastAsia="zh-CN"/>
        </w:rPr>
        <w:t>HRSP</w:t>
      </w:r>
      <w:r w:rsidR="000F4823">
        <w:rPr>
          <w:rFonts w:hint="eastAsia"/>
          <w:lang w:eastAsia="zh-CN"/>
        </w:rPr>
        <w:t>。在这一磋商结果基础上，将制定提交理事会</w:t>
      </w:r>
      <w:r w:rsidR="000F4823">
        <w:rPr>
          <w:rFonts w:hint="eastAsia"/>
          <w:lang w:eastAsia="zh-CN"/>
        </w:rPr>
        <w:t>2019</w:t>
      </w:r>
      <w:r w:rsidR="000F4823">
        <w:rPr>
          <w:rFonts w:hint="eastAsia"/>
          <w:lang w:eastAsia="zh-CN"/>
        </w:rPr>
        <w:t>年会议批准的</w:t>
      </w:r>
      <w:r w:rsidR="000F4823">
        <w:rPr>
          <w:rFonts w:hint="eastAsia"/>
          <w:lang w:eastAsia="zh-CN"/>
        </w:rPr>
        <w:t>HRSP</w:t>
      </w:r>
      <w:r w:rsidR="000F4823">
        <w:rPr>
          <w:rFonts w:hint="eastAsia"/>
          <w:lang w:eastAsia="zh-CN"/>
        </w:rPr>
        <w:t>。</w:t>
      </w:r>
    </w:p>
    <w:bookmarkEnd w:id="30"/>
    <w:p w:rsidR="00373489" w:rsidRPr="00B06FD8" w:rsidRDefault="00373489" w:rsidP="00545308">
      <w:pPr>
        <w:pStyle w:val="Headingb"/>
        <w:rPr>
          <w:bCs/>
          <w:lang w:eastAsia="zh-CN"/>
        </w:rPr>
      </w:pPr>
      <w:r w:rsidRPr="00B06FD8">
        <w:rPr>
          <w:lang w:eastAsia="zh-CN"/>
        </w:rPr>
        <w:tab/>
      </w:r>
      <w:bookmarkStart w:id="31" w:name="lt_pId088"/>
      <w:r w:rsidR="000F4823">
        <w:rPr>
          <w:rFonts w:hint="eastAsia"/>
          <w:lang w:eastAsia="zh-CN"/>
        </w:rPr>
        <w:t>区域代表处的人员编制（第</w:t>
      </w:r>
      <w:r w:rsidR="000F4823">
        <w:rPr>
          <w:rFonts w:hint="eastAsia"/>
          <w:lang w:eastAsia="zh-CN"/>
        </w:rPr>
        <w:t>25</w:t>
      </w:r>
      <w:r w:rsidR="000F4823">
        <w:rPr>
          <w:rFonts w:hint="eastAsia"/>
          <w:lang w:eastAsia="zh-CN"/>
        </w:rPr>
        <w:t>号决议（</w:t>
      </w:r>
      <w:r w:rsidR="000F4823">
        <w:rPr>
          <w:rFonts w:hint="eastAsia"/>
          <w:lang w:eastAsia="zh-CN"/>
        </w:rPr>
        <w:t>2018</w:t>
      </w:r>
      <w:r w:rsidR="000F4823">
        <w:rPr>
          <w:rFonts w:hint="eastAsia"/>
          <w:lang w:eastAsia="zh-CN"/>
        </w:rPr>
        <w:t>年，迪拜，修订版））</w:t>
      </w:r>
      <w:bookmarkEnd w:id="31"/>
    </w:p>
    <w:p w:rsidR="00373489" w:rsidRPr="0028165E" w:rsidRDefault="00373489" w:rsidP="00545308">
      <w:pPr>
        <w:rPr>
          <w:lang w:val="en-US" w:eastAsia="zh-CN"/>
        </w:rPr>
      </w:pPr>
      <w:r w:rsidRPr="00B06FD8">
        <w:rPr>
          <w:lang w:val="en-US" w:eastAsia="zh-CN"/>
        </w:rPr>
        <w:t>3.4</w:t>
      </w:r>
      <w:r w:rsidRPr="00B06FD8">
        <w:rPr>
          <w:lang w:val="en-US" w:eastAsia="zh-CN"/>
        </w:rPr>
        <w:tab/>
      </w:r>
      <w:bookmarkStart w:id="32" w:name="lt_pId090"/>
      <w:r w:rsidR="000F4823">
        <w:rPr>
          <w:rFonts w:hint="eastAsia"/>
          <w:lang w:val="fr-CH" w:eastAsia="zh-CN"/>
        </w:rPr>
        <w:t>电信发展局新主任多琳</w:t>
      </w:r>
      <w:r w:rsidR="000F4823" w:rsidRPr="000F4823">
        <w:rPr>
          <w:rFonts w:hint="eastAsia"/>
          <w:lang w:eastAsia="zh-CN"/>
        </w:rPr>
        <w:t>•</w:t>
      </w:r>
      <w:r w:rsidR="000F4823">
        <w:rPr>
          <w:rFonts w:hint="eastAsia"/>
          <w:lang w:val="fr-CH" w:eastAsia="zh-CN"/>
        </w:rPr>
        <w:t>伯格丹</w:t>
      </w:r>
      <w:r w:rsidR="000F4823" w:rsidRPr="000F4823">
        <w:rPr>
          <w:rFonts w:hint="eastAsia"/>
          <w:lang w:eastAsia="zh-CN"/>
        </w:rPr>
        <w:t>-</w:t>
      </w:r>
      <w:r w:rsidR="000F4823">
        <w:rPr>
          <w:rFonts w:hint="eastAsia"/>
          <w:lang w:val="fr-CH" w:eastAsia="zh-CN"/>
        </w:rPr>
        <w:t>马丁</w:t>
      </w:r>
      <w:r w:rsidR="000F4823" w:rsidRPr="000F4823">
        <w:rPr>
          <w:rFonts w:hint="eastAsia"/>
          <w:lang w:eastAsia="zh-CN"/>
        </w:rPr>
        <w:t>（</w:t>
      </w:r>
      <w:r w:rsidRPr="00B06FD8">
        <w:rPr>
          <w:lang w:val="en-US" w:eastAsia="zh-CN"/>
        </w:rPr>
        <w:t>Doreen Bogdan-Martin</w:t>
      </w:r>
      <w:r w:rsidR="000F4823">
        <w:rPr>
          <w:rFonts w:hint="eastAsia"/>
          <w:lang w:val="en-US" w:eastAsia="zh-CN"/>
        </w:rPr>
        <w:t>）</w:t>
      </w:r>
      <w:r w:rsidR="000F4823">
        <w:rPr>
          <w:rFonts w:hint="eastAsia"/>
          <w:lang w:val="en-AU" w:eastAsia="zh-CN"/>
        </w:rPr>
        <w:t>女士口头介绍了区域代表处情况。</w:t>
      </w:r>
      <w:bookmarkEnd w:id="32"/>
    </w:p>
    <w:p w:rsidR="00373489" w:rsidRPr="0028165E" w:rsidRDefault="00373489" w:rsidP="00545308">
      <w:pPr>
        <w:rPr>
          <w:lang w:val="en-US" w:eastAsia="zh-CN"/>
        </w:rPr>
      </w:pPr>
      <w:r w:rsidRPr="0028165E">
        <w:rPr>
          <w:lang w:val="en-US" w:eastAsia="zh-CN"/>
        </w:rPr>
        <w:t>3.5</w:t>
      </w:r>
      <w:r w:rsidRPr="0028165E">
        <w:rPr>
          <w:lang w:val="en-US" w:eastAsia="zh-CN"/>
        </w:rPr>
        <w:tab/>
      </w:r>
      <w:bookmarkStart w:id="33" w:name="lt_pId092"/>
      <w:r w:rsidR="000F4823">
        <w:rPr>
          <w:rFonts w:hint="eastAsia"/>
          <w:lang w:val="en-US" w:eastAsia="zh-CN"/>
        </w:rPr>
        <w:t>以下总结电信发展局主任向工作组介绍的信息：</w:t>
      </w:r>
      <w:bookmarkEnd w:id="33"/>
    </w:p>
    <w:p w:rsidR="00CA1795" w:rsidRDefault="00CA1795" w:rsidP="00CA1795">
      <w:pPr>
        <w:pStyle w:val="enumlev1"/>
        <w:rPr>
          <w:lang w:eastAsia="zh-CN"/>
        </w:rPr>
      </w:pPr>
      <w:bookmarkStart w:id="34" w:name="lt_pId093"/>
      <w:r w:rsidRPr="0028165E">
        <w:rPr>
          <w:rFonts w:ascii="Symbol" w:hAnsi="Symbol"/>
          <w:lang w:val="en-US" w:eastAsia="zh-CN"/>
        </w:rPr>
        <w:t></w:t>
      </w:r>
      <w:r w:rsidRPr="0028165E">
        <w:rPr>
          <w:rFonts w:ascii="Symbol" w:hAnsi="Symbol"/>
          <w:lang w:val="en-US" w:eastAsia="zh-CN"/>
        </w:rPr>
        <w:tab/>
      </w:r>
      <w:r w:rsidRPr="00CA1795">
        <w:rPr>
          <w:rFonts w:hint="eastAsia"/>
          <w:lang w:eastAsia="zh-CN"/>
        </w:rPr>
        <w:t>重点关注与</w:t>
      </w:r>
      <w:r>
        <w:rPr>
          <w:rFonts w:hint="eastAsia"/>
          <w:lang w:eastAsia="zh-CN"/>
        </w:rPr>
        <w:t>区域代表处有关的两项重要因素：</w:t>
      </w:r>
    </w:p>
    <w:p w:rsidR="00CA1795" w:rsidRDefault="000B4AB2" w:rsidP="000B4AB2">
      <w:pPr>
        <w:pStyle w:val="enumlev2"/>
        <w:rPr>
          <w:lang w:eastAsia="zh-CN"/>
        </w:rPr>
      </w:pPr>
      <w:r>
        <w:rPr>
          <w:lang w:eastAsia="zh-CN"/>
        </w:rPr>
        <w:t>–</w:t>
      </w:r>
      <w:r>
        <w:rPr>
          <w:lang w:eastAsia="zh-CN"/>
        </w:rPr>
        <w:tab/>
      </w:r>
      <w:r w:rsidR="00CA1795">
        <w:rPr>
          <w:rFonts w:hint="eastAsia"/>
          <w:lang w:eastAsia="zh-CN"/>
        </w:rPr>
        <w:t>在电信发展局内部、总部与驻地以及与其他局和总秘书处的密切协作。目前计划每月举行各局主任之间的会议，以确保密切协作，避免重复工作；</w:t>
      </w:r>
    </w:p>
    <w:p w:rsidR="00CA1795" w:rsidRDefault="000B4AB2" w:rsidP="00E853E1">
      <w:pPr>
        <w:pStyle w:val="enumlev2"/>
        <w:rPr>
          <w:lang w:eastAsia="zh-CN"/>
        </w:rPr>
      </w:pPr>
      <w:r>
        <w:rPr>
          <w:lang w:eastAsia="zh-CN"/>
        </w:rPr>
        <w:t>–</w:t>
      </w:r>
      <w:r>
        <w:rPr>
          <w:lang w:eastAsia="zh-CN"/>
        </w:rPr>
        <w:tab/>
      </w:r>
      <w:r w:rsidR="00CA1795">
        <w:rPr>
          <w:rFonts w:hint="eastAsia"/>
          <w:lang w:eastAsia="zh-CN"/>
        </w:rPr>
        <w:t>电信发展局工作的协调统一，并在电信发展局现有</w:t>
      </w:r>
      <w:r w:rsidR="00CA1795">
        <w:rPr>
          <w:rFonts w:hint="eastAsia"/>
          <w:lang w:eastAsia="zh-CN"/>
        </w:rPr>
        <w:t>140</w:t>
      </w:r>
      <w:r w:rsidR="00CA1795">
        <w:rPr>
          <w:rFonts w:hint="eastAsia"/>
          <w:lang w:eastAsia="zh-CN"/>
        </w:rPr>
        <w:t>名工作人员和</w:t>
      </w:r>
      <w:r w:rsidR="00CA1795">
        <w:rPr>
          <w:rFonts w:hint="eastAsia"/>
          <w:lang w:eastAsia="zh-CN"/>
        </w:rPr>
        <w:t>2</w:t>
      </w:r>
      <w:proofErr w:type="gramStart"/>
      <w:r w:rsidR="00E853E1">
        <w:rPr>
          <w:lang w:eastAsia="zh-CN"/>
        </w:rPr>
        <w:t>,</w:t>
      </w:r>
      <w:r w:rsidR="00CA1795">
        <w:rPr>
          <w:lang w:eastAsia="zh-CN"/>
        </w:rPr>
        <w:t>860</w:t>
      </w:r>
      <w:r w:rsidR="00CA1795">
        <w:rPr>
          <w:rFonts w:hint="eastAsia"/>
          <w:lang w:eastAsia="zh-CN"/>
        </w:rPr>
        <w:t>万瑞郎预算的情况下</w:t>
      </w:r>
      <w:proofErr w:type="gramEnd"/>
      <w:r w:rsidR="00CA1795">
        <w:rPr>
          <w:rFonts w:hint="eastAsia"/>
          <w:lang w:eastAsia="zh-CN"/>
        </w:rPr>
        <w:t>，确定与</w:t>
      </w:r>
      <w:r w:rsidR="00CA1795">
        <w:rPr>
          <w:rFonts w:hint="eastAsia"/>
          <w:lang w:eastAsia="zh-CN"/>
        </w:rPr>
        <w:t>30</w:t>
      </w:r>
      <w:r w:rsidR="00CA1795">
        <w:rPr>
          <w:rFonts w:hint="eastAsia"/>
          <w:lang w:eastAsia="zh-CN"/>
        </w:rPr>
        <w:t>项区域性举措、</w:t>
      </w:r>
      <w:r w:rsidR="00CA1795">
        <w:rPr>
          <w:rFonts w:hint="eastAsia"/>
          <w:lang w:eastAsia="zh-CN"/>
        </w:rPr>
        <w:t>11</w:t>
      </w:r>
      <w:r w:rsidR="00CA1795">
        <w:rPr>
          <w:rFonts w:hint="eastAsia"/>
          <w:lang w:eastAsia="zh-CN"/>
        </w:rPr>
        <w:t>个项目和众多研究组课题相关的各项行动的轻重缓急；</w:t>
      </w:r>
    </w:p>
    <w:p w:rsidR="00CA1795" w:rsidRDefault="000B4AB2" w:rsidP="00CA1795">
      <w:pPr>
        <w:pStyle w:val="enumlev1"/>
        <w:rPr>
          <w:lang w:eastAsia="zh-CN"/>
        </w:rPr>
      </w:pPr>
      <w:r w:rsidRPr="0028165E">
        <w:rPr>
          <w:rFonts w:ascii="Symbol" w:hAnsi="Symbol"/>
          <w:lang w:val="en-US" w:eastAsia="zh-CN"/>
        </w:rPr>
        <w:t></w:t>
      </w:r>
      <w:r w:rsidRPr="0028165E">
        <w:rPr>
          <w:rFonts w:ascii="Symbol" w:hAnsi="Symbol"/>
          <w:lang w:val="en-US" w:eastAsia="zh-CN"/>
        </w:rPr>
        <w:tab/>
      </w:r>
      <w:r w:rsidR="00CA1795">
        <w:rPr>
          <w:rFonts w:hint="eastAsia"/>
          <w:lang w:eastAsia="zh-CN"/>
        </w:rPr>
        <w:t>电信发展局主任首次到访沙特阿拉伯，签署了进一步</w:t>
      </w:r>
      <w:r w:rsidR="00A84BB2">
        <w:rPr>
          <w:rFonts w:hint="eastAsia"/>
          <w:lang w:eastAsia="zh-CN"/>
        </w:rPr>
        <w:t>帮助</w:t>
      </w:r>
      <w:r w:rsidR="00CA1795">
        <w:rPr>
          <w:rFonts w:hint="eastAsia"/>
          <w:lang w:eastAsia="zh-CN"/>
        </w:rPr>
        <w:t>发展中国家的一项协议；</w:t>
      </w:r>
    </w:p>
    <w:p w:rsidR="00CA1795" w:rsidRDefault="000B4AB2" w:rsidP="00CA1795">
      <w:pPr>
        <w:pStyle w:val="enumlev1"/>
        <w:rPr>
          <w:lang w:eastAsia="zh-CN"/>
        </w:rPr>
      </w:pPr>
      <w:r w:rsidRPr="0028165E">
        <w:rPr>
          <w:rFonts w:ascii="Symbol" w:hAnsi="Symbol"/>
          <w:lang w:val="en-US" w:eastAsia="zh-CN"/>
        </w:rPr>
        <w:t></w:t>
      </w:r>
      <w:r w:rsidRPr="0028165E">
        <w:rPr>
          <w:rFonts w:ascii="Symbol" w:hAnsi="Symbol"/>
          <w:lang w:val="en-US" w:eastAsia="zh-CN"/>
        </w:rPr>
        <w:tab/>
      </w:r>
      <w:r w:rsidR="00CA1795">
        <w:rPr>
          <w:rFonts w:hint="eastAsia"/>
          <w:lang w:eastAsia="zh-CN"/>
        </w:rPr>
        <w:t>根据第</w:t>
      </w:r>
      <w:r w:rsidR="00CA1795">
        <w:rPr>
          <w:rFonts w:hint="eastAsia"/>
          <w:lang w:eastAsia="zh-CN"/>
        </w:rPr>
        <w:t>25</w:t>
      </w:r>
      <w:r w:rsidR="00CA1795">
        <w:rPr>
          <w:rFonts w:hint="eastAsia"/>
          <w:lang w:eastAsia="zh-CN"/>
        </w:rPr>
        <w:t>号决议（</w:t>
      </w:r>
      <w:r w:rsidR="00CA1795">
        <w:rPr>
          <w:rFonts w:hint="eastAsia"/>
          <w:lang w:eastAsia="zh-CN"/>
        </w:rPr>
        <w:t>2018</w:t>
      </w:r>
      <w:r w:rsidR="00CA1795">
        <w:rPr>
          <w:rFonts w:hint="eastAsia"/>
          <w:lang w:eastAsia="zh-CN"/>
        </w:rPr>
        <w:t>年，迪拜，修订版）责成部分的要求，发挥国际电联区域代表处作用的重要性；</w:t>
      </w:r>
    </w:p>
    <w:p w:rsidR="00CA1795" w:rsidRPr="000B4AB2" w:rsidRDefault="000B4AB2" w:rsidP="00A84BB2">
      <w:pPr>
        <w:pStyle w:val="enumlev1"/>
        <w:rPr>
          <w:lang w:eastAsia="zh-CN"/>
        </w:rPr>
      </w:pPr>
      <w:r w:rsidRPr="0028165E">
        <w:rPr>
          <w:rFonts w:ascii="Symbol" w:hAnsi="Symbol"/>
          <w:lang w:val="en-US" w:eastAsia="zh-CN"/>
        </w:rPr>
        <w:t></w:t>
      </w:r>
      <w:r w:rsidRPr="0028165E">
        <w:rPr>
          <w:rFonts w:ascii="Symbol" w:hAnsi="Symbol"/>
          <w:lang w:val="en-US" w:eastAsia="zh-CN"/>
        </w:rPr>
        <w:tab/>
      </w:r>
      <w:r w:rsidR="00CA1795" w:rsidRPr="000B4AB2">
        <w:rPr>
          <w:rFonts w:hint="eastAsia"/>
          <w:lang w:eastAsia="zh-CN"/>
        </w:rPr>
        <w:t>目前电信发展局正在与财务资源管理部和人力资源管理部协作，审查区域代表处工作。正在确定其职责范围。联检组（</w:t>
      </w:r>
      <w:r w:rsidR="00CA1795" w:rsidRPr="000B4AB2">
        <w:rPr>
          <w:rFonts w:hint="eastAsia"/>
          <w:lang w:eastAsia="zh-CN"/>
        </w:rPr>
        <w:t>GIU</w:t>
      </w:r>
      <w:r w:rsidR="00CA1795" w:rsidRPr="000B4AB2">
        <w:rPr>
          <w:rFonts w:hint="eastAsia"/>
          <w:lang w:eastAsia="zh-CN"/>
        </w:rPr>
        <w:t>）的建议、外部审计员提交理事会</w:t>
      </w:r>
      <w:r>
        <w:rPr>
          <w:rFonts w:hint="eastAsia"/>
          <w:lang w:eastAsia="zh-CN"/>
        </w:rPr>
        <w:t>2</w:t>
      </w:r>
      <w:r>
        <w:rPr>
          <w:lang w:eastAsia="zh-CN"/>
        </w:rPr>
        <w:t>018</w:t>
      </w:r>
      <w:r w:rsidR="00CA1795" w:rsidRPr="000B4AB2">
        <w:rPr>
          <w:rFonts w:hint="eastAsia"/>
          <w:lang w:eastAsia="zh-CN"/>
        </w:rPr>
        <w:t>年会议的报告以及独立管理顾问委员会（</w:t>
      </w:r>
      <w:r w:rsidR="00CA1795" w:rsidRPr="000B4AB2">
        <w:rPr>
          <w:rFonts w:hint="eastAsia"/>
          <w:lang w:eastAsia="zh-CN"/>
        </w:rPr>
        <w:t>IMAC</w:t>
      </w:r>
      <w:r w:rsidR="00CA1795" w:rsidRPr="000B4AB2">
        <w:rPr>
          <w:rFonts w:hint="eastAsia"/>
          <w:lang w:eastAsia="zh-CN"/>
        </w:rPr>
        <w:t>）发表的、关于某一区域代表处发生的</w:t>
      </w:r>
      <w:r w:rsidR="00A84BB2">
        <w:rPr>
          <w:rFonts w:hint="eastAsia"/>
          <w:lang w:eastAsia="zh-CN"/>
        </w:rPr>
        <w:t>、令人遗憾的</w:t>
      </w:r>
      <w:r w:rsidR="00CA1795" w:rsidRPr="000B4AB2">
        <w:rPr>
          <w:rFonts w:hint="eastAsia"/>
          <w:lang w:eastAsia="zh-CN"/>
        </w:rPr>
        <w:t>舞弊情况的意见正在得到考虑；</w:t>
      </w:r>
    </w:p>
    <w:p w:rsidR="00CA1795" w:rsidRPr="000B4AB2" w:rsidRDefault="000B4AB2" w:rsidP="000B4AB2">
      <w:pPr>
        <w:pStyle w:val="enumlev1"/>
        <w:rPr>
          <w:lang w:eastAsia="zh-CN"/>
        </w:rPr>
      </w:pPr>
      <w:r w:rsidRPr="0028165E">
        <w:rPr>
          <w:rFonts w:ascii="Symbol" w:hAnsi="Symbol"/>
          <w:lang w:val="en-US" w:eastAsia="zh-CN"/>
        </w:rPr>
        <w:t></w:t>
      </w:r>
      <w:r w:rsidRPr="0028165E">
        <w:rPr>
          <w:rFonts w:ascii="Symbol" w:hAnsi="Symbol"/>
          <w:lang w:val="en-US" w:eastAsia="zh-CN"/>
        </w:rPr>
        <w:tab/>
      </w:r>
      <w:r w:rsidR="00CA1795" w:rsidRPr="000B4AB2">
        <w:rPr>
          <w:rFonts w:hint="eastAsia"/>
          <w:lang w:eastAsia="zh-CN"/>
        </w:rPr>
        <w:t>电信发展局在推动某些职能的更大自主</w:t>
      </w:r>
      <w:r w:rsidR="00014EFF">
        <w:rPr>
          <w:rFonts w:hint="eastAsia"/>
          <w:lang w:eastAsia="zh-CN"/>
        </w:rPr>
        <w:t>性</w:t>
      </w:r>
      <w:r w:rsidR="00CA1795" w:rsidRPr="000B4AB2">
        <w:rPr>
          <w:rFonts w:hint="eastAsia"/>
          <w:lang w:eastAsia="zh-CN"/>
        </w:rPr>
        <w:t>和放权的同时，将确保出台正确监控机制，</w:t>
      </w:r>
      <w:r w:rsidR="00014EFF">
        <w:rPr>
          <w:rFonts w:hint="eastAsia"/>
          <w:lang w:eastAsia="zh-CN"/>
        </w:rPr>
        <w:t>以保证</w:t>
      </w:r>
      <w:r w:rsidR="00CA1795" w:rsidRPr="000B4AB2">
        <w:rPr>
          <w:rFonts w:hint="eastAsia"/>
          <w:lang w:eastAsia="zh-CN"/>
        </w:rPr>
        <w:t>未来不再发生任何形式的舞弊现象；</w:t>
      </w:r>
    </w:p>
    <w:p w:rsidR="00CA1795" w:rsidRPr="000B4AB2" w:rsidRDefault="000B4AB2" w:rsidP="002B19E3">
      <w:pPr>
        <w:pStyle w:val="enumlev1"/>
        <w:topLinePunct/>
        <w:rPr>
          <w:rFonts w:asciiTheme="majorBidi" w:hAnsiTheme="majorBidi" w:cstheme="majorBidi"/>
          <w:lang w:eastAsia="zh-CN"/>
        </w:rPr>
      </w:pPr>
      <w:r w:rsidRPr="0028165E">
        <w:rPr>
          <w:rFonts w:ascii="Symbol" w:hAnsi="Symbol"/>
          <w:lang w:val="en-US" w:eastAsia="zh-CN"/>
        </w:rPr>
        <w:t></w:t>
      </w:r>
      <w:r w:rsidRPr="0028165E">
        <w:rPr>
          <w:rFonts w:ascii="Symbol" w:hAnsi="Symbol"/>
          <w:lang w:val="en-US" w:eastAsia="zh-CN"/>
        </w:rPr>
        <w:tab/>
      </w:r>
      <w:r w:rsidR="00CA1795" w:rsidRPr="000B4AB2">
        <w:rPr>
          <w:rFonts w:asciiTheme="majorBidi" w:hAnsiTheme="majorBidi" w:cstheme="majorBidi"/>
          <w:lang w:eastAsia="zh-CN"/>
        </w:rPr>
        <w:t>电信发展局将为理事会</w:t>
      </w:r>
      <w:r>
        <w:rPr>
          <w:rFonts w:hint="eastAsia"/>
          <w:lang w:eastAsia="zh-CN"/>
        </w:rPr>
        <w:t>2019</w:t>
      </w:r>
      <w:r w:rsidR="00CA1795" w:rsidRPr="000B4AB2">
        <w:rPr>
          <w:rFonts w:asciiTheme="majorBidi" w:hAnsiTheme="majorBidi" w:cstheme="majorBidi"/>
          <w:lang w:eastAsia="zh-CN"/>
        </w:rPr>
        <w:t>年会议制定一份文件，并将完成审查工作，以便向理事会</w:t>
      </w:r>
      <w:r>
        <w:rPr>
          <w:rFonts w:hint="eastAsia"/>
          <w:lang w:eastAsia="zh-CN"/>
        </w:rPr>
        <w:t>2</w:t>
      </w:r>
      <w:r>
        <w:rPr>
          <w:lang w:eastAsia="zh-CN"/>
        </w:rPr>
        <w:t>020</w:t>
      </w:r>
      <w:r w:rsidR="00CA1795" w:rsidRPr="000B4AB2">
        <w:rPr>
          <w:rFonts w:asciiTheme="majorBidi" w:hAnsiTheme="majorBidi" w:cstheme="majorBidi"/>
          <w:lang w:eastAsia="zh-CN"/>
        </w:rPr>
        <w:t>年会议介绍审查结果。审</w:t>
      </w:r>
      <w:r w:rsidR="009D1B15">
        <w:rPr>
          <w:rFonts w:asciiTheme="majorBidi" w:hAnsiTheme="majorBidi" w:cstheme="majorBidi"/>
          <w:lang w:eastAsia="zh-CN"/>
        </w:rPr>
        <w:t>查工作将认真审视相关职能（</w:t>
      </w:r>
      <w:r w:rsidR="002B19E3">
        <w:rPr>
          <w:rFonts w:asciiTheme="majorBidi" w:hAnsiTheme="majorBidi" w:cstheme="majorBidi"/>
          <w:lang w:eastAsia="zh-CN"/>
        </w:rPr>
        <w:t>确保不存在职能重复）</w:t>
      </w:r>
      <w:r w:rsidR="00253160">
        <w:rPr>
          <w:rFonts w:asciiTheme="majorBidi" w:hAnsiTheme="majorBidi" w:cstheme="majorBidi"/>
          <w:lang w:eastAsia="zh-CN"/>
        </w:rPr>
        <w:t>、决策的自主程度</w:t>
      </w:r>
      <w:r w:rsidR="00253160">
        <w:rPr>
          <w:rFonts w:asciiTheme="majorBidi" w:hAnsiTheme="majorBidi" w:cstheme="majorBidi" w:hint="eastAsia"/>
          <w:lang w:eastAsia="zh-CN"/>
        </w:rPr>
        <w:t>、</w:t>
      </w:r>
      <w:r w:rsidR="00CA1795" w:rsidRPr="000B4AB2">
        <w:rPr>
          <w:rFonts w:asciiTheme="majorBidi" w:hAnsiTheme="majorBidi" w:cstheme="majorBidi"/>
          <w:lang w:eastAsia="zh-CN"/>
        </w:rPr>
        <w:t>目前可用的资源、总体结构、财务管理、采购活动和内部</w:t>
      </w:r>
      <w:r w:rsidR="009D1B15">
        <w:rPr>
          <w:rFonts w:asciiTheme="majorBidi" w:hAnsiTheme="majorBidi" w:cstheme="majorBidi" w:hint="eastAsia"/>
          <w:lang w:eastAsia="zh-CN"/>
        </w:rPr>
        <w:t>行政</w:t>
      </w:r>
      <w:r w:rsidR="00CA1795" w:rsidRPr="000B4AB2">
        <w:rPr>
          <w:rFonts w:asciiTheme="majorBidi" w:hAnsiTheme="majorBidi" w:cstheme="majorBidi"/>
          <w:lang w:eastAsia="zh-CN"/>
        </w:rPr>
        <w:t>程序；</w:t>
      </w:r>
    </w:p>
    <w:p w:rsidR="000B4AB2" w:rsidRDefault="000B4AB2" w:rsidP="00CA1795">
      <w:pPr>
        <w:pStyle w:val="enumlev1"/>
        <w:rPr>
          <w:lang w:eastAsia="zh-CN"/>
        </w:rPr>
      </w:pPr>
      <w:r w:rsidRPr="0028165E">
        <w:rPr>
          <w:rFonts w:ascii="Symbol" w:hAnsi="Symbol"/>
          <w:lang w:val="en-US" w:eastAsia="zh-CN"/>
        </w:rPr>
        <w:t></w:t>
      </w:r>
      <w:r w:rsidRPr="0028165E">
        <w:rPr>
          <w:rFonts w:ascii="Symbol" w:hAnsi="Symbol"/>
          <w:lang w:val="en-US" w:eastAsia="zh-CN"/>
        </w:rPr>
        <w:tab/>
      </w:r>
      <w:r w:rsidR="009D1B15">
        <w:rPr>
          <w:rFonts w:hint="eastAsia"/>
          <w:lang w:eastAsia="zh-CN"/>
        </w:rPr>
        <w:t>在实际成果中将提出有关可取结构、所需综合技能</w:t>
      </w:r>
      <w:r w:rsidR="00CA1795">
        <w:rPr>
          <w:rFonts w:hint="eastAsia"/>
          <w:lang w:eastAsia="zh-CN"/>
        </w:rPr>
        <w:t>和管理目标的建议，以改进组织的绩效并将基于</w:t>
      </w:r>
      <w:r>
        <w:rPr>
          <w:rFonts w:hint="eastAsia"/>
          <w:lang w:eastAsia="zh-CN"/>
        </w:rPr>
        <w:t>结果的管理（</w:t>
      </w:r>
      <w:r>
        <w:rPr>
          <w:rFonts w:hint="eastAsia"/>
          <w:lang w:eastAsia="zh-CN"/>
        </w:rPr>
        <w:t>RBM</w:t>
      </w:r>
      <w:r>
        <w:rPr>
          <w:rFonts w:hint="eastAsia"/>
          <w:lang w:eastAsia="zh-CN"/>
        </w:rPr>
        <w:t>）模式扩大至区域代表处；</w:t>
      </w:r>
    </w:p>
    <w:p w:rsidR="000B4AB2" w:rsidRDefault="000B4AB2" w:rsidP="003B5DBD">
      <w:pPr>
        <w:pStyle w:val="enumlev1"/>
        <w:rPr>
          <w:lang w:eastAsia="zh-CN"/>
        </w:rPr>
      </w:pPr>
      <w:r w:rsidRPr="0028165E">
        <w:rPr>
          <w:rFonts w:ascii="Symbol" w:hAnsi="Symbol"/>
          <w:lang w:val="en-US" w:eastAsia="zh-CN"/>
        </w:rPr>
        <w:lastRenderedPageBreak/>
        <w:t></w:t>
      </w:r>
      <w:r w:rsidRPr="0028165E">
        <w:rPr>
          <w:rFonts w:ascii="Symbol" w:hAnsi="Symbol"/>
          <w:lang w:val="en-US" w:eastAsia="zh-CN"/>
        </w:rPr>
        <w:tab/>
      </w:r>
      <w:r>
        <w:rPr>
          <w:rFonts w:hint="eastAsia"/>
          <w:lang w:eastAsia="zh-CN"/>
        </w:rPr>
        <w:t>欢迎成员国、部门成员和</w:t>
      </w:r>
      <w:r>
        <w:rPr>
          <w:rFonts w:hint="eastAsia"/>
          <w:lang w:eastAsia="zh-CN"/>
        </w:rPr>
        <w:t>ICT</w:t>
      </w:r>
      <w:r>
        <w:rPr>
          <w:rFonts w:hint="eastAsia"/>
          <w:lang w:eastAsia="zh-CN"/>
        </w:rPr>
        <w:t>生态系统的其他参与方协助实现这一目标，以确保区域代表处</w:t>
      </w:r>
      <w:bookmarkEnd w:id="34"/>
      <w:r w:rsidR="003B5DBD">
        <w:rPr>
          <w:rFonts w:hint="eastAsia"/>
          <w:lang w:eastAsia="zh-CN"/>
        </w:rPr>
        <w:t>真正是</w:t>
      </w:r>
      <w:r>
        <w:rPr>
          <w:rFonts w:hint="eastAsia"/>
          <w:lang w:eastAsia="zh-CN"/>
        </w:rPr>
        <w:t>以最有效和最高效方式为其所在区域国家提供</w:t>
      </w:r>
      <w:r w:rsidR="009D1B15">
        <w:rPr>
          <w:rFonts w:hint="eastAsia"/>
          <w:lang w:eastAsia="zh-CN"/>
        </w:rPr>
        <w:t>帮助</w:t>
      </w:r>
      <w:r>
        <w:rPr>
          <w:rFonts w:hint="eastAsia"/>
          <w:lang w:eastAsia="zh-CN"/>
        </w:rPr>
        <w:t>的“国际电联办事处”；</w:t>
      </w:r>
    </w:p>
    <w:p w:rsidR="000B4AB2" w:rsidRDefault="000B4AB2" w:rsidP="000B4AB2">
      <w:pPr>
        <w:pStyle w:val="enumlev1"/>
        <w:rPr>
          <w:lang w:eastAsia="zh-CN"/>
        </w:rPr>
      </w:pPr>
      <w:r w:rsidRPr="0028165E">
        <w:rPr>
          <w:rFonts w:ascii="Symbol" w:hAnsi="Symbol"/>
          <w:lang w:val="en-US" w:eastAsia="zh-CN"/>
        </w:rPr>
        <w:t></w:t>
      </w:r>
      <w:r w:rsidRPr="0028165E">
        <w:rPr>
          <w:rFonts w:ascii="Symbol" w:hAnsi="Symbol"/>
          <w:lang w:val="en-US" w:eastAsia="zh-CN"/>
        </w:rPr>
        <w:tab/>
      </w:r>
      <w:r>
        <w:rPr>
          <w:rFonts w:hint="eastAsia"/>
          <w:lang w:eastAsia="zh-CN"/>
        </w:rPr>
        <w:t>目前正在制定在印度创建地区办事处</w:t>
      </w:r>
      <w:r>
        <w:rPr>
          <w:rFonts w:hint="eastAsia"/>
          <w:lang w:eastAsia="zh-CN"/>
        </w:rPr>
        <w:t>/</w:t>
      </w:r>
      <w:r>
        <w:rPr>
          <w:rFonts w:hint="eastAsia"/>
          <w:lang w:eastAsia="zh-CN"/>
        </w:rPr>
        <w:t>创新中心的东道国协议；</w:t>
      </w:r>
    </w:p>
    <w:p w:rsidR="000B4AB2" w:rsidRDefault="000B4AB2" w:rsidP="000B4AB2">
      <w:pPr>
        <w:pStyle w:val="enumlev1"/>
        <w:rPr>
          <w:lang w:eastAsia="zh-CN"/>
        </w:rPr>
      </w:pPr>
      <w:r w:rsidRPr="0028165E">
        <w:rPr>
          <w:rFonts w:ascii="Symbol" w:hAnsi="Symbol"/>
          <w:lang w:val="en-US" w:eastAsia="zh-CN"/>
        </w:rPr>
        <w:t></w:t>
      </w:r>
      <w:r w:rsidRPr="0028165E">
        <w:rPr>
          <w:rFonts w:ascii="Symbol" w:hAnsi="Symbol"/>
          <w:lang w:val="en-US" w:eastAsia="zh-CN"/>
        </w:rPr>
        <w:tab/>
      </w:r>
      <w:r>
        <w:rPr>
          <w:rFonts w:hint="eastAsia"/>
          <w:lang w:eastAsia="zh-CN"/>
        </w:rPr>
        <w:t>按照成员国有关设立驻地办事处并向理事会</w:t>
      </w:r>
      <w:r>
        <w:rPr>
          <w:rFonts w:hint="eastAsia"/>
          <w:lang w:eastAsia="zh-CN"/>
        </w:rPr>
        <w:t>2019</w:t>
      </w:r>
      <w:r>
        <w:rPr>
          <w:rFonts w:hint="eastAsia"/>
          <w:lang w:eastAsia="zh-CN"/>
        </w:rPr>
        <w:t>年会议介绍的要求，目前正在详细制定相关标准。</w:t>
      </w:r>
    </w:p>
    <w:p w:rsidR="00373489" w:rsidRDefault="00373489" w:rsidP="00373489">
      <w:pPr>
        <w:overflowPunct/>
        <w:autoSpaceDE/>
        <w:autoSpaceDN/>
        <w:adjustRightInd/>
        <w:spacing w:before="0"/>
        <w:textAlignment w:val="auto"/>
        <w:rPr>
          <w:rFonts w:cs="Calibri"/>
          <w:b/>
          <w:szCs w:val="24"/>
          <w:lang w:val="en-AU" w:eastAsia="zh-CN"/>
        </w:rPr>
      </w:pPr>
      <w:r>
        <w:rPr>
          <w:rFonts w:cs="Calibri"/>
          <w:b/>
          <w:szCs w:val="24"/>
          <w:lang w:val="en-AU" w:eastAsia="zh-CN"/>
        </w:rPr>
        <w:br w:type="page"/>
      </w:r>
    </w:p>
    <w:p w:rsidR="00373489" w:rsidRPr="00815DD7" w:rsidRDefault="00373489" w:rsidP="00051577">
      <w:pPr>
        <w:pStyle w:val="Heading1"/>
        <w:rPr>
          <w:color w:val="800000"/>
          <w:sz w:val="22"/>
          <w:lang w:eastAsia="zh-CN"/>
        </w:rPr>
      </w:pPr>
      <w:r w:rsidRPr="00B6696E">
        <w:rPr>
          <w:lang w:val="en-AU" w:eastAsia="zh-CN"/>
        </w:rPr>
        <w:lastRenderedPageBreak/>
        <w:t>4</w:t>
      </w:r>
      <w:r w:rsidRPr="00B6696E">
        <w:rPr>
          <w:lang w:val="en-AU" w:eastAsia="zh-CN"/>
        </w:rPr>
        <w:tab/>
      </w:r>
      <w:bookmarkStart w:id="35" w:name="lt_pId110"/>
      <w:r w:rsidR="00226E0D">
        <w:rPr>
          <w:rFonts w:hint="eastAsia"/>
          <w:lang w:val="en-AU" w:eastAsia="zh-CN"/>
        </w:rPr>
        <w:t>第</w:t>
      </w:r>
      <w:r w:rsidR="00226E0D">
        <w:rPr>
          <w:rFonts w:hint="eastAsia"/>
          <w:lang w:val="en-AU" w:eastAsia="zh-CN"/>
        </w:rPr>
        <w:t>2</w:t>
      </w:r>
      <w:r w:rsidR="00226E0D">
        <w:rPr>
          <w:lang w:val="en-AU" w:eastAsia="zh-CN"/>
        </w:rPr>
        <w:t>12</w:t>
      </w:r>
      <w:r w:rsidR="00226E0D">
        <w:rPr>
          <w:rFonts w:hint="eastAsia"/>
          <w:lang w:val="en-AU" w:eastAsia="zh-CN"/>
        </w:rPr>
        <w:t>号</w:t>
      </w:r>
      <w:r w:rsidR="00226E0D">
        <w:rPr>
          <w:lang w:val="en-AU" w:eastAsia="zh-CN"/>
        </w:rPr>
        <w:t>决议（</w:t>
      </w:r>
      <w:r w:rsidR="00226E0D">
        <w:rPr>
          <w:rFonts w:hint="eastAsia"/>
          <w:lang w:val="en-AU" w:eastAsia="zh-CN"/>
        </w:rPr>
        <w:t>2</w:t>
      </w:r>
      <w:r w:rsidR="00226E0D">
        <w:rPr>
          <w:lang w:val="en-AU" w:eastAsia="zh-CN"/>
        </w:rPr>
        <w:t>018</w:t>
      </w:r>
      <w:r w:rsidR="00226E0D">
        <w:rPr>
          <w:rFonts w:hint="eastAsia"/>
          <w:lang w:val="en-AU" w:eastAsia="zh-CN"/>
        </w:rPr>
        <w:t>年，迪拜</w:t>
      </w:r>
      <w:r w:rsidR="00226E0D">
        <w:rPr>
          <w:lang w:val="en-AU" w:eastAsia="zh-CN"/>
        </w:rPr>
        <w:t>）</w:t>
      </w:r>
      <w:r w:rsidR="00226E0D">
        <w:rPr>
          <w:rFonts w:hint="eastAsia"/>
          <w:lang w:val="en-AU" w:eastAsia="zh-CN"/>
        </w:rPr>
        <w:t>：</w:t>
      </w:r>
      <w:r w:rsidR="00226E0D">
        <w:rPr>
          <w:lang w:val="en-AU" w:eastAsia="zh-CN"/>
        </w:rPr>
        <w:t>国际电联总部</w:t>
      </w:r>
      <w:r w:rsidR="00051577">
        <w:rPr>
          <w:lang w:val="en-AU" w:eastAsia="zh-CN"/>
        </w:rPr>
        <w:t>的</w:t>
      </w:r>
      <w:r w:rsidR="00226E0D">
        <w:rPr>
          <w:lang w:val="en-AU" w:eastAsia="zh-CN"/>
        </w:rPr>
        <w:t>未来办公场所</w:t>
      </w:r>
      <w:bookmarkEnd w:id="35"/>
    </w:p>
    <w:p w:rsidR="00373489" w:rsidRPr="00B06FD8" w:rsidRDefault="00373489" w:rsidP="007C647A">
      <w:pPr>
        <w:pStyle w:val="Headingb"/>
        <w:rPr>
          <w:bCs/>
          <w:lang w:eastAsia="zh-CN"/>
        </w:rPr>
      </w:pPr>
      <w:r>
        <w:rPr>
          <w:lang w:eastAsia="zh-CN"/>
        </w:rPr>
        <w:tab/>
      </w:r>
      <w:bookmarkStart w:id="36" w:name="lt_pId111"/>
      <w:r w:rsidR="000B4AB2">
        <w:rPr>
          <w:rFonts w:hint="eastAsia"/>
          <w:lang w:eastAsia="zh-CN"/>
        </w:rPr>
        <w:t>关于国际电联总部未来办公场所的情况报告</w:t>
      </w:r>
      <w:bookmarkEnd w:id="36"/>
    </w:p>
    <w:p w:rsidR="009E04CB" w:rsidRDefault="00373489" w:rsidP="00070706">
      <w:pPr>
        <w:rPr>
          <w:lang w:eastAsia="zh-CN"/>
        </w:rPr>
      </w:pPr>
      <w:r w:rsidRPr="009E04CB">
        <w:rPr>
          <w:lang w:eastAsia="zh-CN"/>
        </w:rPr>
        <w:t>4.1</w:t>
      </w:r>
      <w:r w:rsidRPr="009E04CB">
        <w:rPr>
          <w:lang w:eastAsia="zh-CN"/>
        </w:rPr>
        <w:tab/>
      </w:r>
      <w:bookmarkStart w:id="37" w:name="lt_pId113"/>
      <w:r w:rsidR="009E04CB" w:rsidRPr="009E04CB">
        <w:rPr>
          <w:rFonts w:hint="eastAsia"/>
          <w:lang w:eastAsia="zh-CN"/>
        </w:rPr>
        <w:t>在</w:t>
      </w:r>
      <w:r w:rsidRPr="009E04CB">
        <w:rPr>
          <w:lang w:eastAsia="zh-CN"/>
        </w:rPr>
        <w:t>2018</w:t>
      </w:r>
      <w:r w:rsidR="00070706">
        <w:rPr>
          <w:rFonts w:hint="eastAsia"/>
          <w:lang w:eastAsia="zh-CN"/>
        </w:rPr>
        <w:t>年</w:t>
      </w:r>
      <w:r w:rsidR="00070706" w:rsidRPr="009E04CB">
        <w:rPr>
          <w:rFonts w:hint="eastAsia"/>
          <w:lang w:eastAsia="zh-CN"/>
        </w:rPr>
        <w:t>于</w:t>
      </w:r>
      <w:r w:rsidR="009E04CB" w:rsidRPr="009E04CB">
        <w:rPr>
          <w:rFonts w:hint="eastAsia"/>
          <w:lang w:eastAsia="zh-CN"/>
        </w:rPr>
        <w:t>迪拜举行的全权代表大会上，通过了有关国际电联总部未来办公场所的第</w:t>
      </w:r>
      <w:r w:rsidR="009E04CB" w:rsidRPr="009E04CB">
        <w:rPr>
          <w:rFonts w:hint="eastAsia"/>
          <w:lang w:eastAsia="zh-CN"/>
        </w:rPr>
        <w:t>212</w:t>
      </w:r>
      <w:r w:rsidR="009E04CB">
        <w:rPr>
          <w:rFonts w:hint="eastAsia"/>
          <w:lang w:eastAsia="zh-CN"/>
        </w:rPr>
        <w:t>号新决议（</w:t>
      </w:r>
      <w:r w:rsidR="009E04CB">
        <w:rPr>
          <w:rFonts w:hint="eastAsia"/>
          <w:lang w:eastAsia="zh-CN"/>
        </w:rPr>
        <w:t>2018</w:t>
      </w:r>
      <w:r w:rsidR="00070706">
        <w:rPr>
          <w:rFonts w:hint="eastAsia"/>
          <w:lang w:eastAsia="zh-CN"/>
        </w:rPr>
        <w:t>年，迪拜）。该决议取代</w:t>
      </w:r>
      <w:r w:rsidR="009E04CB">
        <w:rPr>
          <w:rFonts w:hint="eastAsia"/>
          <w:lang w:eastAsia="zh-CN"/>
        </w:rPr>
        <w:t>2014</w:t>
      </w:r>
      <w:r w:rsidR="009E04CB">
        <w:rPr>
          <w:rFonts w:hint="eastAsia"/>
          <w:lang w:eastAsia="zh-CN"/>
        </w:rPr>
        <w:t>年在釜山通过的第</w:t>
      </w:r>
      <w:r w:rsidR="009E04CB">
        <w:rPr>
          <w:rFonts w:hint="eastAsia"/>
          <w:lang w:eastAsia="zh-CN"/>
        </w:rPr>
        <w:t>194</w:t>
      </w:r>
      <w:r w:rsidR="009E04CB">
        <w:rPr>
          <w:rFonts w:hint="eastAsia"/>
          <w:lang w:eastAsia="zh-CN"/>
        </w:rPr>
        <w:t>号决议。</w:t>
      </w:r>
    </w:p>
    <w:bookmarkEnd w:id="37"/>
    <w:p w:rsidR="00373489" w:rsidRPr="00B06FD8" w:rsidRDefault="00373489" w:rsidP="007C647A">
      <w:pPr>
        <w:rPr>
          <w:rFonts w:eastAsia="Calibri" w:cs="Arial"/>
          <w:szCs w:val="24"/>
          <w:lang w:val="en-US" w:eastAsia="zh-CN"/>
        </w:rPr>
      </w:pPr>
      <w:r w:rsidRPr="00B06FD8">
        <w:rPr>
          <w:rFonts w:eastAsia="Calibri" w:cs="Arial"/>
          <w:szCs w:val="24"/>
          <w:lang w:val="en-US" w:eastAsia="zh-CN"/>
        </w:rPr>
        <w:t>4.2</w:t>
      </w:r>
      <w:r w:rsidRPr="00B06FD8">
        <w:rPr>
          <w:rFonts w:eastAsia="Calibri" w:cs="Arial"/>
          <w:szCs w:val="24"/>
          <w:lang w:val="en-US" w:eastAsia="zh-CN"/>
        </w:rPr>
        <w:tab/>
      </w:r>
      <w:bookmarkStart w:id="38" w:name="lt_pId116"/>
      <w:r w:rsidR="009E04CB">
        <w:rPr>
          <w:rFonts w:asciiTheme="minorEastAsia" w:eastAsiaTheme="minorEastAsia" w:hAnsiTheme="minorEastAsia" w:cs="Arial" w:hint="eastAsia"/>
          <w:szCs w:val="24"/>
          <w:lang w:val="en-US" w:eastAsia="zh-CN"/>
        </w:rPr>
        <w:t>该新决议做出决议：</w:t>
      </w:r>
      <w:bookmarkEnd w:id="38"/>
    </w:p>
    <w:p w:rsidR="009E04CB" w:rsidRDefault="009E04CB" w:rsidP="009E04CB">
      <w:pPr>
        <w:rPr>
          <w:lang w:eastAsia="zh-CN"/>
        </w:rPr>
      </w:pPr>
      <w:bookmarkStart w:id="39" w:name="lt_pId117"/>
      <w:r>
        <w:rPr>
          <w:lang w:eastAsia="zh-CN"/>
        </w:rPr>
        <w:t>–</w:t>
      </w:r>
      <w:r>
        <w:rPr>
          <w:lang w:eastAsia="zh-CN"/>
        </w:rPr>
        <w:tab/>
      </w:r>
      <w:r w:rsidRPr="009E04CB">
        <w:rPr>
          <w:rFonts w:hint="eastAsia"/>
          <w:lang w:eastAsia="zh-CN"/>
        </w:rPr>
        <w:t>按照理事会第</w:t>
      </w:r>
      <w:r>
        <w:rPr>
          <w:rFonts w:hint="eastAsia"/>
          <w:lang w:eastAsia="zh-CN"/>
        </w:rPr>
        <w:t>588</w:t>
      </w:r>
      <w:r>
        <w:rPr>
          <w:rFonts w:hint="eastAsia"/>
          <w:lang w:eastAsia="zh-CN"/>
        </w:rPr>
        <w:t>号</w:t>
      </w:r>
      <w:r w:rsidR="00051577">
        <w:rPr>
          <w:rFonts w:hint="eastAsia"/>
          <w:lang w:eastAsia="zh-CN"/>
        </w:rPr>
        <w:t>决定</w:t>
      </w:r>
      <w:r>
        <w:rPr>
          <w:rFonts w:hint="eastAsia"/>
          <w:lang w:eastAsia="zh-CN"/>
        </w:rPr>
        <w:t>（理事会</w:t>
      </w:r>
      <w:r>
        <w:rPr>
          <w:rFonts w:hint="eastAsia"/>
          <w:lang w:eastAsia="zh-CN"/>
        </w:rPr>
        <w:t>2016</w:t>
      </w:r>
      <w:r>
        <w:rPr>
          <w:rFonts w:hint="eastAsia"/>
          <w:lang w:eastAsia="zh-CN"/>
        </w:rPr>
        <w:t>年会议）和理事会其他相关决定：</w:t>
      </w:r>
    </w:p>
    <w:p w:rsidR="009E04CB" w:rsidRDefault="009E04CB" w:rsidP="00C27F74">
      <w:pPr>
        <w:pStyle w:val="enumlev1"/>
        <w:rPr>
          <w:lang w:eastAsia="zh-CN"/>
        </w:rPr>
      </w:pPr>
      <w:r>
        <w:rPr>
          <w:lang w:eastAsia="zh-CN"/>
        </w:rPr>
        <w:tab/>
      </w:r>
      <w:r w:rsidR="00C27F74">
        <w:rPr>
          <w:rFonts w:hint="eastAsia"/>
          <w:lang w:eastAsia="zh-CN"/>
        </w:rPr>
        <w:t>资金应主要源于瑞士联邦发放</w:t>
      </w:r>
      <w:r>
        <w:rPr>
          <w:rFonts w:hint="eastAsia"/>
          <w:lang w:eastAsia="zh-CN"/>
        </w:rPr>
        <w:t>的、期限为</w:t>
      </w:r>
      <w:r>
        <w:rPr>
          <w:rFonts w:hint="eastAsia"/>
          <w:lang w:eastAsia="zh-CN"/>
        </w:rPr>
        <w:t>50</w:t>
      </w:r>
      <w:r>
        <w:rPr>
          <w:rFonts w:hint="eastAsia"/>
          <w:lang w:eastAsia="zh-CN"/>
        </w:rPr>
        <w:t>年的无息贷款，且贷款额应不超过</w:t>
      </w:r>
      <w:r>
        <w:rPr>
          <w:rFonts w:hint="eastAsia"/>
          <w:lang w:eastAsia="zh-CN"/>
        </w:rPr>
        <w:t>1.5</w:t>
      </w:r>
      <w:r>
        <w:rPr>
          <w:rFonts w:hint="eastAsia"/>
          <w:lang w:eastAsia="zh-CN"/>
        </w:rPr>
        <w:t>亿瑞郎。</w:t>
      </w:r>
      <w:r w:rsidR="00070706">
        <w:rPr>
          <w:rFonts w:hint="eastAsia"/>
          <w:lang w:eastAsia="zh-CN"/>
        </w:rPr>
        <w:t>此</w:t>
      </w:r>
      <w:r>
        <w:rPr>
          <w:rFonts w:hint="eastAsia"/>
          <w:lang w:eastAsia="zh-CN"/>
        </w:rPr>
        <w:t>资金可</w:t>
      </w:r>
      <w:r w:rsidR="00070706">
        <w:rPr>
          <w:rFonts w:hint="eastAsia"/>
          <w:lang w:eastAsia="zh-CN"/>
        </w:rPr>
        <w:t>辅以</w:t>
      </w:r>
      <w:r>
        <w:rPr>
          <w:rFonts w:hint="eastAsia"/>
          <w:lang w:eastAsia="zh-CN"/>
        </w:rPr>
        <w:t>源自赞助、捐款以及</w:t>
      </w:r>
      <w:r w:rsidR="00070706">
        <w:rPr>
          <w:rFonts w:hint="eastAsia"/>
          <w:lang w:eastAsia="zh-CN"/>
        </w:rPr>
        <w:t>由</w:t>
      </w:r>
      <w:r>
        <w:rPr>
          <w:rFonts w:hint="eastAsia"/>
          <w:lang w:eastAsia="zh-CN"/>
        </w:rPr>
        <w:t>理事会</w:t>
      </w:r>
      <w:r>
        <w:rPr>
          <w:rFonts w:hint="eastAsia"/>
          <w:lang w:eastAsia="zh-CN"/>
        </w:rPr>
        <w:t>2018</w:t>
      </w:r>
      <w:r>
        <w:rPr>
          <w:rFonts w:hint="eastAsia"/>
          <w:lang w:eastAsia="zh-CN"/>
        </w:rPr>
        <w:t>年会议</w:t>
      </w:r>
      <w:r w:rsidR="00070706">
        <w:rPr>
          <w:rFonts w:hint="eastAsia"/>
          <w:lang w:eastAsia="zh-CN"/>
        </w:rPr>
        <w:t>设</w:t>
      </w:r>
      <w:r>
        <w:rPr>
          <w:rFonts w:hint="eastAsia"/>
          <w:lang w:eastAsia="zh-CN"/>
        </w:rPr>
        <w:t>立的基金；</w:t>
      </w:r>
    </w:p>
    <w:p w:rsidR="009E04CB" w:rsidRDefault="009E04CB" w:rsidP="00070706">
      <w:pPr>
        <w:pStyle w:val="enumlev1"/>
        <w:rPr>
          <w:lang w:eastAsia="zh-CN"/>
        </w:rPr>
      </w:pPr>
      <w:r>
        <w:rPr>
          <w:lang w:eastAsia="zh-CN"/>
        </w:rPr>
        <w:t>–</w:t>
      </w:r>
      <w:r>
        <w:rPr>
          <w:lang w:eastAsia="zh-CN"/>
        </w:rPr>
        <w:tab/>
      </w:r>
      <w:r>
        <w:rPr>
          <w:rFonts w:hint="eastAsia"/>
          <w:lang w:eastAsia="zh-CN"/>
        </w:rPr>
        <w:t>成员国顾问组（</w:t>
      </w:r>
      <w:r>
        <w:rPr>
          <w:rFonts w:hint="eastAsia"/>
          <w:lang w:eastAsia="zh-CN"/>
        </w:rPr>
        <w:t>MSAG</w:t>
      </w:r>
      <w:r>
        <w:rPr>
          <w:rFonts w:hint="eastAsia"/>
          <w:lang w:eastAsia="zh-CN"/>
        </w:rPr>
        <w:t>）总体上将继续每季度</w:t>
      </w:r>
      <w:r w:rsidR="00070706">
        <w:rPr>
          <w:rFonts w:hint="eastAsia"/>
          <w:lang w:eastAsia="zh-CN"/>
        </w:rPr>
        <w:t>召开</w:t>
      </w:r>
      <w:r>
        <w:rPr>
          <w:rFonts w:hint="eastAsia"/>
          <w:lang w:eastAsia="zh-CN"/>
        </w:rPr>
        <w:t>一次会议，审议进展情况并提出指导</w:t>
      </w:r>
      <w:r w:rsidR="00070706">
        <w:rPr>
          <w:rFonts w:hint="eastAsia"/>
          <w:lang w:eastAsia="zh-CN"/>
        </w:rPr>
        <w:t>意见</w:t>
      </w:r>
      <w:r>
        <w:rPr>
          <w:rFonts w:hint="eastAsia"/>
          <w:lang w:eastAsia="zh-CN"/>
        </w:rPr>
        <w:t>，同时</w:t>
      </w:r>
      <w:r w:rsidR="00070706">
        <w:rPr>
          <w:rFonts w:hint="eastAsia"/>
          <w:lang w:eastAsia="zh-CN"/>
        </w:rPr>
        <w:t>每年</w:t>
      </w:r>
      <w:r>
        <w:rPr>
          <w:rFonts w:hint="eastAsia"/>
          <w:lang w:eastAsia="zh-CN"/>
        </w:rPr>
        <w:t>至少</w:t>
      </w:r>
      <w:r w:rsidR="00070706">
        <w:rPr>
          <w:rFonts w:hint="eastAsia"/>
          <w:lang w:eastAsia="zh-CN"/>
        </w:rPr>
        <w:t>召开</w:t>
      </w:r>
      <w:r w:rsidR="009E60A7">
        <w:rPr>
          <w:rFonts w:hint="eastAsia"/>
          <w:lang w:eastAsia="zh-CN"/>
        </w:rPr>
        <w:t>两次</w:t>
      </w:r>
      <w:r>
        <w:rPr>
          <w:rFonts w:hint="eastAsia"/>
          <w:lang w:eastAsia="zh-CN"/>
        </w:rPr>
        <w:t>情况通报会，向日内瓦常驻使团代表介绍最新情况。</w:t>
      </w:r>
    </w:p>
    <w:bookmarkEnd w:id="39"/>
    <w:p w:rsidR="00373489" w:rsidRDefault="00373489" w:rsidP="009E04CB">
      <w:pPr>
        <w:rPr>
          <w:lang w:eastAsia="zh-CN"/>
        </w:rPr>
      </w:pPr>
      <w:r w:rsidRPr="00D10C89">
        <w:rPr>
          <w:lang w:val="en-US" w:eastAsia="zh-CN"/>
        </w:rPr>
        <w:t>4.3</w:t>
      </w:r>
      <w:r w:rsidRPr="00D10C89">
        <w:rPr>
          <w:lang w:val="en-US" w:eastAsia="zh-CN"/>
        </w:rPr>
        <w:tab/>
      </w:r>
      <w:bookmarkStart w:id="40" w:name="lt_pId121"/>
      <w:r w:rsidR="009E04CB">
        <w:rPr>
          <w:rFonts w:hint="eastAsia"/>
          <w:lang w:val="en-US" w:eastAsia="zh-CN"/>
        </w:rPr>
        <w:t>此外，第</w:t>
      </w:r>
      <w:r w:rsidR="009E04CB">
        <w:rPr>
          <w:rFonts w:hint="eastAsia"/>
          <w:lang w:val="en-US" w:eastAsia="zh-CN"/>
        </w:rPr>
        <w:t>5</w:t>
      </w:r>
      <w:r w:rsidR="009E04CB">
        <w:rPr>
          <w:rFonts w:hint="eastAsia"/>
          <w:lang w:val="en-US" w:eastAsia="zh-CN"/>
        </w:rPr>
        <w:t>号决定（</w:t>
      </w:r>
      <w:r w:rsidR="009E04CB">
        <w:rPr>
          <w:rFonts w:hint="eastAsia"/>
          <w:lang w:val="en-US" w:eastAsia="zh-CN"/>
        </w:rPr>
        <w:t>2018</w:t>
      </w:r>
      <w:r w:rsidR="009E04CB">
        <w:rPr>
          <w:rFonts w:hint="eastAsia"/>
          <w:lang w:val="en-US" w:eastAsia="zh-CN"/>
        </w:rPr>
        <w:t>年，迪拜，修订版）责成理事会</w:t>
      </w:r>
      <w:bookmarkEnd w:id="40"/>
    </w:p>
    <w:p w:rsidR="00373489" w:rsidRPr="007C647A" w:rsidRDefault="00A9700C" w:rsidP="007C647A">
      <w:pPr>
        <w:ind w:left="794"/>
        <w:rPr>
          <w:rFonts w:eastAsia="STKaiti"/>
          <w:iCs/>
          <w:szCs w:val="24"/>
          <w:lang w:val="en-US" w:eastAsia="zh-CN"/>
        </w:rPr>
      </w:pPr>
      <w:bookmarkStart w:id="41" w:name="lt_pId122"/>
      <w:r w:rsidRPr="007C647A">
        <w:rPr>
          <w:rFonts w:ascii="STKaiti" w:eastAsia="STKaiti" w:hAnsi="STKaiti"/>
          <w:lang w:eastAsia="zh-CN"/>
        </w:rPr>
        <w:t>“</w:t>
      </w:r>
      <w:r w:rsidRPr="007C647A">
        <w:rPr>
          <w:rFonts w:eastAsia="STKaiti"/>
          <w:lang w:eastAsia="zh-CN"/>
        </w:rPr>
        <w:t>授权秘书长在预算执行实现盈余的情况下，向新办公楼项目基金划拨适当款项，以支付无法由东道国贷款合法支付的费用；</w:t>
      </w:r>
      <w:r w:rsidRPr="007C647A">
        <w:rPr>
          <w:rFonts w:ascii="STKaiti" w:eastAsia="STKaiti" w:hAnsi="STKaiti"/>
          <w:lang w:eastAsia="zh-CN"/>
        </w:rPr>
        <w:t>”</w:t>
      </w:r>
      <w:bookmarkEnd w:id="41"/>
    </w:p>
    <w:p w:rsidR="00373489" w:rsidRDefault="00373489" w:rsidP="007C647A">
      <w:pPr>
        <w:rPr>
          <w:lang w:val="en-US" w:eastAsia="zh-CN"/>
        </w:rPr>
      </w:pPr>
      <w:r w:rsidRPr="00D10C89">
        <w:rPr>
          <w:lang w:val="en-US" w:eastAsia="zh-CN"/>
        </w:rPr>
        <w:t>4.4</w:t>
      </w:r>
      <w:r w:rsidRPr="00D10C89">
        <w:rPr>
          <w:lang w:val="en-US" w:eastAsia="zh-CN"/>
        </w:rPr>
        <w:tab/>
      </w:r>
      <w:bookmarkStart w:id="42" w:name="lt_pId124"/>
      <w:r w:rsidR="009E04CB">
        <w:rPr>
          <w:rFonts w:hint="eastAsia"/>
          <w:lang w:val="en-US" w:eastAsia="zh-CN"/>
        </w:rPr>
        <w:t>这意味着目前有以下资金来源：</w:t>
      </w:r>
      <w:bookmarkEnd w:id="42"/>
    </w:p>
    <w:p w:rsidR="009E04CB" w:rsidRDefault="009E04CB" w:rsidP="009E04CB">
      <w:pPr>
        <w:pStyle w:val="enumlev1"/>
        <w:rPr>
          <w:lang w:val="en-US" w:eastAsia="zh-CN"/>
        </w:rPr>
      </w:pPr>
      <w:r w:rsidRPr="009E04CB">
        <w:rPr>
          <w:lang w:val="en-US" w:eastAsia="zh-CN"/>
        </w:rPr>
        <w:t>–</w:t>
      </w:r>
      <w:r>
        <w:rPr>
          <w:lang w:val="en-US" w:eastAsia="zh-CN"/>
        </w:rPr>
        <w:tab/>
      </w:r>
      <w:r>
        <w:rPr>
          <w:rFonts w:hint="eastAsia"/>
          <w:lang w:val="en-US" w:eastAsia="zh-CN"/>
        </w:rPr>
        <w:t>东道国贷款（用于可合法包括在内的项目）；</w:t>
      </w:r>
    </w:p>
    <w:p w:rsidR="009E04CB" w:rsidRDefault="009E04CB" w:rsidP="009E04CB">
      <w:pPr>
        <w:pStyle w:val="enumlev1"/>
        <w:rPr>
          <w:lang w:val="en-US" w:eastAsia="zh-CN"/>
        </w:rPr>
      </w:pPr>
      <w:r w:rsidRPr="009E04CB">
        <w:rPr>
          <w:lang w:val="en-US" w:eastAsia="zh-CN"/>
        </w:rPr>
        <w:t>–</w:t>
      </w:r>
      <w:r>
        <w:rPr>
          <w:lang w:val="en-US" w:eastAsia="zh-CN"/>
        </w:rPr>
        <w:tab/>
      </w:r>
      <w:r>
        <w:rPr>
          <w:rFonts w:hint="eastAsia"/>
          <w:lang w:val="en-US" w:eastAsia="zh-CN"/>
        </w:rPr>
        <w:t>赞助</w:t>
      </w:r>
      <w:r>
        <w:rPr>
          <w:lang w:val="en-US" w:eastAsia="zh-CN"/>
        </w:rPr>
        <w:t>；</w:t>
      </w:r>
    </w:p>
    <w:p w:rsidR="009E04CB" w:rsidRDefault="009E04CB" w:rsidP="009E04CB">
      <w:pPr>
        <w:pStyle w:val="enumlev1"/>
        <w:rPr>
          <w:lang w:val="en-US" w:eastAsia="zh-CN"/>
        </w:rPr>
      </w:pPr>
      <w:r w:rsidRPr="009E04CB">
        <w:rPr>
          <w:lang w:val="en-US" w:eastAsia="zh-CN"/>
        </w:rPr>
        <w:t>–</w:t>
      </w:r>
      <w:r>
        <w:rPr>
          <w:lang w:val="en-US" w:eastAsia="zh-CN"/>
        </w:rPr>
        <w:tab/>
      </w:r>
      <w:r>
        <w:rPr>
          <w:rFonts w:hint="eastAsia"/>
          <w:lang w:val="en-US" w:eastAsia="zh-CN"/>
        </w:rPr>
        <w:t>捐款；</w:t>
      </w:r>
    </w:p>
    <w:p w:rsidR="009E04CB" w:rsidRDefault="009E04CB" w:rsidP="009E04CB">
      <w:pPr>
        <w:pStyle w:val="enumlev1"/>
        <w:rPr>
          <w:lang w:val="en-US" w:eastAsia="zh-CN"/>
        </w:rPr>
      </w:pPr>
      <w:r w:rsidRPr="009E04CB">
        <w:rPr>
          <w:lang w:val="en-US" w:eastAsia="zh-CN"/>
        </w:rPr>
        <w:t>–</w:t>
      </w:r>
      <w:r>
        <w:rPr>
          <w:lang w:val="en-US" w:eastAsia="zh-CN"/>
        </w:rPr>
        <w:tab/>
      </w:r>
      <w:r>
        <w:rPr>
          <w:rFonts w:hint="eastAsia"/>
          <w:lang w:val="en-US" w:eastAsia="zh-CN"/>
        </w:rPr>
        <w:t>理事会</w:t>
      </w:r>
      <w:r>
        <w:rPr>
          <w:rFonts w:hint="eastAsia"/>
          <w:lang w:val="en-US" w:eastAsia="zh-CN"/>
        </w:rPr>
        <w:t>2018</w:t>
      </w:r>
      <w:r>
        <w:rPr>
          <w:rFonts w:hint="eastAsia"/>
          <w:lang w:val="en-US" w:eastAsia="zh-CN"/>
        </w:rPr>
        <w:t>年会议</w:t>
      </w:r>
      <w:r w:rsidR="00070706">
        <w:rPr>
          <w:rFonts w:hint="eastAsia"/>
          <w:lang w:val="en-US" w:eastAsia="zh-CN"/>
        </w:rPr>
        <w:t>设</w:t>
      </w:r>
      <w:r>
        <w:rPr>
          <w:rFonts w:hint="eastAsia"/>
          <w:lang w:val="en-US" w:eastAsia="zh-CN"/>
        </w:rPr>
        <w:t>立的基金（用于不能合法由贷款包括的项目）。</w:t>
      </w:r>
    </w:p>
    <w:p w:rsidR="00373489" w:rsidRPr="00D10C89" w:rsidRDefault="00373489" w:rsidP="00070706">
      <w:pPr>
        <w:rPr>
          <w:lang w:val="en-US" w:eastAsia="zh-CN"/>
        </w:rPr>
      </w:pPr>
      <w:r w:rsidRPr="001E5CCF">
        <w:rPr>
          <w:lang w:val="en-US" w:eastAsia="zh-CN"/>
        </w:rPr>
        <w:t>4.5</w:t>
      </w:r>
      <w:r w:rsidRPr="001E5CCF">
        <w:rPr>
          <w:lang w:val="en-US" w:eastAsia="zh-CN"/>
        </w:rPr>
        <w:tab/>
      </w:r>
      <w:bookmarkStart w:id="43" w:name="lt_pId130"/>
      <w:r w:rsidR="009E04CB">
        <w:rPr>
          <w:rFonts w:hint="eastAsia"/>
          <w:lang w:val="en-US" w:eastAsia="zh-CN"/>
        </w:rPr>
        <w:t>设计师在继续对于</w:t>
      </w:r>
      <w:r w:rsidR="009E04CB">
        <w:rPr>
          <w:rFonts w:hint="eastAsia"/>
          <w:lang w:val="en-US" w:eastAsia="zh-CN"/>
        </w:rPr>
        <w:t>2018</w:t>
      </w:r>
      <w:r w:rsidR="009E04CB">
        <w:rPr>
          <w:rFonts w:hint="eastAsia"/>
          <w:lang w:val="en-US" w:eastAsia="zh-CN"/>
        </w:rPr>
        <w:t>年</w:t>
      </w:r>
      <w:r w:rsidR="009E04CB">
        <w:rPr>
          <w:rFonts w:hint="eastAsia"/>
          <w:lang w:val="en-US" w:eastAsia="zh-CN"/>
        </w:rPr>
        <w:t>10</w:t>
      </w:r>
      <w:r w:rsidR="009E04CB">
        <w:rPr>
          <w:rFonts w:hint="eastAsia"/>
          <w:lang w:val="en-US" w:eastAsia="zh-CN"/>
        </w:rPr>
        <w:t>月提交的</w:t>
      </w:r>
      <w:r w:rsidR="00070706">
        <w:rPr>
          <w:rFonts w:hint="eastAsia"/>
          <w:lang w:val="en-US" w:eastAsia="zh-CN"/>
        </w:rPr>
        <w:t>最初概</w:t>
      </w:r>
      <w:r w:rsidR="009E04CB">
        <w:rPr>
          <w:rFonts w:hint="eastAsia"/>
          <w:lang w:val="en-US" w:eastAsia="zh-CN"/>
        </w:rPr>
        <w:t>念设计进行成本优化。预期最终版本将于</w:t>
      </w:r>
      <w:r w:rsidR="009E04CB">
        <w:rPr>
          <w:rFonts w:hint="eastAsia"/>
          <w:lang w:val="en-US" w:eastAsia="zh-CN"/>
        </w:rPr>
        <w:t>2019</w:t>
      </w:r>
      <w:r w:rsidR="009E04CB">
        <w:rPr>
          <w:rFonts w:hint="eastAsia"/>
          <w:lang w:val="en-US" w:eastAsia="zh-CN"/>
        </w:rPr>
        <w:t>年</w:t>
      </w:r>
      <w:r w:rsidR="009E04CB">
        <w:rPr>
          <w:rFonts w:hint="eastAsia"/>
          <w:lang w:val="en-US" w:eastAsia="zh-CN"/>
        </w:rPr>
        <w:t>4</w:t>
      </w:r>
      <w:r w:rsidR="009E04CB">
        <w:rPr>
          <w:rFonts w:hint="eastAsia"/>
          <w:lang w:val="en-US" w:eastAsia="zh-CN"/>
        </w:rPr>
        <w:t>月</w:t>
      </w:r>
      <w:r w:rsidR="009E04CB">
        <w:rPr>
          <w:rFonts w:hint="eastAsia"/>
          <w:lang w:val="en-US" w:eastAsia="zh-CN"/>
        </w:rPr>
        <w:t>1</w:t>
      </w:r>
      <w:r w:rsidR="009E04CB">
        <w:rPr>
          <w:rFonts w:hint="eastAsia"/>
          <w:lang w:val="en-US" w:eastAsia="zh-CN"/>
        </w:rPr>
        <w:t>日完成。</w:t>
      </w:r>
      <w:bookmarkEnd w:id="43"/>
    </w:p>
    <w:p w:rsidR="00373489" w:rsidRDefault="00373489" w:rsidP="00051577">
      <w:pPr>
        <w:rPr>
          <w:lang w:val="en-US" w:eastAsia="zh-CN"/>
        </w:rPr>
      </w:pPr>
      <w:r w:rsidRPr="00D10C89">
        <w:rPr>
          <w:lang w:val="en-US" w:eastAsia="zh-CN"/>
        </w:rPr>
        <w:t>4.6</w:t>
      </w:r>
      <w:r w:rsidRPr="00D10C89">
        <w:rPr>
          <w:lang w:val="en-US" w:eastAsia="zh-CN"/>
        </w:rPr>
        <w:tab/>
      </w:r>
      <w:bookmarkStart w:id="44" w:name="lt_pId133"/>
      <w:r w:rsidR="009E04CB">
        <w:rPr>
          <w:rFonts w:hint="eastAsia"/>
          <w:lang w:val="en-US" w:eastAsia="zh-CN"/>
        </w:rPr>
        <w:t>与最初设计相比较，</w:t>
      </w:r>
      <w:r w:rsidR="009E04CB">
        <w:rPr>
          <w:rFonts w:hint="eastAsia"/>
          <w:lang w:val="en-US" w:eastAsia="zh-CN"/>
        </w:rPr>
        <w:t>2018</w:t>
      </w:r>
      <w:r w:rsidR="00051577">
        <w:rPr>
          <w:rFonts w:hint="eastAsia"/>
          <w:lang w:val="en-US" w:eastAsia="zh-CN"/>
        </w:rPr>
        <w:t>年初决定做出</w:t>
      </w:r>
      <w:r w:rsidR="009E04CB">
        <w:rPr>
          <w:rFonts w:hint="eastAsia"/>
          <w:lang w:val="en-US" w:eastAsia="zh-CN"/>
        </w:rPr>
        <w:t>下列重大调整：</w:t>
      </w:r>
      <w:bookmarkEnd w:id="44"/>
    </w:p>
    <w:p w:rsidR="009E04CB" w:rsidRDefault="009E04CB" w:rsidP="00070706">
      <w:pPr>
        <w:pStyle w:val="enumlev1"/>
        <w:rPr>
          <w:lang w:val="en-US" w:eastAsia="zh-CN"/>
        </w:rPr>
      </w:pPr>
      <w:r w:rsidRPr="009E04CB">
        <w:rPr>
          <w:lang w:val="en-US" w:eastAsia="zh-CN"/>
        </w:rPr>
        <w:t>–</w:t>
      </w:r>
      <w:r>
        <w:rPr>
          <w:lang w:val="en-US" w:eastAsia="zh-CN"/>
        </w:rPr>
        <w:tab/>
      </w:r>
      <w:r w:rsidR="00070706">
        <w:rPr>
          <w:rFonts w:hint="eastAsia"/>
          <w:lang w:val="en-US" w:eastAsia="zh-CN"/>
        </w:rPr>
        <w:t>地下层</w:t>
      </w:r>
      <w:r>
        <w:rPr>
          <w:rFonts w:hint="eastAsia"/>
          <w:lang w:val="en-US" w:eastAsia="zh-CN"/>
        </w:rPr>
        <w:t>减少一层，</w:t>
      </w:r>
      <w:r w:rsidR="00070706">
        <w:rPr>
          <w:rFonts w:hint="eastAsia"/>
          <w:lang w:val="en-US" w:eastAsia="zh-CN"/>
        </w:rPr>
        <w:t>优化</w:t>
      </w:r>
      <w:r>
        <w:rPr>
          <w:rFonts w:hint="eastAsia"/>
          <w:lang w:val="en-US" w:eastAsia="zh-CN"/>
        </w:rPr>
        <w:t>通过利用现有地下层空间</w:t>
      </w:r>
      <w:r w:rsidR="00070706">
        <w:rPr>
          <w:rFonts w:hint="eastAsia"/>
          <w:lang w:val="en-US" w:eastAsia="zh-CN"/>
        </w:rPr>
        <w:t>实现</w:t>
      </w:r>
      <w:r>
        <w:rPr>
          <w:rFonts w:hint="eastAsia"/>
          <w:lang w:val="en-US" w:eastAsia="zh-CN"/>
        </w:rPr>
        <w:t>；</w:t>
      </w:r>
    </w:p>
    <w:p w:rsidR="009E04CB" w:rsidRDefault="009E04CB" w:rsidP="00070706">
      <w:pPr>
        <w:pStyle w:val="enumlev1"/>
        <w:rPr>
          <w:lang w:val="en-US" w:eastAsia="zh-CN"/>
        </w:rPr>
      </w:pPr>
      <w:r w:rsidRPr="009E04CB">
        <w:rPr>
          <w:lang w:val="en-US" w:eastAsia="zh-CN"/>
        </w:rPr>
        <w:t>–</w:t>
      </w:r>
      <w:r>
        <w:rPr>
          <w:lang w:val="en-US" w:eastAsia="zh-CN"/>
        </w:rPr>
        <w:tab/>
      </w:r>
      <w:r w:rsidR="00070706">
        <w:rPr>
          <w:rFonts w:hint="eastAsia"/>
          <w:lang w:val="en-US" w:eastAsia="zh-CN"/>
        </w:rPr>
        <w:t>地上办公层</w:t>
      </w:r>
      <w:r>
        <w:rPr>
          <w:rFonts w:hint="eastAsia"/>
          <w:lang w:val="en-US" w:eastAsia="zh-CN"/>
        </w:rPr>
        <w:t>减少一层，</w:t>
      </w:r>
      <w:r w:rsidR="00070706">
        <w:rPr>
          <w:rFonts w:hint="eastAsia"/>
          <w:lang w:val="en-US" w:eastAsia="zh-CN"/>
        </w:rPr>
        <w:t>通过改变办公楼</w:t>
      </w:r>
      <w:r>
        <w:rPr>
          <w:rFonts w:hint="eastAsia"/>
          <w:lang w:val="en-US" w:eastAsia="zh-CN"/>
        </w:rPr>
        <w:t>窄</w:t>
      </w:r>
      <w:r w:rsidR="00070706">
        <w:rPr>
          <w:rFonts w:hint="eastAsia"/>
          <w:lang w:val="en-US" w:eastAsia="zh-CN"/>
        </w:rPr>
        <w:t>端</w:t>
      </w:r>
      <w:r>
        <w:rPr>
          <w:rFonts w:hint="eastAsia"/>
          <w:lang w:val="en-US" w:eastAsia="zh-CN"/>
        </w:rPr>
        <w:t>尾部</w:t>
      </w:r>
      <w:r w:rsidR="00070706">
        <w:rPr>
          <w:rFonts w:hint="eastAsia"/>
          <w:lang w:val="en-US" w:eastAsia="zh-CN"/>
        </w:rPr>
        <w:t>实现</w:t>
      </w:r>
      <w:r>
        <w:rPr>
          <w:rFonts w:hint="eastAsia"/>
          <w:lang w:val="en-US" w:eastAsia="zh-CN"/>
        </w:rPr>
        <w:t>。</w:t>
      </w:r>
    </w:p>
    <w:p w:rsidR="00373489" w:rsidRPr="00D10C89" w:rsidRDefault="00373489" w:rsidP="009D62D8">
      <w:pPr>
        <w:rPr>
          <w:lang w:val="en-US" w:eastAsia="zh-CN"/>
        </w:rPr>
      </w:pPr>
      <w:r w:rsidRPr="00D10C89">
        <w:rPr>
          <w:lang w:val="en-US" w:eastAsia="zh-CN"/>
        </w:rPr>
        <w:t>4.7</w:t>
      </w:r>
      <w:r w:rsidRPr="00D10C89">
        <w:rPr>
          <w:lang w:val="en-US" w:eastAsia="zh-CN"/>
        </w:rPr>
        <w:tab/>
      </w:r>
      <w:bookmarkStart w:id="45" w:name="lt_pId137"/>
      <w:r w:rsidR="009E04CB">
        <w:rPr>
          <w:rFonts w:hint="eastAsia"/>
          <w:lang w:val="en-US" w:eastAsia="zh-CN"/>
        </w:rPr>
        <w:t>这意味着办公楼目前总</w:t>
      </w:r>
      <w:r w:rsidR="009D62D8">
        <w:rPr>
          <w:rFonts w:hint="eastAsia"/>
          <w:lang w:val="en-US" w:eastAsia="zh-CN"/>
        </w:rPr>
        <w:t>共十</w:t>
      </w:r>
      <w:r w:rsidR="009E04CB">
        <w:rPr>
          <w:rFonts w:hint="eastAsia"/>
          <w:lang w:val="en-US" w:eastAsia="zh-CN"/>
        </w:rPr>
        <w:t>层：地下层、</w:t>
      </w:r>
      <w:r w:rsidR="00CC2069">
        <w:rPr>
          <w:rFonts w:hint="eastAsia"/>
          <w:lang w:val="en-US" w:eastAsia="zh-CN"/>
        </w:rPr>
        <w:t>低</w:t>
      </w:r>
      <w:r w:rsidR="009D62D8">
        <w:rPr>
          <w:rFonts w:hint="eastAsia"/>
          <w:lang w:val="en-US" w:eastAsia="zh-CN"/>
        </w:rPr>
        <w:t>于</w:t>
      </w:r>
      <w:r w:rsidR="00CC2069">
        <w:rPr>
          <w:rFonts w:hint="eastAsia"/>
          <w:lang w:val="en-US" w:eastAsia="zh-CN"/>
        </w:rPr>
        <w:t>地面</w:t>
      </w:r>
      <w:r w:rsidR="009D62D8">
        <w:rPr>
          <w:rFonts w:hint="eastAsia"/>
          <w:lang w:val="en-US" w:eastAsia="zh-CN"/>
        </w:rPr>
        <w:t>的一</w:t>
      </w:r>
      <w:r w:rsidR="00CC2069">
        <w:rPr>
          <w:rFonts w:hint="eastAsia"/>
          <w:lang w:val="en-US" w:eastAsia="zh-CN"/>
        </w:rPr>
        <w:t>层（</w:t>
      </w:r>
      <w:proofErr w:type="spellStart"/>
      <w:r w:rsidRPr="00D10C89">
        <w:rPr>
          <w:lang w:val="en-US" w:eastAsia="zh-CN"/>
        </w:rPr>
        <w:t>Varembé</w:t>
      </w:r>
      <w:proofErr w:type="spellEnd"/>
      <w:r w:rsidR="00CC2069">
        <w:rPr>
          <w:rFonts w:hint="eastAsia"/>
          <w:lang w:val="en-US" w:eastAsia="zh-CN"/>
        </w:rPr>
        <w:t>街一侧）、高</w:t>
      </w:r>
      <w:r w:rsidR="009D62D8">
        <w:rPr>
          <w:rFonts w:hint="eastAsia"/>
          <w:lang w:val="en-US" w:eastAsia="zh-CN"/>
        </w:rPr>
        <w:t>于</w:t>
      </w:r>
      <w:r w:rsidR="00CC2069">
        <w:rPr>
          <w:rFonts w:hint="eastAsia"/>
          <w:lang w:val="en-US" w:eastAsia="zh-CN"/>
        </w:rPr>
        <w:t>地面</w:t>
      </w:r>
      <w:r w:rsidR="009D62D8">
        <w:rPr>
          <w:rFonts w:hint="eastAsia"/>
          <w:lang w:val="en-US" w:eastAsia="zh-CN"/>
        </w:rPr>
        <w:t>的一</w:t>
      </w:r>
      <w:r w:rsidR="00CC2069">
        <w:rPr>
          <w:rFonts w:hint="eastAsia"/>
          <w:lang w:val="en-US" w:eastAsia="zh-CN"/>
        </w:rPr>
        <w:t>层（</w:t>
      </w:r>
      <w:r w:rsidRPr="00D10C89">
        <w:rPr>
          <w:lang w:val="en-US" w:eastAsia="zh-CN"/>
        </w:rPr>
        <w:t>Giuseppe Motta</w:t>
      </w:r>
      <w:r w:rsidR="00CC2069">
        <w:rPr>
          <w:rFonts w:hint="eastAsia"/>
          <w:lang w:val="en-US" w:eastAsia="zh-CN"/>
        </w:rPr>
        <w:t>街一侧）、</w:t>
      </w:r>
      <w:r w:rsidR="009D62D8">
        <w:rPr>
          <w:rFonts w:hint="eastAsia"/>
          <w:lang w:val="en-US" w:eastAsia="zh-CN"/>
        </w:rPr>
        <w:t>设备</w:t>
      </w:r>
      <w:r w:rsidR="00CC2069">
        <w:rPr>
          <w:rFonts w:hint="eastAsia"/>
          <w:lang w:val="en-US" w:eastAsia="zh-CN"/>
        </w:rPr>
        <w:t>层、庭院花园层和五层地上办公</w:t>
      </w:r>
      <w:r w:rsidR="009D62D8">
        <w:rPr>
          <w:rFonts w:hint="eastAsia"/>
          <w:lang w:val="en-US" w:eastAsia="zh-CN"/>
        </w:rPr>
        <w:t>楼</w:t>
      </w:r>
      <w:r w:rsidR="00CC2069">
        <w:rPr>
          <w:rFonts w:hint="eastAsia"/>
          <w:lang w:val="en-US" w:eastAsia="zh-CN"/>
        </w:rPr>
        <w:t>层。</w:t>
      </w:r>
      <w:bookmarkEnd w:id="45"/>
    </w:p>
    <w:p w:rsidR="00373489" w:rsidRPr="0011749F" w:rsidRDefault="00373489" w:rsidP="003D5797">
      <w:pPr>
        <w:rPr>
          <w:lang w:val="en-US" w:eastAsia="zh-CN"/>
        </w:rPr>
      </w:pPr>
      <w:r w:rsidRPr="0011749F">
        <w:rPr>
          <w:lang w:val="en-US" w:eastAsia="zh-CN"/>
        </w:rPr>
        <w:lastRenderedPageBreak/>
        <w:t>4.8</w:t>
      </w:r>
      <w:r w:rsidRPr="0011749F">
        <w:rPr>
          <w:lang w:val="en-US" w:eastAsia="zh-CN"/>
        </w:rPr>
        <w:tab/>
      </w:r>
      <w:bookmarkStart w:id="46" w:name="lt_pId139"/>
      <w:r w:rsidR="00CC2069">
        <w:rPr>
          <w:rFonts w:hint="eastAsia"/>
          <w:lang w:val="en-US" w:eastAsia="zh-CN"/>
        </w:rPr>
        <w:t>由于减少了一层办公</w:t>
      </w:r>
      <w:r w:rsidR="009D62D8">
        <w:rPr>
          <w:rFonts w:hint="eastAsia"/>
          <w:lang w:val="en-US" w:eastAsia="zh-CN"/>
        </w:rPr>
        <w:t>楼</w:t>
      </w:r>
      <w:r w:rsidR="00CC2069">
        <w:rPr>
          <w:rFonts w:hint="eastAsia"/>
          <w:lang w:val="en-US" w:eastAsia="zh-CN"/>
        </w:rPr>
        <w:t>层，因此</w:t>
      </w:r>
      <w:r w:rsidR="003D5797">
        <w:rPr>
          <w:rFonts w:hint="eastAsia"/>
          <w:lang w:val="en-US" w:eastAsia="zh-CN"/>
        </w:rPr>
        <w:t>楼高低于获奖设计</w:t>
      </w:r>
      <w:r w:rsidR="00CC2069">
        <w:rPr>
          <w:rFonts w:hint="eastAsia"/>
          <w:lang w:val="en-US" w:eastAsia="zh-CN"/>
        </w:rPr>
        <w:t>。国际电联已从日内瓦共和国和日内瓦州政府处获得确认，</w:t>
      </w:r>
      <w:r w:rsidR="003D5797">
        <w:rPr>
          <w:rFonts w:hint="eastAsia"/>
          <w:lang w:val="en-US" w:eastAsia="zh-CN"/>
        </w:rPr>
        <w:t>无需</w:t>
      </w:r>
      <w:r w:rsidR="00CC2069">
        <w:rPr>
          <w:rFonts w:hint="eastAsia"/>
          <w:lang w:val="en-US" w:eastAsia="zh-CN"/>
        </w:rPr>
        <w:t>为此</w:t>
      </w:r>
      <w:r w:rsidR="003D5797">
        <w:rPr>
          <w:rFonts w:hint="eastAsia"/>
          <w:lang w:val="en-US" w:eastAsia="zh-CN"/>
        </w:rPr>
        <w:t>建筑</w:t>
      </w:r>
      <w:r w:rsidR="00CC2069">
        <w:rPr>
          <w:rFonts w:hint="eastAsia"/>
          <w:lang w:val="en-US" w:eastAsia="zh-CN"/>
        </w:rPr>
        <w:t>高度修改本地</w:t>
      </w:r>
      <w:r w:rsidR="003D5797">
        <w:rPr>
          <w:rFonts w:hint="eastAsia"/>
          <w:lang w:val="en-US" w:eastAsia="zh-CN"/>
        </w:rPr>
        <w:t>土地利用</w:t>
      </w:r>
      <w:r w:rsidR="00CC2069">
        <w:rPr>
          <w:rFonts w:hint="eastAsia"/>
          <w:lang w:val="en-US" w:eastAsia="zh-CN"/>
        </w:rPr>
        <w:t>分区规划（</w:t>
      </w:r>
      <w:bookmarkStart w:id="47" w:name="lt_pId140"/>
      <w:bookmarkEnd w:id="46"/>
      <w:r w:rsidRPr="0011749F">
        <w:rPr>
          <w:lang w:val="en-US" w:eastAsia="zh-CN"/>
        </w:rPr>
        <w:t>Local Zoning Plan</w:t>
      </w:r>
      <w:r w:rsidR="003D5797">
        <w:rPr>
          <w:rFonts w:hint="eastAsia"/>
          <w:lang w:val="en-US" w:eastAsia="zh-CN"/>
        </w:rPr>
        <w:t>），</w:t>
      </w:r>
      <w:r w:rsidR="00CC2069">
        <w:rPr>
          <w:rFonts w:hint="eastAsia"/>
          <w:lang w:val="en-US" w:eastAsia="zh-CN"/>
        </w:rPr>
        <w:t>规划的审</w:t>
      </w:r>
      <w:r w:rsidR="003D5797">
        <w:rPr>
          <w:rFonts w:hint="eastAsia"/>
          <w:lang w:val="en-US" w:eastAsia="zh-CN"/>
        </w:rPr>
        <w:t>批时</w:t>
      </w:r>
      <w:r w:rsidR="00CC2069">
        <w:rPr>
          <w:rFonts w:hint="eastAsia"/>
          <w:lang w:val="en-US" w:eastAsia="zh-CN"/>
        </w:rPr>
        <w:t>将遵循标准程序。</w:t>
      </w:r>
      <w:bookmarkEnd w:id="47"/>
    </w:p>
    <w:p w:rsidR="00373489" w:rsidRPr="00D10C89" w:rsidRDefault="00373489" w:rsidP="003D5797">
      <w:pPr>
        <w:rPr>
          <w:lang w:eastAsia="zh-CN"/>
        </w:rPr>
      </w:pPr>
      <w:r w:rsidRPr="00D10C89">
        <w:rPr>
          <w:lang w:val="en-US" w:eastAsia="zh-CN"/>
        </w:rPr>
        <w:t>4.9</w:t>
      </w:r>
      <w:r w:rsidRPr="00D10C89">
        <w:rPr>
          <w:lang w:val="en-US" w:eastAsia="zh-CN"/>
        </w:rPr>
        <w:tab/>
      </w:r>
      <w:bookmarkStart w:id="48" w:name="lt_pId142"/>
      <w:r w:rsidR="00CC2069">
        <w:rPr>
          <w:rFonts w:hint="eastAsia"/>
          <w:lang w:val="en-US" w:eastAsia="zh-CN"/>
        </w:rPr>
        <w:t>关于安保问题，要求新办公楼符合</w:t>
      </w:r>
      <w:r w:rsidRPr="00D10C89">
        <w:rPr>
          <w:lang w:eastAsia="zh-CN"/>
        </w:rPr>
        <w:t>UN-MOSS</w:t>
      </w:r>
      <w:r w:rsidR="00CC2069">
        <w:rPr>
          <w:lang w:eastAsia="zh-CN"/>
        </w:rPr>
        <w:t>（</w:t>
      </w:r>
      <w:r w:rsidR="00CC2069">
        <w:rPr>
          <w:rFonts w:hint="eastAsia"/>
          <w:lang w:val="en-US" w:eastAsia="zh-CN"/>
        </w:rPr>
        <w:t>最低业务安全标准），这一标准适用于</w:t>
      </w:r>
      <w:r w:rsidR="003D5797">
        <w:rPr>
          <w:rFonts w:hint="eastAsia"/>
          <w:lang w:val="en-US" w:eastAsia="zh-CN"/>
        </w:rPr>
        <w:t>设在</w:t>
      </w:r>
      <w:r w:rsidR="00CC2069">
        <w:rPr>
          <w:rFonts w:hint="eastAsia"/>
          <w:lang w:val="en-US" w:eastAsia="zh-CN"/>
        </w:rPr>
        <w:t>瑞士或其他地方的所有联合国组织</w:t>
      </w:r>
      <w:r w:rsidR="003D5797">
        <w:rPr>
          <w:rFonts w:hint="eastAsia"/>
          <w:lang w:val="en-US" w:eastAsia="zh-CN"/>
        </w:rPr>
        <w:t>的</w:t>
      </w:r>
      <w:r w:rsidR="00CC2069">
        <w:rPr>
          <w:rFonts w:hint="eastAsia"/>
          <w:lang w:val="en-US" w:eastAsia="zh-CN"/>
        </w:rPr>
        <w:t>新</w:t>
      </w:r>
      <w:r w:rsidR="003D5797">
        <w:rPr>
          <w:rFonts w:hint="eastAsia"/>
          <w:lang w:val="en-US" w:eastAsia="zh-CN"/>
        </w:rPr>
        <w:t>建</w:t>
      </w:r>
      <w:r w:rsidR="00CC2069">
        <w:rPr>
          <w:rFonts w:hint="eastAsia"/>
          <w:lang w:val="en-US" w:eastAsia="zh-CN"/>
        </w:rPr>
        <w:t>或翻修的办公楼（日内瓦的近期</w:t>
      </w:r>
      <w:r w:rsidR="003D5797">
        <w:rPr>
          <w:rFonts w:hint="eastAsia"/>
          <w:lang w:val="en-US" w:eastAsia="zh-CN"/>
        </w:rPr>
        <w:t>之</w:t>
      </w:r>
      <w:r w:rsidR="00CC2069">
        <w:rPr>
          <w:rFonts w:hint="eastAsia"/>
          <w:lang w:val="en-US" w:eastAsia="zh-CN"/>
        </w:rPr>
        <w:t>例有</w:t>
      </w:r>
      <w:r w:rsidR="00CC2069">
        <w:rPr>
          <w:lang w:eastAsia="zh-CN"/>
        </w:rPr>
        <w:t>国际劳工组织（</w:t>
      </w:r>
      <w:r w:rsidR="00CC2069">
        <w:rPr>
          <w:lang w:eastAsia="zh-CN"/>
        </w:rPr>
        <w:t>ILO</w:t>
      </w:r>
      <w:r w:rsidR="00CC2069">
        <w:rPr>
          <w:lang w:eastAsia="zh-CN"/>
        </w:rPr>
        <w:t>）、</w:t>
      </w:r>
      <w:r w:rsidR="00CC2069">
        <w:rPr>
          <w:rFonts w:hint="eastAsia"/>
          <w:lang w:eastAsia="zh-CN"/>
        </w:rPr>
        <w:t>联合国日内瓦办事处（</w:t>
      </w:r>
      <w:r w:rsidRPr="00D10C89">
        <w:rPr>
          <w:lang w:eastAsia="zh-CN"/>
        </w:rPr>
        <w:t>UNOG</w:t>
      </w:r>
      <w:r w:rsidR="00CC2069">
        <w:rPr>
          <w:lang w:eastAsia="zh-CN"/>
        </w:rPr>
        <w:t>）、世界知识产权组织（</w:t>
      </w:r>
      <w:r w:rsidR="00CC2069">
        <w:rPr>
          <w:lang w:eastAsia="zh-CN"/>
        </w:rPr>
        <w:t>WIPO</w:t>
      </w:r>
      <w:r w:rsidR="00CC2069">
        <w:rPr>
          <w:lang w:eastAsia="zh-CN"/>
        </w:rPr>
        <w:t>）、世界卫生组织（</w:t>
      </w:r>
      <w:r w:rsidR="00CC2069">
        <w:rPr>
          <w:lang w:eastAsia="zh-CN"/>
        </w:rPr>
        <w:t>WHO</w:t>
      </w:r>
      <w:r w:rsidR="00BD6916">
        <w:rPr>
          <w:lang w:eastAsia="zh-CN"/>
        </w:rPr>
        <w:t>）</w:t>
      </w:r>
      <w:r w:rsidR="00CC2069">
        <w:rPr>
          <w:rFonts w:hint="eastAsia"/>
          <w:lang w:eastAsia="zh-CN"/>
        </w:rPr>
        <w:t>和世界贸易组织（</w:t>
      </w:r>
      <w:r w:rsidRPr="00D10C89">
        <w:rPr>
          <w:lang w:eastAsia="zh-CN"/>
        </w:rPr>
        <w:t>WTO</w:t>
      </w:r>
      <w:r w:rsidR="00CC2069">
        <w:rPr>
          <w:lang w:eastAsia="zh-CN"/>
        </w:rPr>
        <w:t>））。</w:t>
      </w:r>
      <w:bookmarkEnd w:id="48"/>
    </w:p>
    <w:p w:rsidR="00373489" w:rsidRPr="00D10C89" w:rsidRDefault="00373489" w:rsidP="009B294F">
      <w:pPr>
        <w:rPr>
          <w:lang w:eastAsia="zh-CN"/>
        </w:rPr>
      </w:pPr>
      <w:r w:rsidRPr="00D10C89">
        <w:rPr>
          <w:lang w:eastAsia="zh-CN"/>
        </w:rPr>
        <w:t>4.10</w:t>
      </w:r>
      <w:r w:rsidRPr="00D10C89">
        <w:rPr>
          <w:lang w:eastAsia="zh-CN"/>
        </w:rPr>
        <w:tab/>
      </w:r>
      <w:bookmarkStart w:id="49" w:name="lt_pId144"/>
      <w:r w:rsidR="00CC2069">
        <w:rPr>
          <w:lang w:eastAsia="zh-CN"/>
        </w:rPr>
        <w:t>2018</w:t>
      </w:r>
      <w:r w:rsidR="00CC2069">
        <w:rPr>
          <w:rFonts w:hint="eastAsia"/>
          <w:lang w:eastAsia="zh-CN"/>
        </w:rPr>
        <w:t>年</w:t>
      </w:r>
      <w:r w:rsidR="00CC2069">
        <w:rPr>
          <w:rFonts w:hint="eastAsia"/>
          <w:lang w:eastAsia="zh-CN"/>
        </w:rPr>
        <w:t>12</w:t>
      </w:r>
      <w:r w:rsidR="00CC2069">
        <w:rPr>
          <w:rFonts w:hint="eastAsia"/>
          <w:lang w:eastAsia="zh-CN"/>
        </w:rPr>
        <w:t>月，联合国安全和安</w:t>
      </w:r>
      <w:r w:rsidR="003D5797">
        <w:rPr>
          <w:rFonts w:hint="eastAsia"/>
          <w:lang w:eastAsia="zh-CN"/>
        </w:rPr>
        <w:t>保</w:t>
      </w:r>
      <w:r w:rsidR="00CC2069">
        <w:rPr>
          <w:rFonts w:hint="eastAsia"/>
          <w:lang w:eastAsia="zh-CN"/>
        </w:rPr>
        <w:t>部（</w:t>
      </w:r>
      <w:r w:rsidR="00CC2069">
        <w:rPr>
          <w:rFonts w:hint="eastAsia"/>
          <w:lang w:eastAsia="zh-CN"/>
        </w:rPr>
        <w:t>UNDSS</w:t>
      </w:r>
      <w:r w:rsidR="00CC2069">
        <w:rPr>
          <w:rFonts w:hint="eastAsia"/>
          <w:lang w:eastAsia="zh-CN"/>
        </w:rPr>
        <w:t>）纽约</w:t>
      </w:r>
      <w:r w:rsidR="003D5797">
        <w:rPr>
          <w:rFonts w:hint="eastAsia"/>
          <w:lang w:eastAsia="zh-CN"/>
        </w:rPr>
        <w:t>实体安保</w:t>
      </w:r>
      <w:r w:rsidR="00CC2069">
        <w:rPr>
          <w:rFonts w:hint="eastAsia"/>
          <w:lang w:eastAsia="zh-CN"/>
        </w:rPr>
        <w:t>处的一名建筑</w:t>
      </w:r>
      <w:r w:rsidR="003D5797">
        <w:rPr>
          <w:rFonts w:hint="eastAsia"/>
          <w:lang w:eastAsia="zh-CN"/>
        </w:rPr>
        <w:t>师</w:t>
      </w:r>
      <w:r w:rsidR="00CC2069">
        <w:rPr>
          <w:rFonts w:hint="eastAsia"/>
          <w:lang w:eastAsia="zh-CN"/>
        </w:rPr>
        <w:t>和</w:t>
      </w:r>
      <w:r w:rsidR="003D5797">
        <w:rPr>
          <w:rFonts w:hint="eastAsia"/>
          <w:lang w:eastAsia="zh-CN"/>
        </w:rPr>
        <w:t>一位</w:t>
      </w:r>
      <w:r w:rsidR="007500C4">
        <w:rPr>
          <w:rFonts w:hint="eastAsia"/>
          <w:lang w:eastAsia="zh-CN"/>
        </w:rPr>
        <w:t>防爆</w:t>
      </w:r>
      <w:r w:rsidR="003D5797">
        <w:rPr>
          <w:rFonts w:hint="eastAsia"/>
          <w:lang w:eastAsia="zh-CN"/>
        </w:rPr>
        <w:t>专家根据</w:t>
      </w:r>
      <w:r w:rsidR="00CC2069">
        <w:rPr>
          <w:rFonts w:hint="eastAsia"/>
          <w:lang w:eastAsia="zh-CN"/>
        </w:rPr>
        <w:t>MOSS</w:t>
      </w:r>
      <w:r w:rsidR="00CC2069">
        <w:rPr>
          <w:rFonts w:hint="eastAsia"/>
          <w:lang w:eastAsia="zh-CN"/>
        </w:rPr>
        <w:t>安保缓解措施，对新办公楼的设计和理念进行了初步</w:t>
      </w:r>
      <w:r w:rsidR="003D5797">
        <w:rPr>
          <w:rFonts w:hint="eastAsia"/>
          <w:lang w:eastAsia="zh-CN"/>
        </w:rPr>
        <w:t>实体安保</w:t>
      </w:r>
      <w:r w:rsidR="00CC2069">
        <w:rPr>
          <w:rFonts w:hint="eastAsia"/>
          <w:lang w:eastAsia="zh-CN"/>
        </w:rPr>
        <w:t>评估和检查。初步评估报告表明</w:t>
      </w:r>
      <w:r w:rsidR="003D5797">
        <w:rPr>
          <w:rFonts w:hint="eastAsia"/>
          <w:lang w:eastAsia="zh-CN"/>
        </w:rPr>
        <w:t>，</w:t>
      </w:r>
      <w:r w:rsidR="00CC2069">
        <w:rPr>
          <w:rFonts w:hint="eastAsia"/>
          <w:lang w:eastAsia="zh-CN"/>
        </w:rPr>
        <w:t>新办公楼</w:t>
      </w:r>
      <w:r w:rsidR="003D5797">
        <w:rPr>
          <w:rFonts w:hint="eastAsia"/>
          <w:lang w:eastAsia="zh-CN"/>
        </w:rPr>
        <w:t>所面临</w:t>
      </w:r>
      <w:r w:rsidR="00CC2069">
        <w:rPr>
          <w:rFonts w:hint="eastAsia"/>
          <w:lang w:eastAsia="zh-CN"/>
        </w:rPr>
        <w:t>的关切</w:t>
      </w:r>
      <w:r w:rsidR="00CC2069">
        <w:rPr>
          <w:rFonts w:hint="eastAsia"/>
          <w:lang w:eastAsia="zh-CN"/>
        </w:rPr>
        <w:t>/</w:t>
      </w:r>
      <w:r w:rsidR="00CC2069">
        <w:rPr>
          <w:rFonts w:hint="eastAsia"/>
          <w:lang w:eastAsia="zh-CN"/>
        </w:rPr>
        <w:t>挑战与国际电联秘书处认识到的关切和挑战相同，主要是</w:t>
      </w:r>
      <w:bookmarkStart w:id="50" w:name="lt_pId145"/>
      <w:bookmarkEnd w:id="49"/>
      <w:r w:rsidR="003D5797">
        <w:rPr>
          <w:rFonts w:hint="eastAsia"/>
          <w:lang w:eastAsia="zh-CN"/>
        </w:rPr>
        <w:t>：与</w:t>
      </w:r>
      <w:proofErr w:type="spellStart"/>
      <w:r w:rsidR="003D5797" w:rsidRPr="00D10C89">
        <w:rPr>
          <w:lang w:eastAsia="zh-CN"/>
        </w:rPr>
        <w:t>Varembé</w:t>
      </w:r>
      <w:proofErr w:type="spellEnd"/>
      <w:r w:rsidR="003D5797">
        <w:rPr>
          <w:rFonts w:hint="eastAsia"/>
          <w:lang w:eastAsia="zh-CN"/>
        </w:rPr>
        <w:t>街之间没有足够的安全距离，而且联合国停车场的出</w:t>
      </w:r>
      <w:r w:rsidR="003D5797">
        <w:rPr>
          <w:rFonts w:hint="eastAsia"/>
          <w:lang w:eastAsia="zh-CN"/>
        </w:rPr>
        <w:t>/</w:t>
      </w:r>
      <w:r w:rsidR="003D5797">
        <w:rPr>
          <w:rFonts w:hint="eastAsia"/>
          <w:lang w:eastAsia="zh-CN"/>
        </w:rPr>
        <w:t>入车道也存在类似问题。初步报告</w:t>
      </w:r>
      <w:r w:rsidR="003D5797" w:rsidRPr="00E26C67">
        <w:rPr>
          <w:rFonts w:eastAsia="STKaiti" w:hint="eastAsia"/>
          <w:lang w:eastAsia="zh-CN"/>
        </w:rPr>
        <w:t>赞同</w:t>
      </w:r>
      <w:r w:rsidR="003D5797">
        <w:rPr>
          <w:rFonts w:hint="eastAsia"/>
          <w:lang w:eastAsia="zh-CN"/>
        </w:rPr>
        <w:t>国际电联和建筑设计师最初的概念战略，认为那是</w:t>
      </w:r>
      <w:r w:rsidR="003D5797" w:rsidRPr="00E26C67">
        <w:rPr>
          <w:rFonts w:eastAsia="STKaiti" w:hint="eastAsia"/>
          <w:lang w:eastAsia="zh-CN"/>
        </w:rPr>
        <w:t>一种最佳安全做法</w:t>
      </w:r>
      <w:r w:rsidR="003D5797">
        <w:rPr>
          <w:lang w:eastAsia="zh-CN"/>
        </w:rPr>
        <w:t xml:space="preserve"> – </w:t>
      </w:r>
      <w:r w:rsidR="003D5797">
        <w:rPr>
          <w:rFonts w:hint="eastAsia"/>
          <w:lang w:eastAsia="zh-CN"/>
        </w:rPr>
        <w:t>设置两道单独的周边安保屏障，即，在距离办公楼尽可能远的办公楼周边安装防车辆障碍物，以获得最大的安全距离，并安装防攀爬障碍物，以便将未获资格认证的人员引导到安检</w:t>
      </w:r>
      <w:r w:rsidR="003D5797">
        <w:rPr>
          <w:rFonts w:hint="eastAsia"/>
          <w:lang w:eastAsia="zh-CN"/>
        </w:rPr>
        <w:t>/</w:t>
      </w:r>
      <w:r w:rsidR="009B294F">
        <w:rPr>
          <w:rFonts w:hint="eastAsia"/>
          <w:lang w:eastAsia="zh-CN"/>
        </w:rPr>
        <w:t>资格认证亭（访客和尚未进行资格认证的代表需</w:t>
      </w:r>
      <w:r w:rsidR="003D5797">
        <w:rPr>
          <w:rFonts w:hint="eastAsia"/>
          <w:lang w:eastAsia="zh-CN"/>
        </w:rPr>
        <w:t>在此办理手续），该亭将</w:t>
      </w:r>
      <w:r w:rsidR="009B294F">
        <w:rPr>
          <w:rFonts w:hint="eastAsia"/>
          <w:lang w:eastAsia="zh-CN"/>
        </w:rPr>
        <w:t>设</w:t>
      </w:r>
      <w:r w:rsidR="003D5797">
        <w:rPr>
          <w:rFonts w:hint="eastAsia"/>
          <w:lang w:eastAsia="zh-CN"/>
        </w:rPr>
        <w:t>在</w:t>
      </w:r>
      <w:bookmarkStart w:id="51" w:name="lt_pId146"/>
      <w:bookmarkEnd w:id="50"/>
      <w:r w:rsidR="003D5797" w:rsidRPr="00D10C89">
        <w:rPr>
          <w:lang w:eastAsia="zh-CN"/>
        </w:rPr>
        <w:t>Giuseppe Motta</w:t>
      </w:r>
      <w:r w:rsidR="003D5797">
        <w:rPr>
          <w:rFonts w:hint="eastAsia"/>
          <w:lang w:eastAsia="zh-CN"/>
        </w:rPr>
        <w:t>大街一侧的新入口处。国际电联要求提出一份正式报告。</w:t>
      </w:r>
      <w:r w:rsidR="003D5797">
        <w:rPr>
          <w:rFonts w:hint="eastAsia"/>
          <w:lang w:eastAsia="zh-CN"/>
        </w:rPr>
        <w:t>2</w:t>
      </w:r>
      <w:r w:rsidR="003D5797">
        <w:rPr>
          <w:rFonts w:hint="eastAsia"/>
          <w:lang w:eastAsia="zh-CN"/>
        </w:rPr>
        <w:t>月，</w:t>
      </w:r>
      <w:r w:rsidR="003D5797">
        <w:rPr>
          <w:rFonts w:hint="eastAsia"/>
          <w:lang w:eastAsia="zh-CN"/>
        </w:rPr>
        <w:t>UNDSS</w:t>
      </w:r>
      <w:r w:rsidR="003D5797">
        <w:rPr>
          <w:rFonts w:hint="eastAsia"/>
          <w:lang w:eastAsia="zh-CN"/>
        </w:rPr>
        <w:t>建筑师和</w:t>
      </w:r>
      <w:r w:rsidR="009B294F">
        <w:rPr>
          <w:rFonts w:hint="eastAsia"/>
          <w:lang w:eastAsia="zh-CN"/>
        </w:rPr>
        <w:t>防</w:t>
      </w:r>
      <w:r w:rsidR="003D5797">
        <w:rPr>
          <w:rFonts w:hint="eastAsia"/>
          <w:lang w:eastAsia="zh-CN"/>
        </w:rPr>
        <w:t>爆专家将来</w:t>
      </w:r>
      <w:r w:rsidR="006558D5">
        <w:rPr>
          <w:rFonts w:hint="eastAsia"/>
          <w:lang w:eastAsia="zh-CN"/>
        </w:rPr>
        <w:t>实地视察</w:t>
      </w:r>
      <w:r w:rsidR="003D5797">
        <w:rPr>
          <w:rFonts w:hint="eastAsia"/>
          <w:lang w:eastAsia="zh-CN"/>
        </w:rPr>
        <w:t>，以便做出更详细的评估。其正式报告将与联络委员会安保工作组分享。</w:t>
      </w:r>
      <w:bookmarkEnd w:id="51"/>
    </w:p>
    <w:p w:rsidR="00373489" w:rsidRPr="00D10C89" w:rsidRDefault="00373489" w:rsidP="006558D5">
      <w:pPr>
        <w:rPr>
          <w:lang w:val="en-US" w:eastAsia="zh-CN"/>
        </w:rPr>
      </w:pPr>
      <w:r w:rsidRPr="00D10C89">
        <w:rPr>
          <w:lang w:val="en-US" w:eastAsia="zh-CN"/>
        </w:rPr>
        <w:t>4.11</w:t>
      </w:r>
      <w:r w:rsidRPr="00D10C89">
        <w:rPr>
          <w:lang w:val="en-US" w:eastAsia="zh-CN"/>
        </w:rPr>
        <w:tab/>
      </w:r>
      <w:bookmarkStart w:id="52" w:name="lt_pId151"/>
      <w:r w:rsidR="006558D5">
        <w:rPr>
          <w:rFonts w:hint="eastAsia"/>
          <w:lang w:val="en-US" w:eastAsia="zh-CN"/>
        </w:rPr>
        <w:t>在</w:t>
      </w:r>
      <w:r w:rsidR="006558D5">
        <w:rPr>
          <w:rFonts w:hint="eastAsia"/>
          <w:lang w:val="en-US" w:eastAsia="zh-CN"/>
        </w:rPr>
        <w:t>2019</w:t>
      </w:r>
      <w:r w:rsidR="006558D5">
        <w:rPr>
          <w:rFonts w:hint="eastAsia"/>
          <w:lang w:val="en-US" w:eastAsia="zh-CN"/>
        </w:rPr>
        <w:t>年</w:t>
      </w:r>
      <w:r w:rsidR="006558D5">
        <w:rPr>
          <w:rFonts w:hint="eastAsia"/>
          <w:lang w:val="en-US" w:eastAsia="zh-CN"/>
        </w:rPr>
        <w:t>4</w:t>
      </w:r>
      <w:r w:rsidR="006558D5">
        <w:rPr>
          <w:rFonts w:hint="eastAsia"/>
          <w:lang w:val="en-US" w:eastAsia="zh-CN"/>
        </w:rPr>
        <w:t>月之前，</w:t>
      </w:r>
      <w:r w:rsidR="005A2A6D">
        <w:rPr>
          <w:rFonts w:hint="eastAsia"/>
          <w:lang w:val="en-US" w:eastAsia="zh-CN"/>
        </w:rPr>
        <w:t>毕马威（</w:t>
      </w:r>
      <w:r w:rsidRPr="00D10C89">
        <w:rPr>
          <w:lang w:val="en-US" w:eastAsia="zh-CN"/>
        </w:rPr>
        <w:t>KPMG</w:t>
      </w:r>
      <w:r w:rsidR="005A2A6D">
        <w:rPr>
          <w:lang w:val="en-US" w:eastAsia="zh-CN"/>
        </w:rPr>
        <w:t>）</w:t>
      </w:r>
      <w:r w:rsidR="006558D5">
        <w:rPr>
          <w:rFonts w:hint="eastAsia"/>
          <w:lang w:val="en-US" w:eastAsia="zh-CN"/>
        </w:rPr>
        <w:t>一直参与</w:t>
      </w:r>
      <w:r w:rsidR="005A2A6D">
        <w:rPr>
          <w:rFonts w:hint="eastAsia"/>
          <w:lang w:val="en-US" w:eastAsia="zh-CN"/>
        </w:rPr>
        <w:t>提供技术支持咨询</w:t>
      </w:r>
      <w:r w:rsidR="006558D5">
        <w:rPr>
          <w:rFonts w:hint="eastAsia"/>
          <w:lang w:val="en-US" w:eastAsia="zh-CN"/>
        </w:rPr>
        <w:t>的</w:t>
      </w:r>
      <w:r w:rsidR="005A2A6D">
        <w:rPr>
          <w:rFonts w:hint="eastAsia"/>
          <w:lang w:val="en-US" w:eastAsia="zh-CN"/>
        </w:rPr>
        <w:t>工作。</w:t>
      </w:r>
      <w:r w:rsidR="005A2A6D">
        <w:rPr>
          <w:rFonts w:hint="eastAsia"/>
          <w:lang w:val="en-US" w:eastAsia="zh-CN"/>
        </w:rPr>
        <w:t>2018</w:t>
      </w:r>
      <w:r w:rsidR="005A2A6D">
        <w:rPr>
          <w:rFonts w:hint="eastAsia"/>
          <w:lang w:val="en-US" w:eastAsia="zh-CN"/>
        </w:rPr>
        <w:t>年</w:t>
      </w:r>
      <w:r w:rsidR="005A2A6D">
        <w:rPr>
          <w:rFonts w:hint="eastAsia"/>
          <w:lang w:val="en-US" w:eastAsia="zh-CN"/>
        </w:rPr>
        <w:t>11</w:t>
      </w:r>
      <w:r w:rsidR="005A2A6D">
        <w:rPr>
          <w:rFonts w:hint="eastAsia"/>
          <w:lang w:val="en-US" w:eastAsia="zh-CN"/>
        </w:rPr>
        <w:t>月启动了国际采购行动，</w:t>
      </w:r>
      <w:r w:rsidR="006558D5">
        <w:rPr>
          <w:rFonts w:hint="eastAsia"/>
          <w:lang w:val="en-US" w:eastAsia="zh-CN"/>
        </w:rPr>
        <w:t>着眼于</w:t>
      </w:r>
      <w:r w:rsidR="005A2A6D">
        <w:rPr>
          <w:rFonts w:hint="eastAsia"/>
          <w:lang w:val="en-US" w:eastAsia="zh-CN"/>
        </w:rPr>
        <w:t>从</w:t>
      </w:r>
      <w:r w:rsidR="005A2A6D">
        <w:rPr>
          <w:rFonts w:hint="eastAsia"/>
          <w:lang w:val="en-US" w:eastAsia="zh-CN"/>
        </w:rPr>
        <w:t>2019</w:t>
      </w:r>
      <w:r w:rsidR="005A2A6D">
        <w:rPr>
          <w:rFonts w:hint="eastAsia"/>
          <w:lang w:val="en-US" w:eastAsia="zh-CN"/>
        </w:rPr>
        <w:t>年</w:t>
      </w:r>
      <w:r w:rsidR="005A2A6D">
        <w:rPr>
          <w:rFonts w:hint="eastAsia"/>
          <w:lang w:val="en-US" w:eastAsia="zh-CN"/>
        </w:rPr>
        <w:t>4</w:t>
      </w:r>
      <w:r w:rsidR="005A2A6D">
        <w:rPr>
          <w:rFonts w:hint="eastAsia"/>
          <w:lang w:val="en-US" w:eastAsia="zh-CN"/>
        </w:rPr>
        <w:t>月开始的长期项目管理支持</w:t>
      </w:r>
      <w:r w:rsidR="006558D5">
        <w:rPr>
          <w:rFonts w:hint="eastAsia"/>
          <w:lang w:val="en-US" w:eastAsia="zh-CN"/>
        </w:rPr>
        <w:t>工作</w:t>
      </w:r>
      <w:r w:rsidR="005A2A6D">
        <w:rPr>
          <w:rFonts w:hint="eastAsia"/>
          <w:lang w:val="en-US" w:eastAsia="zh-CN"/>
        </w:rPr>
        <w:t>。</w:t>
      </w:r>
      <w:r w:rsidR="006558D5">
        <w:rPr>
          <w:rFonts w:hint="eastAsia"/>
          <w:lang w:val="en-US" w:eastAsia="zh-CN"/>
        </w:rPr>
        <w:t>报价</w:t>
      </w:r>
      <w:r w:rsidR="005A2A6D">
        <w:rPr>
          <w:rFonts w:hint="eastAsia"/>
          <w:lang w:val="en-US" w:eastAsia="zh-CN"/>
        </w:rPr>
        <w:t>目前正在</w:t>
      </w:r>
      <w:r w:rsidR="006558D5">
        <w:rPr>
          <w:rFonts w:hint="eastAsia"/>
          <w:lang w:val="en-US" w:eastAsia="zh-CN"/>
        </w:rPr>
        <w:t>评估中</w:t>
      </w:r>
      <w:r w:rsidR="005A2A6D">
        <w:rPr>
          <w:rFonts w:hint="eastAsia"/>
          <w:lang w:val="en-US" w:eastAsia="zh-CN"/>
        </w:rPr>
        <w:t>。将请提供支持的咨询机构</w:t>
      </w:r>
      <w:r w:rsidR="004060C3">
        <w:rPr>
          <w:rFonts w:hint="eastAsia"/>
          <w:lang w:val="en-US" w:eastAsia="zh-CN"/>
        </w:rPr>
        <w:t>专家</w:t>
      </w:r>
      <w:r w:rsidR="005A2A6D">
        <w:rPr>
          <w:rFonts w:hint="eastAsia"/>
          <w:lang w:val="en-US" w:eastAsia="zh-CN"/>
        </w:rPr>
        <w:t>参加管理委员会的会议，尤其是</w:t>
      </w:r>
      <w:r w:rsidR="00B51DB4">
        <w:rPr>
          <w:rFonts w:hint="eastAsia"/>
          <w:lang w:val="en-US" w:eastAsia="zh-CN"/>
        </w:rPr>
        <w:t>“</w:t>
      </w:r>
      <w:r w:rsidR="004060C3">
        <w:rPr>
          <w:rFonts w:hint="eastAsia"/>
          <w:lang w:val="en-US" w:eastAsia="zh-CN"/>
        </w:rPr>
        <w:t>需求</w:t>
      </w:r>
      <w:r w:rsidR="005A2A6D">
        <w:rPr>
          <w:rFonts w:hint="eastAsia"/>
          <w:lang w:val="en-US" w:eastAsia="zh-CN"/>
        </w:rPr>
        <w:t>组</w:t>
      </w:r>
      <w:r w:rsidR="00B51DB4">
        <w:rPr>
          <w:rFonts w:hint="eastAsia"/>
          <w:lang w:val="en-US" w:eastAsia="zh-CN"/>
        </w:rPr>
        <w:t>”</w:t>
      </w:r>
      <w:r w:rsidR="005A2A6D">
        <w:rPr>
          <w:rFonts w:hint="eastAsia"/>
          <w:lang w:val="en-US" w:eastAsia="zh-CN"/>
        </w:rPr>
        <w:t>的会议。</w:t>
      </w:r>
      <w:bookmarkEnd w:id="52"/>
    </w:p>
    <w:p w:rsidR="00373489" w:rsidRPr="00D10C89" w:rsidRDefault="00373489" w:rsidP="007C647A">
      <w:pPr>
        <w:rPr>
          <w:lang w:val="en-US" w:eastAsia="zh-CN"/>
        </w:rPr>
      </w:pPr>
      <w:r w:rsidRPr="00D10C89">
        <w:rPr>
          <w:lang w:val="en-US" w:eastAsia="zh-CN"/>
        </w:rPr>
        <w:t>4.12</w:t>
      </w:r>
      <w:r w:rsidRPr="00D10C89">
        <w:rPr>
          <w:lang w:val="en-US" w:eastAsia="zh-CN"/>
        </w:rPr>
        <w:tab/>
      </w:r>
      <w:bookmarkStart w:id="53" w:name="lt_pId156"/>
      <w:r w:rsidRPr="00D10C89">
        <w:rPr>
          <w:lang w:val="en-US" w:eastAsia="zh-CN"/>
        </w:rPr>
        <w:t>MSAG</w:t>
      </w:r>
      <w:r w:rsidR="004060C3">
        <w:rPr>
          <w:rFonts w:hint="eastAsia"/>
          <w:lang w:val="en-US" w:eastAsia="zh-CN"/>
        </w:rPr>
        <w:t>已于本周开过会</w:t>
      </w:r>
      <w:r w:rsidR="005A2A6D">
        <w:rPr>
          <w:rFonts w:hint="eastAsia"/>
          <w:lang w:val="en-US" w:eastAsia="zh-CN"/>
        </w:rPr>
        <w:t>，并将于</w:t>
      </w:r>
      <w:r w:rsidR="005A2A6D">
        <w:rPr>
          <w:rFonts w:hint="eastAsia"/>
          <w:lang w:val="en-US" w:eastAsia="zh-CN"/>
        </w:rPr>
        <w:t>2019</w:t>
      </w:r>
      <w:r w:rsidR="005A2A6D">
        <w:rPr>
          <w:rFonts w:hint="eastAsia"/>
          <w:lang w:val="en-US" w:eastAsia="zh-CN"/>
        </w:rPr>
        <w:t>年</w:t>
      </w:r>
      <w:r w:rsidR="005A2A6D">
        <w:rPr>
          <w:rFonts w:hint="eastAsia"/>
          <w:lang w:val="en-US" w:eastAsia="zh-CN"/>
        </w:rPr>
        <w:t>4</w:t>
      </w:r>
      <w:r w:rsidR="005A2A6D">
        <w:rPr>
          <w:rFonts w:hint="eastAsia"/>
          <w:lang w:val="en-US" w:eastAsia="zh-CN"/>
        </w:rPr>
        <w:t>月</w:t>
      </w:r>
      <w:r w:rsidR="005A2A6D">
        <w:rPr>
          <w:rFonts w:hint="eastAsia"/>
          <w:lang w:val="en-US" w:eastAsia="zh-CN"/>
        </w:rPr>
        <w:t>15</w:t>
      </w:r>
      <w:r w:rsidR="005A2A6D">
        <w:rPr>
          <w:rFonts w:hint="eastAsia"/>
          <w:lang w:val="en-US" w:eastAsia="zh-CN"/>
        </w:rPr>
        <w:t>日再次</w:t>
      </w:r>
      <w:r w:rsidR="004060C3">
        <w:rPr>
          <w:rFonts w:hint="eastAsia"/>
          <w:lang w:val="en-US" w:eastAsia="zh-CN"/>
        </w:rPr>
        <w:t>召开会议，</w:t>
      </w:r>
      <w:r w:rsidR="005A2A6D">
        <w:rPr>
          <w:rFonts w:hint="eastAsia"/>
          <w:lang w:val="en-US" w:eastAsia="zh-CN"/>
        </w:rPr>
        <w:t>审查最终</w:t>
      </w:r>
      <w:r w:rsidR="004060C3">
        <w:rPr>
          <w:rFonts w:hint="eastAsia"/>
          <w:lang w:val="en-US" w:eastAsia="zh-CN"/>
        </w:rPr>
        <w:t>的概念</w:t>
      </w:r>
      <w:r w:rsidR="005A2A6D">
        <w:rPr>
          <w:rFonts w:hint="eastAsia"/>
          <w:lang w:val="en-US" w:eastAsia="zh-CN"/>
        </w:rPr>
        <w:t>设计</w:t>
      </w:r>
      <w:r w:rsidR="004060C3">
        <w:rPr>
          <w:rFonts w:hint="eastAsia"/>
          <w:lang w:val="en-US" w:eastAsia="zh-CN"/>
        </w:rPr>
        <w:t>，</w:t>
      </w:r>
      <w:r w:rsidR="005A2A6D">
        <w:rPr>
          <w:rFonts w:hint="eastAsia"/>
          <w:lang w:val="en-US" w:eastAsia="zh-CN"/>
        </w:rPr>
        <w:t>并</w:t>
      </w:r>
      <w:r w:rsidR="004060C3">
        <w:rPr>
          <w:rFonts w:hint="eastAsia"/>
          <w:lang w:val="en-US" w:eastAsia="zh-CN"/>
        </w:rPr>
        <w:t>且起草</w:t>
      </w:r>
      <w:r w:rsidR="005A2A6D">
        <w:rPr>
          <w:rFonts w:hint="eastAsia"/>
          <w:lang w:val="en-US" w:eastAsia="zh-CN"/>
        </w:rPr>
        <w:t>提交理事会的报告。</w:t>
      </w:r>
      <w:bookmarkEnd w:id="53"/>
    </w:p>
    <w:p w:rsidR="00373489" w:rsidRPr="00D10C89" w:rsidRDefault="00373489" w:rsidP="004060C3">
      <w:pPr>
        <w:rPr>
          <w:lang w:val="en-US" w:eastAsia="zh-CN"/>
        </w:rPr>
      </w:pPr>
      <w:r w:rsidRPr="00D10C89">
        <w:rPr>
          <w:lang w:val="en-US" w:eastAsia="zh-CN"/>
        </w:rPr>
        <w:t>4.13</w:t>
      </w:r>
      <w:r w:rsidRPr="00D10C89">
        <w:rPr>
          <w:lang w:val="en-US" w:eastAsia="zh-CN"/>
        </w:rPr>
        <w:tab/>
      </w:r>
      <w:bookmarkStart w:id="54" w:name="lt_pId158"/>
      <w:r w:rsidR="005A2A6D">
        <w:rPr>
          <w:rFonts w:hint="eastAsia"/>
          <w:lang w:val="en-US" w:eastAsia="zh-CN"/>
        </w:rPr>
        <w:t>国际电联希望避免在过渡期（腾空</w:t>
      </w:r>
      <w:proofErr w:type="spellStart"/>
      <w:r w:rsidRPr="00D10C89">
        <w:rPr>
          <w:lang w:val="en-US" w:eastAsia="zh-CN"/>
        </w:rPr>
        <w:t>Varembé</w:t>
      </w:r>
      <w:proofErr w:type="spellEnd"/>
      <w:r w:rsidR="005A2A6D">
        <w:rPr>
          <w:rFonts w:hint="eastAsia"/>
          <w:lang w:val="en-US" w:eastAsia="zh-CN"/>
        </w:rPr>
        <w:t>办公楼和搬入新办公楼之间的时间</w:t>
      </w:r>
      <w:r w:rsidR="004060C3">
        <w:rPr>
          <w:rFonts w:hint="eastAsia"/>
          <w:lang w:val="en-US" w:eastAsia="zh-CN"/>
        </w:rPr>
        <w:t>段</w:t>
      </w:r>
      <w:r w:rsidR="005A2A6D">
        <w:rPr>
          <w:rFonts w:hint="eastAsia"/>
          <w:lang w:val="en-US" w:eastAsia="zh-CN"/>
        </w:rPr>
        <w:t>）临时租用办公室，</w:t>
      </w:r>
      <w:r w:rsidR="004060C3">
        <w:rPr>
          <w:rFonts w:hint="eastAsia"/>
          <w:lang w:val="en-US" w:eastAsia="zh-CN"/>
        </w:rPr>
        <w:t>希望通过增加利用</w:t>
      </w:r>
      <w:r w:rsidR="005A2A6D">
        <w:rPr>
          <w:rFonts w:hint="eastAsia"/>
          <w:lang w:val="en-US" w:eastAsia="zh-CN"/>
        </w:rPr>
        <w:t>塔楼和</w:t>
      </w:r>
      <w:proofErr w:type="spellStart"/>
      <w:r w:rsidRPr="00D10C89">
        <w:rPr>
          <w:lang w:val="en-US" w:eastAsia="zh-CN"/>
        </w:rPr>
        <w:t>Montbrillant</w:t>
      </w:r>
      <w:proofErr w:type="spellEnd"/>
      <w:r w:rsidR="005A2A6D">
        <w:rPr>
          <w:rFonts w:hint="eastAsia"/>
          <w:lang w:val="en-US" w:eastAsia="zh-CN"/>
        </w:rPr>
        <w:t>办公楼可用的办公空间</w:t>
      </w:r>
      <w:r w:rsidR="004060C3">
        <w:rPr>
          <w:rFonts w:hint="eastAsia"/>
          <w:lang w:val="en-US" w:eastAsia="zh-CN"/>
        </w:rPr>
        <w:t>和</w:t>
      </w:r>
      <w:r w:rsidR="005A2A6D">
        <w:rPr>
          <w:rFonts w:hint="eastAsia"/>
          <w:lang w:val="en-US" w:eastAsia="zh-CN"/>
        </w:rPr>
        <w:t>鼓励</w:t>
      </w:r>
      <w:r w:rsidR="00DC2622">
        <w:rPr>
          <w:rFonts w:hint="eastAsia"/>
          <w:lang w:val="en-US" w:eastAsia="zh-CN"/>
        </w:rPr>
        <w:t>远程</w:t>
      </w:r>
      <w:r w:rsidR="005A2A6D">
        <w:rPr>
          <w:rFonts w:hint="eastAsia"/>
          <w:lang w:val="en-US" w:eastAsia="zh-CN"/>
        </w:rPr>
        <w:t>工作（</w:t>
      </w:r>
      <w:r w:rsidR="004060C3">
        <w:rPr>
          <w:rFonts w:hint="eastAsia"/>
          <w:lang w:val="en-US" w:eastAsia="zh-CN"/>
        </w:rPr>
        <w:t>居</w:t>
      </w:r>
      <w:r w:rsidR="005A2A6D">
        <w:rPr>
          <w:rFonts w:hint="eastAsia"/>
          <w:lang w:val="en-US" w:eastAsia="zh-CN"/>
        </w:rPr>
        <w:t>家办公）</w:t>
      </w:r>
      <w:r w:rsidR="004060C3">
        <w:rPr>
          <w:rFonts w:hint="eastAsia"/>
          <w:lang w:val="en-US" w:eastAsia="zh-CN"/>
        </w:rPr>
        <w:t>来解决问题</w:t>
      </w:r>
      <w:r w:rsidR="005A2A6D">
        <w:rPr>
          <w:rFonts w:hint="eastAsia"/>
          <w:lang w:val="en-US" w:eastAsia="zh-CN"/>
        </w:rPr>
        <w:t>。</w:t>
      </w:r>
      <w:bookmarkEnd w:id="54"/>
    </w:p>
    <w:p w:rsidR="00373489" w:rsidRPr="00D10C89" w:rsidRDefault="00373489" w:rsidP="009E60A7">
      <w:pPr>
        <w:rPr>
          <w:lang w:val="en-US" w:eastAsia="zh-CN"/>
        </w:rPr>
      </w:pPr>
      <w:r w:rsidRPr="00D10C89">
        <w:rPr>
          <w:lang w:val="en-US" w:eastAsia="zh-CN"/>
        </w:rPr>
        <w:t>4.14</w:t>
      </w:r>
      <w:r w:rsidRPr="00D10C89">
        <w:rPr>
          <w:lang w:val="en-US" w:eastAsia="zh-CN"/>
        </w:rPr>
        <w:tab/>
      </w:r>
      <w:bookmarkStart w:id="55" w:name="lt_pId160"/>
      <w:r w:rsidR="009E60A7" w:rsidRPr="001C105B">
        <w:rPr>
          <w:rFonts w:asciiTheme="minorHAnsi" w:hAnsiTheme="minorHAnsi" w:hint="eastAsia"/>
          <w:color w:val="000000" w:themeColor="text1"/>
          <w:szCs w:val="24"/>
          <w:lang w:eastAsia="zh-CN"/>
        </w:rPr>
        <w:t>在（</w:t>
      </w:r>
      <w:r w:rsidR="009E60A7" w:rsidRPr="001C105B">
        <w:rPr>
          <w:rFonts w:asciiTheme="minorHAnsi" w:hAnsiTheme="minorHAnsi" w:hint="eastAsia"/>
          <w:color w:val="000000" w:themeColor="text1"/>
          <w:szCs w:val="24"/>
          <w:lang w:eastAsia="zh-CN"/>
        </w:rPr>
        <w:t>2022-2023</w:t>
      </w:r>
      <w:r w:rsidR="009E60A7" w:rsidRPr="001C105B">
        <w:rPr>
          <w:rFonts w:asciiTheme="minorHAnsi" w:hAnsiTheme="minorHAnsi" w:hint="eastAsia"/>
          <w:color w:val="000000" w:themeColor="text1"/>
          <w:szCs w:val="24"/>
          <w:lang w:eastAsia="zh-CN"/>
        </w:rPr>
        <w:t>年）主要工程进行期间，塔楼和</w:t>
      </w:r>
      <w:proofErr w:type="spellStart"/>
      <w:r w:rsidR="009E60A7" w:rsidRPr="001C105B">
        <w:rPr>
          <w:rFonts w:asciiTheme="minorHAnsi" w:hAnsiTheme="minorHAnsi"/>
          <w:color w:val="000000" w:themeColor="text1"/>
          <w:szCs w:val="24"/>
          <w:lang w:eastAsia="zh-CN"/>
        </w:rPr>
        <w:t>Montbrillant</w:t>
      </w:r>
      <w:proofErr w:type="spellEnd"/>
      <w:r w:rsidR="009E60A7" w:rsidRPr="001C105B">
        <w:rPr>
          <w:rFonts w:asciiTheme="minorHAnsi" w:hAnsiTheme="minorHAnsi" w:hint="eastAsia"/>
          <w:color w:val="000000" w:themeColor="text1"/>
          <w:szCs w:val="24"/>
          <w:lang w:eastAsia="zh-CN"/>
        </w:rPr>
        <w:t>办公楼的会议厅会因基建</w:t>
      </w:r>
      <w:r w:rsidR="009E60A7">
        <w:rPr>
          <w:rFonts w:asciiTheme="minorHAnsi" w:hAnsiTheme="minorHAnsi" w:hint="eastAsia"/>
          <w:color w:val="000000" w:themeColor="text1"/>
          <w:szCs w:val="24"/>
          <w:lang w:eastAsia="zh-CN"/>
        </w:rPr>
        <w:t>工程</w:t>
      </w:r>
      <w:r w:rsidR="009E60A7" w:rsidRPr="001C105B">
        <w:rPr>
          <w:rFonts w:asciiTheme="minorHAnsi" w:hAnsiTheme="minorHAnsi" w:hint="eastAsia"/>
          <w:color w:val="000000" w:themeColor="text1"/>
          <w:szCs w:val="24"/>
          <w:lang w:eastAsia="zh-CN"/>
        </w:rPr>
        <w:t>原因而无法使用。国际电联也在探讨</w:t>
      </w:r>
      <w:r w:rsidR="009E60A7">
        <w:rPr>
          <w:rFonts w:asciiTheme="minorHAnsi" w:hAnsiTheme="minorHAnsi" w:hint="eastAsia"/>
          <w:color w:val="000000" w:themeColor="text1"/>
          <w:szCs w:val="24"/>
          <w:lang w:eastAsia="zh-CN"/>
        </w:rPr>
        <w:t>在此阶段</w:t>
      </w:r>
      <w:r w:rsidR="009E60A7" w:rsidRPr="001C105B">
        <w:rPr>
          <w:rFonts w:asciiTheme="minorHAnsi" w:hAnsiTheme="minorHAnsi" w:hint="eastAsia"/>
          <w:color w:val="000000" w:themeColor="text1"/>
          <w:szCs w:val="24"/>
          <w:lang w:eastAsia="zh-CN"/>
        </w:rPr>
        <w:t>由成员国按照正常条款（承担国际电联支持人员的差旅费和每日津贴）主动承办会议，从而避免租用会议场地的可能性。</w:t>
      </w:r>
      <w:bookmarkEnd w:id="55"/>
    </w:p>
    <w:p w:rsidR="00373489" w:rsidRPr="00D10C89" w:rsidRDefault="00373489" w:rsidP="009E60A7">
      <w:pPr>
        <w:rPr>
          <w:lang w:val="en-US" w:eastAsia="zh-CN"/>
        </w:rPr>
      </w:pPr>
      <w:r w:rsidRPr="00D10C89">
        <w:rPr>
          <w:lang w:val="en-US" w:eastAsia="zh-CN"/>
        </w:rPr>
        <w:lastRenderedPageBreak/>
        <w:t>4.15</w:t>
      </w:r>
      <w:r w:rsidRPr="00D10C89">
        <w:rPr>
          <w:lang w:val="en-US" w:eastAsia="zh-CN"/>
        </w:rPr>
        <w:tab/>
      </w:r>
      <w:bookmarkStart w:id="56" w:name="lt_pId162"/>
      <w:r w:rsidR="005A2A6D">
        <w:rPr>
          <w:rFonts w:hint="eastAsia"/>
          <w:lang w:val="en-US" w:eastAsia="zh-CN"/>
        </w:rPr>
        <w:t>进一步鼓励成员国和部门成员提供赞助和</w:t>
      </w:r>
      <w:r w:rsidR="005A2A6D">
        <w:rPr>
          <w:rFonts w:hint="eastAsia"/>
          <w:lang w:val="en-US" w:eastAsia="zh-CN"/>
        </w:rPr>
        <w:t>/</w:t>
      </w:r>
      <w:r w:rsidR="005A2A6D">
        <w:rPr>
          <w:rFonts w:hint="eastAsia"/>
          <w:lang w:val="en-US" w:eastAsia="zh-CN"/>
        </w:rPr>
        <w:t>或捐款，</w:t>
      </w:r>
      <w:r w:rsidR="009E60A7">
        <w:rPr>
          <w:rFonts w:hint="eastAsia"/>
          <w:lang w:val="en-US" w:eastAsia="zh-CN"/>
        </w:rPr>
        <w:t>如感</w:t>
      </w:r>
      <w:r w:rsidR="005A2A6D">
        <w:rPr>
          <w:rFonts w:hint="eastAsia"/>
          <w:lang w:val="en-US" w:eastAsia="zh-CN"/>
        </w:rPr>
        <w:t>兴趣</w:t>
      </w:r>
      <w:r w:rsidR="009E60A7">
        <w:rPr>
          <w:rFonts w:hint="eastAsia"/>
          <w:lang w:val="en-US" w:eastAsia="zh-CN"/>
        </w:rPr>
        <w:t>，请</w:t>
      </w:r>
      <w:r w:rsidR="005A2A6D">
        <w:rPr>
          <w:rFonts w:hint="eastAsia"/>
          <w:lang w:val="en-US" w:eastAsia="zh-CN"/>
        </w:rPr>
        <w:t>与副秘书长联系，以了解更多信息。</w:t>
      </w:r>
      <w:bookmarkEnd w:id="56"/>
    </w:p>
    <w:p w:rsidR="00373489" w:rsidRPr="00D10C89" w:rsidRDefault="00373489" w:rsidP="007C647A">
      <w:pPr>
        <w:rPr>
          <w:lang w:val="en-US" w:eastAsia="zh-CN"/>
        </w:rPr>
      </w:pPr>
      <w:r w:rsidRPr="00EF5F86">
        <w:rPr>
          <w:lang w:val="en-US" w:eastAsia="zh-CN"/>
        </w:rPr>
        <w:t>4.16</w:t>
      </w:r>
      <w:r w:rsidRPr="00EF5F86">
        <w:rPr>
          <w:lang w:val="en-US" w:eastAsia="zh-CN"/>
        </w:rPr>
        <w:tab/>
      </w:r>
      <w:bookmarkStart w:id="57" w:name="lt_pId164"/>
      <w:r w:rsidR="005A2A6D">
        <w:rPr>
          <w:rFonts w:hint="eastAsia"/>
          <w:lang w:val="en-US" w:eastAsia="zh-CN"/>
        </w:rPr>
        <w:t>秘书处将向理事会</w:t>
      </w:r>
      <w:r w:rsidR="005A2A6D">
        <w:rPr>
          <w:rFonts w:hint="eastAsia"/>
          <w:lang w:val="en-US" w:eastAsia="zh-CN"/>
        </w:rPr>
        <w:t>2019</w:t>
      </w:r>
      <w:r w:rsidR="005A2A6D">
        <w:rPr>
          <w:rFonts w:hint="eastAsia"/>
          <w:lang w:val="en-US" w:eastAsia="zh-CN"/>
        </w:rPr>
        <w:t>年例会提</w:t>
      </w:r>
      <w:r w:rsidR="009E60A7">
        <w:rPr>
          <w:rFonts w:hint="eastAsia"/>
          <w:lang w:val="en-US" w:eastAsia="zh-CN"/>
        </w:rPr>
        <w:t>交</w:t>
      </w:r>
      <w:r w:rsidR="005A2A6D">
        <w:rPr>
          <w:rFonts w:hint="eastAsia"/>
          <w:lang w:val="en-US" w:eastAsia="zh-CN"/>
        </w:rPr>
        <w:t>一份综合情况报告，其中</w:t>
      </w:r>
      <w:r w:rsidR="004A4558">
        <w:rPr>
          <w:rFonts w:hint="eastAsia"/>
          <w:lang w:val="en-US" w:eastAsia="zh-CN"/>
        </w:rPr>
        <w:t>将</w:t>
      </w:r>
      <w:r w:rsidR="005A2A6D">
        <w:rPr>
          <w:rFonts w:hint="eastAsia"/>
          <w:lang w:val="en-US" w:eastAsia="zh-CN"/>
        </w:rPr>
        <w:t>涵盖所有上述问题以及预算和时间表。秘书处的报告将</w:t>
      </w:r>
      <w:r w:rsidR="009E60A7">
        <w:rPr>
          <w:rFonts w:hint="eastAsia"/>
          <w:lang w:val="en-US" w:eastAsia="zh-CN"/>
        </w:rPr>
        <w:t>由</w:t>
      </w:r>
      <w:r w:rsidR="005A2A6D">
        <w:rPr>
          <w:rFonts w:hint="eastAsia"/>
          <w:lang w:val="en-US" w:eastAsia="zh-CN"/>
        </w:rPr>
        <w:t>上述第</w:t>
      </w:r>
      <w:r w:rsidR="005A2A6D">
        <w:rPr>
          <w:rFonts w:hint="eastAsia"/>
          <w:lang w:val="en-US" w:eastAsia="zh-CN"/>
        </w:rPr>
        <w:t>4.12</w:t>
      </w:r>
      <w:r w:rsidR="004A4558">
        <w:rPr>
          <w:rFonts w:hint="eastAsia"/>
          <w:lang w:val="en-US" w:eastAsia="zh-CN"/>
        </w:rPr>
        <w:t>段</w:t>
      </w:r>
      <w:r w:rsidR="005A2A6D">
        <w:rPr>
          <w:rFonts w:hint="eastAsia"/>
          <w:lang w:val="en-US" w:eastAsia="zh-CN"/>
        </w:rPr>
        <w:t>所述的</w:t>
      </w:r>
      <w:r w:rsidR="005A2A6D">
        <w:rPr>
          <w:rFonts w:hint="eastAsia"/>
          <w:lang w:val="en-US" w:eastAsia="zh-CN"/>
        </w:rPr>
        <w:t>MSAG</w:t>
      </w:r>
      <w:r w:rsidR="009E60A7">
        <w:rPr>
          <w:rFonts w:hint="eastAsia"/>
          <w:lang w:val="en-US" w:eastAsia="zh-CN"/>
        </w:rPr>
        <w:t>报告予以</w:t>
      </w:r>
      <w:r w:rsidR="005A2A6D">
        <w:rPr>
          <w:rFonts w:hint="eastAsia"/>
          <w:lang w:val="en-US" w:eastAsia="zh-CN"/>
        </w:rPr>
        <w:t>补充。</w:t>
      </w:r>
      <w:bookmarkEnd w:id="57"/>
    </w:p>
    <w:p w:rsidR="00373489" w:rsidRPr="00815DD7" w:rsidRDefault="00373489" w:rsidP="007C647A">
      <w:pPr>
        <w:pStyle w:val="Heading1"/>
        <w:rPr>
          <w:highlight w:val="cyan"/>
          <w:lang w:eastAsia="zh-CN"/>
        </w:rPr>
      </w:pPr>
      <w:r w:rsidRPr="00B6696E">
        <w:rPr>
          <w:rFonts w:cs="Calibri"/>
          <w:lang w:val="en-AU" w:eastAsia="zh-CN"/>
        </w:rPr>
        <w:t>5</w:t>
      </w:r>
      <w:r w:rsidRPr="00B6696E">
        <w:rPr>
          <w:rFonts w:cs="Calibri"/>
          <w:lang w:val="en-AU" w:eastAsia="zh-CN"/>
        </w:rPr>
        <w:tab/>
      </w:r>
      <w:bookmarkStart w:id="58" w:name="lt_pId167"/>
      <w:r w:rsidR="00406AD6" w:rsidRPr="005011AB">
        <w:rPr>
          <w:rFonts w:cs="Microsoft YaHei" w:hint="eastAsia"/>
          <w:lang w:eastAsia="zh-CN"/>
        </w:rPr>
        <w:t>外部审计员的报告及对其所提建议的跟进</w:t>
      </w:r>
      <w:r w:rsidR="00406AD6" w:rsidRPr="005011AB">
        <w:rPr>
          <w:lang w:eastAsia="zh-CN"/>
        </w:rPr>
        <w:t>（</w:t>
      </w:r>
      <w:hyperlink r:id="rId12" w:history="1">
        <w:hyperlink r:id="rId13" w:history="1">
          <w:r w:rsidR="005A2A6D" w:rsidRPr="005A2A6D">
            <w:rPr>
              <w:rStyle w:val="Hyperlink"/>
              <w:bCs/>
              <w:szCs w:val="24"/>
              <w:lang w:eastAsia="zh-CN"/>
            </w:rPr>
            <w:t>CWG</w:t>
          </w:r>
        </w:hyperlink>
        <w:r w:rsidR="005A2A6D" w:rsidRPr="005A2A6D">
          <w:rPr>
            <w:rStyle w:val="Hyperlink"/>
            <w:bCs/>
            <w:szCs w:val="24"/>
            <w:lang w:eastAsia="zh-CN"/>
          </w:rPr>
          <w:t>-FHR 9/3</w:t>
        </w:r>
        <w:r w:rsidR="00406AD6" w:rsidRPr="00840482">
          <w:rPr>
            <w:rFonts w:cs="Microsoft YaHei"/>
            <w:lang w:eastAsia="zh-CN"/>
          </w:rPr>
          <w:t>号文件</w:t>
        </w:r>
      </w:hyperlink>
      <w:r w:rsidR="00406AD6" w:rsidRPr="005011AB">
        <w:rPr>
          <w:rFonts w:cs="Microsoft YaHei" w:hint="eastAsia"/>
          <w:lang w:eastAsia="zh-CN"/>
        </w:rPr>
        <w:t>）</w:t>
      </w:r>
      <w:bookmarkEnd w:id="58"/>
    </w:p>
    <w:p w:rsidR="00373489" w:rsidRPr="007C647A" w:rsidRDefault="00373489" w:rsidP="007C647A">
      <w:pPr>
        <w:rPr>
          <w:color w:val="000000"/>
          <w:lang w:val="en-CA" w:eastAsia="zh-CN"/>
        </w:rPr>
      </w:pPr>
      <w:r w:rsidRPr="007C647A">
        <w:rPr>
          <w:lang w:val="en-AU" w:eastAsia="zh-CN"/>
        </w:rPr>
        <w:t>5.1</w:t>
      </w:r>
      <w:r w:rsidRPr="007C647A">
        <w:rPr>
          <w:lang w:val="en-AU" w:eastAsia="zh-CN"/>
        </w:rPr>
        <w:tab/>
      </w:r>
      <w:bookmarkStart w:id="59" w:name="lt_pId170"/>
      <w:r w:rsidR="00151D24" w:rsidRPr="007C647A">
        <w:rPr>
          <w:rFonts w:hint="eastAsia"/>
          <w:lang w:val="en-AU" w:eastAsia="zh-CN"/>
        </w:rPr>
        <w:t>秘书处介绍了包含外部审计员（意大利审计院）建议、秘书长相关意见以及国际电联管理层报告的、截至</w:t>
      </w:r>
      <w:r w:rsidR="005A2A6D" w:rsidRPr="007C647A">
        <w:rPr>
          <w:rFonts w:hint="eastAsia"/>
          <w:lang w:val="en-AU" w:eastAsia="zh-CN"/>
        </w:rPr>
        <w:t>2018</w:t>
      </w:r>
      <w:r w:rsidR="00151D24" w:rsidRPr="007C647A">
        <w:rPr>
          <w:rFonts w:hint="eastAsia"/>
          <w:lang w:val="en-AU" w:eastAsia="zh-CN"/>
        </w:rPr>
        <w:t>年</w:t>
      </w:r>
      <w:r w:rsidR="00151D24" w:rsidRPr="007C647A">
        <w:rPr>
          <w:rFonts w:hint="eastAsia"/>
          <w:lang w:val="en-AU" w:eastAsia="zh-CN"/>
        </w:rPr>
        <w:t>12</w:t>
      </w:r>
      <w:r w:rsidR="00151D24" w:rsidRPr="007C647A">
        <w:rPr>
          <w:rFonts w:hint="eastAsia"/>
          <w:lang w:val="en-AU" w:eastAsia="zh-CN"/>
        </w:rPr>
        <w:t>月</w:t>
      </w:r>
      <w:r w:rsidR="00151D24" w:rsidRPr="007C647A">
        <w:rPr>
          <w:rFonts w:hint="eastAsia"/>
          <w:lang w:val="en-AU" w:eastAsia="zh-CN"/>
        </w:rPr>
        <w:t>31</w:t>
      </w:r>
      <w:r w:rsidR="00151D24" w:rsidRPr="007C647A">
        <w:rPr>
          <w:rFonts w:hint="eastAsia"/>
          <w:lang w:val="en-AU" w:eastAsia="zh-CN"/>
        </w:rPr>
        <w:t>日的最新情况文件：</w:t>
      </w:r>
      <w:bookmarkEnd w:id="59"/>
    </w:p>
    <w:p w:rsidR="00373489" w:rsidRPr="007C647A" w:rsidRDefault="00CA1795" w:rsidP="007C647A">
      <w:pPr>
        <w:pStyle w:val="enumlev1"/>
        <w:rPr>
          <w:lang w:val="en-CA" w:eastAsia="zh-CN"/>
        </w:rPr>
      </w:pPr>
      <w:bookmarkStart w:id="60" w:name="lt_pId171"/>
      <w:r w:rsidRPr="007C647A">
        <w:rPr>
          <w:rFonts w:ascii="Symbol" w:hAnsi="Symbol"/>
          <w:lang w:val="en-CA" w:eastAsia="zh-CN"/>
        </w:rPr>
        <w:t></w:t>
      </w:r>
      <w:r w:rsidRPr="007C647A">
        <w:rPr>
          <w:rFonts w:ascii="Symbol" w:hAnsi="Symbol"/>
          <w:lang w:val="en-CA" w:eastAsia="zh-CN"/>
        </w:rPr>
        <w:tab/>
      </w:r>
      <w:r w:rsidR="00D17E0F" w:rsidRPr="007C647A">
        <w:rPr>
          <w:rFonts w:hint="eastAsia"/>
          <w:lang w:val="en-CA" w:eastAsia="zh-CN"/>
        </w:rPr>
        <w:t>外部审计员关于</w:t>
      </w:r>
      <w:r w:rsidR="005A2A6D" w:rsidRPr="007C647A">
        <w:rPr>
          <w:rFonts w:hint="eastAsia"/>
          <w:lang w:val="en-CA" w:eastAsia="zh-CN"/>
        </w:rPr>
        <w:t>2017</w:t>
      </w:r>
      <w:r w:rsidR="00D17E0F" w:rsidRPr="007C647A">
        <w:rPr>
          <w:rFonts w:hint="eastAsia"/>
          <w:lang w:val="en-CA" w:eastAsia="zh-CN"/>
        </w:rPr>
        <w:t>年财务报表审计报告中提出的建议；</w:t>
      </w:r>
      <w:bookmarkEnd w:id="60"/>
    </w:p>
    <w:p w:rsidR="00373489" w:rsidRPr="007C647A" w:rsidRDefault="00CA1795" w:rsidP="007C647A">
      <w:pPr>
        <w:pStyle w:val="enumlev1"/>
        <w:rPr>
          <w:lang w:val="en-CA" w:eastAsia="zh-CN"/>
        </w:rPr>
      </w:pPr>
      <w:bookmarkStart w:id="61" w:name="lt_pId172"/>
      <w:r w:rsidRPr="007C647A">
        <w:rPr>
          <w:rFonts w:ascii="Symbol" w:hAnsi="Symbol"/>
          <w:lang w:val="en-CA" w:eastAsia="zh-CN"/>
        </w:rPr>
        <w:t></w:t>
      </w:r>
      <w:r w:rsidRPr="007C647A">
        <w:rPr>
          <w:rFonts w:ascii="Symbol" w:hAnsi="Symbol"/>
          <w:lang w:val="en-CA" w:eastAsia="zh-CN"/>
        </w:rPr>
        <w:tab/>
      </w:r>
      <w:r w:rsidR="00D17E0F" w:rsidRPr="007C647A">
        <w:rPr>
          <w:rFonts w:hint="eastAsia"/>
          <w:lang w:val="en-CA" w:eastAsia="zh-CN"/>
        </w:rPr>
        <w:t>外部审计员关于国际电联</w:t>
      </w:r>
      <w:r w:rsidR="005A2A6D" w:rsidRPr="007C647A">
        <w:rPr>
          <w:rFonts w:hint="eastAsia"/>
          <w:lang w:val="en-CA" w:eastAsia="zh-CN"/>
        </w:rPr>
        <w:t>2017</w:t>
      </w:r>
      <w:r w:rsidR="00D17E0F" w:rsidRPr="007C647A">
        <w:rPr>
          <w:rFonts w:hint="eastAsia"/>
          <w:lang w:val="en-CA" w:eastAsia="zh-CN"/>
        </w:rPr>
        <w:t>年世界电信展账目审计报告中提出的建议</w:t>
      </w:r>
      <w:r w:rsidR="005A2A6D" w:rsidRPr="007C647A">
        <w:rPr>
          <w:rFonts w:hint="eastAsia"/>
          <w:lang w:val="en-CA" w:eastAsia="zh-CN"/>
        </w:rPr>
        <w:t>；</w:t>
      </w:r>
      <w:bookmarkEnd w:id="61"/>
    </w:p>
    <w:p w:rsidR="00373489" w:rsidRPr="007C647A" w:rsidRDefault="00CA1795" w:rsidP="007C647A">
      <w:pPr>
        <w:pStyle w:val="enumlev1"/>
        <w:rPr>
          <w:lang w:val="en-CA" w:eastAsia="zh-CN"/>
        </w:rPr>
      </w:pPr>
      <w:bookmarkStart w:id="62" w:name="lt_pId173"/>
      <w:r w:rsidRPr="007C647A">
        <w:rPr>
          <w:rFonts w:ascii="Symbol" w:hAnsi="Symbol"/>
          <w:lang w:val="en-CA" w:eastAsia="zh-CN"/>
        </w:rPr>
        <w:t></w:t>
      </w:r>
      <w:r w:rsidRPr="007C647A">
        <w:rPr>
          <w:rFonts w:ascii="Symbol" w:hAnsi="Symbol"/>
          <w:lang w:val="en-CA" w:eastAsia="zh-CN"/>
        </w:rPr>
        <w:tab/>
      </w:r>
      <w:r w:rsidR="005A2A6D" w:rsidRPr="007C647A">
        <w:rPr>
          <w:rFonts w:ascii="Symbol" w:hAnsi="Symbol"/>
          <w:lang w:val="en-CA" w:eastAsia="zh-CN"/>
        </w:rPr>
        <w:t>外部审计员关于区域代表处</w:t>
      </w:r>
      <w:r w:rsidR="003A243C">
        <w:rPr>
          <w:rFonts w:ascii="Symbol" w:hAnsi="Symbol" w:hint="eastAsia"/>
          <w:lang w:val="en-CA" w:eastAsia="zh-CN"/>
        </w:rPr>
        <w:t>特别</w:t>
      </w:r>
      <w:r w:rsidR="005A2A6D" w:rsidRPr="007C647A">
        <w:rPr>
          <w:rFonts w:ascii="Symbol" w:hAnsi="Symbol"/>
          <w:lang w:val="en-CA" w:eastAsia="zh-CN"/>
        </w:rPr>
        <w:t>报告中提出的建议。</w:t>
      </w:r>
      <w:bookmarkEnd w:id="62"/>
    </w:p>
    <w:p w:rsidR="00373489" w:rsidRPr="00815DD7" w:rsidRDefault="00373489" w:rsidP="007C647A">
      <w:pPr>
        <w:rPr>
          <w:highlight w:val="cyan"/>
          <w:lang w:val="en-CA" w:eastAsia="zh-CN"/>
        </w:rPr>
      </w:pPr>
      <w:r w:rsidRPr="007C647A">
        <w:rPr>
          <w:lang w:val="en-CA" w:eastAsia="zh-CN"/>
        </w:rPr>
        <w:t>5.2</w:t>
      </w:r>
      <w:r w:rsidRPr="007C647A">
        <w:rPr>
          <w:lang w:val="en-CA" w:eastAsia="zh-CN"/>
        </w:rPr>
        <w:tab/>
      </w:r>
      <w:bookmarkStart w:id="63" w:name="lt_pId175"/>
      <w:r w:rsidR="00D17E0F" w:rsidRPr="00D17E0F">
        <w:rPr>
          <w:rFonts w:hint="eastAsia"/>
          <w:lang w:val="en-CA" w:eastAsia="zh-CN"/>
        </w:rPr>
        <w:t>继</w:t>
      </w:r>
      <w:r w:rsidR="005A2A6D">
        <w:rPr>
          <w:rFonts w:hint="eastAsia"/>
          <w:lang w:val="en-CA" w:eastAsia="zh-CN"/>
        </w:rPr>
        <w:t>CWG-FHR 2017</w:t>
      </w:r>
      <w:r w:rsidR="00D17E0F" w:rsidRPr="00D17E0F">
        <w:rPr>
          <w:rFonts w:hint="eastAsia"/>
          <w:lang w:val="en-CA" w:eastAsia="zh-CN"/>
        </w:rPr>
        <w:t>年</w:t>
      </w:r>
      <w:r w:rsidR="005A2A6D">
        <w:rPr>
          <w:rFonts w:hint="eastAsia"/>
          <w:lang w:val="en-CA" w:eastAsia="zh-CN"/>
        </w:rPr>
        <w:t>1</w:t>
      </w:r>
      <w:r w:rsidR="00D17E0F" w:rsidRPr="00D17E0F">
        <w:rPr>
          <w:rFonts w:hint="eastAsia"/>
          <w:lang w:val="en-CA" w:eastAsia="zh-CN"/>
        </w:rPr>
        <w:t>月会议后，外部审计员在</w:t>
      </w:r>
      <w:r w:rsidR="005A2A6D">
        <w:rPr>
          <w:rFonts w:hint="eastAsia"/>
          <w:lang w:val="en-CA" w:eastAsia="zh-CN"/>
        </w:rPr>
        <w:t>2017</w:t>
      </w:r>
      <w:r w:rsidR="00D17E0F" w:rsidRPr="00D17E0F">
        <w:rPr>
          <w:rFonts w:hint="eastAsia"/>
          <w:lang w:val="en-CA" w:eastAsia="zh-CN"/>
        </w:rPr>
        <w:t>年账目审计过程中提出的所有建议均已得到审议。</w:t>
      </w:r>
      <w:bookmarkEnd w:id="63"/>
    </w:p>
    <w:p w:rsidR="00373489" w:rsidRPr="009F390C" w:rsidRDefault="00373489" w:rsidP="007C647A">
      <w:pPr>
        <w:rPr>
          <w:lang w:val="en-CA" w:eastAsia="zh-CN"/>
        </w:rPr>
      </w:pPr>
      <w:r w:rsidRPr="009F390C">
        <w:rPr>
          <w:lang w:val="en-CA" w:eastAsia="zh-CN"/>
        </w:rPr>
        <w:t>5.3</w:t>
      </w:r>
      <w:r w:rsidRPr="009F390C">
        <w:rPr>
          <w:lang w:val="en-CA" w:eastAsia="zh-CN"/>
        </w:rPr>
        <w:tab/>
      </w:r>
      <w:bookmarkStart w:id="64" w:name="lt_pId177"/>
      <w:r w:rsidR="00D17E0F">
        <w:rPr>
          <w:rFonts w:hint="eastAsia"/>
          <w:lang w:val="en-CA" w:eastAsia="zh-CN"/>
        </w:rPr>
        <w:t>针对</w:t>
      </w:r>
      <w:r w:rsidR="00D17E0F">
        <w:rPr>
          <w:lang w:val="en-CA" w:eastAsia="zh-CN"/>
        </w:rPr>
        <w:t>国际电联财务工作报告，进行</w:t>
      </w:r>
      <w:r w:rsidR="005A2A6D">
        <w:rPr>
          <w:rFonts w:hint="eastAsia"/>
          <w:lang w:val="en-CA" w:eastAsia="zh-CN"/>
        </w:rPr>
        <w:t>2017</w:t>
      </w:r>
      <w:r w:rsidR="00D17E0F">
        <w:rPr>
          <w:rFonts w:hint="eastAsia"/>
          <w:lang w:val="en-CA" w:eastAsia="zh-CN"/>
        </w:rPr>
        <w:t>年</w:t>
      </w:r>
      <w:r w:rsidR="005A2A6D">
        <w:rPr>
          <w:lang w:val="en-CA" w:eastAsia="zh-CN"/>
        </w:rPr>
        <w:t>账目审计的外部审计员提出了十</w:t>
      </w:r>
      <w:r w:rsidR="00D17E0F">
        <w:rPr>
          <w:lang w:val="en-CA" w:eastAsia="zh-CN"/>
        </w:rPr>
        <w:t>（</w:t>
      </w:r>
      <w:r w:rsidR="005A2A6D">
        <w:rPr>
          <w:rFonts w:hint="eastAsia"/>
          <w:lang w:val="en-CA" w:eastAsia="zh-CN"/>
        </w:rPr>
        <w:t>10</w:t>
      </w:r>
      <w:r w:rsidR="00D17E0F">
        <w:rPr>
          <w:lang w:val="en-CA" w:eastAsia="zh-CN"/>
        </w:rPr>
        <w:t>）</w:t>
      </w:r>
      <w:r w:rsidR="00D17E0F">
        <w:rPr>
          <w:rFonts w:hint="eastAsia"/>
          <w:lang w:val="en-CA" w:eastAsia="zh-CN"/>
        </w:rPr>
        <w:t>项</w:t>
      </w:r>
      <w:r w:rsidR="00D17E0F">
        <w:rPr>
          <w:lang w:val="en-CA" w:eastAsia="zh-CN"/>
        </w:rPr>
        <w:t>建议。</w:t>
      </w:r>
      <w:r w:rsidR="00D17E0F">
        <w:rPr>
          <w:rFonts w:hint="eastAsia"/>
          <w:lang w:val="en-CA" w:eastAsia="zh-CN"/>
        </w:rPr>
        <w:t>秘书处</w:t>
      </w:r>
      <w:r w:rsidR="00D17E0F">
        <w:rPr>
          <w:lang w:val="en-CA" w:eastAsia="zh-CN"/>
        </w:rPr>
        <w:t>就公开建议提供了最新情况，前者分别涉及</w:t>
      </w:r>
      <w:r w:rsidR="005A2A6D">
        <w:rPr>
          <w:rFonts w:hint="eastAsia"/>
          <w:lang w:val="en-CA" w:eastAsia="zh-CN"/>
        </w:rPr>
        <w:t>2016</w:t>
      </w:r>
      <w:r w:rsidR="00D17E0F">
        <w:rPr>
          <w:rFonts w:hint="eastAsia"/>
          <w:lang w:val="en-CA" w:eastAsia="zh-CN"/>
        </w:rPr>
        <w:t>年</w:t>
      </w:r>
      <w:r w:rsidR="00D17E0F">
        <w:rPr>
          <w:lang w:val="en-CA" w:eastAsia="zh-CN"/>
        </w:rPr>
        <w:t>（</w:t>
      </w:r>
      <w:r w:rsidR="005A2A6D">
        <w:rPr>
          <w:rFonts w:hint="eastAsia"/>
          <w:lang w:val="en-CA" w:eastAsia="zh-CN"/>
        </w:rPr>
        <w:t>12</w:t>
      </w:r>
      <w:r w:rsidR="00D17E0F">
        <w:rPr>
          <w:rFonts w:hint="eastAsia"/>
          <w:lang w:val="en-CA" w:eastAsia="zh-CN"/>
        </w:rPr>
        <w:t>项</w:t>
      </w:r>
      <w:r w:rsidR="00D17E0F">
        <w:rPr>
          <w:lang w:val="en-CA" w:eastAsia="zh-CN"/>
        </w:rPr>
        <w:t>建议）</w:t>
      </w:r>
      <w:r w:rsidR="00D17E0F">
        <w:rPr>
          <w:rFonts w:hint="eastAsia"/>
          <w:lang w:val="en-CA" w:eastAsia="zh-CN"/>
        </w:rPr>
        <w:t>、</w:t>
      </w:r>
      <w:r w:rsidR="005A2A6D">
        <w:rPr>
          <w:lang w:val="en-CA" w:eastAsia="zh-CN"/>
        </w:rPr>
        <w:t>2015</w:t>
      </w:r>
      <w:r w:rsidR="00D17E0F">
        <w:rPr>
          <w:rFonts w:hint="eastAsia"/>
          <w:lang w:val="en-CA" w:eastAsia="zh-CN"/>
        </w:rPr>
        <w:t>年</w:t>
      </w:r>
      <w:r w:rsidR="00D17E0F">
        <w:rPr>
          <w:lang w:val="en-CA" w:eastAsia="zh-CN"/>
        </w:rPr>
        <w:t>（</w:t>
      </w:r>
      <w:r w:rsidR="005A2A6D">
        <w:rPr>
          <w:lang w:val="en-CA" w:eastAsia="zh-CN"/>
        </w:rPr>
        <w:t>4</w:t>
      </w:r>
      <w:r w:rsidR="00D17E0F">
        <w:rPr>
          <w:rFonts w:hint="eastAsia"/>
          <w:lang w:val="en-CA" w:eastAsia="zh-CN"/>
        </w:rPr>
        <w:t>项建议</w:t>
      </w:r>
      <w:r w:rsidR="00D17E0F">
        <w:rPr>
          <w:lang w:val="en-CA" w:eastAsia="zh-CN"/>
        </w:rPr>
        <w:t>）</w:t>
      </w:r>
      <w:r w:rsidR="007C647A">
        <w:rPr>
          <w:lang w:val="en-CA" w:eastAsia="zh-CN"/>
        </w:rPr>
        <w:t>、</w:t>
      </w:r>
      <w:r w:rsidR="007C647A">
        <w:rPr>
          <w:lang w:val="en-CA" w:eastAsia="zh-CN"/>
        </w:rPr>
        <w:t>2014</w:t>
      </w:r>
      <w:r w:rsidR="007C647A">
        <w:rPr>
          <w:rFonts w:hint="eastAsia"/>
          <w:lang w:val="en-CA" w:eastAsia="zh-CN"/>
        </w:rPr>
        <w:t>年（</w:t>
      </w:r>
      <w:r w:rsidR="007C647A">
        <w:rPr>
          <w:rFonts w:hint="eastAsia"/>
          <w:lang w:val="en-CA" w:eastAsia="zh-CN"/>
        </w:rPr>
        <w:t>2</w:t>
      </w:r>
      <w:r w:rsidR="007C647A">
        <w:rPr>
          <w:rFonts w:hint="eastAsia"/>
          <w:lang w:val="en-CA" w:eastAsia="zh-CN"/>
        </w:rPr>
        <w:t>项</w:t>
      </w:r>
      <w:r w:rsidR="007C647A">
        <w:rPr>
          <w:lang w:val="en-CA" w:eastAsia="zh-CN"/>
        </w:rPr>
        <w:t>建议</w:t>
      </w:r>
      <w:r w:rsidR="007C647A">
        <w:rPr>
          <w:rFonts w:hint="eastAsia"/>
          <w:lang w:val="en-CA" w:eastAsia="zh-CN"/>
        </w:rPr>
        <w:t>）</w:t>
      </w:r>
      <w:r w:rsidR="00D17E0F">
        <w:rPr>
          <w:rFonts w:hint="eastAsia"/>
          <w:lang w:val="en-CA" w:eastAsia="zh-CN"/>
        </w:rPr>
        <w:t>和</w:t>
      </w:r>
      <w:r w:rsidR="00D17E0F">
        <w:rPr>
          <w:rFonts w:hint="eastAsia"/>
          <w:lang w:val="en-CA" w:eastAsia="zh-CN"/>
        </w:rPr>
        <w:t>2012</w:t>
      </w:r>
      <w:r w:rsidR="00D17E0F">
        <w:rPr>
          <w:rFonts w:hint="eastAsia"/>
          <w:lang w:val="en-CA" w:eastAsia="zh-CN"/>
        </w:rPr>
        <w:t>年</w:t>
      </w:r>
      <w:r w:rsidR="00D17E0F">
        <w:rPr>
          <w:lang w:val="en-CA" w:eastAsia="zh-CN"/>
        </w:rPr>
        <w:t>（</w:t>
      </w:r>
      <w:r w:rsidR="00D17E0F">
        <w:rPr>
          <w:rFonts w:hint="eastAsia"/>
          <w:lang w:val="en-CA" w:eastAsia="zh-CN"/>
        </w:rPr>
        <w:t>3</w:t>
      </w:r>
      <w:r w:rsidR="00D17E0F">
        <w:rPr>
          <w:rFonts w:hint="eastAsia"/>
          <w:lang w:val="en-CA" w:eastAsia="zh-CN"/>
        </w:rPr>
        <w:t>项建议</w:t>
      </w:r>
      <w:r w:rsidR="00D17E0F">
        <w:rPr>
          <w:lang w:val="en-CA" w:eastAsia="zh-CN"/>
        </w:rPr>
        <w:t>）</w:t>
      </w:r>
      <w:r w:rsidR="00D17E0F">
        <w:rPr>
          <w:rFonts w:hint="eastAsia"/>
          <w:lang w:val="en-CA" w:eastAsia="zh-CN"/>
        </w:rPr>
        <w:t>。</w:t>
      </w:r>
      <w:bookmarkEnd w:id="64"/>
    </w:p>
    <w:p w:rsidR="00373489" w:rsidRPr="009F390C" w:rsidRDefault="00373489" w:rsidP="007C647A">
      <w:pPr>
        <w:rPr>
          <w:lang w:val="en-CA" w:eastAsia="zh-CN"/>
        </w:rPr>
      </w:pPr>
      <w:r w:rsidRPr="009F390C">
        <w:rPr>
          <w:lang w:val="en-CA" w:eastAsia="zh-CN"/>
        </w:rPr>
        <w:t>5.4</w:t>
      </w:r>
      <w:r w:rsidRPr="009F390C">
        <w:rPr>
          <w:lang w:val="en-CA" w:eastAsia="zh-CN"/>
        </w:rPr>
        <w:tab/>
      </w:r>
      <w:bookmarkStart w:id="65" w:name="lt_pId180"/>
      <w:r w:rsidR="007C647A">
        <w:rPr>
          <w:rFonts w:hint="eastAsia"/>
          <w:lang w:val="en-CA" w:eastAsia="zh-CN"/>
        </w:rPr>
        <w:t>五</w:t>
      </w:r>
      <w:r w:rsidR="007C647A">
        <w:rPr>
          <w:lang w:val="en-CA" w:eastAsia="zh-CN"/>
        </w:rPr>
        <w:t>项</w:t>
      </w:r>
      <w:r w:rsidR="007C647A">
        <w:rPr>
          <w:rFonts w:hint="eastAsia"/>
          <w:lang w:val="en-CA" w:eastAsia="zh-CN"/>
        </w:rPr>
        <w:t>（</w:t>
      </w:r>
      <w:r w:rsidR="007C647A">
        <w:rPr>
          <w:rFonts w:hint="eastAsia"/>
          <w:lang w:val="en-CA" w:eastAsia="zh-CN"/>
        </w:rPr>
        <w:t>5</w:t>
      </w:r>
      <w:r w:rsidR="007C647A">
        <w:rPr>
          <w:rFonts w:hint="eastAsia"/>
          <w:lang w:val="en-CA" w:eastAsia="zh-CN"/>
        </w:rPr>
        <w:t>）建议</w:t>
      </w:r>
      <w:r w:rsidR="007C647A">
        <w:rPr>
          <w:lang w:val="en-CA" w:eastAsia="zh-CN"/>
        </w:rPr>
        <w:t>关系到国际电联</w:t>
      </w:r>
      <w:r w:rsidR="007C647A">
        <w:rPr>
          <w:rFonts w:hint="eastAsia"/>
          <w:lang w:val="en-CA" w:eastAsia="zh-CN"/>
        </w:rPr>
        <w:t>2017</w:t>
      </w:r>
      <w:r w:rsidR="007C647A">
        <w:rPr>
          <w:rFonts w:hint="eastAsia"/>
          <w:lang w:val="en-CA" w:eastAsia="zh-CN"/>
        </w:rPr>
        <w:t>年</w:t>
      </w:r>
      <w:r w:rsidR="007C647A">
        <w:rPr>
          <w:lang w:val="en-CA" w:eastAsia="zh-CN"/>
        </w:rPr>
        <w:t>世界电信展</w:t>
      </w:r>
      <w:r w:rsidR="007C647A">
        <w:rPr>
          <w:rFonts w:hint="eastAsia"/>
          <w:lang w:val="en-CA" w:eastAsia="zh-CN"/>
        </w:rPr>
        <w:t>（</w:t>
      </w:r>
      <w:r w:rsidR="007C647A">
        <w:rPr>
          <w:lang w:val="en-CA" w:eastAsia="zh-CN"/>
        </w:rPr>
        <w:t>所提供的其现状为截至</w:t>
      </w:r>
      <w:r w:rsidR="007C647A">
        <w:rPr>
          <w:rFonts w:hint="eastAsia"/>
          <w:lang w:val="en-CA" w:eastAsia="zh-CN"/>
        </w:rPr>
        <w:t>2018</w:t>
      </w:r>
      <w:r w:rsidR="007C647A">
        <w:rPr>
          <w:rFonts w:hint="eastAsia"/>
          <w:lang w:val="en-CA" w:eastAsia="zh-CN"/>
        </w:rPr>
        <w:t>年</w:t>
      </w:r>
      <w:r w:rsidR="007C647A">
        <w:rPr>
          <w:rFonts w:hint="eastAsia"/>
          <w:lang w:val="en-CA" w:eastAsia="zh-CN"/>
        </w:rPr>
        <w:t>12</w:t>
      </w:r>
      <w:r w:rsidR="007C647A">
        <w:rPr>
          <w:rFonts w:hint="eastAsia"/>
          <w:lang w:val="en-CA" w:eastAsia="zh-CN"/>
        </w:rPr>
        <w:t>月</w:t>
      </w:r>
      <w:r w:rsidR="007C647A">
        <w:rPr>
          <w:rFonts w:hint="eastAsia"/>
          <w:lang w:val="en-CA" w:eastAsia="zh-CN"/>
        </w:rPr>
        <w:t>31</w:t>
      </w:r>
      <w:r w:rsidR="007C647A">
        <w:rPr>
          <w:rFonts w:hint="eastAsia"/>
          <w:lang w:val="en-CA" w:eastAsia="zh-CN"/>
        </w:rPr>
        <w:t>日的</w:t>
      </w:r>
      <w:r w:rsidR="007C647A">
        <w:rPr>
          <w:lang w:val="en-CA" w:eastAsia="zh-CN"/>
        </w:rPr>
        <w:t>现状</w:t>
      </w:r>
      <w:r w:rsidR="007C647A">
        <w:rPr>
          <w:rFonts w:hint="eastAsia"/>
          <w:lang w:val="en-CA" w:eastAsia="zh-CN"/>
        </w:rPr>
        <w:t>）</w:t>
      </w:r>
      <w:r w:rsidR="007C647A">
        <w:rPr>
          <w:lang w:val="en-CA" w:eastAsia="zh-CN"/>
        </w:rPr>
        <w:t>。</w:t>
      </w:r>
      <w:bookmarkEnd w:id="65"/>
    </w:p>
    <w:p w:rsidR="00373489" w:rsidRPr="009F390C" w:rsidRDefault="00373489" w:rsidP="007C647A">
      <w:pPr>
        <w:rPr>
          <w:lang w:val="en-CA" w:eastAsia="zh-CN"/>
        </w:rPr>
      </w:pPr>
      <w:r w:rsidRPr="009F390C">
        <w:rPr>
          <w:lang w:val="en-CA" w:eastAsia="zh-CN"/>
        </w:rPr>
        <w:t>5.5</w:t>
      </w:r>
      <w:r w:rsidRPr="009F390C">
        <w:rPr>
          <w:lang w:val="en-CA" w:eastAsia="zh-CN"/>
        </w:rPr>
        <w:tab/>
      </w:r>
      <w:bookmarkStart w:id="66" w:name="lt_pId182"/>
      <w:r w:rsidR="007C647A">
        <w:rPr>
          <w:rFonts w:hint="eastAsia"/>
          <w:lang w:val="en-CA" w:eastAsia="zh-CN"/>
        </w:rPr>
        <w:t>秘书长针对外部审计员提出的关于区域代表处的二十二（</w:t>
      </w:r>
      <w:r w:rsidR="007C647A">
        <w:rPr>
          <w:rFonts w:hint="eastAsia"/>
          <w:lang w:val="en-CA" w:eastAsia="zh-CN"/>
        </w:rPr>
        <w:t>22</w:t>
      </w:r>
      <w:r w:rsidR="007C647A">
        <w:rPr>
          <w:rFonts w:hint="eastAsia"/>
          <w:lang w:val="en-CA" w:eastAsia="zh-CN"/>
        </w:rPr>
        <w:t>）项建议发表了意见。</w:t>
      </w:r>
      <w:bookmarkEnd w:id="66"/>
    </w:p>
    <w:p w:rsidR="00373489" w:rsidRPr="000818B0" w:rsidRDefault="00373489" w:rsidP="007C647A">
      <w:pPr>
        <w:rPr>
          <w:rFonts w:cs="Calibri"/>
          <w:b/>
          <w:color w:val="800000"/>
          <w:sz w:val="22"/>
          <w:highlight w:val="cyan"/>
          <w:lang w:val="en-CA" w:eastAsia="zh-CN"/>
        </w:rPr>
      </w:pPr>
      <w:r w:rsidRPr="009F390C">
        <w:rPr>
          <w:lang w:val="en-CA" w:eastAsia="zh-CN"/>
        </w:rPr>
        <w:t>5.6</w:t>
      </w:r>
      <w:r w:rsidRPr="009F390C">
        <w:rPr>
          <w:lang w:val="en-CA" w:eastAsia="zh-CN"/>
        </w:rPr>
        <w:tab/>
      </w:r>
      <w:bookmarkStart w:id="67" w:name="lt_pId184"/>
      <w:r w:rsidR="00D17E0F" w:rsidRPr="00D17E0F">
        <w:rPr>
          <w:rFonts w:hint="eastAsia"/>
          <w:lang w:val="en-CA" w:eastAsia="zh-CN"/>
        </w:rPr>
        <w:t>在</w:t>
      </w:r>
      <w:r w:rsidR="007C647A">
        <w:rPr>
          <w:rFonts w:hint="eastAsia"/>
          <w:lang w:val="en-CA" w:eastAsia="zh-CN"/>
        </w:rPr>
        <w:t>201</w:t>
      </w:r>
      <w:r w:rsidR="007C647A">
        <w:rPr>
          <w:lang w:val="en-CA" w:eastAsia="zh-CN"/>
        </w:rPr>
        <w:t>8</w:t>
      </w:r>
      <w:r w:rsidR="00D17E0F" w:rsidRPr="00D17E0F">
        <w:rPr>
          <w:rFonts w:hint="eastAsia"/>
          <w:lang w:val="en-CA" w:eastAsia="zh-CN"/>
        </w:rPr>
        <w:t>年账目审计工作过程中，将与外部审计员一道对所有公开建议进行进一步审议和讨论。外部审计员提交理事会</w:t>
      </w:r>
      <w:r w:rsidR="007C647A">
        <w:rPr>
          <w:rFonts w:hint="eastAsia"/>
          <w:lang w:val="en-CA" w:eastAsia="zh-CN"/>
        </w:rPr>
        <w:t>201</w:t>
      </w:r>
      <w:r w:rsidR="007C647A">
        <w:rPr>
          <w:lang w:val="en-CA" w:eastAsia="zh-CN"/>
        </w:rPr>
        <w:t>9</w:t>
      </w:r>
      <w:r w:rsidR="00D17E0F" w:rsidRPr="00D17E0F">
        <w:rPr>
          <w:rFonts w:hint="eastAsia"/>
          <w:lang w:val="en-CA" w:eastAsia="zh-CN"/>
        </w:rPr>
        <w:t>年会议的报告将提供有关这些建议的最新情况。</w:t>
      </w:r>
      <w:bookmarkEnd w:id="67"/>
    </w:p>
    <w:p w:rsidR="00373489" w:rsidRPr="00E07610" w:rsidRDefault="00373489" w:rsidP="007C647A">
      <w:pPr>
        <w:pStyle w:val="Headingb"/>
        <w:rPr>
          <w:lang w:eastAsia="zh-CN"/>
        </w:rPr>
      </w:pPr>
      <w:r>
        <w:rPr>
          <w:lang w:eastAsia="zh-CN"/>
        </w:rPr>
        <w:tab/>
      </w:r>
      <w:bookmarkStart w:id="68" w:name="lt_pId186"/>
      <w:r w:rsidR="007C647A">
        <w:rPr>
          <w:rFonts w:hint="eastAsia"/>
          <w:lang w:eastAsia="zh-CN"/>
        </w:rPr>
        <w:t>独立</w:t>
      </w:r>
      <w:r w:rsidR="00891405">
        <w:rPr>
          <w:rFonts w:hint="eastAsia"/>
          <w:lang w:eastAsia="zh-CN"/>
        </w:rPr>
        <w:t>管理</w:t>
      </w:r>
      <w:r w:rsidR="007C647A">
        <w:rPr>
          <w:rFonts w:hint="eastAsia"/>
          <w:lang w:eastAsia="zh-CN"/>
        </w:rPr>
        <w:t>顾问委员会（</w:t>
      </w:r>
      <w:r w:rsidR="007C647A">
        <w:rPr>
          <w:rFonts w:hint="eastAsia"/>
          <w:lang w:eastAsia="zh-CN"/>
        </w:rPr>
        <w:t>IMAC</w:t>
      </w:r>
      <w:r w:rsidR="007C647A">
        <w:rPr>
          <w:rFonts w:hint="eastAsia"/>
          <w:lang w:eastAsia="zh-CN"/>
        </w:rPr>
        <w:t>）第</w:t>
      </w:r>
      <w:r w:rsidR="007C647A">
        <w:rPr>
          <w:rFonts w:hint="eastAsia"/>
          <w:lang w:eastAsia="zh-CN"/>
        </w:rPr>
        <w:t>21</w:t>
      </w:r>
      <w:r w:rsidR="007C647A">
        <w:rPr>
          <w:rFonts w:hint="eastAsia"/>
          <w:lang w:eastAsia="zh-CN"/>
        </w:rPr>
        <w:t>次会议总结报告（</w:t>
      </w:r>
      <w:r w:rsidR="00F63D37">
        <w:rPr>
          <w:rStyle w:val="Hyperlink"/>
          <w:bCs/>
          <w:szCs w:val="24"/>
          <w:lang w:eastAsia="zh-CN"/>
        </w:rPr>
        <w:fldChar w:fldCharType="begin"/>
      </w:r>
      <w:r w:rsidR="00F63D37">
        <w:rPr>
          <w:rStyle w:val="Hyperlink"/>
          <w:bCs/>
          <w:szCs w:val="24"/>
          <w:lang w:eastAsia="zh-CN"/>
        </w:rPr>
        <w:instrText xml:space="preserve"> HYPERLINK "https://www.itu.int/md/S19-CLCWGFHR09-C-0013/en" </w:instrText>
      </w:r>
      <w:r w:rsidR="00F63D37">
        <w:rPr>
          <w:rStyle w:val="Hyperlink"/>
          <w:bCs/>
          <w:szCs w:val="24"/>
          <w:lang w:eastAsia="zh-CN"/>
        </w:rPr>
        <w:fldChar w:fldCharType="separate"/>
      </w:r>
      <w:r w:rsidRPr="000818B0">
        <w:rPr>
          <w:rStyle w:val="Hyperlink"/>
          <w:bCs/>
          <w:szCs w:val="24"/>
          <w:lang w:eastAsia="zh-CN"/>
        </w:rPr>
        <w:t>CWG-FHR 9/13</w:t>
      </w:r>
      <w:r w:rsidR="00F63D37">
        <w:rPr>
          <w:rStyle w:val="Hyperlink"/>
          <w:bCs/>
          <w:szCs w:val="24"/>
          <w:lang w:eastAsia="zh-CN"/>
        </w:rPr>
        <w:fldChar w:fldCharType="end"/>
      </w:r>
      <w:r w:rsidR="007C647A" w:rsidRPr="007C647A">
        <w:rPr>
          <w:rFonts w:hint="eastAsia"/>
          <w:lang w:eastAsia="zh-CN"/>
        </w:rPr>
        <w:t>号文件）</w:t>
      </w:r>
      <w:bookmarkEnd w:id="68"/>
    </w:p>
    <w:p w:rsidR="00373489" w:rsidRPr="00626856" w:rsidRDefault="00373489" w:rsidP="00626856">
      <w:pPr>
        <w:rPr>
          <w:lang w:eastAsia="zh-CN"/>
        </w:rPr>
      </w:pPr>
      <w:r w:rsidRPr="00626856">
        <w:rPr>
          <w:lang w:eastAsia="zh-CN"/>
        </w:rPr>
        <w:t>5.7</w:t>
      </w:r>
      <w:r w:rsidRPr="00626856">
        <w:rPr>
          <w:lang w:eastAsia="zh-CN"/>
        </w:rPr>
        <w:tab/>
      </w:r>
      <w:bookmarkStart w:id="69" w:name="lt_pId188"/>
      <w:r w:rsidRPr="00626856">
        <w:rPr>
          <w:lang w:eastAsia="zh-CN"/>
        </w:rPr>
        <w:t>IMAC</w:t>
      </w:r>
      <w:r w:rsidR="007C647A" w:rsidRPr="00626856">
        <w:rPr>
          <w:rFonts w:hint="eastAsia"/>
          <w:lang w:eastAsia="zh-CN"/>
        </w:rPr>
        <w:t>主席</w:t>
      </w:r>
      <w:proofErr w:type="spellStart"/>
      <w:r w:rsidRPr="00626856">
        <w:rPr>
          <w:lang w:eastAsia="zh-CN"/>
        </w:rPr>
        <w:t>Beate</w:t>
      </w:r>
      <w:proofErr w:type="spellEnd"/>
      <w:r w:rsidRPr="00626856">
        <w:rPr>
          <w:lang w:eastAsia="zh-CN"/>
        </w:rPr>
        <w:t xml:space="preserve"> </w:t>
      </w:r>
      <w:proofErr w:type="spellStart"/>
      <w:r w:rsidRPr="00626856">
        <w:rPr>
          <w:lang w:eastAsia="zh-CN"/>
        </w:rPr>
        <w:t>Degen</w:t>
      </w:r>
      <w:proofErr w:type="spellEnd"/>
      <w:r w:rsidR="007C647A" w:rsidRPr="00626856">
        <w:rPr>
          <w:rFonts w:hint="eastAsia"/>
          <w:lang w:eastAsia="zh-CN"/>
        </w:rPr>
        <w:t>博士介绍了委员会第</w:t>
      </w:r>
      <w:r w:rsidR="007C647A" w:rsidRPr="00626856">
        <w:rPr>
          <w:rFonts w:hint="eastAsia"/>
          <w:lang w:eastAsia="zh-CN"/>
        </w:rPr>
        <w:t>21</w:t>
      </w:r>
      <w:r w:rsidR="007C647A" w:rsidRPr="00626856">
        <w:rPr>
          <w:rFonts w:hint="eastAsia"/>
          <w:lang w:eastAsia="zh-CN"/>
        </w:rPr>
        <w:t>次会议的总结报告。主席全面介绍了</w:t>
      </w:r>
      <w:bookmarkStart w:id="70" w:name="lt_pId189"/>
      <w:bookmarkEnd w:id="69"/>
      <w:r w:rsidR="00CA1795" w:rsidRPr="00626856">
        <w:fldChar w:fldCharType="begin"/>
      </w:r>
      <w:r w:rsidR="00CA1795" w:rsidRPr="00626856">
        <w:rPr>
          <w:lang w:eastAsia="zh-CN"/>
        </w:rPr>
        <w:instrText xml:space="preserve"> HYPERLINK "https://www.itu.int/md/S19-CLCWGFHR09-C-0013/en" </w:instrText>
      </w:r>
      <w:r w:rsidR="00CA1795" w:rsidRPr="00626856">
        <w:fldChar w:fldCharType="separate"/>
      </w:r>
      <w:r w:rsidRPr="00626856">
        <w:rPr>
          <w:rStyle w:val="Hyperlink"/>
          <w:lang w:eastAsia="zh-CN"/>
        </w:rPr>
        <w:t>CWG-FHR 9/13</w:t>
      </w:r>
      <w:r w:rsidR="00CA1795" w:rsidRPr="00626856">
        <w:fldChar w:fldCharType="end"/>
      </w:r>
      <w:r w:rsidR="007C647A" w:rsidRPr="00626856">
        <w:rPr>
          <w:rFonts w:hint="eastAsia"/>
          <w:lang w:eastAsia="zh-CN"/>
        </w:rPr>
        <w:t>号文件，并解释了委员会就报告所涉主题所持的观点，其中包括：</w:t>
      </w:r>
      <w:proofErr w:type="spellStart"/>
      <w:r w:rsidRPr="00626856">
        <w:rPr>
          <w:lang w:eastAsia="zh-CN"/>
        </w:rPr>
        <w:t>i</w:t>
      </w:r>
      <w:proofErr w:type="spellEnd"/>
      <w:r w:rsidRPr="00626856">
        <w:rPr>
          <w:lang w:eastAsia="zh-CN"/>
        </w:rPr>
        <w:t xml:space="preserve">) </w:t>
      </w:r>
      <w:r w:rsidR="007C647A" w:rsidRPr="00626856">
        <w:rPr>
          <w:rFonts w:hint="eastAsia"/>
          <w:lang w:eastAsia="zh-CN"/>
        </w:rPr>
        <w:t>国际电联在</w:t>
      </w:r>
      <w:r w:rsidR="007C647A" w:rsidRPr="00626856">
        <w:rPr>
          <w:rFonts w:hint="eastAsia"/>
          <w:lang w:eastAsia="zh-CN"/>
        </w:rPr>
        <w:t>PP-18</w:t>
      </w:r>
      <w:r w:rsidR="007C647A" w:rsidRPr="00626856">
        <w:rPr>
          <w:rFonts w:hint="eastAsia"/>
          <w:lang w:eastAsia="zh-CN"/>
        </w:rPr>
        <w:t>召开的理事会会议的反馈；</w:t>
      </w:r>
      <w:r w:rsidR="007C647A" w:rsidRPr="00626856">
        <w:rPr>
          <w:rFonts w:hint="eastAsia"/>
          <w:lang w:eastAsia="zh-CN"/>
        </w:rPr>
        <w:t>ii</w:t>
      </w:r>
      <w:r w:rsidR="007C647A" w:rsidRPr="00626856">
        <w:rPr>
          <w:lang w:eastAsia="zh-CN"/>
        </w:rPr>
        <w:t>) IMAC</w:t>
      </w:r>
      <w:r w:rsidR="007C647A" w:rsidRPr="00626856">
        <w:rPr>
          <w:rFonts w:hint="eastAsia"/>
          <w:lang w:eastAsia="zh-CN"/>
        </w:rPr>
        <w:t>的职责范</w:t>
      </w:r>
      <w:r w:rsidR="007C647A" w:rsidRPr="00626856">
        <w:rPr>
          <w:rFonts w:hint="eastAsia"/>
          <w:lang w:eastAsia="zh-CN"/>
        </w:rPr>
        <w:lastRenderedPageBreak/>
        <w:t>围；</w:t>
      </w:r>
      <w:r w:rsidR="007C647A" w:rsidRPr="00626856">
        <w:rPr>
          <w:rFonts w:hint="eastAsia"/>
          <w:lang w:eastAsia="zh-CN"/>
        </w:rPr>
        <w:t>i</w:t>
      </w:r>
      <w:r w:rsidR="007C647A" w:rsidRPr="00626856">
        <w:rPr>
          <w:lang w:eastAsia="zh-CN"/>
        </w:rPr>
        <w:t xml:space="preserve">ii) </w:t>
      </w:r>
      <w:r w:rsidR="007C647A" w:rsidRPr="00626856">
        <w:rPr>
          <w:rFonts w:hint="eastAsia"/>
          <w:lang w:eastAsia="zh-CN"/>
        </w:rPr>
        <w:t>审议</w:t>
      </w:r>
      <w:r w:rsidR="007C647A" w:rsidRPr="00626856">
        <w:rPr>
          <w:rFonts w:hint="eastAsia"/>
          <w:lang w:eastAsia="zh-CN"/>
        </w:rPr>
        <w:t>IMAC</w:t>
      </w:r>
      <w:r w:rsidR="007C647A" w:rsidRPr="00626856">
        <w:rPr>
          <w:rFonts w:hint="eastAsia"/>
          <w:lang w:eastAsia="zh-CN"/>
        </w:rPr>
        <w:t>建议的现状；</w:t>
      </w:r>
      <w:r w:rsidR="007C647A" w:rsidRPr="00626856">
        <w:rPr>
          <w:rFonts w:hint="eastAsia"/>
          <w:lang w:eastAsia="zh-CN"/>
        </w:rPr>
        <w:t>i</w:t>
      </w:r>
      <w:r w:rsidR="007C647A" w:rsidRPr="00626856">
        <w:rPr>
          <w:lang w:eastAsia="zh-CN"/>
        </w:rPr>
        <w:t xml:space="preserve">v) </w:t>
      </w:r>
      <w:r w:rsidR="007C647A" w:rsidRPr="00626856">
        <w:rPr>
          <w:rFonts w:hint="eastAsia"/>
          <w:lang w:eastAsia="zh-CN"/>
        </w:rPr>
        <w:t>财务管理议题；</w:t>
      </w:r>
      <w:r w:rsidR="007C647A" w:rsidRPr="00626856">
        <w:rPr>
          <w:rFonts w:hint="eastAsia"/>
          <w:lang w:eastAsia="zh-CN"/>
        </w:rPr>
        <w:t>v</w:t>
      </w:r>
      <w:r w:rsidR="007C647A" w:rsidRPr="00626856">
        <w:rPr>
          <w:lang w:eastAsia="zh-CN"/>
        </w:rPr>
        <w:t xml:space="preserve">) </w:t>
      </w:r>
      <w:r w:rsidR="007C647A" w:rsidRPr="00626856">
        <w:rPr>
          <w:rFonts w:hint="eastAsia"/>
          <w:lang w:eastAsia="zh-CN"/>
        </w:rPr>
        <w:t>道德规范办公室议题；</w:t>
      </w:r>
      <w:r w:rsidR="007C647A" w:rsidRPr="00626856">
        <w:rPr>
          <w:rFonts w:hint="eastAsia"/>
          <w:lang w:eastAsia="zh-CN"/>
        </w:rPr>
        <w:t>v</w:t>
      </w:r>
      <w:r w:rsidR="007C647A" w:rsidRPr="00626856">
        <w:rPr>
          <w:lang w:eastAsia="zh-CN"/>
        </w:rPr>
        <w:t xml:space="preserve">i) </w:t>
      </w:r>
      <w:r w:rsidR="007C647A" w:rsidRPr="00626856">
        <w:rPr>
          <w:rFonts w:hint="eastAsia"/>
          <w:lang w:eastAsia="zh-CN"/>
        </w:rPr>
        <w:t>遵纪守法和舞弊管理议题；</w:t>
      </w:r>
      <w:r w:rsidR="007C647A" w:rsidRPr="00626856">
        <w:rPr>
          <w:rFonts w:hint="eastAsia"/>
          <w:lang w:eastAsia="zh-CN"/>
        </w:rPr>
        <w:t>v</w:t>
      </w:r>
      <w:r w:rsidR="007C647A" w:rsidRPr="00626856">
        <w:rPr>
          <w:lang w:eastAsia="zh-CN"/>
        </w:rPr>
        <w:t>ii</w:t>
      </w:r>
      <w:r w:rsidR="007C647A" w:rsidRPr="00626856">
        <w:rPr>
          <w:rFonts w:hint="eastAsia"/>
          <w:lang w:eastAsia="zh-CN"/>
        </w:rPr>
        <w:t>)</w:t>
      </w:r>
      <w:r w:rsidR="007C647A" w:rsidRPr="00626856">
        <w:rPr>
          <w:lang w:eastAsia="zh-CN"/>
        </w:rPr>
        <w:t xml:space="preserve"> </w:t>
      </w:r>
      <w:r w:rsidR="007C647A" w:rsidRPr="00626856">
        <w:rPr>
          <w:rFonts w:hint="eastAsia"/>
          <w:lang w:eastAsia="zh-CN"/>
        </w:rPr>
        <w:t>内部审计职能；</w:t>
      </w:r>
      <w:r w:rsidR="007C647A" w:rsidRPr="00626856">
        <w:rPr>
          <w:lang w:eastAsia="zh-CN"/>
        </w:rPr>
        <w:t>viii) </w:t>
      </w:r>
      <w:r w:rsidR="007C647A" w:rsidRPr="00626856">
        <w:rPr>
          <w:rFonts w:hint="eastAsia"/>
          <w:lang w:eastAsia="zh-CN"/>
        </w:rPr>
        <w:t>外部审计；</w:t>
      </w:r>
      <w:r w:rsidR="007C647A" w:rsidRPr="00626856">
        <w:rPr>
          <w:rFonts w:hint="eastAsia"/>
          <w:lang w:eastAsia="zh-CN"/>
        </w:rPr>
        <w:t>i</w:t>
      </w:r>
      <w:r w:rsidR="007C647A" w:rsidRPr="00626856">
        <w:rPr>
          <w:lang w:eastAsia="zh-CN"/>
        </w:rPr>
        <w:t xml:space="preserve">x) </w:t>
      </w:r>
      <w:r w:rsidR="007C647A" w:rsidRPr="00626856">
        <w:rPr>
          <w:rFonts w:hint="eastAsia"/>
          <w:lang w:eastAsia="zh-CN"/>
        </w:rPr>
        <w:t>某一区域代表处的舞弊情况；</w:t>
      </w:r>
      <w:r w:rsidR="007C647A" w:rsidRPr="00626856">
        <w:rPr>
          <w:rFonts w:hint="eastAsia"/>
          <w:lang w:eastAsia="zh-CN"/>
        </w:rPr>
        <w:t>x</w:t>
      </w:r>
      <w:r w:rsidR="007C647A" w:rsidRPr="00626856">
        <w:rPr>
          <w:lang w:eastAsia="zh-CN"/>
        </w:rPr>
        <w:t xml:space="preserve">) </w:t>
      </w:r>
      <w:r w:rsidR="007C647A" w:rsidRPr="00626856">
        <w:rPr>
          <w:rFonts w:hint="eastAsia"/>
          <w:lang w:eastAsia="zh-CN"/>
        </w:rPr>
        <w:t>国际电联总部办公楼建设项目；</w:t>
      </w:r>
      <w:r w:rsidR="007C647A" w:rsidRPr="00626856">
        <w:rPr>
          <w:rFonts w:hint="eastAsia"/>
          <w:lang w:eastAsia="zh-CN"/>
        </w:rPr>
        <w:t>x</w:t>
      </w:r>
      <w:r w:rsidR="007C647A" w:rsidRPr="00626856">
        <w:rPr>
          <w:lang w:eastAsia="zh-CN"/>
        </w:rPr>
        <w:t xml:space="preserve">i) </w:t>
      </w:r>
      <w:r w:rsidR="007C647A" w:rsidRPr="00626856">
        <w:rPr>
          <w:rFonts w:hint="eastAsia"/>
          <w:lang w:eastAsia="zh-CN"/>
        </w:rPr>
        <w:t>战略规划和风险管理。</w:t>
      </w:r>
      <w:bookmarkEnd w:id="70"/>
    </w:p>
    <w:p w:rsidR="00373489" w:rsidRPr="00626856" w:rsidRDefault="00373489" w:rsidP="00626856">
      <w:pPr>
        <w:rPr>
          <w:lang w:eastAsia="zh-CN"/>
        </w:rPr>
      </w:pPr>
      <w:r w:rsidRPr="00626856">
        <w:rPr>
          <w:lang w:eastAsia="zh-CN"/>
        </w:rPr>
        <w:t>5.8</w:t>
      </w:r>
      <w:r w:rsidRPr="00626856">
        <w:rPr>
          <w:lang w:eastAsia="zh-CN"/>
        </w:rPr>
        <w:tab/>
      </w:r>
      <w:bookmarkStart w:id="71" w:name="lt_pId191"/>
      <w:r w:rsidR="007C647A" w:rsidRPr="00626856">
        <w:rPr>
          <w:rFonts w:hint="eastAsia"/>
          <w:lang w:eastAsia="zh-CN"/>
        </w:rPr>
        <w:t>若干代表团发言并感谢</w:t>
      </w:r>
      <w:r w:rsidR="007C647A" w:rsidRPr="00626856">
        <w:rPr>
          <w:rFonts w:hint="eastAsia"/>
          <w:lang w:eastAsia="zh-CN"/>
        </w:rPr>
        <w:t>IMAC</w:t>
      </w:r>
      <w:r w:rsidR="007C647A" w:rsidRPr="00626856">
        <w:rPr>
          <w:rFonts w:hint="eastAsia"/>
          <w:lang w:eastAsia="zh-CN"/>
        </w:rPr>
        <w:t>主席所做的介绍。多数代表</w:t>
      </w:r>
      <w:r w:rsidR="00E84B38" w:rsidRPr="00626856">
        <w:rPr>
          <w:rFonts w:hint="eastAsia"/>
          <w:lang w:eastAsia="zh-CN"/>
        </w:rPr>
        <w:t>要求</w:t>
      </w:r>
      <w:r w:rsidR="007C647A" w:rsidRPr="00626856">
        <w:rPr>
          <w:rFonts w:hint="eastAsia"/>
          <w:lang w:eastAsia="zh-CN"/>
        </w:rPr>
        <w:t>获得有关某一</w:t>
      </w:r>
      <w:r w:rsidR="00F63D37" w:rsidRPr="00626856">
        <w:rPr>
          <w:rFonts w:hint="eastAsia"/>
          <w:lang w:eastAsia="zh-CN"/>
        </w:rPr>
        <w:t>区域</w:t>
      </w:r>
      <w:r w:rsidR="007C647A" w:rsidRPr="00626856">
        <w:rPr>
          <w:rFonts w:hint="eastAsia"/>
          <w:lang w:eastAsia="zh-CN"/>
        </w:rPr>
        <w:t>代表处舞弊情况的更多信息</w:t>
      </w:r>
      <w:r w:rsidR="007C647A" w:rsidRPr="00626856">
        <w:rPr>
          <w:rFonts w:hint="eastAsia"/>
          <w:lang w:eastAsia="zh-CN"/>
        </w:rPr>
        <w:t xml:space="preserve"> </w:t>
      </w:r>
      <w:r w:rsidR="007C647A" w:rsidRPr="00626856">
        <w:rPr>
          <w:lang w:eastAsia="zh-CN"/>
        </w:rPr>
        <w:t xml:space="preserve">– </w:t>
      </w:r>
      <w:r w:rsidR="007C647A" w:rsidRPr="00626856">
        <w:rPr>
          <w:rFonts w:hint="eastAsia"/>
          <w:lang w:eastAsia="zh-CN"/>
        </w:rPr>
        <w:t>此情况之前在</w:t>
      </w:r>
      <w:r w:rsidR="007C647A" w:rsidRPr="00626856">
        <w:rPr>
          <w:rFonts w:hint="eastAsia"/>
          <w:lang w:eastAsia="zh-CN"/>
        </w:rPr>
        <w:t>PP-18</w:t>
      </w:r>
      <w:r w:rsidR="007C647A" w:rsidRPr="00626856">
        <w:rPr>
          <w:rFonts w:hint="eastAsia"/>
          <w:lang w:eastAsia="zh-CN"/>
        </w:rPr>
        <w:t>期间举行的理事会会议</w:t>
      </w:r>
      <w:r w:rsidR="00F63D37" w:rsidRPr="00626856">
        <w:rPr>
          <w:rFonts w:hint="eastAsia"/>
          <w:lang w:eastAsia="zh-CN"/>
        </w:rPr>
        <w:t>上</w:t>
      </w:r>
      <w:r w:rsidR="007C647A" w:rsidRPr="00626856">
        <w:rPr>
          <w:rFonts w:hint="eastAsia"/>
          <w:lang w:eastAsia="zh-CN"/>
        </w:rPr>
        <w:t>由外部审计员和</w:t>
      </w:r>
      <w:r w:rsidR="007C647A" w:rsidRPr="00626856">
        <w:rPr>
          <w:rFonts w:hint="eastAsia"/>
          <w:lang w:eastAsia="zh-CN"/>
        </w:rPr>
        <w:t>IMAC</w:t>
      </w:r>
      <w:r w:rsidR="007C647A" w:rsidRPr="00626856">
        <w:rPr>
          <w:rFonts w:hint="eastAsia"/>
          <w:lang w:eastAsia="zh-CN"/>
        </w:rPr>
        <w:t>报告。</w:t>
      </w:r>
      <w:bookmarkEnd w:id="71"/>
    </w:p>
    <w:p w:rsidR="00DE6FAD" w:rsidRPr="00626856" w:rsidRDefault="00DE6FAD" w:rsidP="00626856">
      <w:pPr>
        <w:rPr>
          <w:lang w:eastAsia="zh-CN"/>
        </w:rPr>
      </w:pPr>
      <w:r w:rsidRPr="00626856">
        <w:rPr>
          <w:lang w:eastAsia="zh-CN"/>
        </w:rPr>
        <w:t>5.9</w:t>
      </w:r>
      <w:r w:rsidRPr="00626856">
        <w:rPr>
          <w:lang w:eastAsia="zh-CN"/>
        </w:rPr>
        <w:tab/>
      </w:r>
      <w:bookmarkStart w:id="72" w:name="lt_pId194"/>
      <w:r w:rsidRPr="00626856">
        <w:rPr>
          <w:rFonts w:hint="eastAsia"/>
          <w:lang w:eastAsia="zh-CN"/>
        </w:rPr>
        <w:t>国际电联秘书处通过内部审计负责人、人力资源管理部主任和法律事务处负责人就该舞弊情况提供了更多信息，并解释了秘书处采取的措施，包括对舞弊所涉个人采取的纪律处罚程序。秘书长已按照国际电联《人事规则和人事细则》第</w:t>
      </w:r>
      <w:r w:rsidRPr="00626856">
        <w:rPr>
          <w:rFonts w:hint="eastAsia"/>
          <w:lang w:eastAsia="zh-CN"/>
        </w:rPr>
        <w:t>28</w:t>
      </w:r>
      <w:r w:rsidRPr="00626856">
        <w:rPr>
          <w:rFonts w:hint="eastAsia"/>
          <w:lang w:eastAsia="zh-CN"/>
        </w:rPr>
        <w:t>条第</w:t>
      </w:r>
      <w:r w:rsidRPr="00626856">
        <w:rPr>
          <w:rFonts w:hint="eastAsia"/>
          <w:lang w:eastAsia="zh-CN"/>
        </w:rPr>
        <w:t>9</w:t>
      </w:r>
      <w:r w:rsidRPr="00626856">
        <w:rPr>
          <w:rFonts w:hint="eastAsia"/>
          <w:lang w:eastAsia="zh-CN"/>
        </w:rPr>
        <w:t>段，不失时机地将相关文件提交外部审计员。秘书处还承诺，将向</w:t>
      </w:r>
      <w:r w:rsidRPr="00626856">
        <w:rPr>
          <w:rFonts w:hint="eastAsia"/>
          <w:lang w:eastAsia="zh-CN"/>
        </w:rPr>
        <w:t>IMAC</w:t>
      </w:r>
      <w:r w:rsidRPr="00626856">
        <w:rPr>
          <w:rFonts w:hint="eastAsia"/>
          <w:lang w:eastAsia="zh-CN"/>
        </w:rPr>
        <w:t>提供有关该舞弊情况的所有相关文件，以便使</w:t>
      </w:r>
      <w:r w:rsidRPr="00626856">
        <w:rPr>
          <w:rFonts w:hint="eastAsia"/>
          <w:lang w:eastAsia="zh-CN"/>
        </w:rPr>
        <w:t>IMAC</w:t>
      </w:r>
      <w:r w:rsidRPr="00626856">
        <w:rPr>
          <w:rFonts w:hint="eastAsia"/>
          <w:lang w:eastAsia="zh-CN"/>
        </w:rPr>
        <w:t>在一旦完成上述纪律惩罚程序后，按照第</w:t>
      </w:r>
      <w:r w:rsidRPr="00626856">
        <w:rPr>
          <w:rFonts w:hint="eastAsia"/>
          <w:lang w:eastAsia="zh-CN"/>
        </w:rPr>
        <w:t>162</w:t>
      </w:r>
      <w:r w:rsidRPr="00626856">
        <w:rPr>
          <w:rFonts w:hint="eastAsia"/>
          <w:lang w:eastAsia="zh-CN"/>
        </w:rPr>
        <w:t>号决议（</w:t>
      </w:r>
      <w:r w:rsidRPr="00626856">
        <w:rPr>
          <w:rFonts w:hint="eastAsia"/>
          <w:lang w:eastAsia="zh-CN"/>
        </w:rPr>
        <w:t>2014</w:t>
      </w:r>
      <w:r w:rsidRPr="00626856">
        <w:rPr>
          <w:rFonts w:hint="eastAsia"/>
          <w:lang w:eastAsia="zh-CN"/>
        </w:rPr>
        <w:t>年，釜山，修订版）覆行其职责，使委员会有机会在下一次会议之前审议相关文件。</w:t>
      </w:r>
      <w:bookmarkEnd w:id="72"/>
    </w:p>
    <w:p w:rsidR="00DE6FAD" w:rsidRPr="00626856" w:rsidRDefault="00DE6FAD" w:rsidP="00626856">
      <w:pPr>
        <w:rPr>
          <w:lang w:eastAsia="zh-CN"/>
        </w:rPr>
      </w:pPr>
      <w:r w:rsidRPr="00626856">
        <w:rPr>
          <w:lang w:eastAsia="zh-CN"/>
        </w:rPr>
        <w:t>5.10</w:t>
      </w:r>
      <w:r w:rsidRPr="00626856">
        <w:rPr>
          <w:lang w:eastAsia="zh-CN"/>
        </w:rPr>
        <w:tab/>
      </w:r>
      <w:bookmarkStart w:id="73" w:name="lt_pId199"/>
      <w:r w:rsidRPr="00626856">
        <w:rPr>
          <w:rFonts w:hint="eastAsia"/>
          <w:lang w:eastAsia="zh-CN"/>
        </w:rPr>
        <w:t>应若干代表团的要求，</w:t>
      </w:r>
      <w:r w:rsidRPr="00626856">
        <w:rPr>
          <w:rFonts w:hint="eastAsia"/>
          <w:lang w:eastAsia="zh-CN"/>
        </w:rPr>
        <w:t>IMAC</w:t>
      </w:r>
      <w:r w:rsidRPr="00626856">
        <w:rPr>
          <w:rFonts w:hint="eastAsia"/>
          <w:lang w:eastAsia="zh-CN"/>
        </w:rPr>
        <w:t>主席确认说，在收到所有相关文件后，委员会将研究已采取的措施以及可能需要重新得到审视的、已出台的管理和监督机制。</w:t>
      </w:r>
      <w:bookmarkEnd w:id="73"/>
    </w:p>
    <w:p w:rsidR="00DE6FAD" w:rsidRPr="00626856" w:rsidRDefault="00DE6FAD" w:rsidP="00626856">
      <w:pPr>
        <w:rPr>
          <w:lang w:eastAsia="zh-CN"/>
        </w:rPr>
      </w:pPr>
      <w:r w:rsidRPr="00626856">
        <w:rPr>
          <w:lang w:eastAsia="zh-CN"/>
        </w:rPr>
        <w:t>5.11</w:t>
      </w:r>
      <w:r w:rsidRPr="00626856">
        <w:rPr>
          <w:lang w:eastAsia="zh-CN"/>
        </w:rPr>
        <w:tab/>
      </w:r>
      <w:bookmarkStart w:id="74" w:name="lt_pId201"/>
      <w:r w:rsidRPr="00626856">
        <w:rPr>
          <w:rFonts w:hint="eastAsia"/>
          <w:lang w:eastAsia="zh-CN"/>
        </w:rPr>
        <w:t>关于</w:t>
      </w:r>
      <w:r w:rsidRPr="00626856">
        <w:rPr>
          <w:rFonts w:hint="eastAsia"/>
          <w:lang w:eastAsia="zh-CN"/>
        </w:rPr>
        <w:t>IMAC</w:t>
      </w:r>
      <w:r w:rsidRPr="00626856">
        <w:rPr>
          <w:rFonts w:hint="eastAsia"/>
          <w:lang w:eastAsia="zh-CN"/>
        </w:rPr>
        <w:t>职责范围的问题，成员国重点关注的是委员会职权中的道德规范主题，而且要求，尽管缺乏明确无误的授权，但应有“君子协定”，使</w:t>
      </w:r>
      <w:r w:rsidRPr="00626856">
        <w:rPr>
          <w:rFonts w:hint="eastAsia"/>
          <w:lang w:eastAsia="zh-CN"/>
        </w:rPr>
        <w:t>IMAC</w:t>
      </w:r>
      <w:r w:rsidRPr="00626856">
        <w:rPr>
          <w:rFonts w:hint="eastAsia"/>
          <w:lang w:eastAsia="zh-CN"/>
        </w:rPr>
        <w:t>能够研究其认为必要的问题并提出相关建议。</w:t>
      </w:r>
      <w:bookmarkEnd w:id="74"/>
    </w:p>
    <w:p w:rsidR="00DE6FAD" w:rsidRPr="00E07610" w:rsidRDefault="00DE6FAD" w:rsidP="00626856">
      <w:pPr>
        <w:rPr>
          <w:rFonts w:cs="Arial"/>
          <w:szCs w:val="24"/>
          <w:lang w:eastAsia="zh-CN"/>
        </w:rPr>
      </w:pPr>
      <w:r w:rsidRPr="00626856">
        <w:rPr>
          <w:lang w:eastAsia="zh-CN"/>
        </w:rPr>
        <w:t>5.12</w:t>
      </w:r>
      <w:r w:rsidRPr="00626856">
        <w:rPr>
          <w:lang w:eastAsia="zh-CN"/>
        </w:rPr>
        <w:tab/>
      </w:r>
      <w:bookmarkStart w:id="75" w:name="lt_pId203"/>
      <w:r w:rsidRPr="00626856">
        <w:rPr>
          <w:rFonts w:hint="eastAsia"/>
          <w:lang w:eastAsia="zh-CN"/>
        </w:rPr>
        <w:t>关于</w:t>
      </w:r>
      <w:r w:rsidRPr="00626856">
        <w:rPr>
          <w:lang w:eastAsia="zh-CN"/>
        </w:rPr>
        <w:t>MSAG</w:t>
      </w:r>
      <w:r w:rsidRPr="00626856">
        <w:rPr>
          <w:rFonts w:hint="eastAsia"/>
          <w:lang w:eastAsia="zh-CN"/>
        </w:rPr>
        <w:t>与</w:t>
      </w:r>
      <w:r w:rsidRPr="00626856">
        <w:rPr>
          <w:lang w:eastAsia="zh-CN"/>
        </w:rPr>
        <w:t>IMAC</w:t>
      </w:r>
      <w:r>
        <w:rPr>
          <w:rFonts w:cs="Arial" w:hint="eastAsia"/>
          <w:szCs w:val="24"/>
          <w:lang w:eastAsia="zh-CN"/>
        </w:rPr>
        <w:t>在国际电联总部新办公楼建筑项目方面的重复工作问题，工作组的结论是，两个委员会需继续研究这一议题，因为他们是从不同角度探讨这一问题的：</w:t>
      </w:r>
      <w:proofErr w:type="spellStart"/>
      <w:r>
        <w:rPr>
          <w:rFonts w:cs="Arial" w:hint="eastAsia"/>
          <w:szCs w:val="24"/>
          <w:lang w:eastAsia="zh-CN"/>
        </w:rPr>
        <w:t>IMAC</w:t>
      </w:r>
      <w:proofErr w:type="spellEnd"/>
      <w:r>
        <w:rPr>
          <w:rFonts w:cs="Arial" w:hint="eastAsia"/>
          <w:szCs w:val="24"/>
          <w:lang w:eastAsia="zh-CN"/>
        </w:rPr>
        <w:t>为这一项目和管理机制集中进行总体监督。</w:t>
      </w:r>
      <w:bookmarkEnd w:id="75"/>
    </w:p>
    <w:p w:rsidR="00DE6FAD" w:rsidRPr="000818B0" w:rsidRDefault="00DE6FAD" w:rsidP="00626856">
      <w:pPr>
        <w:pStyle w:val="Heading1"/>
        <w:rPr>
          <w:lang w:eastAsia="zh-CN"/>
        </w:rPr>
      </w:pPr>
      <w:r>
        <w:rPr>
          <w:lang w:eastAsia="zh-CN"/>
        </w:rPr>
        <w:t>6</w:t>
      </w:r>
      <w:r>
        <w:rPr>
          <w:lang w:eastAsia="zh-CN"/>
        </w:rPr>
        <w:tab/>
      </w:r>
      <w:r>
        <w:rPr>
          <w:rFonts w:hint="eastAsia"/>
          <w:lang w:eastAsia="zh-CN"/>
        </w:rPr>
        <w:t>关于遴选新的外部审计员程序的最新情况</w:t>
      </w:r>
      <w:r w:rsidRPr="000818B0">
        <w:rPr>
          <w:lang w:eastAsia="zh-CN"/>
        </w:rPr>
        <w:br/>
      </w:r>
      <w:r w:rsidRPr="000818B0">
        <w:rPr>
          <w:lang w:eastAsia="zh-CN"/>
        </w:rPr>
        <w:tab/>
      </w:r>
      <w:bookmarkStart w:id="76" w:name="lt_pId206"/>
      <w:r>
        <w:rPr>
          <w:lang w:eastAsia="zh-CN"/>
        </w:rPr>
        <w:t>（</w:t>
      </w:r>
      <w:hyperlink r:id="rId14" w:history="1">
        <w:r w:rsidRPr="000818B0">
          <w:rPr>
            <w:rStyle w:val="Hyperlink"/>
            <w:bCs/>
            <w:szCs w:val="24"/>
            <w:lang w:eastAsia="zh-CN"/>
          </w:rPr>
          <w:t>CWG-FHR 9/7</w:t>
        </w:r>
      </w:hyperlink>
      <w:bookmarkEnd w:id="76"/>
      <w:r>
        <w:rPr>
          <w:rFonts w:hint="eastAsia"/>
          <w:lang w:eastAsia="zh-CN"/>
        </w:rPr>
        <w:t>号文件）</w:t>
      </w:r>
    </w:p>
    <w:p w:rsidR="00DE6FAD" w:rsidRPr="000818B0" w:rsidRDefault="00DE6FAD" w:rsidP="00626856">
      <w:pPr>
        <w:rPr>
          <w:rFonts w:cs="Calibri"/>
          <w:b/>
          <w:color w:val="800000"/>
          <w:sz w:val="22"/>
          <w:highlight w:val="yellow"/>
          <w:lang w:val="en-US" w:eastAsia="zh-CN"/>
        </w:rPr>
      </w:pPr>
      <w:r w:rsidRPr="00626856">
        <w:rPr>
          <w:lang w:eastAsia="zh-CN"/>
        </w:rPr>
        <w:t>6.1</w:t>
      </w:r>
      <w:r w:rsidRPr="00626856">
        <w:rPr>
          <w:lang w:eastAsia="zh-CN"/>
        </w:rPr>
        <w:tab/>
      </w:r>
      <w:bookmarkStart w:id="77" w:name="lt_pId208"/>
      <w:r w:rsidRPr="00626856">
        <w:rPr>
          <w:rFonts w:hint="eastAsia"/>
          <w:lang w:eastAsia="zh-CN"/>
        </w:rPr>
        <w:t>内部审计员介绍了上述文件。</w:t>
      </w:r>
      <w:bookmarkStart w:id="78" w:name="lt_pId209"/>
      <w:bookmarkEnd w:id="77"/>
      <w:r w:rsidRPr="00626856">
        <w:rPr>
          <w:rFonts w:hint="eastAsia"/>
          <w:lang w:eastAsia="zh-CN"/>
        </w:rPr>
        <w:t>主席请代表们就此发言，但无人予以回应</w:t>
      </w:r>
      <w:r>
        <w:rPr>
          <w:rFonts w:hint="eastAsia"/>
          <w:lang w:eastAsia="zh-CN"/>
        </w:rPr>
        <w:t>。</w:t>
      </w:r>
      <w:bookmarkEnd w:id="78"/>
    </w:p>
    <w:p w:rsidR="00DE6FAD" w:rsidRPr="003344DA" w:rsidRDefault="00DE6FAD" w:rsidP="00626856">
      <w:pPr>
        <w:pStyle w:val="Headingb"/>
        <w:rPr>
          <w:lang w:eastAsia="zh-CN"/>
        </w:rPr>
      </w:pPr>
      <w:r w:rsidRPr="00473429">
        <w:rPr>
          <w:lang w:val="en-US" w:eastAsia="zh-CN"/>
        </w:rPr>
        <w:tab/>
      </w:r>
      <w:bookmarkStart w:id="79" w:name="lt_pId210"/>
      <w:r>
        <w:rPr>
          <w:rFonts w:hint="eastAsia"/>
          <w:lang w:eastAsia="zh-CN"/>
        </w:rPr>
        <w:t>关于</w:t>
      </w:r>
      <w:r>
        <w:rPr>
          <w:lang w:eastAsia="zh-CN"/>
        </w:rPr>
        <w:t>IMAC</w:t>
      </w:r>
      <w:r>
        <w:rPr>
          <w:rFonts w:hint="eastAsia"/>
          <w:lang w:eastAsia="zh-CN"/>
        </w:rPr>
        <w:t>新成员的遴选程序（</w:t>
      </w:r>
      <w:hyperlink r:id="rId15" w:history="1">
        <w:r>
          <w:rPr>
            <w:rStyle w:val="Hyperlink"/>
            <w:bCs/>
            <w:szCs w:val="24"/>
            <w:lang w:eastAsia="zh-CN"/>
          </w:rPr>
          <w:t>CWG-FHR 9/6</w:t>
        </w:r>
      </w:hyperlink>
      <w:bookmarkEnd w:id="79"/>
      <w:r>
        <w:rPr>
          <w:rFonts w:hint="eastAsia"/>
          <w:lang w:eastAsia="zh-CN"/>
        </w:rPr>
        <w:t>号文件）</w:t>
      </w:r>
    </w:p>
    <w:p w:rsidR="00DE6FAD" w:rsidRPr="00626856" w:rsidRDefault="00DE6FAD" w:rsidP="00626856">
      <w:pPr>
        <w:rPr>
          <w:lang w:eastAsia="zh-CN"/>
        </w:rPr>
      </w:pPr>
      <w:r w:rsidRPr="00626856">
        <w:rPr>
          <w:lang w:eastAsia="zh-CN"/>
        </w:rPr>
        <w:t>6.2</w:t>
      </w:r>
      <w:r w:rsidRPr="00626856">
        <w:rPr>
          <w:lang w:eastAsia="zh-CN"/>
        </w:rPr>
        <w:tab/>
      </w:r>
      <w:bookmarkStart w:id="80" w:name="lt_pId212"/>
      <w:r w:rsidRPr="00626856">
        <w:rPr>
          <w:rFonts w:hint="eastAsia"/>
          <w:lang w:eastAsia="zh-CN"/>
        </w:rPr>
        <w:t>秘书处介绍了遴选</w:t>
      </w:r>
      <w:r w:rsidRPr="00626856">
        <w:rPr>
          <w:lang w:eastAsia="zh-CN"/>
        </w:rPr>
        <w:t>IMAC</w:t>
      </w:r>
      <w:r w:rsidRPr="00626856">
        <w:rPr>
          <w:rFonts w:hint="eastAsia"/>
          <w:lang w:eastAsia="zh-CN"/>
        </w:rPr>
        <w:t>成员的程序和时间范围（</w:t>
      </w:r>
      <w:hyperlink r:id="rId16" w:history="1">
        <w:r w:rsidRPr="00626856">
          <w:rPr>
            <w:rStyle w:val="Hyperlink"/>
            <w:lang w:eastAsia="zh-CN"/>
          </w:rPr>
          <w:t>CWG-FHR 9/6</w:t>
        </w:r>
      </w:hyperlink>
      <w:bookmarkEnd w:id="80"/>
      <w:r w:rsidRPr="00626856">
        <w:rPr>
          <w:rFonts w:hint="eastAsia"/>
          <w:lang w:eastAsia="zh-CN"/>
        </w:rPr>
        <w:t>号文件）。秘书处提醒工作组说，该委员会由五（</w:t>
      </w:r>
      <w:r w:rsidRPr="00626856">
        <w:rPr>
          <w:rFonts w:hint="eastAsia"/>
          <w:lang w:eastAsia="zh-CN"/>
        </w:rPr>
        <w:t>5</w:t>
      </w:r>
      <w:r w:rsidRPr="00626856">
        <w:rPr>
          <w:rFonts w:hint="eastAsia"/>
          <w:lang w:eastAsia="zh-CN"/>
        </w:rPr>
        <w:t>）</w:t>
      </w:r>
      <w:r w:rsidR="00136343" w:rsidRPr="00626856">
        <w:rPr>
          <w:rFonts w:hint="eastAsia"/>
          <w:lang w:eastAsia="zh-CN"/>
        </w:rPr>
        <w:t>名</w:t>
      </w:r>
      <w:r w:rsidRPr="00626856">
        <w:rPr>
          <w:rFonts w:hint="eastAsia"/>
          <w:lang w:eastAsia="zh-CN"/>
        </w:rPr>
        <w:t>成员组成，目前的任期到</w:t>
      </w:r>
      <w:r w:rsidRPr="00626856">
        <w:rPr>
          <w:rFonts w:hint="eastAsia"/>
          <w:lang w:eastAsia="zh-CN"/>
        </w:rPr>
        <w:t>2019</w:t>
      </w:r>
      <w:r w:rsidRPr="00626856">
        <w:rPr>
          <w:rFonts w:hint="eastAsia"/>
          <w:lang w:eastAsia="zh-CN"/>
        </w:rPr>
        <w:t>年底。现有成员中的两（</w:t>
      </w:r>
      <w:r w:rsidRPr="00626856">
        <w:rPr>
          <w:rFonts w:hint="eastAsia"/>
          <w:lang w:eastAsia="zh-CN"/>
        </w:rPr>
        <w:t>2</w:t>
      </w:r>
      <w:r w:rsidRPr="00626856">
        <w:rPr>
          <w:rFonts w:hint="eastAsia"/>
          <w:lang w:eastAsia="zh-CN"/>
        </w:rPr>
        <w:t>）名有资格继续得到任命，而其他三（</w:t>
      </w:r>
      <w:r w:rsidRPr="00626856">
        <w:rPr>
          <w:rFonts w:hint="eastAsia"/>
          <w:lang w:eastAsia="zh-CN"/>
        </w:rPr>
        <w:t>3</w:t>
      </w:r>
      <w:r w:rsidR="00136343" w:rsidRPr="00626856">
        <w:rPr>
          <w:rFonts w:hint="eastAsia"/>
          <w:lang w:eastAsia="zh-CN"/>
        </w:rPr>
        <w:t>）名成员则是在委员会中的第二和最后任期。</w:t>
      </w:r>
    </w:p>
    <w:p w:rsidR="00DE6FAD" w:rsidRPr="00626856" w:rsidRDefault="00DE6FAD" w:rsidP="00626856">
      <w:pPr>
        <w:rPr>
          <w:lang w:eastAsia="zh-CN"/>
        </w:rPr>
      </w:pPr>
      <w:r w:rsidRPr="00626856">
        <w:rPr>
          <w:lang w:eastAsia="zh-CN"/>
        </w:rPr>
        <w:lastRenderedPageBreak/>
        <w:t>6.3</w:t>
      </w:r>
      <w:r w:rsidRPr="00626856">
        <w:rPr>
          <w:lang w:eastAsia="zh-CN"/>
        </w:rPr>
        <w:tab/>
      </w:r>
      <w:bookmarkStart w:id="81" w:name="lt_pId216"/>
      <w:r w:rsidRPr="00626856">
        <w:rPr>
          <w:rFonts w:hint="eastAsia"/>
          <w:lang w:eastAsia="zh-CN"/>
        </w:rPr>
        <w:t>与</w:t>
      </w:r>
      <w:r w:rsidRPr="00626856">
        <w:rPr>
          <w:lang w:eastAsia="zh-CN"/>
        </w:rPr>
        <w:t>2015</w:t>
      </w:r>
      <w:r w:rsidRPr="00626856">
        <w:rPr>
          <w:rFonts w:hint="eastAsia"/>
          <w:lang w:eastAsia="zh-CN"/>
        </w:rPr>
        <w:t>和</w:t>
      </w:r>
      <w:r w:rsidRPr="00626856">
        <w:rPr>
          <w:lang w:eastAsia="zh-CN"/>
        </w:rPr>
        <w:t>2011</w:t>
      </w:r>
      <w:r w:rsidRPr="00626856">
        <w:rPr>
          <w:rFonts w:hint="eastAsia"/>
          <w:lang w:eastAsia="zh-CN"/>
        </w:rPr>
        <w:t>年类似的遴选程序将由区域</w:t>
      </w:r>
      <w:r w:rsidR="00136343" w:rsidRPr="00626856">
        <w:rPr>
          <w:rFonts w:hint="eastAsia"/>
          <w:lang w:eastAsia="zh-CN"/>
        </w:rPr>
        <w:t>集团提名的遴选专门委员会</w:t>
      </w:r>
      <w:r w:rsidRPr="00626856">
        <w:rPr>
          <w:rFonts w:hint="eastAsia"/>
          <w:lang w:eastAsia="zh-CN"/>
        </w:rPr>
        <w:t>按照成员国的提名和个人表达的兴趣情况，对</w:t>
      </w:r>
      <w:r w:rsidRPr="00626856">
        <w:rPr>
          <w:rFonts w:hint="eastAsia"/>
          <w:lang w:eastAsia="zh-CN"/>
        </w:rPr>
        <w:t>IMAC</w:t>
      </w:r>
      <w:r w:rsidRPr="00626856">
        <w:rPr>
          <w:rFonts w:hint="eastAsia"/>
          <w:lang w:eastAsia="zh-CN"/>
        </w:rPr>
        <w:t>候选人资料予以审议，并将其建议提交理事会</w:t>
      </w:r>
      <w:r w:rsidRPr="00626856">
        <w:rPr>
          <w:rFonts w:hint="eastAsia"/>
          <w:lang w:eastAsia="zh-CN"/>
        </w:rPr>
        <w:t>2019</w:t>
      </w:r>
      <w:r w:rsidRPr="00626856">
        <w:rPr>
          <w:rFonts w:hint="eastAsia"/>
          <w:lang w:eastAsia="zh-CN"/>
        </w:rPr>
        <w:t>年会议。</w:t>
      </w:r>
      <w:bookmarkEnd w:id="81"/>
    </w:p>
    <w:p w:rsidR="00DE6FAD" w:rsidRPr="00E07610" w:rsidRDefault="00DE6FAD" w:rsidP="00626856">
      <w:pPr>
        <w:rPr>
          <w:rFonts w:cs="Arial"/>
          <w:szCs w:val="24"/>
          <w:lang w:eastAsia="zh-CN"/>
        </w:rPr>
      </w:pPr>
      <w:r w:rsidRPr="00626856">
        <w:rPr>
          <w:lang w:eastAsia="zh-CN"/>
        </w:rPr>
        <w:t>6.4</w:t>
      </w:r>
      <w:r w:rsidRPr="00626856">
        <w:rPr>
          <w:lang w:eastAsia="zh-CN"/>
        </w:rPr>
        <w:tab/>
      </w:r>
      <w:bookmarkStart w:id="82" w:name="lt_pId218"/>
      <w:r w:rsidRPr="00626856">
        <w:rPr>
          <w:rFonts w:hint="eastAsia"/>
          <w:lang w:eastAsia="zh-CN"/>
        </w:rPr>
        <w:t>工作组注意到了该文件，而且</w:t>
      </w:r>
      <w:r w:rsidRPr="00626856">
        <w:rPr>
          <w:lang w:eastAsia="zh-CN"/>
        </w:rPr>
        <w:t>CWG-FHR</w:t>
      </w:r>
      <w:r w:rsidRPr="00626856">
        <w:rPr>
          <w:rFonts w:hint="eastAsia"/>
          <w:lang w:eastAsia="zh-CN"/>
        </w:rPr>
        <w:t>主席诚挚敦促区域集团尽快向</w:t>
      </w:r>
      <w:r w:rsidRPr="00626856">
        <w:rPr>
          <w:rFonts w:hint="eastAsia"/>
          <w:lang w:eastAsia="zh-CN"/>
        </w:rPr>
        <w:t>IMAC</w:t>
      </w:r>
      <w:r w:rsidRPr="00626856">
        <w:rPr>
          <w:rFonts w:hint="eastAsia"/>
          <w:lang w:eastAsia="zh-CN"/>
        </w:rPr>
        <w:t>专门遴选委员会提出其候选人，以便能够严格遵守遴选程序的截止日期。</w:t>
      </w:r>
      <w:bookmarkEnd w:id="82"/>
    </w:p>
    <w:p w:rsidR="00DE6FAD" w:rsidRPr="001E5CCF" w:rsidRDefault="00DE6FAD" w:rsidP="00626856">
      <w:pPr>
        <w:pStyle w:val="Heading1"/>
        <w:rPr>
          <w:lang w:eastAsia="zh-CN"/>
        </w:rPr>
      </w:pPr>
      <w:r>
        <w:rPr>
          <w:lang w:eastAsia="zh-CN"/>
        </w:rPr>
        <w:t>7</w:t>
      </w:r>
      <w:r>
        <w:rPr>
          <w:lang w:eastAsia="zh-CN"/>
        </w:rPr>
        <w:tab/>
      </w:r>
      <w:bookmarkStart w:id="83" w:name="lt_pId220"/>
      <w:r>
        <w:rPr>
          <w:rFonts w:hint="eastAsia"/>
          <w:lang w:eastAsia="zh-CN"/>
        </w:rPr>
        <w:t>制定国际电联</w:t>
      </w:r>
      <w:r w:rsidRPr="001E5CCF">
        <w:rPr>
          <w:lang w:eastAsia="zh-CN"/>
        </w:rPr>
        <w:t>2020-2021</w:t>
      </w:r>
      <w:bookmarkEnd w:id="83"/>
      <w:r>
        <w:rPr>
          <w:rFonts w:hint="eastAsia"/>
          <w:lang w:eastAsia="zh-CN"/>
        </w:rPr>
        <w:t>双年度预算草案</w:t>
      </w:r>
      <w:r w:rsidRPr="001E5CCF">
        <w:rPr>
          <w:lang w:eastAsia="zh-CN"/>
        </w:rPr>
        <w:br/>
      </w:r>
      <w:r w:rsidRPr="001E5CCF">
        <w:rPr>
          <w:lang w:eastAsia="zh-CN"/>
        </w:rPr>
        <w:tab/>
      </w:r>
      <w:bookmarkStart w:id="84" w:name="lt_pId221"/>
      <w:r>
        <w:rPr>
          <w:lang w:eastAsia="zh-CN"/>
        </w:rPr>
        <w:t>（</w:t>
      </w:r>
      <w:hyperlink r:id="rId17" w:history="1">
        <w:r w:rsidRPr="001E5CCF">
          <w:rPr>
            <w:rStyle w:val="Hyperlink"/>
            <w:bCs/>
            <w:szCs w:val="24"/>
            <w:lang w:eastAsia="zh-CN"/>
          </w:rPr>
          <w:t>CWG-FHR 9/2</w:t>
        </w:r>
      </w:hyperlink>
      <w:bookmarkEnd w:id="84"/>
      <w:r>
        <w:rPr>
          <w:rFonts w:hint="eastAsia"/>
          <w:lang w:eastAsia="zh-CN"/>
        </w:rPr>
        <w:t>号文件</w:t>
      </w:r>
      <w:r>
        <w:rPr>
          <w:lang w:eastAsia="zh-CN"/>
        </w:rPr>
        <w:t>）</w:t>
      </w:r>
    </w:p>
    <w:p w:rsidR="00DE6FAD" w:rsidRPr="00626856" w:rsidRDefault="00DE6FAD" w:rsidP="00626856">
      <w:pPr>
        <w:rPr>
          <w:lang w:eastAsia="zh-CN"/>
        </w:rPr>
      </w:pPr>
      <w:r w:rsidRPr="00626856">
        <w:rPr>
          <w:lang w:eastAsia="zh-CN"/>
        </w:rPr>
        <w:t>7.1</w:t>
      </w:r>
      <w:r w:rsidRPr="00626856">
        <w:rPr>
          <w:lang w:eastAsia="zh-CN"/>
        </w:rPr>
        <w:tab/>
      </w:r>
      <w:bookmarkStart w:id="85" w:name="lt_pId223"/>
      <w:r w:rsidRPr="00626856">
        <w:rPr>
          <w:rFonts w:hint="eastAsia"/>
          <w:lang w:eastAsia="zh-CN"/>
        </w:rPr>
        <w:t>秘书处按照第</w:t>
      </w:r>
      <w:r w:rsidRPr="00626856">
        <w:rPr>
          <w:rFonts w:hint="eastAsia"/>
          <w:lang w:eastAsia="zh-CN"/>
        </w:rPr>
        <w:t>5</w:t>
      </w:r>
      <w:r w:rsidRPr="00626856">
        <w:rPr>
          <w:rFonts w:hint="eastAsia"/>
          <w:lang w:eastAsia="zh-CN"/>
        </w:rPr>
        <w:t>号决定（</w:t>
      </w:r>
      <w:r w:rsidRPr="00626856">
        <w:rPr>
          <w:rFonts w:hint="eastAsia"/>
          <w:lang w:eastAsia="zh-CN"/>
        </w:rPr>
        <w:t>2018</w:t>
      </w:r>
      <w:r w:rsidRPr="00626856">
        <w:rPr>
          <w:rFonts w:hint="eastAsia"/>
          <w:lang w:eastAsia="zh-CN"/>
        </w:rPr>
        <w:t>年，迪拜，修订版）</w:t>
      </w:r>
      <w:r w:rsidR="00BC02E7" w:rsidRPr="00626856">
        <w:rPr>
          <w:rFonts w:hint="eastAsia"/>
          <w:lang w:eastAsia="zh-CN"/>
        </w:rPr>
        <w:t>编制</w:t>
      </w:r>
      <w:r w:rsidRPr="00626856">
        <w:rPr>
          <w:rFonts w:hint="eastAsia"/>
          <w:lang w:eastAsia="zh-CN"/>
        </w:rPr>
        <w:t>了国际电联</w:t>
      </w:r>
      <w:r w:rsidRPr="00626856">
        <w:rPr>
          <w:lang w:eastAsia="zh-CN"/>
        </w:rPr>
        <w:t>2020-2021</w:t>
      </w:r>
      <w:r w:rsidRPr="00626856">
        <w:rPr>
          <w:rFonts w:hint="eastAsia"/>
          <w:lang w:eastAsia="zh-CN"/>
        </w:rPr>
        <w:t>双年度预算草案以及相关导则，这也是《公约》第</w:t>
      </w:r>
      <w:r w:rsidRPr="00626856">
        <w:rPr>
          <w:rFonts w:hint="eastAsia"/>
          <w:lang w:eastAsia="zh-CN"/>
        </w:rPr>
        <w:t>5</w:t>
      </w:r>
      <w:r w:rsidRPr="00626856">
        <w:rPr>
          <w:rFonts w:hint="eastAsia"/>
          <w:lang w:eastAsia="zh-CN"/>
        </w:rPr>
        <w:t>条第</w:t>
      </w:r>
      <w:r w:rsidRPr="00626856">
        <w:rPr>
          <w:rFonts w:hint="eastAsia"/>
          <w:lang w:eastAsia="zh-CN"/>
        </w:rPr>
        <w:t>100</w:t>
      </w:r>
      <w:r w:rsidRPr="00626856">
        <w:rPr>
          <w:rFonts w:hint="eastAsia"/>
          <w:lang w:eastAsia="zh-CN"/>
        </w:rPr>
        <w:t>款的要求。在与协调委员会协商之后、并确保进行了各项可能的节省同时考虑到全权代表大会确立的限制的情况下，该预算草案将提交理事会</w:t>
      </w:r>
      <w:r w:rsidRPr="00626856">
        <w:rPr>
          <w:rFonts w:hint="eastAsia"/>
          <w:lang w:eastAsia="zh-CN"/>
        </w:rPr>
        <w:t>2019</w:t>
      </w:r>
      <w:r w:rsidRPr="00626856">
        <w:rPr>
          <w:rFonts w:hint="eastAsia"/>
          <w:lang w:eastAsia="zh-CN"/>
        </w:rPr>
        <w:t>年会议。</w:t>
      </w:r>
      <w:bookmarkEnd w:id="85"/>
    </w:p>
    <w:p w:rsidR="00DE6FAD" w:rsidRPr="00626856" w:rsidRDefault="00DE6FAD" w:rsidP="00626856">
      <w:pPr>
        <w:rPr>
          <w:lang w:eastAsia="zh-CN"/>
        </w:rPr>
      </w:pPr>
      <w:r w:rsidRPr="00626856">
        <w:rPr>
          <w:lang w:eastAsia="zh-CN"/>
        </w:rPr>
        <w:t>7.2</w:t>
      </w:r>
      <w:r w:rsidRPr="00626856">
        <w:rPr>
          <w:lang w:eastAsia="zh-CN"/>
        </w:rPr>
        <w:tab/>
      </w:r>
      <w:bookmarkStart w:id="86" w:name="lt_pId226"/>
      <w:r w:rsidRPr="00626856">
        <w:rPr>
          <w:rFonts w:hint="eastAsia"/>
          <w:lang w:eastAsia="zh-CN"/>
        </w:rPr>
        <w:t>自</w:t>
      </w:r>
      <w:r w:rsidRPr="00626856">
        <w:rPr>
          <w:rFonts w:hint="eastAsia"/>
          <w:lang w:eastAsia="zh-CN"/>
        </w:rPr>
        <w:t>2016</w:t>
      </w:r>
      <w:r w:rsidRPr="00626856">
        <w:rPr>
          <w:rFonts w:hint="eastAsia"/>
          <w:lang w:eastAsia="zh-CN"/>
        </w:rPr>
        <w:t>年以来，成员国缴纳的会费单位金额一直保持在</w:t>
      </w:r>
      <w:r w:rsidRPr="00626856">
        <w:rPr>
          <w:lang w:eastAsia="zh-CN"/>
        </w:rPr>
        <w:t>318</w:t>
      </w:r>
      <w:proofErr w:type="gramStart"/>
      <w:r w:rsidRPr="00626856">
        <w:rPr>
          <w:lang w:eastAsia="zh-CN"/>
        </w:rPr>
        <w:t>,000</w:t>
      </w:r>
      <w:r w:rsidRPr="00626856">
        <w:rPr>
          <w:rFonts w:hint="eastAsia"/>
          <w:lang w:eastAsia="zh-CN"/>
        </w:rPr>
        <w:t>瑞郎</w:t>
      </w:r>
      <w:proofErr w:type="gramEnd"/>
      <w:r w:rsidRPr="00626856">
        <w:rPr>
          <w:rFonts w:hint="eastAsia"/>
          <w:lang w:eastAsia="zh-CN"/>
        </w:rPr>
        <w:t>，带来预算的名义上的零增长。目前预计不需要从储备金账目中提款来平衡</w:t>
      </w:r>
      <w:bookmarkStart w:id="87" w:name="lt_pId227"/>
      <w:bookmarkEnd w:id="86"/>
      <w:r w:rsidRPr="00626856">
        <w:rPr>
          <w:lang w:eastAsia="zh-CN"/>
        </w:rPr>
        <w:t>2020-2021</w:t>
      </w:r>
      <w:r w:rsidRPr="00626856">
        <w:rPr>
          <w:rFonts w:hint="eastAsia"/>
          <w:lang w:eastAsia="zh-CN"/>
        </w:rPr>
        <w:t>年预算草案。</w:t>
      </w:r>
      <w:bookmarkEnd w:id="87"/>
    </w:p>
    <w:p w:rsidR="00DE6FAD" w:rsidRPr="00626856" w:rsidRDefault="00DE6FAD" w:rsidP="00626856">
      <w:pPr>
        <w:rPr>
          <w:lang w:eastAsia="zh-CN"/>
        </w:rPr>
      </w:pPr>
      <w:r w:rsidRPr="00626856">
        <w:rPr>
          <w:lang w:eastAsia="zh-CN"/>
        </w:rPr>
        <w:t>7.3</w:t>
      </w:r>
      <w:r w:rsidRPr="00626856">
        <w:rPr>
          <w:lang w:eastAsia="zh-CN"/>
        </w:rPr>
        <w:tab/>
      </w:r>
      <w:bookmarkStart w:id="88" w:name="lt_pId229"/>
      <w:r w:rsidRPr="00626856">
        <w:rPr>
          <w:lang w:eastAsia="zh-CN"/>
        </w:rPr>
        <w:t>2020-2021</w:t>
      </w:r>
      <w:r w:rsidRPr="00626856">
        <w:rPr>
          <w:rFonts w:hint="eastAsia"/>
          <w:lang w:eastAsia="zh-CN"/>
        </w:rPr>
        <w:t>年预算草案所示的总额为</w:t>
      </w:r>
      <w:r w:rsidRPr="00626856">
        <w:rPr>
          <w:lang w:eastAsia="zh-CN"/>
        </w:rPr>
        <w:t>3</w:t>
      </w:r>
      <w:r w:rsidR="00BC02E7" w:rsidRPr="00626856">
        <w:rPr>
          <w:lang w:eastAsia="zh-CN"/>
        </w:rPr>
        <w:t>.</w:t>
      </w:r>
      <w:r w:rsidRPr="00626856">
        <w:rPr>
          <w:lang w:eastAsia="zh-CN"/>
        </w:rPr>
        <w:t>3134</w:t>
      </w:r>
      <w:r w:rsidRPr="00626856">
        <w:rPr>
          <w:rFonts w:hint="eastAsia"/>
          <w:lang w:eastAsia="zh-CN"/>
        </w:rPr>
        <w:t>亿瑞郎，比</w:t>
      </w:r>
      <w:r w:rsidRPr="00626856">
        <w:rPr>
          <w:lang w:eastAsia="zh-CN"/>
        </w:rPr>
        <w:t>2018-2019</w:t>
      </w:r>
      <w:r w:rsidRPr="00626856">
        <w:rPr>
          <w:rFonts w:hint="eastAsia"/>
          <w:lang w:eastAsia="zh-CN"/>
        </w:rPr>
        <w:t>双年度预算的</w:t>
      </w:r>
      <w:r w:rsidR="00BC02E7" w:rsidRPr="00626856">
        <w:rPr>
          <w:lang w:eastAsia="zh-CN"/>
        </w:rPr>
        <w:t>3.24</w:t>
      </w:r>
      <w:r w:rsidRPr="00626856">
        <w:rPr>
          <w:lang w:eastAsia="zh-CN"/>
        </w:rPr>
        <w:t>61</w:t>
      </w:r>
      <w:r w:rsidRPr="00626856">
        <w:rPr>
          <w:rFonts w:hint="eastAsia"/>
          <w:lang w:eastAsia="zh-CN"/>
        </w:rPr>
        <w:t>亿瑞郎高出</w:t>
      </w:r>
      <w:r w:rsidRPr="00626856">
        <w:rPr>
          <w:rFonts w:hint="eastAsia"/>
          <w:lang w:eastAsia="zh-CN"/>
        </w:rPr>
        <w:t>672</w:t>
      </w:r>
      <w:r w:rsidRPr="00626856">
        <w:rPr>
          <w:rFonts w:hint="eastAsia"/>
          <w:lang w:eastAsia="zh-CN"/>
        </w:rPr>
        <w:t>万瑞郎。本预算草案中包括为三项主要活动提供的准备金：世界电信标准化全会（</w:t>
      </w:r>
      <w:bookmarkStart w:id="89" w:name="lt_pId230"/>
      <w:bookmarkEnd w:id="88"/>
      <w:r w:rsidRPr="00626856">
        <w:rPr>
          <w:lang w:eastAsia="zh-CN"/>
        </w:rPr>
        <w:t>WTSA-20</w:t>
      </w:r>
      <w:r w:rsidRPr="00626856">
        <w:rPr>
          <w:lang w:eastAsia="zh-CN"/>
        </w:rPr>
        <w:t>）、</w:t>
      </w:r>
      <w:r w:rsidRPr="00626856">
        <w:rPr>
          <w:rFonts w:hint="eastAsia"/>
          <w:lang w:eastAsia="zh-CN"/>
        </w:rPr>
        <w:t>世界电信发展大会（</w:t>
      </w:r>
      <w:r w:rsidRPr="00626856">
        <w:rPr>
          <w:lang w:eastAsia="zh-CN"/>
        </w:rPr>
        <w:t>WTDC-21</w:t>
      </w:r>
      <w:r w:rsidRPr="00626856">
        <w:rPr>
          <w:lang w:eastAsia="zh-CN"/>
        </w:rPr>
        <w:t>）</w:t>
      </w:r>
      <w:r w:rsidRPr="00626856">
        <w:rPr>
          <w:rFonts w:hint="eastAsia"/>
          <w:lang w:eastAsia="zh-CN"/>
        </w:rPr>
        <w:t>和世界电信政策论坛（</w:t>
      </w:r>
      <w:r w:rsidRPr="00626856">
        <w:rPr>
          <w:lang w:eastAsia="zh-CN"/>
        </w:rPr>
        <w:t>WTPF-21</w:t>
      </w:r>
      <w:bookmarkEnd w:id="89"/>
      <w:r w:rsidRPr="00626856">
        <w:rPr>
          <w:lang w:eastAsia="zh-CN"/>
        </w:rPr>
        <w:t>）。</w:t>
      </w:r>
    </w:p>
    <w:p w:rsidR="00DE6FAD" w:rsidRPr="00626856" w:rsidRDefault="00DE6FAD" w:rsidP="00626856">
      <w:pPr>
        <w:rPr>
          <w:lang w:eastAsia="zh-CN"/>
        </w:rPr>
      </w:pPr>
      <w:r w:rsidRPr="00626856">
        <w:rPr>
          <w:lang w:eastAsia="zh-CN"/>
        </w:rPr>
        <w:t>7.4</w:t>
      </w:r>
      <w:r w:rsidRPr="00626856">
        <w:rPr>
          <w:lang w:eastAsia="zh-CN"/>
        </w:rPr>
        <w:tab/>
      </w:r>
      <w:bookmarkStart w:id="90" w:name="lt_pId232"/>
      <w:r w:rsidRPr="00626856">
        <w:rPr>
          <w:rFonts w:hint="eastAsia"/>
          <w:lang w:eastAsia="zh-CN"/>
        </w:rPr>
        <w:t>已考虑到了与国际电联</w:t>
      </w:r>
      <w:r w:rsidRPr="00626856">
        <w:rPr>
          <w:lang w:eastAsia="zh-CN"/>
        </w:rPr>
        <w:t>2020-2023</w:t>
      </w:r>
      <w:r w:rsidRPr="00626856">
        <w:rPr>
          <w:rFonts w:hint="eastAsia"/>
          <w:lang w:eastAsia="zh-CN"/>
        </w:rPr>
        <w:t>年战略规则的总体目标和部门目标之间的联系。</w:t>
      </w:r>
      <w:bookmarkEnd w:id="90"/>
    </w:p>
    <w:p w:rsidR="00DE6FAD" w:rsidRPr="00626856" w:rsidRDefault="00DE6FAD" w:rsidP="00626856">
      <w:pPr>
        <w:rPr>
          <w:lang w:eastAsia="zh-CN"/>
        </w:rPr>
      </w:pPr>
      <w:r w:rsidRPr="00626856">
        <w:rPr>
          <w:lang w:eastAsia="zh-CN"/>
        </w:rPr>
        <w:t>7.5</w:t>
      </w:r>
      <w:r w:rsidRPr="00626856">
        <w:rPr>
          <w:lang w:eastAsia="zh-CN"/>
        </w:rPr>
        <w:tab/>
      </w:r>
      <w:bookmarkStart w:id="91" w:name="lt_pId234"/>
      <w:r w:rsidRPr="00626856">
        <w:rPr>
          <w:rFonts w:hint="eastAsia"/>
          <w:lang w:eastAsia="zh-CN"/>
        </w:rPr>
        <w:t>如同此前预算一样，在本预算草案中采用了百分之五的（职位）空缺率，这意味着要进行延期招聘、非全职工作和不带薪休假。尽管如此，实施（职位）空缺率将为空缺职位和招聘程序的管理带来巨大挑战。</w:t>
      </w:r>
      <w:bookmarkEnd w:id="91"/>
    </w:p>
    <w:p w:rsidR="00DE6FAD" w:rsidRPr="000818B0" w:rsidRDefault="00DE6FAD" w:rsidP="00626856">
      <w:pPr>
        <w:rPr>
          <w:rFonts w:cs="Calibri"/>
          <w:lang w:val="en-AU" w:eastAsia="zh-CN"/>
        </w:rPr>
      </w:pPr>
      <w:r w:rsidRPr="00626856">
        <w:rPr>
          <w:lang w:eastAsia="zh-CN"/>
        </w:rPr>
        <w:t>7.6</w:t>
      </w:r>
      <w:r w:rsidRPr="00626856">
        <w:rPr>
          <w:lang w:eastAsia="zh-CN"/>
        </w:rPr>
        <w:tab/>
      </w:r>
      <w:bookmarkStart w:id="92" w:name="lt_pId237"/>
      <w:r w:rsidRPr="00626856">
        <w:rPr>
          <w:rFonts w:hint="eastAsia"/>
          <w:lang w:eastAsia="zh-CN"/>
        </w:rPr>
        <w:t>以下国际电联</w:t>
      </w:r>
      <w:r w:rsidR="00374CCE" w:rsidRPr="00626856">
        <w:rPr>
          <w:rFonts w:hint="eastAsia"/>
          <w:lang w:eastAsia="zh-CN"/>
        </w:rPr>
        <w:t>的</w:t>
      </w:r>
      <w:r w:rsidRPr="00626856">
        <w:rPr>
          <w:rFonts w:hint="eastAsia"/>
          <w:lang w:eastAsia="zh-CN"/>
        </w:rPr>
        <w:t>共同和集中开支都汇总到了国际电联共同开支成本中心，目的是提高透明度和效率。</w:t>
      </w:r>
      <w:bookmarkEnd w:id="92"/>
    </w:p>
    <w:p w:rsidR="00DE6FAD" w:rsidRPr="000818B0" w:rsidRDefault="00626856" w:rsidP="00626856">
      <w:pPr>
        <w:pStyle w:val="enumlev1"/>
        <w:rPr>
          <w:lang w:val="en-AU" w:eastAsia="zh-CN"/>
        </w:rPr>
      </w:pPr>
      <w:bookmarkStart w:id="93" w:name="lt_pId238"/>
      <w:r w:rsidRPr="00626856">
        <w:rPr>
          <w:lang w:val="en-AU" w:eastAsia="zh-CN"/>
        </w:rPr>
        <w:t>•</w:t>
      </w:r>
      <w:r>
        <w:rPr>
          <w:lang w:val="en-AU" w:eastAsia="zh-CN"/>
        </w:rPr>
        <w:tab/>
      </w:r>
      <w:r w:rsidR="00DE6FAD">
        <w:rPr>
          <w:rFonts w:hint="eastAsia"/>
          <w:lang w:val="en-AU" w:eastAsia="zh-CN"/>
        </w:rPr>
        <w:t>国际劳工组织法庭</w:t>
      </w:r>
      <w:r w:rsidR="00DE6FAD" w:rsidRPr="000818B0">
        <w:rPr>
          <w:lang w:val="en-AU" w:eastAsia="zh-CN"/>
        </w:rPr>
        <w:t xml:space="preserve"> – </w:t>
      </w:r>
      <w:r w:rsidR="00DE6FAD">
        <w:rPr>
          <w:rFonts w:hint="eastAsia"/>
          <w:lang w:val="en-AU" w:eastAsia="zh-CN"/>
        </w:rPr>
        <w:t>任职地点差价调整数</w:t>
      </w:r>
      <w:bookmarkEnd w:id="93"/>
      <w:r w:rsidR="00DE6FAD">
        <w:rPr>
          <w:lang w:val="en-AU" w:eastAsia="zh-CN"/>
        </w:rPr>
        <w:t>；</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岗位升级（新）；</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长期病假</w:t>
      </w:r>
      <w:r w:rsidR="00DE6FAD">
        <w:rPr>
          <w:rFonts w:hint="eastAsia"/>
          <w:lang w:val="en-AU" w:eastAsia="zh-CN"/>
        </w:rPr>
        <w:t>/</w:t>
      </w:r>
      <w:r w:rsidR="00DE6FAD">
        <w:rPr>
          <w:rFonts w:hint="eastAsia"/>
          <w:lang w:val="en-AU" w:eastAsia="zh-CN"/>
        </w:rPr>
        <w:t>产假（新）；</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在职培训；</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通信费（固定和移动电话）；</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分发和邮资费用；</w:t>
      </w:r>
    </w:p>
    <w:p w:rsidR="00DE6FAD" w:rsidRPr="000818B0" w:rsidRDefault="00626856" w:rsidP="00626856">
      <w:pPr>
        <w:pStyle w:val="enumlev1"/>
        <w:rPr>
          <w:lang w:val="en-AU" w:eastAsia="zh-CN"/>
        </w:rPr>
      </w:pPr>
      <w:r w:rsidRPr="00626856">
        <w:rPr>
          <w:lang w:val="en-AU" w:eastAsia="zh-CN"/>
        </w:rPr>
        <w:lastRenderedPageBreak/>
        <w:t>•</w:t>
      </w:r>
      <w:r>
        <w:rPr>
          <w:lang w:val="en-AU" w:eastAsia="zh-CN"/>
        </w:rPr>
        <w:tab/>
      </w:r>
      <w:r w:rsidR="00374CCE">
        <w:rPr>
          <w:rFonts w:hint="eastAsia"/>
          <w:lang w:val="en-AU" w:eastAsia="zh-CN"/>
        </w:rPr>
        <w:t>复印机</w:t>
      </w:r>
      <w:r w:rsidR="00DE6FAD">
        <w:rPr>
          <w:rFonts w:hint="eastAsia"/>
          <w:lang w:val="en-AU" w:eastAsia="zh-CN"/>
        </w:rPr>
        <w:t>租用；</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银行收费；</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还贷；</w:t>
      </w:r>
    </w:p>
    <w:p w:rsidR="00DE6FAD" w:rsidRPr="000818B0" w:rsidRDefault="00626856" w:rsidP="00626856">
      <w:pPr>
        <w:pStyle w:val="enumlev1"/>
        <w:rPr>
          <w:lang w:val="en-AU" w:eastAsia="zh-CN"/>
        </w:rPr>
      </w:pPr>
      <w:bookmarkStart w:id="94" w:name="lt_pId247"/>
      <w:r w:rsidRPr="00626856">
        <w:rPr>
          <w:lang w:val="en-AU" w:eastAsia="zh-CN"/>
        </w:rPr>
        <w:t>•</w:t>
      </w:r>
      <w:r>
        <w:rPr>
          <w:lang w:val="en-AU" w:eastAsia="zh-CN"/>
        </w:rPr>
        <w:tab/>
      </w:r>
      <w:r w:rsidR="00DE6FAD">
        <w:rPr>
          <w:rFonts w:hint="eastAsia"/>
          <w:lang w:val="en-AU" w:eastAsia="zh-CN"/>
        </w:rPr>
        <w:t>离职后健康保险</w:t>
      </w:r>
      <w:r w:rsidR="00374CCE">
        <w:rPr>
          <w:rFonts w:hint="eastAsia"/>
          <w:lang w:val="en-AU" w:eastAsia="zh-CN"/>
        </w:rPr>
        <w:t>基金</w:t>
      </w:r>
      <w:r w:rsidR="00DE6FAD">
        <w:rPr>
          <w:rFonts w:hint="eastAsia"/>
          <w:lang w:val="en-AU" w:eastAsia="zh-CN"/>
        </w:rPr>
        <w:t>（</w:t>
      </w:r>
      <w:r w:rsidR="00DE6FAD" w:rsidRPr="000818B0">
        <w:rPr>
          <w:lang w:val="en-AU" w:eastAsia="zh-CN"/>
        </w:rPr>
        <w:t>ASHI</w:t>
      </w:r>
      <w:bookmarkEnd w:id="94"/>
      <w:r w:rsidR="00DE6FAD">
        <w:rPr>
          <w:lang w:val="en-AU" w:eastAsia="zh-CN"/>
        </w:rPr>
        <w:t>）；</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联合国服务；</w:t>
      </w:r>
    </w:p>
    <w:p w:rsidR="00DE6FAD" w:rsidRPr="000818B0" w:rsidRDefault="00626856" w:rsidP="00626856">
      <w:pPr>
        <w:pStyle w:val="enumlev1"/>
        <w:rPr>
          <w:lang w:val="en-AU" w:eastAsia="zh-CN"/>
        </w:rPr>
      </w:pPr>
      <w:r w:rsidRPr="00626856">
        <w:rPr>
          <w:lang w:val="en-AU" w:eastAsia="zh-CN"/>
        </w:rPr>
        <w:t>•</w:t>
      </w:r>
      <w:r>
        <w:rPr>
          <w:lang w:val="en-AU" w:eastAsia="zh-CN"/>
        </w:rPr>
        <w:tab/>
      </w:r>
      <w:r w:rsidR="00DE6FAD">
        <w:rPr>
          <w:rFonts w:hint="eastAsia"/>
          <w:lang w:val="en-AU" w:eastAsia="zh-CN"/>
        </w:rPr>
        <w:t>审计和机构间费用；</w:t>
      </w:r>
    </w:p>
    <w:p w:rsidR="00DE6FAD" w:rsidRPr="000818B0" w:rsidRDefault="00626856" w:rsidP="00626856">
      <w:pPr>
        <w:pStyle w:val="enumlev1"/>
        <w:rPr>
          <w:lang w:val="en-AU" w:eastAsia="zh-CN"/>
        </w:rPr>
      </w:pPr>
      <w:bookmarkStart w:id="95" w:name="lt_pId250"/>
      <w:r w:rsidRPr="00626856">
        <w:rPr>
          <w:lang w:val="en-AU" w:eastAsia="zh-CN"/>
        </w:rPr>
        <w:t>•</w:t>
      </w:r>
      <w:r>
        <w:rPr>
          <w:lang w:val="en-AU" w:eastAsia="zh-CN"/>
        </w:rPr>
        <w:tab/>
      </w:r>
      <w:r w:rsidR="00DE6FAD" w:rsidRPr="000818B0">
        <w:rPr>
          <w:lang w:val="en-AU" w:eastAsia="zh-CN"/>
        </w:rPr>
        <w:t>ICT</w:t>
      </w:r>
      <w:bookmarkEnd w:id="95"/>
      <w:r w:rsidR="00DE6FAD">
        <w:rPr>
          <w:rFonts w:hint="eastAsia"/>
          <w:lang w:val="en-AU" w:eastAsia="zh-CN"/>
        </w:rPr>
        <w:t>和办公楼维护基金。</w:t>
      </w:r>
    </w:p>
    <w:p w:rsidR="00DE6FAD" w:rsidRPr="00626856" w:rsidRDefault="00DE6FAD" w:rsidP="00626856">
      <w:pPr>
        <w:rPr>
          <w:lang w:eastAsia="zh-CN"/>
        </w:rPr>
      </w:pPr>
      <w:r w:rsidRPr="00626856">
        <w:rPr>
          <w:lang w:eastAsia="zh-CN"/>
        </w:rPr>
        <w:t>7.7</w:t>
      </w:r>
      <w:r w:rsidRPr="00626856">
        <w:rPr>
          <w:lang w:eastAsia="zh-CN"/>
        </w:rPr>
        <w:tab/>
      </w:r>
      <w:bookmarkStart w:id="96" w:name="lt_pId252"/>
      <w:r w:rsidRPr="00626856">
        <w:rPr>
          <w:lang w:eastAsia="zh-CN"/>
        </w:rPr>
        <w:t>2020-2021</w:t>
      </w:r>
      <w:r w:rsidRPr="00626856">
        <w:rPr>
          <w:rFonts w:hint="eastAsia"/>
          <w:lang w:eastAsia="zh-CN"/>
        </w:rPr>
        <w:t>年预算草案共包含</w:t>
      </w:r>
      <w:r w:rsidRPr="00626856">
        <w:rPr>
          <w:rFonts w:hint="eastAsia"/>
          <w:lang w:eastAsia="zh-CN"/>
        </w:rPr>
        <w:t>763</w:t>
      </w:r>
      <w:r w:rsidRPr="00626856">
        <w:rPr>
          <w:rFonts w:hint="eastAsia"/>
          <w:lang w:eastAsia="zh-CN"/>
        </w:rPr>
        <w:t>个岗位，比</w:t>
      </w:r>
      <w:bookmarkStart w:id="97" w:name="lt_pId253"/>
      <w:bookmarkEnd w:id="96"/>
      <w:r w:rsidRPr="00626856">
        <w:rPr>
          <w:lang w:eastAsia="zh-CN"/>
        </w:rPr>
        <w:t>2018-2019</w:t>
      </w:r>
      <w:bookmarkEnd w:id="97"/>
      <w:r w:rsidRPr="00626856">
        <w:rPr>
          <w:rFonts w:hint="eastAsia"/>
          <w:lang w:eastAsia="zh-CN"/>
        </w:rPr>
        <w:t>年预算中的岗位多出</w:t>
      </w:r>
      <w:r w:rsidRPr="00626856">
        <w:rPr>
          <w:rFonts w:hint="eastAsia"/>
          <w:lang w:eastAsia="zh-CN"/>
        </w:rPr>
        <w:t>15</w:t>
      </w:r>
      <w:r w:rsidRPr="00626856">
        <w:rPr>
          <w:rFonts w:hint="eastAsia"/>
          <w:lang w:eastAsia="zh-CN"/>
        </w:rPr>
        <w:t>个。</w:t>
      </w:r>
    </w:p>
    <w:p w:rsidR="00DE6FAD" w:rsidRPr="000818B0" w:rsidRDefault="00DE6FAD" w:rsidP="00626856">
      <w:pPr>
        <w:rPr>
          <w:lang w:val="en-AU" w:eastAsia="zh-CN"/>
        </w:rPr>
      </w:pPr>
      <w:r w:rsidRPr="00626856">
        <w:rPr>
          <w:lang w:eastAsia="zh-CN"/>
        </w:rPr>
        <w:t>7.8</w:t>
      </w:r>
      <w:r w:rsidRPr="00626856">
        <w:rPr>
          <w:lang w:eastAsia="zh-CN"/>
        </w:rPr>
        <w:tab/>
      </w:r>
      <w:bookmarkStart w:id="98" w:name="lt_pId255"/>
      <w:r w:rsidRPr="00626856">
        <w:rPr>
          <w:rFonts w:hint="eastAsia"/>
          <w:lang w:eastAsia="zh-CN"/>
        </w:rPr>
        <w:t>在</w:t>
      </w:r>
      <w:r w:rsidRPr="00626856">
        <w:rPr>
          <w:lang w:eastAsia="zh-CN"/>
        </w:rPr>
        <w:t>2020-2021</w:t>
      </w:r>
      <w:r w:rsidRPr="00626856">
        <w:rPr>
          <w:rFonts w:hint="eastAsia"/>
          <w:lang w:eastAsia="zh-CN"/>
        </w:rPr>
        <w:t>年预算草案中考虑到了</w:t>
      </w:r>
      <w:r w:rsidR="008B0AC0" w:rsidRPr="00626856">
        <w:rPr>
          <w:rFonts w:hint="eastAsia"/>
          <w:lang w:eastAsia="zh-CN"/>
        </w:rPr>
        <w:t>截至</w:t>
      </w:r>
      <w:r w:rsidRPr="00626856">
        <w:rPr>
          <w:rFonts w:hint="eastAsia"/>
          <w:lang w:eastAsia="zh-CN"/>
        </w:rPr>
        <w:t>2018</w:t>
      </w:r>
      <w:r w:rsidRPr="00626856">
        <w:rPr>
          <w:rFonts w:hint="eastAsia"/>
          <w:lang w:eastAsia="zh-CN"/>
        </w:rPr>
        <w:t>年</w:t>
      </w:r>
      <w:r w:rsidRPr="00626856">
        <w:rPr>
          <w:rFonts w:hint="eastAsia"/>
          <w:lang w:eastAsia="zh-CN"/>
        </w:rPr>
        <w:t>10</w:t>
      </w:r>
      <w:r w:rsidRPr="00626856">
        <w:rPr>
          <w:rFonts w:hint="eastAsia"/>
          <w:lang w:eastAsia="zh-CN"/>
        </w:rPr>
        <w:t>月</w:t>
      </w:r>
      <w:r w:rsidRPr="00626856">
        <w:rPr>
          <w:rFonts w:hint="eastAsia"/>
          <w:lang w:eastAsia="zh-CN"/>
        </w:rPr>
        <w:t>1</w:t>
      </w:r>
      <w:r w:rsidRPr="00626856">
        <w:rPr>
          <w:rFonts w:hint="eastAsia"/>
          <w:lang w:eastAsia="zh-CN"/>
        </w:rPr>
        <w:t>日的服务条件，其中包括新的日内瓦任职地点差价调整数。在考虑到下列各点的情况下将做出调整：</w:t>
      </w:r>
      <w:bookmarkEnd w:id="98"/>
    </w:p>
    <w:p w:rsidR="00DE6FAD" w:rsidRPr="000818B0" w:rsidRDefault="00626856" w:rsidP="00626856">
      <w:pPr>
        <w:pStyle w:val="enumlev1"/>
        <w:rPr>
          <w:lang w:val="en-AU" w:eastAsia="zh-CN"/>
        </w:rPr>
      </w:pPr>
      <w:bookmarkStart w:id="99" w:name="lt_pId257"/>
      <w:r w:rsidRPr="00626856">
        <w:rPr>
          <w:lang w:val="en-AU" w:eastAsia="zh-CN"/>
        </w:rPr>
        <w:t>•</w:t>
      </w:r>
      <w:r>
        <w:rPr>
          <w:lang w:val="en-AU" w:eastAsia="zh-CN"/>
        </w:rPr>
        <w:tab/>
      </w:r>
      <w:r w:rsidR="00DE6FAD">
        <w:rPr>
          <w:rFonts w:hint="eastAsia"/>
          <w:lang w:val="en-AU" w:eastAsia="zh-CN"/>
        </w:rPr>
        <w:t>截至</w:t>
      </w:r>
      <w:r w:rsidR="00DE6FAD" w:rsidRPr="000818B0">
        <w:rPr>
          <w:lang w:val="en-AU" w:eastAsia="zh-CN"/>
        </w:rPr>
        <w:t>2019</w:t>
      </w:r>
      <w:bookmarkEnd w:id="99"/>
      <w:r w:rsidR="00DE6FAD">
        <w:rPr>
          <w:rFonts w:hint="eastAsia"/>
          <w:lang w:val="en-AU" w:eastAsia="zh-CN"/>
        </w:rPr>
        <w:t>年</w:t>
      </w:r>
      <w:r w:rsidR="00DE6FAD">
        <w:rPr>
          <w:rFonts w:hint="eastAsia"/>
          <w:lang w:val="en-AU" w:eastAsia="zh-CN"/>
        </w:rPr>
        <w:t>1</w:t>
      </w:r>
      <w:r w:rsidR="00DE6FAD">
        <w:rPr>
          <w:rFonts w:hint="eastAsia"/>
          <w:lang w:val="en-AU" w:eastAsia="zh-CN"/>
        </w:rPr>
        <w:t>月的服务条件；</w:t>
      </w:r>
    </w:p>
    <w:p w:rsidR="00DE6FAD" w:rsidRPr="000818B0" w:rsidRDefault="00626856" w:rsidP="00626856">
      <w:pPr>
        <w:pStyle w:val="enumlev1"/>
        <w:rPr>
          <w:lang w:val="en-AU" w:eastAsia="zh-CN"/>
        </w:rPr>
      </w:pPr>
      <w:bookmarkStart w:id="100" w:name="lt_pId258"/>
      <w:r w:rsidRPr="00626856">
        <w:rPr>
          <w:lang w:val="en-AU" w:eastAsia="zh-CN"/>
        </w:rPr>
        <w:t>•</w:t>
      </w:r>
      <w:r>
        <w:rPr>
          <w:lang w:val="en-AU" w:eastAsia="zh-CN"/>
        </w:rPr>
        <w:tab/>
      </w:r>
      <w:r w:rsidR="00DE6FAD" w:rsidRPr="000818B0">
        <w:rPr>
          <w:lang w:val="en-AU" w:eastAsia="zh-CN"/>
        </w:rPr>
        <w:t>2018</w:t>
      </w:r>
      <w:bookmarkEnd w:id="100"/>
      <w:r w:rsidR="00DE6FAD">
        <w:rPr>
          <w:rFonts w:hint="eastAsia"/>
          <w:lang w:val="en-AU" w:eastAsia="zh-CN"/>
        </w:rPr>
        <w:t>年实际发生的非人员费用；</w:t>
      </w:r>
    </w:p>
    <w:p w:rsidR="00DE6FAD" w:rsidRPr="000818B0" w:rsidRDefault="00626856" w:rsidP="00626856">
      <w:pPr>
        <w:pStyle w:val="enumlev1"/>
        <w:rPr>
          <w:lang w:val="en-AU" w:eastAsia="zh-CN"/>
        </w:rPr>
      </w:pPr>
      <w:bookmarkStart w:id="101" w:name="lt_pId259"/>
      <w:r w:rsidRPr="00626856">
        <w:rPr>
          <w:lang w:val="en-AU" w:eastAsia="zh-CN"/>
        </w:rPr>
        <w:t>•</w:t>
      </w:r>
      <w:r>
        <w:rPr>
          <w:lang w:val="en-AU" w:eastAsia="zh-CN"/>
        </w:rPr>
        <w:tab/>
      </w:r>
      <w:r w:rsidR="00DE6FAD">
        <w:rPr>
          <w:rFonts w:hint="eastAsia"/>
          <w:lang w:val="en-AU" w:eastAsia="zh-CN"/>
        </w:rPr>
        <w:t>第</w:t>
      </w:r>
      <w:r w:rsidR="00DE6FAD">
        <w:rPr>
          <w:rFonts w:hint="eastAsia"/>
          <w:lang w:val="en-AU" w:eastAsia="zh-CN"/>
        </w:rPr>
        <w:t>5</w:t>
      </w:r>
      <w:r w:rsidR="00DE6FAD">
        <w:rPr>
          <w:rFonts w:hint="eastAsia"/>
          <w:lang w:val="en-AU" w:eastAsia="zh-CN"/>
        </w:rPr>
        <w:t>号决定（</w:t>
      </w:r>
      <w:r w:rsidR="00DE6FAD">
        <w:rPr>
          <w:rFonts w:hint="eastAsia"/>
          <w:color w:val="000000"/>
          <w:lang w:val="en-AU" w:eastAsia="zh-CN"/>
        </w:rPr>
        <w:t>2018</w:t>
      </w:r>
      <w:r w:rsidR="00DE6FAD">
        <w:rPr>
          <w:rFonts w:hint="eastAsia"/>
          <w:color w:val="000000"/>
          <w:lang w:val="en-AU" w:eastAsia="zh-CN"/>
        </w:rPr>
        <w:t>年，迪拜，修订版）附件</w:t>
      </w:r>
      <w:r w:rsidR="00DE6FAD">
        <w:rPr>
          <w:rFonts w:hint="eastAsia"/>
          <w:color w:val="000000"/>
          <w:lang w:val="en-AU" w:eastAsia="zh-CN"/>
        </w:rPr>
        <w:t>2</w:t>
      </w:r>
      <w:r w:rsidR="00DE6FAD">
        <w:rPr>
          <w:rFonts w:hint="eastAsia"/>
          <w:color w:val="000000"/>
          <w:lang w:val="en-AU" w:eastAsia="zh-CN"/>
        </w:rPr>
        <w:t>中增效措施的可能实施；</w:t>
      </w:r>
      <w:bookmarkEnd w:id="101"/>
    </w:p>
    <w:p w:rsidR="00DE6FAD" w:rsidRPr="000818B0" w:rsidRDefault="00626856" w:rsidP="00626856">
      <w:pPr>
        <w:pStyle w:val="enumlev1"/>
        <w:rPr>
          <w:lang w:val="en-AU" w:eastAsia="zh-CN"/>
        </w:rPr>
      </w:pPr>
      <w:bookmarkStart w:id="102" w:name="lt_pId261"/>
      <w:r w:rsidRPr="00626856">
        <w:rPr>
          <w:lang w:val="en-AU" w:eastAsia="zh-CN"/>
        </w:rPr>
        <w:t>•</w:t>
      </w:r>
      <w:r>
        <w:rPr>
          <w:lang w:val="en-AU" w:eastAsia="zh-CN"/>
        </w:rPr>
        <w:tab/>
      </w:r>
      <w:r w:rsidR="00DE6FAD">
        <w:rPr>
          <w:rFonts w:hint="eastAsia"/>
          <w:lang w:val="en-AU" w:eastAsia="zh-CN"/>
        </w:rPr>
        <w:t>目前正在进行的、在第</w:t>
      </w:r>
      <w:r w:rsidR="00DE6FAD">
        <w:rPr>
          <w:rFonts w:hint="eastAsia"/>
          <w:lang w:val="en-AU" w:eastAsia="zh-CN"/>
        </w:rPr>
        <w:t>5</w:t>
      </w:r>
      <w:r w:rsidR="00DE6FAD">
        <w:rPr>
          <w:rFonts w:hint="eastAsia"/>
          <w:lang w:val="en-AU" w:eastAsia="zh-CN"/>
        </w:rPr>
        <w:t>号决定（</w:t>
      </w:r>
      <w:r w:rsidR="00DE6FAD">
        <w:rPr>
          <w:rFonts w:hint="eastAsia"/>
          <w:color w:val="000000"/>
          <w:lang w:val="en-AU" w:eastAsia="zh-CN"/>
        </w:rPr>
        <w:t>2018</w:t>
      </w:r>
      <w:r w:rsidR="00DE6FAD">
        <w:rPr>
          <w:rFonts w:hint="eastAsia"/>
          <w:color w:val="000000"/>
          <w:lang w:val="en-AU" w:eastAsia="zh-CN"/>
        </w:rPr>
        <w:t>年，迪拜，修订版）所确立限制范围内如何在三个部门和总秘书处之间分配预算的讨论结果。</w:t>
      </w:r>
      <w:bookmarkEnd w:id="102"/>
    </w:p>
    <w:p w:rsidR="00DE6FAD" w:rsidRPr="000818B0" w:rsidRDefault="00DE6FAD" w:rsidP="00626856">
      <w:pPr>
        <w:rPr>
          <w:lang w:val="en-AU" w:eastAsia="zh-CN"/>
        </w:rPr>
      </w:pPr>
      <w:r w:rsidRPr="000818B0">
        <w:rPr>
          <w:lang w:val="en-AU" w:eastAsia="zh-CN"/>
        </w:rPr>
        <w:t>7.9</w:t>
      </w:r>
      <w:r w:rsidRPr="000818B0">
        <w:rPr>
          <w:lang w:val="en-AU" w:eastAsia="zh-CN"/>
        </w:rPr>
        <w:tab/>
      </w:r>
      <w:bookmarkStart w:id="103" w:name="lt_pId263"/>
      <w:r w:rsidRPr="000818B0">
        <w:rPr>
          <w:lang w:val="en-AU" w:eastAsia="zh-CN"/>
        </w:rPr>
        <w:t>2020-2021</w:t>
      </w:r>
      <w:bookmarkEnd w:id="103"/>
      <w:r>
        <w:rPr>
          <w:rFonts w:hint="eastAsia"/>
          <w:lang w:val="en-AU" w:eastAsia="zh-CN"/>
        </w:rPr>
        <w:t>年预算草案中介绍了若干表格</w:t>
      </w:r>
      <w:r w:rsidR="008B0AC0">
        <w:rPr>
          <w:rFonts w:hint="eastAsia"/>
          <w:lang w:val="en-AU" w:eastAsia="zh-CN"/>
        </w:rPr>
        <w:t>：</w:t>
      </w:r>
    </w:p>
    <w:p w:rsidR="00DE6FAD" w:rsidRPr="000818B0" w:rsidRDefault="00626856" w:rsidP="00626856">
      <w:pPr>
        <w:pStyle w:val="enumlev1"/>
        <w:rPr>
          <w:lang w:val="en-AU" w:eastAsia="zh-CN"/>
        </w:rPr>
      </w:pPr>
      <w:bookmarkStart w:id="104" w:name="lt_pId264"/>
      <w:r w:rsidRPr="00626856">
        <w:rPr>
          <w:lang w:val="en-AU" w:eastAsia="zh-CN"/>
        </w:rPr>
        <w:t>•</w:t>
      </w:r>
      <w:r>
        <w:rPr>
          <w:lang w:val="en-AU" w:eastAsia="zh-CN"/>
        </w:rPr>
        <w:tab/>
      </w:r>
      <w:r w:rsidR="00DE6FAD">
        <w:rPr>
          <w:rFonts w:hint="eastAsia"/>
          <w:lang w:val="en-AU" w:eastAsia="zh-CN"/>
        </w:rPr>
        <w:t>表</w:t>
      </w:r>
      <w:r w:rsidR="00DE6FAD" w:rsidRPr="000818B0">
        <w:rPr>
          <w:lang w:val="en-AU" w:eastAsia="zh-CN"/>
        </w:rPr>
        <w:t xml:space="preserve">1 – </w:t>
      </w:r>
      <w:bookmarkEnd w:id="104"/>
      <w:r w:rsidR="00DE6FAD">
        <w:rPr>
          <w:rFonts w:hint="eastAsia"/>
          <w:lang w:val="en-AU" w:eastAsia="zh-CN"/>
        </w:rPr>
        <w:t>按部门分列的计划</w:t>
      </w:r>
      <w:r w:rsidR="008B0AC0">
        <w:rPr>
          <w:rFonts w:hint="eastAsia"/>
          <w:lang w:val="en-AU" w:eastAsia="zh-CN"/>
        </w:rPr>
        <w:t>内</w:t>
      </w:r>
      <w:r w:rsidR="00DE6FAD">
        <w:rPr>
          <w:rFonts w:hint="eastAsia"/>
          <w:lang w:val="en-AU" w:eastAsia="zh-CN"/>
        </w:rPr>
        <w:t>支出；</w:t>
      </w:r>
    </w:p>
    <w:p w:rsidR="00DE6FAD" w:rsidRPr="000818B0" w:rsidRDefault="00626856" w:rsidP="00626856">
      <w:pPr>
        <w:pStyle w:val="enumlev1"/>
        <w:rPr>
          <w:lang w:val="en-AU" w:eastAsia="zh-CN"/>
        </w:rPr>
      </w:pPr>
      <w:bookmarkStart w:id="105" w:name="lt_pId265"/>
      <w:r w:rsidRPr="00626856">
        <w:rPr>
          <w:lang w:val="en-AU" w:eastAsia="zh-CN"/>
        </w:rPr>
        <w:t>•</w:t>
      </w:r>
      <w:r>
        <w:rPr>
          <w:lang w:val="en-AU" w:eastAsia="zh-CN"/>
        </w:rPr>
        <w:tab/>
      </w:r>
      <w:r w:rsidR="00DE6FAD">
        <w:rPr>
          <w:rFonts w:hint="eastAsia"/>
          <w:lang w:val="en-AU" w:eastAsia="zh-CN"/>
        </w:rPr>
        <w:t>表</w:t>
      </w:r>
      <w:r w:rsidR="00DE6FAD" w:rsidRPr="000818B0">
        <w:rPr>
          <w:lang w:val="en-AU" w:eastAsia="zh-CN"/>
        </w:rPr>
        <w:t xml:space="preserve">2 – </w:t>
      </w:r>
      <w:bookmarkEnd w:id="105"/>
      <w:r w:rsidR="00DE6FAD">
        <w:rPr>
          <w:rFonts w:hint="eastAsia"/>
          <w:lang w:val="en-AU" w:eastAsia="zh-CN"/>
        </w:rPr>
        <w:t>按来源列出的收入；</w:t>
      </w:r>
    </w:p>
    <w:p w:rsidR="00DE6FAD" w:rsidRPr="000818B0" w:rsidRDefault="00626856" w:rsidP="00626856">
      <w:pPr>
        <w:pStyle w:val="enumlev1"/>
        <w:rPr>
          <w:lang w:val="en-AU" w:eastAsia="zh-CN"/>
        </w:rPr>
      </w:pPr>
      <w:bookmarkStart w:id="106" w:name="lt_pId266"/>
      <w:r w:rsidRPr="00626856">
        <w:rPr>
          <w:lang w:val="en-AU" w:eastAsia="zh-CN"/>
        </w:rPr>
        <w:t>•</w:t>
      </w:r>
      <w:r>
        <w:rPr>
          <w:lang w:val="en-AU" w:eastAsia="zh-CN"/>
        </w:rPr>
        <w:tab/>
      </w:r>
      <w:r w:rsidR="00DE6FAD">
        <w:rPr>
          <w:rFonts w:hint="eastAsia"/>
          <w:lang w:val="en-AU" w:eastAsia="zh-CN"/>
        </w:rPr>
        <w:t>表</w:t>
      </w:r>
      <w:r w:rsidR="00DE6FAD" w:rsidRPr="000818B0">
        <w:rPr>
          <w:lang w:val="en-AU" w:eastAsia="zh-CN"/>
        </w:rPr>
        <w:t>3 –</w:t>
      </w:r>
      <w:r w:rsidR="00DE6FAD">
        <w:rPr>
          <w:lang w:val="en-AU" w:eastAsia="zh-CN"/>
        </w:rPr>
        <w:t xml:space="preserve"> </w:t>
      </w:r>
      <w:r w:rsidR="00DE6FAD" w:rsidRPr="000818B0">
        <w:rPr>
          <w:lang w:val="en-AU" w:eastAsia="zh-CN"/>
        </w:rPr>
        <w:t>2020-2021</w:t>
      </w:r>
      <w:bookmarkEnd w:id="106"/>
      <w:r w:rsidR="00DE6FAD">
        <w:rPr>
          <w:rFonts w:hint="eastAsia"/>
          <w:lang w:val="en-AU" w:eastAsia="zh-CN"/>
        </w:rPr>
        <w:t>年预算的拟议转账；</w:t>
      </w:r>
    </w:p>
    <w:p w:rsidR="00DE6FAD" w:rsidRPr="000818B0" w:rsidRDefault="00626856" w:rsidP="00626856">
      <w:pPr>
        <w:pStyle w:val="enumlev1"/>
        <w:rPr>
          <w:lang w:val="en-AU" w:eastAsia="zh-CN"/>
        </w:rPr>
      </w:pPr>
      <w:bookmarkStart w:id="107" w:name="lt_pId267"/>
      <w:r w:rsidRPr="00626856">
        <w:rPr>
          <w:lang w:val="en-AU" w:eastAsia="zh-CN"/>
        </w:rPr>
        <w:t>•</w:t>
      </w:r>
      <w:r>
        <w:rPr>
          <w:lang w:val="en-AU" w:eastAsia="zh-CN"/>
        </w:rPr>
        <w:tab/>
      </w:r>
      <w:r w:rsidR="00DE6FAD">
        <w:rPr>
          <w:rFonts w:hint="eastAsia"/>
          <w:lang w:val="en-AU" w:eastAsia="zh-CN"/>
        </w:rPr>
        <w:t>表</w:t>
      </w:r>
      <w:r w:rsidR="00DE6FAD" w:rsidRPr="000818B0">
        <w:rPr>
          <w:lang w:val="en-AU" w:eastAsia="zh-CN"/>
        </w:rPr>
        <w:t>4 –</w:t>
      </w:r>
      <w:r w:rsidR="00DE6FAD">
        <w:rPr>
          <w:lang w:val="en-AU" w:eastAsia="zh-CN"/>
        </w:rPr>
        <w:t xml:space="preserve"> </w:t>
      </w:r>
      <w:r w:rsidR="00DE6FAD" w:rsidRPr="000818B0">
        <w:rPr>
          <w:lang w:val="en-AU" w:eastAsia="zh-CN"/>
        </w:rPr>
        <w:t>2020-2023</w:t>
      </w:r>
      <w:bookmarkEnd w:id="107"/>
      <w:r w:rsidR="00DE6FAD">
        <w:rPr>
          <w:rFonts w:hint="eastAsia"/>
          <w:lang w:val="en-AU" w:eastAsia="zh-CN"/>
        </w:rPr>
        <w:t>年财务规划包含的转账；</w:t>
      </w:r>
    </w:p>
    <w:p w:rsidR="00DE6FAD" w:rsidRPr="000818B0" w:rsidRDefault="00626856" w:rsidP="00626856">
      <w:pPr>
        <w:pStyle w:val="enumlev1"/>
        <w:rPr>
          <w:lang w:val="en-AU" w:eastAsia="zh-CN"/>
        </w:rPr>
      </w:pPr>
      <w:bookmarkStart w:id="108" w:name="lt_pId268"/>
      <w:r w:rsidRPr="00626856">
        <w:rPr>
          <w:lang w:val="en-AU" w:eastAsia="zh-CN"/>
        </w:rPr>
        <w:t>•</w:t>
      </w:r>
      <w:r>
        <w:rPr>
          <w:lang w:val="en-AU" w:eastAsia="zh-CN"/>
        </w:rPr>
        <w:tab/>
      </w:r>
      <w:r w:rsidR="00DE6FAD">
        <w:rPr>
          <w:rFonts w:hint="eastAsia"/>
          <w:lang w:val="en-AU" w:eastAsia="zh-CN"/>
        </w:rPr>
        <w:t>表</w:t>
      </w:r>
      <w:r w:rsidR="00DE6FAD" w:rsidRPr="000818B0">
        <w:rPr>
          <w:lang w:val="en-AU" w:eastAsia="zh-CN"/>
        </w:rPr>
        <w:t xml:space="preserve">5 – </w:t>
      </w:r>
      <w:bookmarkEnd w:id="108"/>
      <w:r w:rsidR="00DE6FAD">
        <w:rPr>
          <w:rFonts w:hint="eastAsia"/>
          <w:lang w:val="en-AU" w:eastAsia="zh-CN"/>
        </w:rPr>
        <w:t>国际电联共同支出；</w:t>
      </w:r>
    </w:p>
    <w:p w:rsidR="00DE6FAD" w:rsidRPr="000818B0" w:rsidRDefault="00626856" w:rsidP="00626856">
      <w:pPr>
        <w:pStyle w:val="enumlev1"/>
        <w:rPr>
          <w:lang w:val="en-AU" w:eastAsia="zh-CN"/>
        </w:rPr>
      </w:pPr>
      <w:bookmarkStart w:id="109" w:name="lt_pId269"/>
      <w:r w:rsidRPr="00626856">
        <w:rPr>
          <w:lang w:val="en-AU" w:eastAsia="zh-CN"/>
        </w:rPr>
        <w:t>•</w:t>
      </w:r>
      <w:r>
        <w:rPr>
          <w:lang w:val="en-AU" w:eastAsia="zh-CN"/>
        </w:rPr>
        <w:tab/>
      </w:r>
      <w:r w:rsidR="00DE6FAD">
        <w:rPr>
          <w:rFonts w:hint="eastAsia"/>
          <w:lang w:val="en-AU" w:eastAsia="zh-CN"/>
        </w:rPr>
        <w:t>表</w:t>
      </w:r>
      <w:r w:rsidR="00DE6FAD" w:rsidRPr="000818B0">
        <w:rPr>
          <w:lang w:val="en-AU" w:eastAsia="zh-CN"/>
        </w:rPr>
        <w:t>6 –</w:t>
      </w:r>
      <w:r w:rsidR="00DE6FAD">
        <w:rPr>
          <w:lang w:val="en-AU" w:eastAsia="zh-CN"/>
        </w:rPr>
        <w:t xml:space="preserve"> </w:t>
      </w:r>
      <w:r w:rsidR="00DE6FAD" w:rsidRPr="000818B0">
        <w:rPr>
          <w:lang w:val="en-AU" w:eastAsia="zh-CN"/>
        </w:rPr>
        <w:t>2012</w:t>
      </w:r>
      <w:r w:rsidR="00DE6FAD">
        <w:rPr>
          <w:rFonts w:hint="eastAsia"/>
          <w:lang w:val="en-AU" w:eastAsia="zh-CN"/>
        </w:rPr>
        <w:t>至</w:t>
      </w:r>
      <w:r w:rsidR="00DE6FAD" w:rsidRPr="000818B0">
        <w:rPr>
          <w:lang w:val="en-AU" w:eastAsia="zh-CN"/>
        </w:rPr>
        <w:t>2021</w:t>
      </w:r>
      <w:bookmarkEnd w:id="109"/>
      <w:r w:rsidR="00DE6FAD">
        <w:rPr>
          <w:rFonts w:hint="eastAsia"/>
          <w:lang w:val="en-AU" w:eastAsia="zh-CN"/>
        </w:rPr>
        <w:t>年间预算内职位比较。</w:t>
      </w:r>
    </w:p>
    <w:p w:rsidR="00DE6FAD" w:rsidRPr="009C7DE9" w:rsidRDefault="00DE6FAD" w:rsidP="00626856">
      <w:pPr>
        <w:rPr>
          <w:lang w:val="en-AU" w:eastAsia="zh-CN"/>
        </w:rPr>
      </w:pPr>
      <w:r w:rsidRPr="000818B0">
        <w:rPr>
          <w:lang w:val="en-AU" w:eastAsia="zh-CN"/>
        </w:rPr>
        <w:t>7.10</w:t>
      </w:r>
      <w:r w:rsidRPr="000818B0">
        <w:rPr>
          <w:lang w:val="en-AU" w:eastAsia="zh-CN"/>
        </w:rPr>
        <w:tab/>
      </w:r>
      <w:r>
        <w:rPr>
          <w:rFonts w:hint="eastAsia"/>
          <w:lang w:val="en-AU" w:eastAsia="zh-CN"/>
        </w:rPr>
        <w:t>文件包含两个附件：</w:t>
      </w:r>
    </w:p>
    <w:p w:rsidR="00DE6FAD" w:rsidRPr="000818B0" w:rsidRDefault="00626856" w:rsidP="00626856">
      <w:pPr>
        <w:pStyle w:val="enumlev1"/>
        <w:rPr>
          <w:lang w:val="en-AU" w:eastAsia="zh-CN"/>
        </w:rPr>
      </w:pPr>
      <w:bookmarkStart w:id="110" w:name="lt_pId272"/>
      <w:r w:rsidRPr="00626856">
        <w:rPr>
          <w:lang w:val="en-AU" w:eastAsia="zh-CN"/>
        </w:rPr>
        <w:t>•</w:t>
      </w:r>
      <w:r>
        <w:rPr>
          <w:lang w:val="en-AU" w:eastAsia="zh-CN"/>
        </w:rPr>
        <w:tab/>
      </w:r>
      <w:r w:rsidR="00DE6FAD">
        <w:rPr>
          <w:rFonts w:hint="eastAsia"/>
          <w:lang w:val="en-AU" w:eastAsia="zh-CN"/>
        </w:rPr>
        <w:t>附件</w:t>
      </w:r>
      <w:r w:rsidR="00DE6FAD" w:rsidRPr="000818B0">
        <w:rPr>
          <w:lang w:val="en-AU" w:eastAsia="zh-CN"/>
        </w:rPr>
        <w:t xml:space="preserve">1 – </w:t>
      </w:r>
      <w:r w:rsidR="00DE6FAD">
        <w:rPr>
          <w:rFonts w:hint="eastAsia"/>
          <w:lang w:val="en-AU" w:eastAsia="zh-CN"/>
        </w:rPr>
        <w:t>按照部门和科室支出细分的</w:t>
      </w:r>
      <w:r w:rsidR="00DE6FAD" w:rsidRPr="000818B0">
        <w:rPr>
          <w:lang w:val="en-AU" w:eastAsia="zh-CN"/>
        </w:rPr>
        <w:t>2020-2021</w:t>
      </w:r>
      <w:r w:rsidR="00DE6FAD">
        <w:rPr>
          <w:rFonts w:hint="eastAsia"/>
          <w:lang w:val="en-AU" w:eastAsia="zh-CN"/>
        </w:rPr>
        <w:t>年预算草案；</w:t>
      </w:r>
      <w:bookmarkEnd w:id="110"/>
    </w:p>
    <w:p w:rsidR="00DE6FAD" w:rsidRPr="000818B0" w:rsidRDefault="00626856" w:rsidP="00626856">
      <w:pPr>
        <w:pStyle w:val="enumlev1"/>
        <w:rPr>
          <w:lang w:val="en-AU" w:eastAsia="zh-CN"/>
        </w:rPr>
      </w:pPr>
      <w:bookmarkStart w:id="111" w:name="lt_pId273"/>
      <w:r w:rsidRPr="00626856">
        <w:rPr>
          <w:lang w:val="en-AU" w:eastAsia="zh-CN"/>
        </w:rPr>
        <w:t>•</w:t>
      </w:r>
      <w:r>
        <w:rPr>
          <w:lang w:val="en-AU" w:eastAsia="zh-CN"/>
        </w:rPr>
        <w:tab/>
      </w:r>
      <w:r w:rsidR="00DE6FAD">
        <w:rPr>
          <w:rFonts w:hint="eastAsia"/>
          <w:lang w:val="en-AU" w:eastAsia="zh-CN"/>
        </w:rPr>
        <w:t>附件</w:t>
      </w:r>
      <w:r w:rsidR="00DE6FAD" w:rsidRPr="000818B0">
        <w:rPr>
          <w:lang w:val="en-AU" w:eastAsia="zh-CN"/>
        </w:rPr>
        <w:t xml:space="preserve">2 – </w:t>
      </w:r>
      <w:bookmarkEnd w:id="111"/>
      <w:r w:rsidR="00DE6FAD">
        <w:rPr>
          <w:rFonts w:hint="eastAsia"/>
          <w:lang w:val="en-AU" w:eastAsia="zh-CN"/>
        </w:rPr>
        <w:t>笔译、打字和印制的文件量。</w:t>
      </w:r>
    </w:p>
    <w:p w:rsidR="00DE6FAD" w:rsidRPr="00626856" w:rsidRDefault="00DE6FAD" w:rsidP="00626856">
      <w:pPr>
        <w:rPr>
          <w:lang w:eastAsia="zh-CN"/>
        </w:rPr>
      </w:pPr>
      <w:r w:rsidRPr="00626856">
        <w:rPr>
          <w:lang w:eastAsia="zh-CN"/>
        </w:rPr>
        <w:t>7.11</w:t>
      </w:r>
      <w:r w:rsidRPr="00626856">
        <w:rPr>
          <w:lang w:eastAsia="zh-CN"/>
        </w:rPr>
        <w:tab/>
      </w:r>
      <w:bookmarkStart w:id="112" w:name="lt_pId275"/>
      <w:r w:rsidRPr="00626856">
        <w:rPr>
          <w:rFonts w:hint="eastAsia"/>
          <w:lang w:eastAsia="zh-CN"/>
        </w:rPr>
        <w:t>若干代表对秘书处在制定</w:t>
      </w:r>
      <w:r w:rsidRPr="00626856">
        <w:rPr>
          <w:lang w:eastAsia="zh-CN"/>
        </w:rPr>
        <w:t>2020-2021</w:t>
      </w:r>
      <w:bookmarkEnd w:id="112"/>
      <w:r w:rsidRPr="00626856">
        <w:rPr>
          <w:rFonts w:hint="eastAsia"/>
          <w:lang w:eastAsia="zh-CN"/>
        </w:rPr>
        <w:t>年预算草案中做出的努力表示赞赏和感谢。</w:t>
      </w:r>
    </w:p>
    <w:p w:rsidR="00DE6FAD" w:rsidRPr="000818B0" w:rsidRDefault="00DE6FAD" w:rsidP="00626856">
      <w:pPr>
        <w:rPr>
          <w:b/>
          <w:color w:val="800000"/>
          <w:sz w:val="22"/>
          <w:lang w:val="en-AU" w:eastAsia="zh-CN"/>
        </w:rPr>
      </w:pPr>
      <w:r w:rsidRPr="00626856">
        <w:rPr>
          <w:lang w:eastAsia="zh-CN"/>
        </w:rPr>
        <w:t>7.12</w:t>
      </w:r>
      <w:r w:rsidRPr="00626856">
        <w:rPr>
          <w:lang w:eastAsia="zh-CN"/>
        </w:rPr>
        <w:tab/>
      </w:r>
      <w:bookmarkStart w:id="113" w:name="lt_pId277"/>
      <w:r w:rsidRPr="00626856">
        <w:rPr>
          <w:rFonts w:hint="eastAsia"/>
          <w:lang w:eastAsia="zh-CN"/>
        </w:rPr>
        <w:t>秘书处</w:t>
      </w:r>
      <w:r w:rsidRPr="00626856">
        <w:rPr>
          <w:lang w:eastAsia="zh-CN"/>
        </w:rPr>
        <w:t>在回答若干代表提出的问题时</w:t>
      </w:r>
      <w:r w:rsidRPr="00626856">
        <w:rPr>
          <w:rFonts w:hint="eastAsia"/>
          <w:lang w:eastAsia="zh-CN"/>
        </w:rPr>
        <w:t>做出了</w:t>
      </w:r>
      <w:r w:rsidRPr="00626856">
        <w:rPr>
          <w:lang w:eastAsia="zh-CN"/>
        </w:rPr>
        <w:t>以下澄清</w:t>
      </w:r>
      <w:r>
        <w:rPr>
          <w:lang w:eastAsia="zh-CN"/>
        </w:rPr>
        <w:t>：</w:t>
      </w:r>
      <w:bookmarkEnd w:id="113"/>
    </w:p>
    <w:p w:rsidR="00DE6FAD" w:rsidRPr="009C7DE9" w:rsidRDefault="00626856" w:rsidP="00626856">
      <w:pPr>
        <w:pStyle w:val="enumlev1"/>
        <w:rPr>
          <w:lang w:val="en-AU" w:eastAsia="zh-CN"/>
        </w:rPr>
      </w:pPr>
      <w:bookmarkStart w:id="114" w:name="lt_pId278"/>
      <w:r w:rsidRPr="00626856">
        <w:rPr>
          <w:lang w:val="en-AU" w:eastAsia="zh-CN"/>
        </w:rPr>
        <w:lastRenderedPageBreak/>
        <w:t>•</w:t>
      </w:r>
      <w:r>
        <w:rPr>
          <w:lang w:val="en-AU" w:eastAsia="zh-CN"/>
        </w:rPr>
        <w:tab/>
      </w:r>
      <w:r w:rsidR="00DE6FAD">
        <w:rPr>
          <w:rFonts w:hint="eastAsia"/>
          <w:lang w:val="en-AU" w:eastAsia="zh-CN"/>
        </w:rPr>
        <w:t>将提交理事会</w:t>
      </w:r>
      <w:r w:rsidR="00DE6FAD">
        <w:rPr>
          <w:rFonts w:hint="eastAsia"/>
          <w:lang w:val="en-AU" w:eastAsia="zh-CN"/>
        </w:rPr>
        <w:t>2019</w:t>
      </w:r>
      <w:r w:rsidR="00DE6FAD">
        <w:rPr>
          <w:rFonts w:hint="eastAsia"/>
          <w:lang w:val="en-AU" w:eastAsia="zh-CN"/>
        </w:rPr>
        <w:t>年会议的经修订的</w:t>
      </w:r>
      <w:r w:rsidR="00DE6FAD">
        <w:rPr>
          <w:lang w:val="en-AU" w:eastAsia="zh-CN"/>
        </w:rPr>
        <w:t>2020-2021</w:t>
      </w:r>
      <w:r w:rsidR="00DE6FAD">
        <w:rPr>
          <w:rFonts w:hint="eastAsia"/>
          <w:lang w:val="en-AU" w:eastAsia="zh-CN"/>
        </w:rPr>
        <w:t>年预算草案将为每一表格提供更多详细信息，并提供更多附件；</w:t>
      </w:r>
      <w:bookmarkEnd w:id="114"/>
    </w:p>
    <w:p w:rsidR="00DE6FAD" w:rsidRPr="009C7DE9" w:rsidRDefault="00626856" w:rsidP="00626856">
      <w:pPr>
        <w:pStyle w:val="enumlev1"/>
        <w:rPr>
          <w:lang w:val="en-AU" w:eastAsia="zh-CN"/>
        </w:rPr>
      </w:pPr>
      <w:bookmarkStart w:id="115" w:name="lt_pId279"/>
      <w:r w:rsidRPr="00626856">
        <w:rPr>
          <w:lang w:val="en-AU" w:eastAsia="zh-CN"/>
        </w:rPr>
        <w:t>•</w:t>
      </w:r>
      <w:r>
        <w:rPr>
          <w:lang w:val="en-AU" w:eastAsia="zh-CN"/>
        </w:rPr>
        <w:tab/>
      </w:r>
      <w:r w:rsidR="00DE6FAD">
        <w:rPr>
          <w:rFonts w:hint="eastAsia"/>
          <w:lang w:val="en-AU" w:eastAsia="zh-CN"/>
        </w:rPr>
        <w:t>尽可能统一三个部门的术语使用，如，“讲习班</w:t>
      </w:r>
      <w:r w:rsidR="00DE6FAD">
        <w:rPr>
          <w:rFonts w:hint="eastAsia"/>
          <w:lang w:val="en-AU" w:eastAsia="zh-CN"/>
        </w:rPr>
        <w:t>/</w:t>
      </w:r>
      <w:r w:rsidR="00DE6FAD">
        <w:rPr>
          <w:rFonts w:hint="eastAsia"/>
          <w:lang w:val="en-AU" w:eastAsia="zh-CN"/>
        </w:rPr>
        <w:t>研讨会”；</w:t>
      </w:r>
      <w:bookmarkEnd w:id="115"/>
    </w:p>
    <w:p w:rsidR="00DE6FAD" w:rsidRPr="009C7DE9" w:rsidRDefault="00626856" w:rsidP="00626856">
      <w:pPr>
        <w:pStyle w:val="enumlev1"/>
        <w:rPr>
          <w:lang w:val="en-AU" w:eastAsia="zh-CN"/>
        </w:rPr>
      </w:pPr>
      <w:bookmarkStart w:id="116" w:name="lt_pId280"/>
      <w:r w:rsidRPr="00626856">
        <w:rPr>
          <w:lang w:val="en-AU" w:eastAsia="zh-CN"/>
        </w:rPr>
        <w:t>•</w:t>
      </w:r>
      <w:r>
        <w:rPr>
          <w:lang w:val="en-AU" w:eastAsia="zh-CN"/>
        </w:rPr>
        <w:tab/>
      </w:r>
      <w:r w:rsidR="00DE6FAD">
        <w:rPr>
          <w:rFonts w:hint="eastAsia"/>
          <w:lang w:val="en-AU" w:eastAsia="zh-CN"/>
        </w:rPr>
        <w:t>针对可能出现的情况，即国际劳工组织</w:t>
      </w:r>
      <w:r w:rsidR="000232D8">
        <w:rPr>
          <w:rFonts w:hint="eastAsia"/>
          <w:lang w:val="en-AU" w:eastAsia="zh-CN"/>
        </w:rPr>
        <w:t>法庭决定恢复专业和更高职类工作人员被降低的任职地点差价调整数，</w:t>
      </w:r>
      <w:r w:rsidR="00DE6FAD">
        <w:rPr>
          <w:rFonts w:hint="eastAsia"/>
          <w:lang w:val="en-AU" w:eastAsia="zh-CN"/>
        </w:rPr>
        <w:t>预算提议集中有关这方面</w:t>
      </w:r>
      <w:r w:rsidR="000232D8">
        <w:rPr>
          <w:rFonts w:hint="eastAsia"/>
          <w:lang w:val="en-AU" w:eastAsia="zh-CN"/>
        </w:rPr>
        <w:t>的准备金</w:t>
      </w:r>
      <w:r w:rsidR="00DE6FAD">
        <w:rPr>
          <w:rFonts w:hint="eastAsia"/>
          <w:lang w:val="en-AU" w:eastAsia="zh-CN"/>
        </w:rPr>
        <w:t>，就此，若干代表认为，这种准备金应由三个部门和总秘书处</w:t>
      </w:r>
      <w:r w:rsidR="000232D8">
        <w:rPr>
          <w:rFonts w:hint="eastAsia"/>
          <w:lang w:val="en-AU" w:eastAsia="zh-CN"/>
        </w:rPr>
        <w:t>保持</w:t>
      </w:r>
      <w:r w:rsidR="00DE6FAD">
        <w:rPr>
          <w:rFonts w:hint="eastAsia"/>
          <w:lang w:val="en-AU" w:eastAsia="zh-CN"/>
        </w:rPr>
        <w:t>。秘书处告知代表说，提出上述提议是从会计角度考虑的，以便通过将资金分配到一个成本中心而简化工作。然而，代表们的要求将由秘书处</w:t>
      </w:r>
      <w:r w:rsidR="000232D8">
        <w:rPr>
          <w:rFonts w:hint="eastAsia"/>
          <w:lang w:val="en-AU" w:eastAsia="zh-CN"/>
        </w:rPr>
        <w:t>反映</w:t>
      </w:r>
      <w:r w:rsidR="00DE6FAD">
        <w:rPr>
          <w:rFonts w:hint="eastAsia"/>
          <w:lang w:val="en-AU" w:eastAsia="zh-CN"/>
        </w:rPr>
        <w:t>在经修订的预算草案中；</w:t>
      </w:r>
      <w:bookmarkEnd w:id="116"/>
    </w:p>
    <w:p w:rsidR="00DE6FAD" w:rsidRPr="009C7DE9" w:rsidRDefault="00626856" w:rsidP="00626856">
      <w:pPr>
        <w:pStyle w:val="enumlev1"/>
        <w:rPr>
          <w:lang w:val="en-AU" w:eastAsia="zh-CN"/>
        </w:rPr>
      </w:pPr>
      <w:bookmarkStart w:id="117" w:name="lt_pId283"/>
      <w:r w:rsidRPr="00626856">
        <w:rPr>
          <w:lang w:val="en-AU" w:eastAsia="zh-CN"/>
        </w:rPr>
        <w:t>•</w:t>
      </w:r>
      <w:r>
        <w:rPr>
          <w:lang w:val="en-AU" w:eastAsia="zh-CN"/>
        </w:rPr>
        <w:tab/>
      </w:r>
      <w:r w:rsidR="00DE6FAD">
        <w:rPr>
          <w:rFonts w:hint="eastAsia"/>
          <w:lang w:val="en-AU" w:eastAsia="zh-CN"/>
        </w:rPr>
        <w:t>虽然增加了</w:t>
      </w:r>
      <w:r w:rsidR="00DE6FAD">
        <w:rPr>
          <w:rFonts w:hint="eastAsia"/>
          <w:lang w:val="en-AU" w:eastAsia="zh-CN"/>
        </w:rPr>
        <w:t>15</w:t>
      </w:r>
      <w:r w:rsidR="00DE6FAD">
        <w:rPr>
          <w:rFonts w:hint="eastAsia"/>
          <w:lang w:val="en-AU" w:eastAsia="zh-CN"/>
        </w:rPr>
        <w:t>个新的岗位，但</w:t>
      </w:r>
      <w:r w:rsidR="00DE6FAD">
        <w:rPr>
          <w:lang w:val="en-AU" w:eastAsia="zh-CN"/>
        </w:rPr>
        <w:t>2020-2021</w:t>
      </w:r>
      <w:r w:rsidR="00DE6FAD">
        <w:rPr>
          <w:rFonts w:hint="eastAsia"/>
          <w:lang w:val="en-AU" w:eastAsia="zh-CN"/>
        </w:rPr>
        <w:t>年预算草案中与人员相关的费用似乎有所降低，这是因为专业职类工作人员的薪金已减少。秘书处在向理事会</w:t>
      </w:r>
      <w:r w:rsidR="00DE6FAD">
        <w:rPr>
          <w:rFonts w:hint="eastAsia"/>
          <w:lang w:val="en-AU" w:eastAsia="zh-CN"/>
        </w:rPr>
        <w:t>2019</w:t>
      </w:r>
      <w:r w:rsidR="001B6DA4">
        <w:rPr>
          <w:rFonts w:hint="eastAsia"/>
          <w:lang w:val="en-AU" w:eastAsia="zh-CN"/>
        </w:rPr>
        <w:t>年会议介绍</w:t>
      </w:r>
      <w:r w:rsidR="00DE6FAD">
        <w:rPr>
          <w:rFonts w:hint="eastAsia"/>
          <w:lang w:val="en-AU" w:eastAsia="zh-CN"/>
        </w:rPr>
        <w:t>预算草案时将对这些新职位予以详细说明；</w:t>
      </w:r>
      <w:bookmarkEnd w:id="117"/>
    </w:p>
    <w:p w:rsidR="00DE6FAD" w:rsidRPr="009C7DE9" w:rsidRDefault="00626856" w:rsidP="00626856">
      <w:pPr>
        <w:pStyle w:val="enumlev1"/>
        <w:rPr>
          <w:lang w:val="en-AU" w:eastAsia="zh-CN"/>
        </w:rPr>
      </w:pPr>
      <w:bookmarkStart w:id="118" w:name="lt_pId285"/>
      <w:r w:rsidRPr="00626856">
        <w:rPr>
          <w:lang w:val="en-AU" w:eastAsia="zh-CN"/>
        </w:rPr>
        <w:t>•</w:t>
      </w:r>
      <w:r>
        <w:rPr>
          <w:lang w:val="en-AU" w:eastAsia="zh-CN"/>
        </w:rPr>
        <w:tab/>
      </w:r>
      <w:r w:rsidR="00DE6FAD">
        <w:rPr>
          <w:rFonts w:hint="eastAsia"/>
          <w:lang w:val="en-AU" w:eastAsia="zh-CN"/>
        </w:rPr>
        <w:t>人工智能造福人类活动和</w:t>
      </w:r>
      <w:r w:rsidR="00DE6FAD">
        <w:rPr>
          <w:rFonts w:hint="eastAsia"/>
          <w:lang w:val="en-AU" w:eastAsia="zh-CN"/>
        </w:rPr>
        <w:t>WSIS</w:t>
      </w:r>
      <w:r w:rsidR="00DE6FAD">
        <w:rPr>
          <w:rFonts w:hint="eastAsia"/>
          <w:lang w:val="en-AU" w:eastAsia="zh-CN"/>
        </w:rPr>
        <w:t>论坛的主要资金源于自愿捐款</w:t>
      </w:r>
      <w:r w:rsidR="00DE6FAD">
        <w:rPr>
          <w:rFonts w:hint="eastAsia"/>
          <w:lang w:val="en-AU" w:eastAsia="zh-CN"/>
        </w:rPr>
        <w:t>/</w:t>
      </w:r>
      <w:r w:rsidR="00DE6FAD">
        <w:rPr>
          <w:rFonts w:hint="eastAsia"/>
          <w:lang w:val="en-AU" w:eastAsia="zh-CN"/>
        </w:rPr>
        <w:t>赞助，而非正常预算，后者仅仅包含与行政工作和支持相关的费用；</w:t>
      </w:r>
      <w:bookmarkEnd w:id="118"/>
    </w:p>
    <w:p w:rsidR="00DE6FAD" w:rsidRPr="009C7DE9" w:rsidRDefault="00626856" w:rsidP="00626856">
      <w:pPr>
        <w:pStyle w:val="enumlev1"/>
        <w:rPr>
          <w:lang w:val="en-AU" w:eastAsia="zh-CN"/>
        </w:rPr>
      </w:pPr>
      <w:bookmarkStart w:id="119" w:name="lt_pId286"/>
      <w:r w:rsidRPr="00626856">
        <w:rPr>
          <w:lang w:val="en-AU" w:eastAsia="zh-CN"/>
        </w:rPr>
        <w:t>•</w:t>
      </w:r>
      <w:r>
        <w:rPr>
          <w:lang w:val="en-AU" w:eastAsia="zh-CN"/>
        </w:rPr>
        <w:tab/>
      </w:r>
      <w:r w:rsidR="00DE6FAD">
        <w:rPr>
          <w:rFonts w:hint="eastAsia"/>
          <w:lang w:val="en-AU" w:eastAsia="zh-CN"/>
        </w:rPr>
        <w:t>由于</w:t>
      </w:r>
      <w:r w:rsidR="00DE6FAD">
        <w:rPr>
          <w:lang w:val="en-AU" w:eastAsia="zh-CN"/>
        </w:rPr>
        <w:t>2020-2021</w:t>
      </w:r>
      <w:r w:rsidR="00DE6FAD">
        <w:rPr>
          <w:rFonts w:hint="eastAsia"/>
          <w:lang w:val="en-AU" w:eastAsia="zh-CN"/>
        </w:rPr>
        <w:t>年预算草案是在</w:t>
      </w:r>
      <w:r w:rsidR="00DE6FAD">
        <w:rPr>
          <w:rFonts w:hint="eastAsia"/>
          <w:lang w:val="en-AU" w:eastAsia="zh-CN"/>
        </w:rPr>
        <w:t>2018</w:t>
      </w:r>
      <w:r w:rsidR="00DE6FAD">
        <w:rPr>
          <w:rFonts w:hint="eastAsia"/>
          <w:lang w:val="en-AU" w:eastAsia="zh-CN"/>
        </w:rPr>
        <w:t>年起草的，且使用的是</w:t>
      </w:r>
      <w:r w:rsidR="00334D09">
        <w:rPr>
          <w:rFonts w:hint="eastAsia"/>
          <w:lang w:val="en-AU" w:eastAsia="zh-CN"/>
        </w:rPr>
        <w:t>截至</w:t>
      </w:r>
      <w:r w:rsidR="00DE6FAD">
        <w:rPr>
          <w:rFonts w:hint="eastAsia"/>
          <w:lang w:val="en-AU" w:eastAsia="zh-CN"/>
        </w:rPr>
        <w:t>2018</w:t>
      </w:r>
      <w:r w:rsidR="00DE6FAD">
        <w:rPr>
          <w:rFonts w:hint="eastAsia"/>
          <w:lang w:val="en-AU" w:eastAsia="zh-CN"/>
        </w:rPr>
        <w:t>年</w:t>
      </w:r>
      <w:r w:rsidR="00DE6FAD">
        <w:rPr>
          <w:rFonts w:hint="eastAsia"/>
          <w:lang w:val="en-AU" w:eastAsia="zh-CN"/>
        </w:rPr>
        <w:t>10</w:t>
      </w:r>
      <w:r w:rsidR="00DE6FAD">
        <w:rPr>
          <w:rFonts w:hint="eastAsia"/>
          <w:lang w:val="en-AU" w:eastAsia="zh-CN"/>
        </w:rPr>
        <w:t>月</w:t>
      </w:r>
      <w:r w:rsidR="00DE6FAD">
        <w:rPr>
          <w:rFonts w:hint="eastAsia"/>
          <w:lang w:val="en-AU" w:eastAsia="zh-CN"/>
        </w:rPr>
        <w:t>1</w:t>
      </w:r>
      <w:r w:rsidR="00DE6FAD">
        <w:rPr>
          <w:rFonts w:hint="eastAsia"/>
          <w:lang w:val="en-AU" w:eastAsia="zh-CN"/>
        </w:rPr>
        <w:t>日的服务条件，因此，在利用截至</w:t>
      </w:r>
      <w:r w:rsidR="00DE6FAD">
        <w:rPr>
          <w:rFonts w:hint="eastAsia"/>
          <w:lang w:val="en-AU" w:eastAsia="zh-CN"/>
        </w:rPr>
        <w:t>2019</w:t>
      </w:r>
      <w:r w:rsidR="00DE6FAD">
        <w:rPr>
          <w:rFonts w:hint="eastAsia"/>
          <w:lang w:val="en-AU" w:eastAsia="zh-CN"/>
        </w:rPr>
        <w:t>年</w:t>
      </w:r>
      <w:r w:rsidR="00DE6FAD">
        <w:rPr>
          <w:rFonts w:hint="eastAsia"/>
          <w:lang w:val="en-AU" w:eastAsia="zh-CN"/>
        </w:rPr>
        <w:t>1</w:t>
      </w:r>
      <w:r w:rsidR="00DE6FAD">
        <w:rPr>
          <w:rFonts w:hint="eastAsia"/>
          <w:lang w:val="en-AU" w:eastAsia="zh-CN"/>
        </w:rPr>
        <w:t>月</w:t>
      </w:r>
      <w:r w:rsidR="00DE6FAD">
        <w:rPr>
          <w:rFonts w:hint="eastAsia"/>
          <w:lang w:val="en-AU" w:eastAsia="zh-CN"/>
        </w:rPr>
        <w:t>1</w:t>
      </w:r>
      <w:r w:rsidR="00DE6FAD">
        <w:rPr>
          <w:rFonts w:hint="eastAsia"/>
          <w:lang w:val="en-AU" w:eastAsia="zh-CN"/>
        </w:rPr>
        <w:t>日的服务条件计算人员费用时将做出相关调整，因为后者才是最新的</w:t>
      </w:r>
      <w:r w:rsidR="00334D09">
        <w:rPr>
          <w:rFonts w:hint="eastAsia"/>
          <w:lang w:val="en-AU" w:eastAsia="zh-CN"/>
        </w:rPr>
        <w:t>基础</w:t>
      </w:r>
      <w:r w:rsidR="00DE6FAD">
        <w:rPr>
          <w:rFonts w:hint="eastAsia"/>
          <w:lang w:val="en-AU" w:eastAsia="zh-CN"/>
        </w:rPr>
        <w:t>；</w:t>
      </w:r>
      <w:bookmarkEnd w:id="119"/>
    </w:p>
    <w:p w:rsidR="00DE6FAD" w:rsidRPr="000818B0" w:rsidRDefault="00626856" w:rsidP="00626856">
      <w:pPr>
        <w:pStyle w:val="enumlev1"/>
        <w:rPr>
          <w:lang w:val="en-AU" w:eastAsia="zh-CN"/>
        </w:rPr>
      </w:pPr>
      <w:bookmarkStart w:id="120" w:name="lt_pId287"/>
      <w:r w:rsidRPr="00626856">
        <w:rPr>
          <w:lang w:val="en-AU" w:eastAsia="zh-CN"/>
        </w:rPr>
        <w:t>•</w:t>
      </w:r>
      <w:r>
        <w:rPr>
          <w:lang w:val="en-AU" w:eastAsia="zh-CN"/>
        </w:rPr>
        <w:tab/>
      </w:r>
      <w:r w:rsidR="00DE6FAD">
        <w:rPr>
          <w:rFonts w:hint="eastAsia"/>
          <w:lang w:val="en-AU" w:eastAsia="zh-CN"/>
        </w:rPr>
        <w:t>按照惯例，通过预算实施实现的节余将转入储备金账目</w:t>
      </w:r>
      <w:r w:rsidR="00334D09">
        <w:rPr>
          <w:rFonts w:hint="eastAsia"/>
          <w:lang w:val="en-AU" w:eastAsia="zh-CN"/>
        </w:rPr>
        <w:t>或</w:t>
      </w:r>
      <w:r w:rsidR="00DE6FAD">
        <w:rPr>
          <w:rFonts w:hint="eastAsia"/>
          <w:lang w:val="en-AU" w:eastAsia="zh-CN"/>
        </w:rPr>
        <w:t>由理事会批准的一些活动中。如果有节余，则第</w:t>
      </w:r>
      <w:r w:rsidR="00DE6FAD">
        <w:rPr>
          <w:rFonts w:hint="eastAsia"/>
          <w:lang w:val="en-AU" w:eastAsia="zh-CN"/>
        </w:rPr>
        <w:t>5</w:t>
      </w:r>
      <w:r w:rsidR="00DE6FAD">
        <w:rPr>
          <w:rFonts w:hint="eastAsia"/>
          <w:lang w:val="en-AU" w:eastAsia="zh-CN"/>
        </w:rPr>
        <w:t>号决定规定优先考虑</w:t>
      </w:r>
      <w:r w:rsidR="00334D09">
        <w:rPr>
          <w:rFonts w:hint="eastAsia"/>
          <w:lang w:val="en-AU" w:eastAsia="zh-CN"/>
        </w:rPr>
        <w:t>新办公楼基金和离职后健康保险基金（</w:t>
      </w:r>
      <w:bookmarkStart w:id="121" w:name="lt_pId288"/>
      <w:bookmarkEnd w:id="120"/>
      <w:r w:rsidR="00DE6FAD" w:rsidRPr="000818B0">
        <w:rPr>
          <w:lang w:val="en-AU" w:eastAsia="zh-CN"/>
        </w:rPr>
        <w:t>ASHI</w:t>
      </w:r>
      <w:bookmarkEnd w:id="121"/>
      <w:r w:rsidR="00334D09">
        <w:rPr>
          <w:lang w:val="en-AU" w:eastAsia="zh-CN"/>
        </w:rPr>
        <w:t>）。</w:t>
      </w:r>
    </w:p>
    <w:p w:rsidR="00DE6FAD" w:rsidRPr="000818B0" w:rsidRDefault="00DE6FAD" w:rsidP="00626856">
      <w:pPr>
        <w:rPr>
          <w:lang w:val="en-AU" w:eastAsia="zh-CN"/>
        </w:rPr>
      </w:pPr>
      <w:r w:rsidRPr="000818B0">
        <w:rPr>
          <w:lang w:val="en-AU" w:eastAsia="zh-CN"/>
        </w:rPr>
        <w:t>7.13</w:t>
      </w:r>
      <w:r w:rsidRPr="000818B0">
        <w:rPr>
          <w:lang w:val="en-AU" w:eastAsia="zh-CN"/>
        </w:rPr>
        <w:tab/>
      </w:r>
      <w:bookmarkStart w:id="122" w:name="lt_pId290"/>
      <w:r>
        <w:rPr>
          <w:rFonts w:hint="eastAsia"/>
          <w:lang w:val="en-AU" w:eastAsia="zh-CN"/>
        </w:rPr>
        <w:t>主席提醒工作组，</w:t>
      </w:r>
      <w:r w:rsidRPr="000818B0">
        <w:rPr>
          <w:lang w:val="en-AU" w:eastAsia="zh-CN"/>
        </w:rPr>
        <w:t>2020-2021</w:t>
      </w:r>
      <w:r>
        <w:rPr>
          <w:rFonts w:hint="eastAsia"/>
          <w:lang w:val="en-AU" w:eastAsia="zh-CN"/>
        </w:rPr>
        <w:t>年真正的平衡预算应显示出支出会少</w:t>
      </w:r>
      <w:r w:rsidRPr="000818B0">
        <w:rPr>
          <w:lang w:val="en-AU" w:eastAsia="zh-CN"/>
        </w:rPr>
        <w:t>4.261</w:t>
      </w:r>
      <w:r>
        <w:rPr>
          <w:rFonts w:hint="eastAsia"/>
          <w:lang w:val="en-AU" w:eastAsia="zh-CN"/>
        </w:rPr>
        <w:t>万瑞郎。</w:t>
      </w:r>
      <w:bookmarkEnd w:id="122"/>
    </w:p>
    <w:p w:rsidR="00DE6FAD" w:rsidRPr="000818B0" w:rsidRDefault="00DE6FAD" w:rsidP="00626856">
      <w:pPr>
        <w:pStyle w:val="Headingb"/>
        <w:rPr>
          <w:lang w:eastAsia="zh-CN"/>
        </w:rPr>
      </w:pPr>
      <w:r w:rsidRPr="000818B0">
        <w:rPr>
          <w:lang w:eastAsia="zh-CN"/>
        </w:rPr>
        <w:tab/>
      </w:r>
      <w:bookmarkStart w:id="123" w:name="lt_pId291"/>
      <w:r w:rsidR="00434954">
        <w:rPr>
          <w:rFonts w:hint="eastAsia"/>
          <w:lang w:eastAsia="zh-CN"/>
        </w:rPr>
        <w:t>巴西（联邦共和国）</w:t>
      </w:r>
      <w:r>
        <w:rPr>
          <w:rFonts w:hint="eastAsia"/>
          <w:lang w:eastAsia="zh-CN"/>
        </w:rPr>
        <w:t>文稿</w:t>
      </w:r>
      <w:r>
        <w:rPr>
          <w:rFonts w:hint="eastAsia"/>
          <w:lang w:eastAsia="zh-CN"/>
        </w:rPr>
        <w:t xml:space="preserve"> </w:t>
      </w:r>
      <w:r w:rsidRPr="00DD32D2">
        <w:rPr>
          <w:lang w:eastAsia="zh-CN"/>
        </w:rPr>
        <w:t>–</w:t>
      </w:r>
      <w:r>
        <w:rPr>
          <w:lang w:eastAsia="zh-CN"/>
        </w:rPr>
        <w:t xml:space="preserve"> </w:t>
      </w:r>
      <w:r>
        <w:rPr>
          <w:rFonts w:hint="eastAsia"/>
          <w:lang w:eastAsia="zh-CN"/>
        </w:rPr>
        <w:t>国际电联的笔译程序（</w:t>
      </w:r>
      <w:hyperlink r:id="rId18" w:history="1">
        <w:r w:rsidRPr="000818B0">
          <w:rPr>
            <w:rStyle w:val="Hyperlink"/>
            <w:bCs/>
            <w:szCs w:val="24"/>
            <w:lang w:eastAsia="zh-CN"/>
          </w:rPr>
          <w:t>CWG-FHR 9/8</w:t>
        </w:r>
      </w:hyperlink>
      <w:bookmarkEnd w:id="123"/>
      <w:r>
        <w:rPr>
          <w:rFonts w:hint="eastAsia"/>
          <w:lang w:eastAsia="zh-CN"/>
        </w:rPr>
        <w:t>号文件</w:t>
      </w:r>
      <w:r>
        <w:rPr>
          <w:lang w:eastAsia="zh-CN"/>
        </w:rPr>
        <w:t>）</w:t>
      </w:r>
    </w:p>
    <w:p w:rsidR="00DE6FAD" w:rsidRPr="009C7DE9" w:rsidRDefault="00DE6FAD" w:rsidP="00626856">
      <w:pPr>
        <w:rPr>
          <w:lang w:val="en-AU" w:eastAsia="zh-CN"/>
        </w:rPr>
      </w:pPr>
      <w:r w:rsidRPr="000818B0">
        <w:rPr>
          <w:lang w:val="en-AU" w:eastAsia="zh-CN"/>
        </w:rPr>
        <w:t>7.14</w:t>
      </w:r>
      <w:r w:rsidRPr="000818B0">
        <w:rPr>
          <w:lang w:val="en-AU" w:eastAsia="zh-CN"/>
        </w:rPr>
        <w:tab/>
      </w:r>
      <w:bookmarkStart w:id="124" w:name="lt_pId293"/>
      <w:r>
        <w:rPr>
          <w:rFonts w:hint="eastAsia"/>
          <w:lang w:val="en-AU" w:eastAsia="zh-CN"/>
        </w:rPr>
        <w:t>巴西代表介绍了该文件。</w:t>
      </w:r>
      <w:bookmarkStart w:id="125" w:name="lt_pId294"/>
      <w:bookmarkEnd w:id="124"/>
      <w:r w:rsidRPr="000818B0">
        <w:rPr>
          <w:lang w:val="en-AU" w:eastAsia="zh-CN"/>
        </w:rPr>
        <w:t>PP-18</w:t>
      </w:r>
      <w:r>
        <w:rPr>
          <w:rFonts w:hint="eastAsia"/>
          <w:lang w:val="en-AU" w:eastAsia="zh-CN"/>
        </w:rPr>
        <w:t>重申，持续完善国际电联的笔译程序，包括利用创新技术和采用备选笔译程序十分重要。巴西代表在谈到第</w:t>
      </w:r>
      <w:r>
        <w:rPr>
          <w:rFonts w:hint="eastAsia"/>
          <w:lang w:val="en-AU" w:eastAsia="zh-CN"/>
        </w:rPr>
        <w:t>5</w:t>
      </w:r>
      <w:r>
        <w:rPr>
          <w:rFonts w:hint="eastAsia"/>
          <w:lang w:val="en-AU" w:eastAsia="zh-CN"/>
        </w:rPr>
        <w:t>号决定</w:t>
      </w:r>
      <w:r>
        <w:rPr>
          <w:rFonts w:cs="Calibri" w:hint="eastAsia"/>
          <w:lang w:val="en-AU" w:eastAsia="zh-CN"/>
        </w:rPr>
        <w:t>（</w:t>
      </w:r>
      <w:r>
        <w:rPr>
          <w:rFonts w:hint="eastAsia"/>
          <w:lang w:val="en-AU" w:eastAsia="zh-CN"/>
        </w:rPr>
        <w:t>2018</w:t>
      </w:r>
      <w:r>
        <w:rPr>
          <w:rFonts w:hint="eastAsia"/>
          <w:lang w:val="en-AU" w:eastAsia="zh-CN"/>
        </w:rPr>
        <w:t>年，迪拜，修订版）附件</w:t>
      </w:r>
      <w:r>
        <w:rPr>
          <w:rFonts w:hint="eastAsia"/>
          <w:lang w:val="en-AU" w:eastAsia="zh-CN"/>
        </w:rPr>
        <w:t>2</w:t>
      </w:r>
      <w:r>
        <w:rPr>
          <w:rFonts w:hint="eastAsia"/>
          <w:lang w:val="en-AU" w:eastAsia="zh-CN"/>
        </w:rPr>
        <w:t>时还强调，在考虑到笔译成本和质量的情况下优化国际电联的笔译服务非常重要。</w:t>
      </w:r>
      <w:bookmarkEnd w:id="125"/>
    </w:p>
    <w:p w:rsidR="00DE6FAD" w:rsidRPr="00626856" w:rsidRDefault="00DE6FAD" w:rsidP="00626856">
      <w:pPr>
        <w:rPr>
          <w:lang w:eastAsia="zh-CN"/>
        </w:rPr>
      </w:pPr>
      <w:r w:rsidRPr="00626856">
        <w:rPr>
          <w:lang w:eastAsia="zh-CN"/>
        </w:rPr>
        <w:t>7.15</w:t>
      </w:r>
      <w:r w:rsidRPr="00626856">
        <w:rPr>
          <w:lang w:eastAsia="zh-CN"/>
        </w:rPr>
        <w:tab/>
      </w:r>
      <w:bookmarkStart w:id="126" w:name="lt_pId297"/>
      <w:r w:rsidRPr="00626856">
        <w:rPr>
          <w:rFonts w:hint="eastAsia"/>
          <w:lang w:eastAsia="zh-CN"/>
        </w:rPr>
        <w:t>此外，第</w:t>
      </w:r>
      <w:r w:rsidRPr="00626856">
        <w:rPr>
          <w:lang w:eastAsia="zh-CN"/>
        </w:rPr>
        <w:t>154</w:t>
      </w:r>
      <w:r w:rsidRPr="00626856">
        <w:rPr>
          <w:rFonts w:hint="eastAsia"/>
          <w:lang w:eastAsia="zh-CN"/>
        </w:rPr>
        <w:t>号决议（</w:t>
      </w:r>
      <w:r w:rsidRPr="00626856">
        <w:rPr>
          <w:rFonts w:hint="eastAsia"/>
          <w:lang w:eastAsia="zh-CN"/>
        </w:rPr>
        <w:t>2018</w:t>
      </w:r>
      <w:r w:rsidRPr="00626856">
        <w:rPr>
          <w:rFonts w:hint="eastAsia"/>
          <w:lang w:eastAsia="zh-CN"/>
        </w:rPr>
        <w:t>年，迪拜，修订版</w:t>
      </w:r>
      <w:r w:rsidR="00434954" w:rsidRPr="00626856">
        <w:rPr>
          <w:rFonts w:hint="eastAsia"/>
          <w:lang w:eastAsia="zh-CN"/>
        </w:rPr>
        <w:t>）</w:t>
      </w:r>
      <w:r w:rsidRPr="00626856">
        <w:rPr>
          <w:rFonts w:hint="eastAsia"/>
          <w:lang w:eastAsia="zh-CN"/>
        </w:rPr>
        <w:t xml:space="preserve"> </w:t>
      </w:r>
      <w:r w:rsidRPr="00626856">
        <w:rPr>
          <w:lang w:eastAsia="zh-CN"/>
        </w:rPr>
        <w:t xml:space="preserve">– </w:t>
      </w:r>
      <w:r w:rsidRPr="00626856">
        <w:rPr>
          <w:rFonts w:hint="eastAsia"/>
          <w:lang w:eastAsia="zh-CN"/>
        </w:rPr>
        <w:t>在同等地位上使用国际电联的六种正式语文</w:t>
      </w:r>
      <w:r w:rsidRPr="00626856">
        <w:rPr>
          <w:rFonts w:hint="eastAsia"/>
          <w:lang w:eastAsia="zh-CN"/>
        </w:rPr>
        <w:t xml:space="preserve"> </w:t>
      </w:r>
      <w:r w:rsidRPr="00626856">
        <w:rPr>
          <w:lang w:eastAsia="zh-CN"/>
        </w:rPr>
        <w:t xml:space="preserve">– </w:t>
      </w:r>
      <w:r w:rsidRPr="00626856">
        <w:rPr>
          <w:rFonts w:hint="eastAsia"/>
          <w:lang w:eastAsia="zh-CN"/>
        </w:rPr>
        <w:t>责成理事会“在</w:t>
      </w:r>
      <w:r w:rsidRPr="00626856">
        <w:rPr>
          <w:lang w:eastAsia="zh-CN"/>
        </w:rPr>
        <w:t>考虑到财务影响和充分利用</w:t>
      </w:r>
      <w:r w:rsidRPr="00626856">
        <w:rPr>
          <w:rFonts w:hint="eastAsia"/>
          <w:lang w:eastAsia="zh-CN"/>
        </w:rPr>
        <w:t>创新型</w:t>
      </w:r>
      <w:r w:rsidRPr="00626856">
        <w:rPr>
          <w:lang w:eastAsia="zh-CN"/>
        </w:rPr>
        <w:t>技术</w:t>
      </w:r>
      <w:r w:rsidRPr="00626856">
        <w:rPr>
          <w:rFonts w:hint="eastAsia"/>
          <w:lang w:eastAsia="zh-CN"/>
        </w:rPr>
        <w:t>优势</w:t>
      </w:r>
      <w:r w:rsidRPr="00626856">
        <w:rPr>
          <w:lang w:eastAsia="zh-CN"/>
        </w:rPr>
        <w:t>的情况下，</w:t>
      </w:r>
      <w:r w:rsidRPr="00626856">
        <w:rPr>
          <w:rFonts w:hint="eastAsia"/>
          <w:lang w:eastAsia="zh-CN"/>
        </w:rPr>
        <w:t>继续分析国际电联采用替代翻译程序的</w:t>
      </w:r>
      <w:r w:rsidRPr="00626856">
        <w:rPr>
          <w:lang w:eastAsia="zh-CN"/>
        </w:rPr>
        <w:t>问题</w:t>
      </w:r>
      <w:r w:rsidRPr="00626856">
        <w:rPr>
          <w:rFonts w:hint="eastAsia"/>
          <w:lang w:eastAsia="zh-CN"/>
        </w:rPr>
        <w:t>，以便减少国际电联预算中笔译和打字的支出，同时保持或提高目前的笔译质量以及电信技术术语的正确使用</w:t>
      </w:r>
      <w:r w:rsidRPr="00626856">
        <w:rPr>
          <w:lang w:eastAsia="zh-CN"/>
        </w:rPr>
        <w:t>...</w:t>
      </w:r>
      <w:r w:rsidRPr="00626856">
        <w:rPr>
          <w:rFonts w:hint="eastAsia"/>
          <w:lang w:eastAsia="zh-CN"/>
        </w:rPr>
        <w:t>”</w:t>
      </w:r>
      <w:bookmarkEnd w:id="126"/>
    </w:p>
    <w:p w:rsidR="00DE6FAD" w:rsidRPr="00626856" w:rsidRDefault="00DE6FAD" w:rsidP="00626856">
      <w:pPr>
        <w:rPr>
          <w:lang w:eastAsia="zh-CN"/>
        </w:rPr>
      </w:pPr>
      <w:r w:rsidRPr="00626856">
        <w:rPr>
          <w:lang w:eastAsia="zh-CN"/>
        </w:rPr>
        <w:lastRenderedPageBreak/>
        <w:t>7.16</w:t>
      </w:r>
      <w:r w:rsidRPr="00626856">
        <w:rPr>
          <w:lang w:eastAsia="zh-CN"/>
        </w:rPr>
        <w:tab/>
      </w:r>
      <w:bookmarkStart w:id="127" w:name="lt_pId299"/>
      <w:r w:rsidRPr="00626856">
        <w:rPr>
          <w:rFonts w:hint="eastAsia"/>
          <w:lang w:eastAsia="zh-CN"/>
        </w:rPr>
        <w:t>成员国对第</w:t>
      </w:r>
      <w:r w:rsidRPr="00626856">
        <w:rPr>
          <w:rFonts w:hint="eastAsia"/>
          <w:lang w:eastAsia="zh-CN"/>
        </w:rPr>
        <w:t>154</w:t>
      </w:r>
      <w:r w:rsidRPr="00626856">
        <w:rPr>
          <w:rFonts w:hint="eastAsia"/>
          <w:lang w:eastAsia="zh-CN"/>
        </w:rPr>
        <w:t>号决议（</w:t>
      </w:r>
      <w:r w:rsidRPr="00626856">
        <w:rPr>
          <w:rFonts w:hint="eastAsia"/>
          <w:lang w:eastAsia="zh-CN"/>
        </w:rPr>
        <w:t>2018</w:t>
      </w:r>
      <w:r w:rsidRPr="00626856">
        <w:rPr>
          <w:rFonts w:hint="eastAsia"/>
          <w:lang w:eastAsia="zh-CN"/>
        </w:rPr>
        <w:t>年，迪拜，修订版）提及的备选笔译程序怀有兴趣，并就此提交了文稿，</w:t>
      </w:r>
      <w:r w:rsidR="00B41A9A" w:rsidRPr="00626856">
        <w:rPr>
          <w:rFonts w:hint="eastAsia"/>
          <w:lang w:eastAsia="zh-CN"/>
        </w:rPr>
        <w:t>指出</w:t>
      </w:r>
      <w:r w:rsidRPr="00626856">
        <w:rPr>
          <w:rFonts w:hint="eastAsia"/>
          <w:lang w:eastAsia="zh-CN"/>
        </w:rPr>
        <w:t>现有笔译服务所带来的</w:t>
      </w:r>
      <w:r w:rsidR="00B41A9A" w:rsidRPr="00626856">
        <w:rPr>
          <w:rFonts w:hint="eastAsia"/>
          <w:lang w:eastAsia="zh-CN"/>
        </w:rPr>
        <w:t>成本</w:t>
      </w:r>
      <w:r w:rsidRPr="00626856">
        <w:rPr>
          <w:rFonts w:hint="eastAsia"/>
          <w:lang w:eastAsia="zh-CN"/>
        </w:rPr>
        <w:t>负担（每一页约</w:t>
      </w:r>
      <w:r w:rsidRPr="00626856">
        <w:rPr>
          <w:rFonts w:hint="eastAsia"/>
          <w:lang w:eastAsia="zh-CN"/>
        </w:rPr>
        <w:t>191</w:t>
      </w:r>
      <w:r w:rsidRPr="00626856">
        <w:rPr>
          <w:rFonts w:hint="eastAsia"/>
          <w:lang w:eastAsia="zh-CN"/>
        </w:rPr>
        <w:t>瑞郎）、与笔译相关成本的持续增长等</w:t>
      </w:r>
      <w:r w:rsidR="00B41A9A" w:rsidRPr="00626856">
        <w:rPr>
          <w:rFonts w:hint="eastAsia"/>
          <w:lang w:eastAsia="zh-CN"/>
        </w:rPr>
        <w:t>现象</w:t>
      </w:r>
      <w:r w:rsidRPr="00626856">
        <w:rPr>
          <w:rFonts w:hint="eastAsia"/>
          <w:lang w:eastAsia="zh-CN"/>
        </w:rPr>
        <w:t>，因此他们提议在国际电联笔译服务中更多地采用技术手段（如，人工智能和机器翻译）。</w:t>
      </w:r>
      <w:bookmarkEnd w:id="127"/>
    </w:p>
    <w:p w:rsidR="00DE6FAD" w:rsidRPr="00626856" w:rsidRDefault="00DE6FAD" w:rsidP="00626856">
      <w:pPr>
        <w:rPr>
          <w:lang w:eastAsia="zh-CN"/>
        </w:rPr>
      </w:pPr>
      <w:r w:rsidRPr="00626856">
        <w:rPr>
          <w:lang w:eastAsia="zh-CN"/>
        </w:rPr>
        <w:t>7.17</w:t>
      </w:r>
      <w:r w:rsidRPr="00626856">
        <w:rPr>
          <w:lang w:eastAsia="zh-CN"/>
        </w:rPr>
        <w:tab/>
      </w:r>
      <w:bookmarkStart w:id="128" w:name="lt_pId301"/>
      <w:r w:rsidRPr="00626856">
        <w:rPr>
          <w:rFonts w:hint="eastAsia"/>
          <w:lang w:eastAsia="zh-CN"/>
        </w:rPr>
        <w:t>理事会</w:t>
      </w:r>
      <w:r w:rsidRPr="00626856">
        <w:rPr>
          <w:rFonts w:hint="eastAsia"/>
          <w:lang w:eastAsia="zh-CN"/>
        </w:rPr>
        <w:t>2017</w:t>
      </w:r>
      <w:r w:rsidRPr="00626856">
        <w:rPr>
          <w:rFonts w:hint="eastAsia"/>
          <w:lang w:eastAsia="zh-CN"/>
        </w:rPr>
        <w:t>年会议已要求副秘书长主持一个通过</w:t>
      </w:r>
      <w:r w:rsidRPr="00626856">
        <w:rPr>
          <w:lang w:eastAsia="zh-CN"/>
        </w:rPr>
        <w:t>CWG-Lang</w:t>
      </w:r>
      <w:r w:rsidRPr="00626856">
        <w:rPr>
          <w:lang w:eastAsia="zh-CN"/>
        </w:rPr>
        <w:t>（</w:t>
      </w:r>
      <w:r w:rsidRPr="00626856">
        <w:rPr>
          <w:rFonts w:hint="eastAsia"/>
          <w:lang w:eastAsia="zh-CN"/>
        </w:rPr>
        <w:t>理事会语文工作组）向理事会报告的内部委员会。在</w:t>
      </w:r>
      <w:r w:rsidRPr="00626856">
        <w:rPr>
          <w:lang w:eastAsia="zh-CN"/>
        </w:rPr>
        <w:t>CWG-Lang</w:t>
      </w:r>
      <w:r w:rsidRPr="00626856">
        <w:rPr>
          <w:rFonts w:hint="eastAsia"/>
          <w:lang w:eastAsia="zh-CN"/>
        </w:rPr>
        <w:t>第</w:t>
      </w:r>
      <w:r w:rsidRPr="00626856">
        <w:rPr>
          <w:rFonts w:hint="eastAsia"/>
          <w:lang w:eastAsia="zh-CN"/>
        </w:rPr>
        <w:t>9</w:t>
      </w:r>
      <w:r w:rsidRPr="00626856">
        <w:rPr>
          <w:rFonts w:hint="eastAsia"/>
          <w:lang w:eastAsia="zh-CN"/>
        </w:rPr>
        <w:t>次会议期间，秘书处告知工作组说，已在加大使用外包和机器翻译，以便优化笔译服务，而且自</w:t>
      </w:r>
      <w:r w:rsidRPr="00626856">
        <w:rPr>
          <w:rFonts w:hint="eastAsia"/>
          <w:lang w:eastAsia="zh-CN"/>
        </w:rPr>
        <w:t>2019</w:t>
      </w:r>
      <w:r w:rsidRPr="00626856">
        <w:rPr>
          <w:rFonts w:hint="eastAsia"/>
          <w:lang w:eastAsia="zh-CN"/>
        </w:rPr>
        <w:t>年起，将试行包括远程口译在内的其它</w:t>
      </w:r>
      <w:r w:rsidR="00D16AE6" w:rsidRPr="00626856">
        <w:rPr>
          <w:rFonts w:hint="eastAsia"/>
          <w:lang w:eastAsia="zh-CN"/>
        </w:rPr>
        <w:t>解决</w:t>
      </w:r>
      <w:r w:rsidRPr="00626856">
        <w:rPr>
          <w:rFonts w:hint="eastAsia"/>
          <w:lang w:eastAsia="zh-CN"/>
        </w:rPr>
        <w:t>方案。</w:t>
      </w:r>
      <w:bookmarkEnd w:id="128"/>
    </w:p>
    <w:p w:rsidR="00DE6FAD" w:rsidRPr="00626856" w:rsidRDefault="00DE6FAD" w:rsidP="00626856">
      <w:pPr>
        <w:rPr>
          <w:lang w:eastAsia="zh-CN"/>
        </w:rPr>
      </w:pPr>
      <w:r w:rsidRPr="00626856">
        <w:rPr>
          <w:lang w:eastAsia="zh-CN"/>
        </w:rPr>
        <w:t>7.18</w:t>
      </w:r>
      <w:r w:rsidRPr="00626856">
        <w:rPr>
          <w:lang w:eastAsia="zh-CN"/>
        </w:rPr>
        <w:tab/>
      </w:r>
      <w:bookmarkStart w:id="129" w:name="lt_pId304"/>
      <w:r w:rsidRPr="00626856">
        <w:rPr>
          <w:rFonts w:hint="eastAsia"/>
          <w:lang w:eastAsia="zh-CN"/>
        </w:rPr>
        <w:t>笔译程序的成本节约和更高效率将为国际电联工作的改善和包容性奠定基础，这也是符合第</w:t>
      </w:r>
      <w:r w:rsidRPr="00626856">
        <w:rPr>
          <w:rFonts w:hint="eastAsia"/>
          <w:lang w:eastAsia="zh-CN"/>
        </w:rPr>
        <w:t>154</w:t>
      </w:r>
      <w:r w:rsidRPr="00626856">
        <w:rPr>
          <w:rFonts w:hint="eastAsia"/>
          <w:lang w:eastAsia="zh-CN"/>
        </w:rPr>
        <w:t>号决议（</w:t>
      </w:r>
      <w:r w:rsidRPr="00626856">
        <w:rPr>
          <w:rFonts w:hint="eastAsia"/>
          <w:lang w:eastAsia="zh-CN"/>
        </w:rPr>
        <w:t>2018</w:t>
      </w:r>
      <w:r w:rsidRPr="00626856">
        <w:rPr>
          <w:rFonts w:hint="eastAsia"/>
          <w:lang w:eastAsia="zh-CN"/>
        </w:rPr>
        <w:t>年，迪拜，修订版）所确立的目标的。</w:t>
      </w:r>
      <w:bookmarkEnd w:id="129"/>
    </w:p>
    <w:p w:rsidR="00DE6FAD" w:rsidRPr="00626856" w:rsidRDefault="00DE6FAD" w:rsidP="00626856">
      <w:pPr>
        <w:rPr>
          <w:lang w:eastAsia="zh-CN"/>
        </w:rPr>
      </w:pPr>
      <w:r w:rsidRPr="00626856">
        <w:rPr>
          <w:lang w:eastAsia="zh-CN"/>
        </w:rPr>
        <w:t>7.19</w:t>
      </w:r>
      <w:r w:rsidRPr="00626856">
        <w:rPr>
          <w:lang w:eastAsia="zh-CN"/>
        </w:rPr>
        <w:tab/>
      </w:r>
      <w:bookmarkStart w:id="130" w:name="lt_pId306"/>
      <w:r w:rsidRPr="00626856">
        <w:rPr>
          <w:rFonts w:hint="eastAsia"/>
          <w:lang w:eastAsia="zh-CN"/>
        </w:rPr>
        <w:t>有关方面提议，秘书处向理事会</w:t>
      </w:r>
      <w:r w:rsidRPr="00626856">
        <w:rPr>
          <w:rFonts w:hint="eastAsia"/>
          <w:lang w:eastAsia="zh-CN"/>
        </w:rPr>
        <w:t>2019</w:t>
      </w:r>
      <w:r w:rsidRPr="00626856">
        <w:rPr>
          <w:rFonts w:hint="eastAsia"/>
          <w:lang w:eastAsia="zh-CN"/>
        </w:rPr>
        <w:t>年会议介绍一份详细的全面落实第</w:t>
      </w:r>
      <w:r w:rsidRPr="00626856">
        <w:rPr>
          <w:rFonts w:hint="eastAsia"/>
          <w:lang w:eastAsia="zh-CN"/>
        </w:rPr>
        <w:t>5</w:t>
      </w:r>
      <w:r w:rsidRPr="00626856">
        <w:rPr>
          <w:rFonts w:hint="eastAsia"/>
          <w:lang w:eastAsia="zh-CN"/>
        </w:rPr>
        <w:t>号决定（</w:t>
      </w:r>
      <w:r w:rsidRPr="00626856">
        <w:rPr>
          <w:rFonts w:hint="eastAsia"/>
          <w:lang w:eastAsia="zh-CN"/>
        </w:rPr>
        <w:t>2018</w:t>
      </w:r>
      <w:r w:rsidRPr="00626856">
        <w:rPr>
          <w:rFonts w:hint="eastAsia"/>
          <w:lang w:eastAsia="zh-CN"/>
        </w:rPr>
        <w:t>年，迪拜，修订版）和第</w:t>
      </w:r>
      <w:r w:rsidRPr="00626856">
        <w:rPr>
          <w:rFonts w:hint="eastAsia"/>
          <w:lang w:eastAsia="zh-CN"/>
        </w:rPr>
        <w:t>154</w:t>
      </w:r>
      <w:r w:rsidRPr="00626856">
        <w:rPr>
          <w:rFonts w:hint="eastAsia"/>
          <w:lang w:eastAsia="zh-CN"/>
        </w:rPr>
        <w:t>号决议（</w:t>
      </w:r>
      <w:r w:rsidRPr="00626856">
        <w:rPr>
          <w:rFonts w:hint="eastAsia"/>
          <w:lang w:eastAsia="zh-CN"/>
        </w:rPr>
        <w:t>2018</w:t>
      </w:r>
      <w:r w:rsidRPr="00626856">
        <w:rPr>
          <w:rFonts w:hint="eastAsia"/>
          <w:lang w:eastAsia="zh-CN"/>
        </w:rPr>
        <w:t>年，迪拜，修订版）各项规定的计划，具体涉及备选翻译程序的采用，同时考虑到近四年来成员国建议的各项措施（如，外包、远程口译和机器翻译）。</w:t>
      </w:r>
      <w:bookmarkEnd w:id="130"/>
    </w:p>
    <w:p w:rsidR="00DE6FAD" w:rsidRPr="009C7DE9" w:rsidRDefault="00DE6FAD" w:rsidP="00626856">
      <w:pPr>
        <w:rPr>
          <w:rFonts w:cs="Calibri"/>
          <w:szCs w:val="24"/>
          <w:lang w:val="en-AU" w:eastAsia="zh-CN"/>
        </w:rPr>
      </w:pPr>
      <w:r w:rsidRPr="00626856">
        <w:rPr>
          <w:lang w:eastAsia="zh-CN"/>
        </w:rPr>
        <w:t>7.20</w:t>
      </w:r>
      <w:r w:rsidRPr="00626856">
        <w:rPr>
          <w:lang w:eastAsia="zh-CN"/>
        </w:rPr>
        <w:tab/>
      </w:r>
      <w:bookmarkStart w:id="131" w:name="lt_pId309"/>
      <w:r w:rsidRPr="00626856">
        <w:rPr>
          <w:rFonts w:hint="eastAsia"/>
          <w:lang w:eastAsia="zh-CN"/>
        </w:rPr>
        <w:t>主席做出结论说，该文件已在最近举行的</w:t>
      </w:r>
      <w:r w:rsidRPr="00626856">
        <w:rPr>
          <w:lang w:eastAsia="zh-CN"/>
        </w:rPr>
        <w:t>CWG-Lang</w:t>
      </w:r>
      <w:r w:rsidRPr="00626856">
        <w:rPr>
          <w:rFonts w:hint="eastAsia"/>
          <w:lang w:eastAsia="zh-CN"/>
        </w:rPr>
        <w:t>会议上得到介绍，而且副秘书长已经告知代表，秘书处将准备一份提交理事会</w:t>
      </w:r>
      <w:r w:rsidRPr="00626856">
        <w:rPr>
          <w:rFonts w:hint="eastAsia"/>
          <w:lang w:eastAsia="zh-CN"/>
        </w:rPr>
        <w:t>2019</w:t>
      </w:r>
      <w:r w:rsidRPr="00626856">
        <w:rPr>
          <w:rFonts w:hint="eastAsia"/>
          <w:lang w:eastAsia="zh-CN"/>
        </w:rPr>
        <w:t>年会议的具体计划。</w:t>
      </w:r>
      <w:bookmarkEnd w:id="131"/>
    </w:p>
    <w:p w:rsidR="00DE6FAD" w:rsidRDefault="00DE6FAD" w:rsidP="00626856">
      <w:pPr>
        <w:pStyle w:val="Headingb"/>
        <w:rPr>
          <w:rFonts w:eastAsia="Calibri" w:cs="Calibri"/>
          <w:lang w:eastAsia="zh-CN"/>
        </w:rPr>
      </w:pPr>
      <w:r>
        <w:rPr>
          <w:lang w:eastAsia="zh-CN"/>
        </w:rPr>
        <w:tab/>
      </w:r>
      <w:bookmarkStart w:id="132" w:name="lt_pId310"/>
      <w:r>
        <w:rPr>
          <w:rFonts w:hint="eastAsia"/>
          <w:lang w:eastAsia="zh-CN"/>
        </w:rPr>
        <w:t>巴西</w:t>
      </w:r>
      <w:r>
        <w:rPr>
          <w:lang w:eastAsia="zh-CN"/>
        </w:rPr>
        <w:t>（联邦共和国）文稿</w:t>
      </w:r>
      <w:r>
        <w:rPr>
          <w:lang w:eastAsia="zh-CN"/>
        </w:rPr>
        <w:t xml:space="preserve"> – </w:t>
      </w:r>
      <w:r>
        <w:rPr>
          <w:rFonts w:hint="eastAsia"/>
          <w:lang w:eastAsia="zh-CN"/>
        </w:rPr>
        <w:t>国际</w:t>
      </w:r>
      <w:r>
        <w:rPr>
          <w:lang w:eastAsia="zh-CN"/>
        </w:rPr>
        <w:t>电联</w:t>
      </w:r>
      <w:r>
        <w:rPr>
          <w:rFonts w:hint="eastAsia"/>
          <w:lang w:eastAsia="zh-CN"/>
        </w:rPr>
        <w:t>2020-</w:t>
      </w:r>
      <w:r>
        <w:rPr>
          <w:lang w:eastAsia="zh-CN"/>
        </w:rPr>
        <w:t>2021</w:t>
      </w:r>
      <w:r>
        <w:rPr>
          <w:rFonts w:hint="eastAsia"/>
          <w:lang w:eastAsia="zh-CN"/>
        </w:rPr>
        <w:t>双</w:t>
      </w:r>
      <w:r>
        <w:rPr>
          <w:lang w:eastAsia="zh-CN"/>
        </w:rPr>
        <w:t>年度预算中应考虑的问题（</w:t>
      </w:r>
      <w:hyperlink r:id="rId19" w:history="1">
        <w:r>
          <w:rPr>
            <w:rStyle w:val="Hyperlink"/>
            <w:bCs/>
            <w:szCs w:val="24"/>
            <w:lang w:eastAsia="zh-CN"/>
          </w:rPr>
          <w:t>CWG-FHR 9/9</w:t>
        </w:r>
      </w:hyperlink>
      <w:bookmarkEnd w:id="132"/>
      <w:r>
        <w:rPr>
          <w:rFonts w:hint="eastAsia"/>
          <w:lang w:eastAsia="zh-CN"/>
        </w:rPr>
        <w:t>号</w:t>
      </w:r>
      <w:r>
        <w:rPr>
          <w:lang w:eastAsia="zh-CN"/>
        </w:rPr>
        <w:t>文件</w:t>
      </w:r>
      <w:r>
        <w:rPr>
          <w:rFonts w:hint="eastAsia"/>
          <w:lang w:eastAsia="zh-CN"/>
        </w:rPr>
        <w:t>）</w:t>
      </w:r>
    </w:p>
    <w:p w:rsidR="00DE6FAD" w:rsidRPr="00626856" w:rsidRDefault="00DE6FAD" w:rsidP="00626856">
      <w:pPr>
        <w:rPr>
          <w:lang w:eastAsia="zh-CN"/>
        </w:rPr>
      </w:pPr>
      <w:r w:rsidRPr="00626856">
        <w:rPr>
          <w:lang w:eastAsia="zh-CN"/>
        </w:rPr>
        <w:t>7.21</w:t>
      </w:r>
      <w:r w:rsidRPr="00626856">
        <w:rPr>
          <w:lang w:eastAsia="zh-CN"/>
        </w:rPr>
        <w:tab/>
      </w:r>
      <w:bookmarkStart w:id="133" w:name="lt_pId312"/>
      <w:r w:rsidRPr="00626856">
        <w:rPr>
          <w:rFonts w:hint="eastAsia"/>
          <w:lang w:eastAsia="zh-CN"/>
        </w:rPr>
        <w:t>巴西</w:t>
      </w:r>
      <w:r w:rsidRPr="00626856">
        <w:rPr>
          <w:lang w:eastAsia="zh-CN"/>
        </w:rPr>
        <w:t>代表介绍了</w:t>
      </w:r>
      <w:r w:rsidRPr="00626856">
        <w:rPr>
          <w:lang w:eastAsia="zh-CN"/>
        </w:rPr>
        <w:t>CWG-FHR 9/9</w:t>
      </w:r>
      <w:bookmarkEnd w:id="133"/>
      <w:r w:rsidRPr="00626856">
        <w:rPr>
          <w:rFonts w:hint="eastAsia"/>
          <w:lang w:eastAsia="zh-CN"/>
        </w:rPr>
        <w:t>号</w:t>
      </w:r>
      <w:r w:rsidRPr="00626856">
        <w:rPr>
          <w:lang w:eastAsia="zh-CN"/>
        </w:rPr>
        <w:t>文件。</w:t>
      </w:r>
    </w:p>
    <w:p w:rsidR="00DE6FAD" w:rsidRPr="00626856" w:rsidRDefault="00DE6FAD" w:rsidP="00626856">
      <w:pPr>
        <w:rPr>
          <w:lang w:eastAsia="zh-CN"/>
        </w:rPr>
      </w:pPr>
      <w:r w:rsidRPr="00626856">
        <w:rPr>
          <w:lang w:eastAsia="zh-CN"/>
        </w:rPr>
        <w:t>7.22</w:t>
      </w:r>
      <w:r w:rsidRPr="00626856">
        <w:rPr>
          <w:lang w:eastAsia="zh-CN"/>
        </w:rPr>
        <w:tab/>
      </w:r>
      <w:bookmarkStart w:id="134" w:name="lt_pId314"/>
      <w:r w:rsidRPr="00626856">
        <w:rPr>
          <w:rFonts w:hint="eastAsia"/>
          <w:lang w:eastAsia="zh-CN"/>
        </w:rPr>
        <w:t>按照</w:t>
      </w:r>
      <w:r w:rsidRPr="00626856">
        <w:rPr>
          <w:lang w:eastAsia="zh-CN"/>
        </w:rPr>
        <w:t>第</w:t>
      </w:r>
      <w:r w:rsidRPr="00626856">
        <w:rPr>
          <w:rFonts w:hint="eastAsia"/>
          <w:lang w:eastAsia="zh-CN"/>
        </w:rPr>
        <w:t>2</w:t>
      </w:r>
      <w:r w:rsidRPr="00626856">
        <w:rPr>
          <w:rFonts w:hint="eastAsia"/>
          <w:lang w:eastAsia="zh-CN"/>
        </w:rPr>
        <w:t>号</w:t>
      </w:r>
      <w:r w:rsidRPr="00626856">
        <w:rPr>
          <w:lang w:eastAsia="zh-CN"/>
        </w:rPr>
        <w:t>决议（</w:t>
      </w:r>
      <w:r w:rsidRPr="00626856">
        <w:rPr>
          <w:rFonts w:hint="eastAsia"/>
          <w:lang w:eastAsia="zh-CN"/>
        </w:rPr>
        <w:t>2018</w:t>
      </w:r>
      <w:r w:rsidRPr="00626856">
        <w:rPr>
          <w:rFonts w:hint="eastAsia"/>
          <w:lang w:eastAsia="zh-CN"/>
        </w:rPr>
        <w:t>年</w:t>
      </w:r>
      <w:r w:rsidRPr="00626856">
        <w:rPr>
          <w:lang w:eastAsia="zh-CN"/>
        </w:rPr>
        <w:t>，迪拜，修订版）和第</w:t>
      </w:r>
      <w:r w:rsidRPr="00626856">
        <w:rPr>
          <w:rFonts w:hint="eastAsia"/>
          <w:lang w:eastAsia="zh-CN"/>
        </w:rPr>
        <w:t>77</w:t>
      </w:r>
      <w:r w:rsidRPr="00626856">
        <w:rPr>
          <w:rFonts w:hint="eastAsia"/>
          <w:lang w:eastAsia="zh-CN"/>
        </w:rPr>
        <w:t>号</w:t>
      </w:r>
      <w:r w:rsidRPr="00626856">
        <w:rPr>
          <w:lang w:eastAsia="zh-CN"/>
        </w:rPr>
        <w:t>决议（</w:t>
      </w:r>
      <w:r w:rsidRPr="00626856">
        <w:rPr>
          <w:rFonts w:hint="eastAsia"/>
          <w:lang w:eastAsia="zh-CN"/>
        </w:rPr>
        <w:t>2018</w:t>
      </w:r>
      <w:r w:rsidRPr="00626856">
        <w:rPr>
          <w:rFonts w:hint="eastAsia"/>
          <w:lang w:eastAsia="zh-CN"/>
        </w:rPr>
        <w:t>年</w:t>
      </w:r>
      <w:r w:rsidRPr="00626856">
        <w:rPr>
          <w:lang w:eastAsia="zh-CN"/>
        </w:rPr>
        <w:t>，迪拜，修订版），</w:t>
      </w:r>
      <w:r w:rsidRPr="00626856">
        <w:rPr>
          <w:rFonts w:hint="eastAsia"/>
          <w:lang w:eastAsia="zh-CN"/>
        </w:rPr>
        <w:t>2020</w:t>
      </w:r>
      <w:r w:rsidRPr="00626856">
        <w:rPr>
          <w:lang w:eastAsia="zh-CN"/>
        </w:rPr>
        <w:t>-2021</w:t>
      </w:r>
      <w:r w:rsidRPr="00626856">
        <w:rPr>
          <w:rFonts w:hint="eastAsia"/>
          <w:lang w:eastAsia="zh-CN"/>
        </w:rPr>
        <w:t>年预算</w:t>
      </w:r>
      <w:r w:rsidRPr="00626856">
        <w:rPr>
          <w:lang w:eastAsia="zh-CN"/>
        </w:rPr>
        <w:t>草案（</w:t>
      </w:r>
      <w:r w:rsidRPr="00626856">
        <w:rPr>
          <w:lang w:eastAsia="zh-CN"/>
        </w:rPr>
        <w:t>CWG-FHR 9/2</w:t>
      </w:r>
      <w:r w:rsidRPr="00626856">
        <w:rPr>
          <w:rFonts w:hint="eastAsia"/>
          <w:lang w:eastAsia="zh-CN"/>
        </w:rPr>
        <w:t>号</w:t>
      </w:r>
      <w:r w:rsidRPr="00626856">
        <w:rPr>
          <w:lang w:eastAsia="zh-CN"/>
        </w:rPr>
        <w:t>文件</w:t>
      </w:r>
      <w:r w:rsidRPr="00626856">
        <w:rPr>
          <w:rFonts w:hint="eastAsia"/>
          <w:lang w:eastAsia="zh-CN"/>
        </w:rPr>
        <w:t>）</w:t>
      </w:r>
      <w:r w:rsidRPr="00626856">
        <w:rPr>
          <w:lang w:eastAsia="zh-CN"/>
        </w:rPr>
        <w:t>为世界电信政策论坛（</w:t>
      </w:r>
      <w:r w:rsidRPr="00626856">
        <w:rPr>
          <w:rFonts w:hint="eastAsia"/>
          <w:lang w:eastAsia="zh-CN"/>
        </w:rPr>
        <w:t>WTPF-21</w:t>
      </w:r>
      <w:r w:rsidRPr="00626856">
        <w:rPr>
          <w:rFonts w:hint="eastAsia"/>
          <w:lang w:eastAsia="zh-CN"/>
        </w:rPr>
        <w:t>）拨款</w:t>
      </w:r>
      <w:r w:rsidRPr="00626856">
        <w:rPr>
          <w:lang w:eastAsia="zh-CN"/>
        </w:rPr>
        <w:t>307</w:t>
      </w:r>
      <w:proofErr w:type="gramStart"/>
      <w:r w:rsidRPr="00626856">
        <w:rPr>
          <w:lang w:eastAsia="zh-CN"/>
        </w:rPr>
        <w:t>,000</w:t>
      </w:r>
      <w:r w:rsidRPr="00626856">
        <w:rPr>
          <w:rFonts w:hint="eastAsia"/>
          <w:lang w:eastAsia="zh-CN"/>
        </w:rPr>
        <w:t>瑞郎</w:t>
      </w:r>
      <w:proofErr w:type="gramEnd"/>
      <w:r w:rsidRPr="00626856">
        <w:rPr>
          <w:lang w:eastAsia="zh-CN"/>
        </w:rPr>
        <w:t>。</w:t>
      </w:r>
      <w:r w:rsidRPr="00626856">
        <w:rPr>
          <w:rFonts w:hint="eastAsia"/>
          <w:lang w:eastAsia="zh-CN"/>
        </w:rPr>
        <w:t>该</w:t>
      </w:r>
      <w:r w:rsidRPr="00626856">
        <w:rPr>
          <w:lang w:eastAsia="zh-CN"/>
        </w:rPr>
        <w:t>双年度预算中还包含</w:t>
      </w:r>
      <w:r w:rsidRPr="00626856">
        <w:rPr>
          <w:rFonts w:hint="eastAsia"/>
          <w:lang w:eastAsia="zh-CN"/>
        </w:rPr>
        <w:t>2020</w:t>
      </w:r>
      <w:r w:rsidRPr="00626856">
        <w:rPr>
          <w:lang w:eastAsia="zh-CN"/>
        </w:rPr>
        <w:t>-2021</w:t>
      </w:r>
      <w:r w:rsidRPr="00626856">
        <w:rPr>
          <w:rFonts w:hint="eastAsia"/>
          <w:lang w:eastAsia="zh-CN"/>
        </w:rPr>
        <w:t>年</w:t>
      </w:r>
      <w:r w:rsidRPr="00626856">
        <w:rPr>
          <w:lang w:eastAsia="zh-CN"/>
        </w:rPr>
        <w:t>两次理事会年度会议以及理事会工作组</w:t>
      </w:r>
      <w:r w:rsidRPr="00626856">
        <w:rPr>
          <w:rFonts w:hint="eastAsia"/>
          <w:lang w:eastAsia="zh-CN"/>
        </w:rPr>
        <w:t>（</w:t>
      </w:r>
      <w:bookmarkStart w:id="135" w:name="lt_pId315"/>
      <w:bookmarkEnd w:id="134"/>
      <w:r w:rsidRPr="00626856">
        <w:rPr>
          <w:lang w:eastAsia="zh-CN"/>
        </w:rPr>
        <w:t>CWG</w:t>
      </w:r>
      <w:r w:rsidRPr="00626856">
        <w:rPr>
          <w:rFonts w:hint="eastAsia"/>
          <w:lang w:eastAsia="zh-CN"/>
        </w:rPr>
        <w:t>）</w:t>
      </w:r>
      <w:r w:rsidRPr="00626856">
        <w:rPr>
          <w:lang w:eastAsia="zh-CN"/>
        </w:rPr>
        <w:t>会议的</w:t>
      </w:r>
      <w:r w:rsidRPr="00626856">
        <w:rPr>
          <w:lang w:eastAsia="zh-CN"/>
        </w:rPr>
        <w:t>1,436,000</w:t>
      </w:r>
      <w:r w:rsidRPr="00626856">
        <w:rPr>
          <w:rFonts w:hint="eastAsia"/>
          <w:lang w:eastAsia="zh-CN"/>
        </w:rPr>
        <w:t>瑞郎</w:t>
      </w:r>
      <w:r w:rsidRPr="00626856">
        <w:rPr>
          <w:lang w:eastAsia="zh-CN"/>
        </w:rPr>
        <w:t>拨款以及一些专家组（</w:t>
      </w:r>
      <w:r w:rsidRPr="00626856">
        <w:rPr>
          <w:rFonts w:hint="eastAsia"/>
          <w:lang w:eastAsia="zh-CN"/>
        </w:rPr>
        <w:t>EG</w:t>
      </w:r>
      <w:r w:rsidRPr="00626856">
        <w:rPr>
          <w:rFonts w:hint="eastAsia"/>
          <w:lang w:eastAsia="zh-CN"/>
        </w:rPr>
        <w:t>）</w:t>
      </w:r>
      <w:r w:rsidRPr="00626856">
        <w:rPr>
          <w:lang w:eastAsia="zh-CN"/>
        </w:rPr>
        <w:t>会议拨款。</w:t>
      </w:r>
      <w:r w:rsidRPr="00626856">
        <w:rPr>
          <w:rFonts w:hint="eastAsia"/>
          <w:lang w:eastAsia="zh-CN"/>
        </w:rPr>
        <w:t>2020</w:t>
      </w:r>
      <w:r w:rsidRPr="00626856">
        <w:rPr>
          <w:lang w:eastAsia="zh-CN"/>
        </w:rPr>
        <w:t>-2021</w:t>
      </w:r>
      <w:r w:rsidRPr="00626856">
        <w:rPr>
          <w:rFonts w:hint="eastAsia"/>
          <w:lang w:eastAsia="zh-CN"/>
        </w:rPr>
        <w:t>年预算</w:t>
      </w:r>
      <w:r w:rsidRPr="00626856">
        <w:rPr>
          <w:lang w:eastAsia="zh-CN"/>
        </w:rPr>
        <w:t>中还将包含为</w:t>
      </w:r>
      <w:r w:rsidRPr="00626856">
        <w:rPr>
          <w:rFonts w:hint="eastAsia"/>
          <w:lang w:eastAsia="zh-CN"/>
        </w:rPr>
        <w:t>EG</w:t>
      </w:r>
      <w:r w:rsidRPr="00626856">
        <w:rPr>
          <w:rFonts w:hint="eastAsia"/>
          <w:lang w:eastAsia="zh-CN"/>
        </w:rPr>
        <w:t>划拨</w:t>
      </w:r>
      <w:r w:rsidRPr="00626856">
        <w:rPr>
          <w:lang w:eastAsia="zh-CN"/>
        </w:rPr>
        <w:t>的更多预算</w:t>
      </w:r>
      <w:bookmarkEnd w:id="135"/>
      <w:r w:rsidRPr="00626856">
        <w:rPr>
          <w:rFonts w:hint="eastAsia"/>
          <w:lang w:eastAsia="zh-CN"/>
        </w:rPr>
        <w:t>。</w:t>
      </w:r>
    </w:p>
    <w:p w:rsidR="00DE6FAD" w:rsidRPr="00626856" w:rsidRDefault="00DE6FAD" w:rsidP="00626856">
      <w:pPr>
        <w:rPr>
          <w:lang w:eastAsia="zh-CN"/>
        </w:rPr>
      </w:pPr>
      <w:r w:rsidRPr="00626856">
        <w:rPr>
          <w:lang w:eastAsia="zh-CN"/>
        </w:rPr>
        <w:t>7.23</w:t>
      </w:r>
      <w:r w:rsidRPr="00626856">
        <w:rPr>
          <w:lang w:eastAsia="zh-CN"/>
        </w:rPr>
        <w:tab/>
      </w:r>
      <w:bookmarkStart w:id="136" w:name="lt_pId318"/>
      <w:r w:rsidRPr="00626856">
        <w:rPr>
          <w:rFonts w:hint="eastAsia"/>
          <w:lang w:eastAsia="zh-CN"/>
        </w:rPr>
        <w:t>现</w:t>
      </w:r>
      <w:r w:rsidRPr="00626856">
        <w:rPr>
          <w:lang w:eastAsia="zh-CN"/>
        </w:rPr>
        <w:t>要求</w:t>
      </w:r>
      <w:r w:rsidRPr="00626856">
        <w:rPr>
          <w:rFonts w:hint="eastAsia"/>
          <w:lang w:eastAsia="zh-CN"/>
        </w:rPr>
        <w:t>理事会</w:t>
      </w:r>
      <w:r w:rsidRPr="00626856">
        <w:rPr>
          <w:rFonts w:hint="eastAsia"/>
          <w:lang w:eastAsia="zh-CN"/>
        </w:rPr>
        <w:t>2019</w:t>
      </w:r>
      <w:r w:rsidRPr="00626856">
        <w:rPr>
          <w:rFonts w:hint="eastAsia"/>
          <w:lang w:eastAsia="zh-CN"/>
        </w:rPr>
        <w:t>年</w:t>
      </w:r>
      <w:r w:rsidRPr="00626856">
        <w:rPr>
          <w:lang w:eastAsia="zh-CN"/>
        </w:rPr>
        <w:t>会议批准</w:t>
      </w:r>
      <w:r w:rsidRPr="00626856">
        <w:rPr>
          <w:lang w:eastAsia="zh-CN"/>
        </w:rPr>
        <w:t>WTFP-21</w:t>
      </w:r>
      <w:r w:rsidRPr="00626856">
        <w:rPr>
          <w:rFonts w:hint="eastAsia"/>
          <w:lang w:eastAsia="zh-CN"/>
        </w:rPr>
        <w:t>的</w:t>
      </w:r>
      <w:r w:rsidRPr="00626856">
        <w:rPr>
          <w:lang w:eastAsia="zh-CN"/>
        </w:rPr>
        <w:t>议程和主题，所以巴西提议成立</w:t>
      </w:r>
      <w:r w:rsidRPr="00626856">
        <w:rPr>
          <w:lang w:eastAsia="zh-CN"/>
        </w:rPr>
        <w:t>WTPF</w:t>
      </w:r>
      <w:r w:rsidRPr="00626856">
        <w:rPr>
          <w:rFonts w:hint="eastAsia"/>
          <w:lang w:eastAsia="zh-CN"/>
        </w:rPr>
        <w:t>专家组</w:t>
      </w:r>
      <w:r w:rsidRPr="00626856">
        <w:rPr>
          <w:lang w:eastAsia="zh-CN"/>
        </w:rPr>
        <w:t>（</w:t>
      </w:r>
      <w:r w:rsidRPr="00626856">
        <w:rPr>
          <w:lang w:eastAsia="zh-CN"/>
        </w:rPr>
        <w:t>EG-WTPF</w:t>
      </w:r>
      <w:r w:rsidRPr="00626856">
        <w:rPr>
          <w:rFonts w:hint="eastAsia"/>
          <w:lang w:eastAsia="zh-CN"/>
        </w:rPr>
        <w:t>）</w:t>
      </w:r>
      <w:r w:rsidRPr="00626856">
        <w:rPr>
          <w:lang w:eastAsia="zh-CN"/>
        </w:rPr>
        <w:t>，并为</w:t>
      </w:r>
      <w:r w:rsidRPr="00626856">
        <w:rPr>
          <w:rFonts w:hint="eastAsia"/>
          <w:lang w:eastAsia="zh-CN"/>
        </w:rPr>
        <w:t>EG</w:t>
      </w:r>
      <w:r w:rsidRPr="00626856">
        <w:rPr>
          <w:lang w:eastAsia="zh-CN"/>
        </w:rPr>
        <w:t>-WTPF</w:t>
      </w:r>
      <w:r w:rsidRPr="00626856">
        <w:rPr>
          <w:rFonts w:hint="eastAsia"/>
          <w:lang w:eastAsia="zh-CN"/>
        </w:rPr>
        <w:t>会议</w:t>
      </w:r>
      <w:r w:rsidRPr="00626856">
        <w:rPr>
          <w:lang w:eastAsia="zh-CN"/>
        </w:rPr>
        <w:t>划拨更多预算。</w:t>
      </w:r>
      <w:r w:rsidRPr="00626856">
        <w:rPr>
          <w:rFonts w:hint="eastAsia"/>
          <w:lang w:eastAsia="zh-CN"/>
        </w:rPr>
        <w:t>该专家组</w:t>
      </w:r>
      <w:r w:rsidRPr="00626856">
        <w:rPr>
          <w:lang w:eastAsia="zh-CN"/>
        </w:rPr>
        <w:t>将讨论的问题</w:t>
      </w:r>
      <w:r w:rsidRPr="00626856">
        <w:rPr>
          <w:rFonts w:hint="eastAsia"/>
          <w:lang w:eastAsia="zh-CN"/>
        </w:rPr>
        <w:t>包括</w:t>
      </w:r>
      <w:r w:rsidRPr="00626856">
        <w:rPr>
          <w:lang w:eastAsia="zh-CN"/>
        </w:rPr>
        <w:t>远程参会、口译以及文件笔译所用语文和</w:t>
      </w:r>
      <w:r w:rsidRPr="00626856">
        <w:rPr>
          <w:rFonts w:hint="eastAsia"/>
          <w:lang w:eastAsia="zh-CN"/>
        </w:rPr>
        <w:t>EG-WTPF</w:t>
      </w:r>
      <w:r w:rsidRPr="00626856">
        <w:rPr>
          <w:rFonts w:hint="eastAsia"/>
          <w:lang w:eastAsia="zh-CN"/>
        </w:rPr>
        <w:t>会议</w:t>
      </w:r>
      <w:r w:rsidRPr="00626856">
        <w:rPr>
          <w:lang w:eastAsia="zh-CN"/>
        </w:rPr>
        <w:t>次数及每次会议的会期。</w:t>
      </w:r>
      <w:bookmarkEnd w:id="136"/>
    </w:p>
    <w:p w:rsidR="00DE6FAD" w:rsidRPr="00626856" w:rsidRDefault="00DE6FAD" w:rsidP="00626856">
      <w:pPr>
        <w:rPr>
          <w:lang w:eastAsia="zh-CN"/>
        </w:rPr>
      </w:pPr>
      <w:r w:rsidRPr="00626856">
        <w:rPr>
          <w:lang w:eastAsia="zh-CN"/>
        </w:rPr>
        <w:t>7.24</w:t>
      </w:r>
      <w:r w:rsidRPr="00626856">
        <w:rPr>
          <w:lang w:eastAsia="zh-CN"/>
        </w:rPr>
        <w:tab/>
      </w:r>
      <w:bookmarkStart w:id="137" w:name="lt_pId321"/>
      <w:r w:rsidRPr="00626856">
        <w:rPr>
          <w:rFonts w:hint="eastAsia"/>
          <w:lang w:eastAsia="zh-CN"/>
        </w:rPr>
        <w:t>此外</w:t>
      </w:r>
      <w:r w:rsidRPr="00626856">
        <w:rPr>
          <w:lang w:eastAsia="zh-CN"/>
        </w:rPr>
        <w:t>，</w:t>
      </w:r>
      <w:r w:rsidR="008444AD" w:rsidRPr="00626856">
        <w:rPr>
          <w:rFonts w:hint="eastAsia"/>
          <w:lang w:eastAsia="zh-CN"/>
        </w:rPr>
        <w:t>修正</w:t>
      </w:r>
      <w:r w:rsidRPr="00626856">
        <w:rPr>
          <w:lang w:eastAsia="zh-CN"/>
        </w:rPr>
        <w:t>第</w:t>
      </w:r>
      <w:r w:rsidRPr="00626856">
        <w:rPr>
          <w:rFonts w:hint="eastAsia"/>
          <w:lang w:eastAsia="zh-CN"/>
        </w:rPr>
        <w:t>14</w:t>
      </w:r>
      <w:r w:rsidRPr="00626856">
        <w:rPr>
          <w:lang w:eastAsia="zh-CN"/>
        </w:rPr>
        <w:t>6</w:t>
      </w:r>
      <w:r w:rsidRPr="00626856">
        <w:rPr>
          <w:rFonts w:hint="eastAsia"/>
          <w:lang w:eastAsia="zh-CN"/>
        </w:rPr>
        <w:t>号</w:t>
      </w:r>
      <w:r w:rsidRPr="00626856">
        <w:rPr>
          <w:lang w:eastAsia="zh-CN"/>
        </w:rPr>
        <w:t>决议（</w:t>
      </w:r>
      <w:r w:rsidRPr="00626856">
        <w:rPr>
          <w:rFonts w:hint="eastAsia"/>
          <w:lang w:eastAsia="zh-CN"/>
        </w:rPr>
        <w:t>2018</w:t>
      </w:r>
      <w:r w:rsidRPr="00626856">
        <w:rPr>
          <w:rFonts w:hint="eastAsia"/>
          <w:lang w:eastAsia="zh-CN"/>
        </w:rPr>
        <w:t>年</w:t>
      </w:r>
      <w:r w:rsidRPr="00626856">
        <w:rPr>
          <w:lang w:eastAsia="zh-CN"/>
        </w:rPr>
        <w:t>，迪拜，修订版）之后，现要求理事会</w:t>
      </w:r>
      <w:r w:rsidRPr="00626856">
        <w:rPr>
          <w:rFonts w:hint="eastAsia"/>
          <w:lang w:eastAsia="zh-CN"/>
        </w:rPr>
        <w:t>2019</w:t>
      </w:r>
      <w:r w:rsidRPr="00626856">
        <w:rPr>
          <w:rFonts w:hint="eastAsia"/>
          <w:lang w:eastAsia="zh-CN"/>
        </w:rPr>
        <w:t>年</w:t>
      </w:r>
      <w:r w:rsidRPr="00626856">
        <w:rPr>
          <w:lang w:eastAsia="zh-CN"/>
        </w:rPr>
        <w:t>会议确立</w:t>
      </w:r>
      <w:r w:rsidRPr="00626856">
        <w:rPr>
          <w:rFonts w:hint="eastAsia"/>
          <w:lang w:eastAsia="zh-CN"/>
        </w:rPr>
        <w:t>《</w:t>
      </w:r>
      <w:r w:rsidRPr="00626856">
        <w:rPr>
          <w:lang w:eastAsia="zh-CN"/>
        </w:rPr>
        <w:t>国际电信规则》专家组（</w:t>
      </w:r>
      <w:r w:rsidRPr="00626856">
        <w:rPr>
          <w:rFonts w:hint="eastAsia"/>
          <w:lang w:eastAsia="zh-CN"/>
        </w:rPr>
        <w:t>EG</w:t>
      </w:r>
      <w:r w:rsidRPr="00626856">
        <w:rPr>
          <w:lang w:eastAsia="zh-CN"/>
        </w:rPr>
        <w:t>-ITR</w:t>
      </w:r>
      <w:r w:rsidR="008444AD" w:rsidRPr="00626856">
        <w:rPr>
          <w:lang w:eastAsia="zh-CN"/>
        </w:rPr>
        <w:t>s</w:t>
      </w:r>
      <w:r w:rsidRPr="00626856">
        <w:rPr>
          <w:rFonts w:hint="eastAsia"/>
          <w:lang w:eastAsia="zh-CN"/>
        </w:rPr>
        <w:t>）</w:t>
      </w:r>
      <w:r w:rsidRPr="00626856">
        <w:rPr>
          <w:lang w:eastAsia="zh-CN"/>
        </w:rPr>
        <w:t>新的职责范围和该专家组新的管理班子以及其会议的次数和每次</w:t>
      </w:r>
      <w:r w:rsidRPr="00626856">
        <w:rPr>
          <w:rFonts w:hint="eastAsia"/>
          <w:lang w:eastAsia="zh-CN"/>
        </w:rPr>
        <w:t>会议</w:t>
      </w:r>
      <w:r w:rsidRPr="00626856">
        <w:rPr>
          <w:lang w:eastAsia="zh-CN"/>
        </w:rPr>
        <w:t>的</w:t>
      </w:r>
      <w:r w:rsidRPr="00626856">
        <w:rPr>
          <w:rFonts w:hint="eastAsia"/>
          <w:lang w:eastAsia="zh-CN"/>
        </w:rPr>
        <w:t>会期</w:t>
      </w:r>
      <w:r w:rsidRPr="00626856">
        <w:rPr>
          <w:lang w:eastAsia="zh-CN"/>
        </w:rPr>
        <w:t>。</w:t>
      </w:r>
      <w:bookmarkEnd w:id="137"/>
    </w:p>
    <w:p w:rsidR="00DE6FAD" w:rsidRPr="00626856" w:rsidRDefault="00DE6FAD" w:rsidP="00626856">
      <w:pPr>
        <w:rPr>
          <w:lang w:eastAsia="zh-CN"/>
        </w:rPr>
      </w:pPr>
      <w:r w:rsidRPr="00626856">
        <w:rPr>
          <w:lang w:eastAsia="zh-CN"/>
        </w:rPr>
        <w:lastRenderedPageBreak/>
        <w:t>7.25</w:t>
      </w:r>
      <w:r w:rsidRPr="00626856">
        <w:rPr>
          <w:lang w:eastAsia="zh-CN"/>
        </w:rPr>
        <w:tab/>
      </w:r>
      <w:bookmarkStart w:id="138" w:name="lt_pId323"/>
      <w:r w:rsidRPr="00626856">
        <w:rPr>
          <w:rFonts w:hint="eastAsia"/>
          <w:lang w:eastAsia="zh-CN"/>
        </w:rPr>
        <w:t>现</w:t>
      </w:r>
      <w:r w:rsidRPr="00626856">
        <w:rPr>
          <w:lang w:eastAsia="zh-CN"/>
        </w:rPr>
        <w:t>提议秘书处提出一项建议，详细说明</w:t>
      </w:r>
      <w:r w:rsidRPr="00626856">
        <w:rPr>
          <w:rFonts w:hint="eastAsia"/>
          <w:lang w:eastAsia="zh-CN"/>
        </w:rPr>
        <w:t>2020</w:t>
      </w:r>
      <w:r w:rsidRPr="00626856">
        <w:rPr>
          <w:lang w:eastAsia="zh-CN"/>
        </w:rPr>
        <w:t>-2021</w:t>
      </w:r>
      <w:r w:rsidRPr="00626856">
        <w:rPr>
          <w:rFonts w:hint="eastAsia"/>
          <w:lang w:eastAsia="zh-CN"/>
        </w:rPr>
        <w:t>双年度</w:t>
      </w:r>
      <w:r w:rsidRPr="00626856">
        <w:rPr>
          <w:lang w:eastAsia="zh-CN"/>
        </w:rPr>
        <w:t>预算草案为本文件所含活动进行的相应预算划拨及相关会议的详细日历。</w:t>
      </w:r>
      <w:bookmarkEnd w:id="138"/>
    </w:p>
    <w:p w:rsidR="00DE6FAD" w:rsidRPr="009C7DE9" w:rsidRDefault="00DE6FAD" w:rsidP="00626856">
      <w:pPr>
        <w:rPr>
          <w:rFonts w:cs="Calibri"/>
          <w:lang w:val="en-AU" w:eastAsia="zh-CN"/>
        </w:rPr>
      </w:pPr>
      <w:r w:rsidRPr="00626856">
        <w:rPr>
          <w:lang w:eastAsia="zh-CN"/>
        </w:rPr>
        <w:t>7.26</w:t>
      </w:r>
      <w:r w:rsidRPr="00626856">
        <w:rPr>
          <w:lang w:eastAsia="zh-CN"/>
        </w:rPr>
        <w:tab/>
      </w:r>
      <w:bookmarkStart w:id="139" w:name="lt_pId325"/>
      <w:r w:rsidRPr="00626856">
        <w:rPr>
          <w:rFonts w:hint="eastAsia"/>
          <w:lang w:eastAsia="zh-CN"/>
        </w:rPr>
        <w:t>此外</w:t>
      </w:r>
      <w:r w:rsidRPr="00626856">
        <w:rPr>
          <w:lang w:eastAsia="zh-CN"/>
        </w:rPr>
        <w:t>，现提议</w:t>
      </w:r>
      <w:r w:rsidRPr="00626856">
        <w:rPr>
          <w:lang w:eastAsia="zh-CN"/>
        </w:rPr>
        <w:t>CWG</w:t>
      </w:r>
      <w:r w:rsidRPr="00626856">
        <w:rPr>
          <w:rFonts w:hint="eastAsia"/>
          <w:lang w:eastAsia="zh-CN"/>
        </w:rPr>
        <w:t>集中</w:t>
      </w:r>
      <w:r w:rsidRPr="00626856">
        <w:rPr>
          <w:lang w:eastAsia="zh-CN"/>
        </w:rPr>
        <w:t>会议不超过两周的期限</w:t>
      </w:r>
      <w:r w:rsidRPr="00626856">
        <w:rPr>
          <w:rFonts w:hint="eastAsia"/>
          <w:lang w:eastAsia="zh-CN"/>
        </w:rPr>
        <w:t>，</w:t>
      </w:r>
      <w:r w:rsidRPr="00626856">
        <w:rPr>
          <w:lang w:eastAsia="zh-CN"/>
        </w:rPr>
        <w:t>其中包括所有</w:t>
      </w:r>
      <w:r w:rsidRPr="00626856">
        <w:rPr>
          <w:lang w:eastAsia="zh-CN"/>
        </w:rPr>
        <w:t>CWG</w:t>
      </w:r>
      <w:r w:rsidRPr="00626856">
        <w:rPr>
          <w:rFonts w:hint="eastAsia"/>
          <w:lang w:eastAsia="zh-CN"/>
        </w:rPr>
        <w:t>和</w:t>
      </w:r>
      <w:r w:rsidRPr="00626856">
        <w:rPr>
          <w:lang w:eastAsia="zh-CN"/>
        </w:rPr>
        <w:t>专家组会议（第</w:t>
      </w:r>
      <w:r w:rsidRPr="00626856">
        <w:rPr>
          <w:rFonts w:hint="eastAsia"/>
          <w:lang w:eastAsia="zh-CN"/>
        </w:rPr>
        <w:t>482</w:t>
      </w:r>
      <w:r w:rsidRPr="00626856">
        <w:rPr>
          <w:rFonts w:hint="eastAsia"/>
          <w:lang w:eastAsia="zh-CN"/>
        </w:rPr>
        <w:t>号</w:t>
      </w:r>
      <w:r w:rsidRPr="00626856">
        <w:rPr>
          <w:lang w:eastAsia="zh-CN"/>
        </w:rPr>
        <w:t>决定专家组除外）。</w:t>
      </w:r>
      <w:bookmarkEnd w:id="139"/>
    </w:p>
    <w:p w:rsidR="00DE6FAD" w:rsidRDefault="00DE6FAD" w:rsidP="001F3C4D">
      <w:pPr>
        <w:pStyle w:val="Headingb"/>
        <w:rPr>
          <w:rFonts w:eastAsia="Calibri" w:cs="Calibri"/>
          <w:lang w:eastAsia="zh-CN"/>
        </w:rPr>
      </w:pPr>
      <w:r>
        <w:rPr>
          <w:rFonts w:eastAsia="Calibri" w:cs="Calibri"/>
          <w:lang w:eastAsia="zh-CN"/>
        </w:rPr>
        <w:tab/>
      </w:r>
      <w:bookmarkStart w:id="140" w:name="lt_pId326"/>
      <w:r w:rsidRPr="000818B0">
        <w:rPr>
          <w:rFonts w:eastAsia="Calibri" w:cs="Calibri"/>
          <w:lang w:eastAsia="zh-CN"/>
        </w:rPr>
        <w:t>EG-WTPF</w:t>
      </w:r>
      <w:r>
        <w:rPr>
          <w:rFonts w:eastAsiaTheme="minorEastAsia" w:cs="Calibri" w:hint="eastAsia"/>
          <w:lang w:eastAsia="zh-CN"/>
        </w:rPr>
        <w:t>和</w:t>
      </w:r>
      <w:r w:rsidRPr="000818B0">
        <w:rPr>
          <w:rFonts w:eastAsia="Calibri" w:cs="Calibri"/>
          <w:lang w:eastAsia="zh-CN"/>
        </w:rPr>
        <w:t>EG-IT</w:t>
      </w:r>
      <w:r w:rsidR="002A1F07">
        <w:rPr>
          <w:rFonts w:eastAsia="Calibri" w:cs="Calibri"/>
          <w:lang w:eastAsia="zh-CN"/>
        </w:rPr>
        <w:t>Rs</w:t>
      </w:r>
      <w:r>
        <w:rPr>
          <w:rFonts w:eastAsiaTheme="minorEastAsia" w:cs="Calibri" w:hint="eastAsia"/>
          <w:lang w:eastAsia="zh-CN"/>
        </w:rPr>
        <w:t>的</w:t>
      </w:r>
      <w:r>
        <w:rPr>
          <w:rFonts w:eastAsiaTheme="minorEastAsia" w:cs="Calibri"/>
          <w:lang w:eastAsia="zh-CN"/>
        </w:rPr>
        <w:t>资金来源（</w:t>
      </w:r>
      <w:hyperlink r:id="rId20" w:history="1">
        <w:r w:rsidRPr="000818B0">
          <w:rPr>
            <w:rStyle w:val="Hyperlink"/>
            <w:bCs/>
            <w:szCs w:val="24"/>
            <w:lang w:eastAsia="zh-CN"/>
          </w:rPr>
          <w:t>CWG-FHR 9/12</w:t>
        </w:r>
      </w:hyperlink>
      <w:bookmarkEnd w:id="140"/>
      <w:r>
        <w:rPr>
          <w:rFonts w:eastAsiaTheme="minorEastAsia" w:cs="Calibri" w:hint="eastAsia"/>
          <w:lang w:eastAsia="zh-CN"/>
        </w:rPr>
        <w:t>号</w:t>
      </w:r>
      <w:r>
        <w:rPr>
          <w:rFonts w:eastAsiaTheme="minorEastAsia" w:cs="Calibri"/>
          <w:lang w:eastAsia="zh-CN"/>
        </w:rPr>
        <w:t>文件）</w:t>
      </w:r>
    </w:p>
    <w:p w:rsidR="00DE6FAD" w:rsidRPr="001F3C4D" w:rsidRDefault="00DE6FAD" w:rsidP="001F3C4D">
      <w:pPr>
        <w:rPr>
          <w:lang w:eastAsia="zh-CN"/>
        </w:rPr>
      </w:pPr>
      <w:r w:rsidRPr="001F3C4D">
        <w:rPr>
          <w:lang w:eastAsia="zh-CN"/>
        </w:rPr>
        <w:t>7.27</w:t>
      </w:r>
      <w:r w:rsidRPr="001F3C4D">
        <w:rPr>
          <w:lang w:eastAsia="zh-CN"/>
        </w:rPr>
        <w:tab/>
      </w:r>
      <w:bookmarkStart w:id="141" w:name="lt_pId328"/>
      <w:r w:rsidRPr="001F3C4D">
        <w:rPr>
          <w:rFonts w:hint="eastAsia"/>
          <w:lang w:eastAsia="zh-CN"/>
        </w:rPr>
        <w:t>秘书处</w:t>
      </w:r>
      <w:r w:rsidRPr="001F3C4D">
        <w:rPr>
          <w:lang w:eastAsia="zh-CN"/>
        </w:rPr>
        <w:t>介绍了</w:t>
      </w:r>
      <w:r w:rsidRPr="001F3C4D">
        <w:rPr>
          <w:lang w:eastAsia="zh-CN"/>
        </w:rPr>
        <w:t>CWG-FHR 9/12</w:t>
      </w:r>
      <w:r w:rsidRPr="001F3C4D">
        <w:rPr>
          <w:rFonts w:hint="eastAsia"/>
          <w:lang w:eastAsia="zh-CN"/>
        </w:rPr>
        <w:t>号</w:t>
      </w:r>
      <w:r w:rsidRPr="001F3C4D">
        <w:rPr>
          <w:lang w:eastAsia="zh-CN"/>
        </w:rPr>
        <w:t>文件，该文件提供巴西在</w:t>
      </w:r>
      <w:r w:rsidRPr="001F3C4D">
        <w:rPr>
          <w:lang w:eastAsia="zh-CN"/>
        </w:rPr>
        <w:t>CWG-FHR 9/9</w:t>
      </w:r>
      <w:r w:rsidRPr="001F3C4D">
        <w:rPr>
          <w:rFonts w:hint="eastAsia"/>
          <w:lang w:eastAsia="zh-CN"/>
        </w:rPr>
        <w:t>号</w:t>
      </w:r>
      <w:r w:rsidRPr="001F3C4D">
        <w:rPr>
          <w:lang w:eastAsia="zh-CN"/>
        </w:rPr>
        <w:t>文件中所提提案的财务影响。</w:t>
      </w:r>
      <w:r w:rsidRPr="001F3C4D">
        <w:rPr>
          <w:rFonts w:hint="eastAsia"/>
          <w:lang w:eastAsia="zh-CN"/>
        </w:rPr>
        <w:t>巴西</w:t>
      </w:r>
      <w:r w:rsidRPr="001F3C4D">
        <w:rPr>
          <w:lang w:eastAsia="zh-CN"/>
        </w:rPr>
        <w:t>在</w:t>
      </w:r>
      <w:r w:rsidRPr="001F3C4D">
        <w:rPr>
          <w:rFonts w:hint="eastAsia"/>
          <w:lang w:eastAsia="zh-CN"/>
        </w:rPr>
        <w:t>其</w:t>
      </w:r>
      <w:r w:rsidRPr="001F3C4D">
        <w:rPr>
          <w:lang w:eastAsia="zh-CN"/>
        </w:rPr>
        <w:t>提案中要求将世界电信政策论坛专家组（</w:t>
      </w:r>
      <w:r w:rsidRPr="001F3C4D">
        <w:rPr>
          <w:lang w:eastAsia="zh-CN"/>
        </w:rPr>
        <w:t>EG-WTPF</w:t>
      </w:r>
      <w:r w:rsidRPr="001F3C4D">
        <w:rPr>
          <w:rFonts w:hint="eastAsia"/>
          <w:lang w:eastAsia="zh-CN"/>
        </w:rPr>
        <w:t>）</w:t>
      </w:r>
      <w:r w:rsidRPr="001F3C4D">
        <w:rPr>
          <w:lang w:eastAsia="zh-CN"/>
        </w:rPr>
        <w:t>和</w:t>
      </w:r>
      <w:r w:rsidRPr="001F3C4D">
        <w:rPr>
          <w:rFonts w:hint="eastAsia"/>
          <w:lang w:eastAsia="zh-CN"/>
        </w:rPr>
        <w:t>《</w:t>
      </w:r>
      <w:r w:rsidRPr="001F3C4D">
        <w:rPr>
          <w:lang w:eastAsia="zh-CN"/>
        </w:rPr>
        <w:t>国际电信规则》专家组</w:t>
      </w:r>
      <w:r w:rsidRPr="001F3C4D">
        <w:rPr>
          <w:rFonts w:hint="eastAsia"/>
          <w:lang w:eastAsia="zh-CN"/>
        </w:rPr>
        <w:t>（</w:t>
      </w:r>
      <w:r w:rsidRPr="001F3C4D">
        <w:rPr>
          <w:lang w:eastAsia="zh-CN"/>
        </w:rPr>
        <w:t>EG-ITRs</w:t>
      </w:r>
      <w:r w:rsidRPr="001F3C4D">
        <w:rPr>
          <w:rFonts w:hint="eastAsia"/>
          <w:lang w:eastAsia="zh-CN"/>
        </w:rPr>
        <w:t>）</w:t>
      </w:r>
      <w:r w:rsidRPr="001F3C4D">
        <w:rPr>
          <w:lang w:eastAsia="zh-CN"/>
        </w:rPr>
        <w:t>会议的成本</w:t>
      </w:r>
      <w:r w:rsidRPr="001F3C4D">
        <w:rPr>
          <w:rFonts w:hint="eastAsia"/>
          <w:lang w:eastAsia="zh-CN"/>
        </w:rPr>
        <w:t>纳入</w:t>
      </w:r>
      <w:r w:rsidRPr="001F3C4D">
        <w:rPr>
          <w:lang w:eastAsia="zh-CN"/>
        </w:rPr>
        <w:t>2020-2021</w:t>
      </w:r>
      <w:r w:rsidRPr="001F3C4D">
        <w:rPr>
          <w:rFonts w:hint="eastAsia"/>
          <w:lang w:eastAsia="zh-CN"/>
        </w:rPr>
        <w:t>年</w:t>
      </w:r>
      <w:r w:rsidRPr="001F3C4D">
        <w:rPr>
          <w:lang w:eastAsia="zh-CN"/>
        </w:rPr>
        <w:t>预算草案中。</w:t>
      </w:r>
      <w:bookmarkEnd w:id="141"/>
    </w:p>
    <w:p w:rsidR="00DE6FAD" w:rsidRPr="001F3C4D" w:rsidRDefault="00DE6FAD" w:rsidP="001F3C4D">
      <w:pPr>
        <w:rPr>
          <w:lang w:eastAsia="zh-CN"/>
        </w:rPr>
      </w:pPr>
      <w:r w:rsidRPr="001F3C4D">
        <w:rPr>
          <w:lang w:eastAsia="zh-CN"/>
        </w:rPr>
        <w:t>7.28</w:t>
      </w:r>
      <w:r w:rsidRPr="001F3C4D">
        <w:rPr>
          <w:lang w:eastAsia="zh-CN"/>
        </w:rPr>
        <w:tab/>
      </w:r>
      <w:bookmarkStart w:id="142" w:name="lt_pId330"/>
      <w:r w:rsidRPr="001F3C4D">
        <w:rPr>
          <w:rFonts w:hint="eastAsia"/>
          <w:lang w:eastAsia="zh-CN"/>
        </w:rPr>
        <w:t>如</w:t>
      </w:r>
      <w:r w:rsidRPr="001F3C4D">
        <w:rPr>
          <w:lang w:eastAsia="zh-CN"/>
        </w:rPr>
        <w:t>CWG-FHR 9/9</w:t>
      </w:r>
      <w:r w:rsidRPr="001F3C4D">
        <w:rPr>
          <w:rFonts w:hint="eastAsia"/>
          <w:lang w:eastAsia="zh-CN"/>
        </w:rPr>
        <w:t>号</w:t>
      </w:r>
      <w:r w:rsidRPr="001F3C4D">
        <w:rPr>
          <w:lang w:eastAsia="zh-CN"/>
        </w:rPr>
        <w:t>文件</w:t>
      </w:r>
      <w:r w:rsidR="00FE7FA4" w:rsidRPr="001F3C4D">
        <w:rPr>
          <w:lang w:eastAsia="zh-CN"/>
        </w:rPr>
        <w:t>介绍</w:t>
      </w:r>
      <w:r w:rsidR="00FE7FA4" w:rsidRPr="001F3C4D">
        <w:rPr>
          <w:rFonts w:hint="eastAsia"/>
          <w:lang w:eastAsia="zh-CN"/>
        </w:rPr>
        <w:t>的</w:t>
      </w:r>
      <w:r w:rsidRPr="001F3C4D">
        <w:rPr>
          <w:lang w:eastAsia="zh-CN"/>
        </w:rPr>
        <w:t>2020-2021</w:t>
      </w:r>
      <w:r w:rsidRPr="001F3C4D">
        <w:rPr>
          <w:rFonts w:hint="eastAsia"/>
          <w:lang w:eastAsia="zh-CN"/>
        </w:rPr>
        <w:t>年</w:t>
      </w:r>
      <w:r w:rsidRPr="001F3C4D">
        <w:rPr>
          <w:lang w:eastAsia="zh-CN"/>
        </w:rPr>
        <w:t>拟议</w:t>
      </w:r>
      <w:r w:rsidRPr="001F3C4D">
        <w:rPr>
          <w:rFonts w:hint="eastAsia"/>
          <w:lang w:eastAsia="zh-CN"/>
        </w:rPr>
        <w:t>会议</w:t>
      </w:r>
      <w:r w:rsidRPr="001F3C4D">
        <w:rPr>
          <w:lang w:eastAsia="zh-CN"/>
        </w:rPr>
        <w:t>时间表所示，</w:t>
      </w:r>
      <w:r w:rsidRPr="001F3C4D">
        <w:rPr>
          <w:rFonts w:hint="eastAsia"/>
          <w:lang w:eastAsia="zh-CN"/>
        </w:rPr>
        <w:t>2020</w:t>
      </w:r>
      <w:r w:rsidRPr="001F3C4D">
        <w:rPr>
          <w:lang w:eastAsia="zh-CN"/>
        </w:rPr>
        <w:t>-2023</w:t>
      </w:r>
      <w:r w:rsidRPr="001F3C4D">
        <w:rPr>
          <w:rFonts w:hint="eastAsia"/>
          <w:lang w:eastAsia="zh-CN"/>
        </w:rPr>
        <w:t>年财务</w:t>
      </w:r>
      <w:r w:rsidRPr="001F3C4D">
        <w:rPr>
          <w:lang w:eastAsia="zh-CN"/>
        </w:rPr>
        <w:t>规划不包含所有必要的、与</w:t>
      </w:r>
      <w:r w:rsidRPr="001F3C4D">
        <w:rPr>
          <w:lang w:eastAsia="zh-CN"/>
        </w:rPr>
        <w:t>EG-WTPF</w:t>
      </w:r>
      <w:r w:rsidRPr="001F3C4D">
        <w:rPr>
          <w:rFonts w:hint="eastAsia"/>
          <w:lang w:eastAsia="zh-CN"/>
        </w:rPr>
        <w:t>和</w:t>
      </w:r>
      <w:r w:rsidRPr="001F3C4D">
        <w:rPr>
          <w:lang w:eastAsia="zh-CN"/>
        </w:rPr>
        <w:t>EG-ITRs</w:t>
      </w:r>
      <w:r w:rsidRPr="001F3C4D">
        <w:rPr>
          <w:rFonts w:hint="eastAsia"/>
          <w:lang w:eastAsia="zh-CN"/>
        </w:rPr>
        <w:t>相关</w:t>
      </w:r>
      <w:r w:rsidR="00FE7FA4" w:rsidRPr="001F3C4D">
        <w:rPr>
          <w:lang w:eastAsia="zh-CN"/>
        </w:rPr>
        <w:t>的</w:t>
      </w:r>
      <w:r w:rsidRPr="001F3C4D">
        <w:rPr>
          <w:lang w:eastAsia="zh-CN"/>
        </w:rPr>
        <w:t>拨款。</w:t>
      </w:r>
      <w:bookmarkEnd w:id="142"/>
    </w:p>
    <w:p w:rsidR="00DE6FAD" w:rsidRPr="001F3C4D" w:rsidRDefault="00DE6FAD" w:rsidP="001F3C4D">
      <w:pPr>
        <w:rPr>
          <w:lang w:eastAsia="zh-CN"/>
        </w:rPr>
      </w:pPr>
      <w:r w:rsidRPr="001F3C4D">
        <w:rPr>
          <w:lang w:eastAsia="zh-CN"/>
        </w:rPr>
        <w:t>7.29</w:t>
      </w:r>
      <w:r w:rsidRPr="001F3C4D">
        <w:rPr>
          <w:lang w:eastAsia="zh-CN"/>
        </w:rPr>
        <w:tab/>
      </w:r>
      <w:bookmarkStart w:id="143" w:name="lt_pId332"/>
      <w:r w:rsidRPr="001F3C4D">
        <w:rPr>
          <w:rFonts w:hint="eastAsia"/>
          <w:lang w:eastAsia="zh-CN"/>
        </w:rPr>
        <w:t>秘书处</w:t>
      </w:r>
      <w:r w:rsidRPr="001F3C4D">
        <w:rPr>
          <w:lang w:eastAsia="zh-CN"/>
        </w:rPr>
        <w:t>介绍的表格表明，</w:t>
      </w:r>
      <w:r w:rsidRPr="001F3C4D">
        <w:rPr>
          <w:rFonts w:hint="eastAsia"/>
          <w:lang w:eastAsia="zh-CN"/>
        </w:rPr>
        <w:t>2020</w:t>
      </w:r>
      <w:r w:rsidRPr="001F3C4D">
        <w:rPr>
          <w:lang w:eastAsia="zh-CN"/>
        </w:rPr>
        <w:t>-2021</w:t>
      </w:r>
      <w:r w:rsidRPr="001F3C4D">
        <w:rPr>
          <w:rFonts w:hint="eastAsia"/>
          <w:lang w:eastAsia="zh-CN"/>
        </w:rPr>
        <w:t>年</w:t>
      </w:r>
      <w:r w:rsidRPr="001F3C4D">
        <w:rPr>
          <w:lang w:eastAsia="zh-CN"/>
        </w:rPr>
        <w:t>EG-WTPF</w:t>
      </w:r>
      <w:r w:rsidRPr="001F3C4D">
        <w:rPr>
          <w:rFonts w:hint="eastAsia"/>
          <w:lang w:eastAsia="zh-CN"/>
        </w:rPr>
        <w:t>和</w:t>
      </w:r>
      <w:r w:rsidRPr="001F3C4D">
        <w:rPr>
          <w:lang w:eastAsia="zh-CN"/>
        </w:rPr>
        <w:t>EG-ITRs</w:t>
      </w:r>
      <w:r w:rsidRPr="001F3C4D">
        <w:rPr>
          <w:rFonts w:hint="eastAsia"/>
          <w:lang w:eastAsia="zh-CN"/>
        </w:rPr>
        <w:t>会议</w:t>
      </w:r>
      <w:r w:rsidRPr="001F3C4D">
        <w:rPr>
          <w:lang w:eastAsia="zh-CN"/>
        </w:rPr>
        <w:t>的总估算成本将增加</w:t>
      </w:r>
      <w:r w:rsidRPr="001F3C4D">
        <w:rPr>
          <w:lang w:eastAsia="zh-CN"/>
        </w:rPr>
        <w:t>262</w:t>
      </w:r>
      <w:proofErr w:type="gramStart"/>
      <w:r w:rsidRPr="001F3C4D">
        <w:rPr>
          <w:lang w:eastAsia="zh-CN"/>
        </w:rPr>
        <w:t>,000</w:t>
      </w:r>
      <w:bookmarkEnd w:id="143"/>
      <w:r w:rsidRPr="001F3C4D">
        <w:rPr>
          <w:rFonts w:hint="eastAsia"/>
          <w:lang w:eastAsia="zh-CN"/>
        </w:rPr>
        <w:t>瑞郎</w:t>
      </w:r>
      <w:proofErr w:type="gramEnd"/>
      <w:r w:rsidRPr="001F3C4D">
        <w:rPr>
          <w:lang w:eastAsia="zh-CN"/>
        </w:rPr>
        <w:t>。</w:t>
      </w:r>
    </w:p>
    <w:p w:rsidR="00DE6FAD" w:rsidRPr="001F3C4D" w:rsidRDefault="00DE6FAD" w:rsidP="001F3C4D">
      <w:pPr>
        <w:rPr>
          <w:lang w:eastAsia="zh-CN"/>
        </w:rPr>
      </w:pPr>
      <w:r w:rsidRPr="001F3C4D">
        <w:rPr>
          <w:lang w:eastAsia="zh-CN"/>
        </w:rPr>
        <w:t>7.30</w:t>
      </w:r>
      <w:r w:rsidRPr="001F3C4D">
        <w:rPr>
          <w:lang w:eastAsia="zh-CN"/>
        </w:rPr>
        <w:tab/>
      </w:r>
      <w:bookmarkStart w:id="144" w:name="lt_pId334"/>
      <w:r w:rsidRPr="001F3C4D">
        <w:rPr>
          <w:rFonts w:hint="eastAsia"/>
          <w:lang w:eastAsia="zh-CN"/>
        </w:rPr>
        <w:t>若干</w:t>
      </w:r>
      <w:r w:rsidRPr="001F3C4D">
        <w:rPr>
          <w:lang w:eastAsia="zh-CN"/>
        </w:rPr>
        <w:t>代表团就</w:t>
      </w:r>
      <w:r w:rsidRPr="001F3C4D">
        <w:rPr>
          <w:lang w:eastAsia="zh-CN"/>
        </w:rPr>
        <w:t>WTPF-21</w:t>
      </w:r>
      <w:r w:rsidRPr="001F3C4D">
        <w:rPr>
          <w:rFonts w:hint="eastAsia"/>
          <w:lang w:eastAsia="zh-CN"/>
        </w:rPr>
        <w:t>的</w:t>
      </w:r>
      <w:r w:rsidRPr="001F3C4D">
        <w:rPr>
          <w:lang w:eastAsia="zh-CN"/>
        </w:rPr>
        <w:t>筹备进程以及</w:t>
      </w:r>
      <w:r w:rsidRPr="001F3C4D">
        <w:rPr>
          <w:rFonts w:hint="eastAsia"/>
          <w:lang w:eastAsia="zh-CN"/>
        </w:rPr>
        <w:t>为此</w:t>
      </w:r>
      <w:r w:rsidR="00553F4C" w:rsidRPr="001F3C4D">
        <w:rPr>
          <w:lang w:eastAsia="zh-CN"/>
        </w:rPr>
        <w:t>创建专家组的必要性发言。</w:t>
      </w:r>
      <w:r w:rsidRPr="001F3C4D">
        <w:rPr>
          <w:lang w:eastAsia="zh-CN"/>
        </w:rPr>
        <w:t>以国际电联的六种语文进行</w:t>
      </w:r>
      <w:bookmarkStart w:id="145" w:name="lt_pId335"/>
      <w:bookmarkEnd w:id="144"/>
      <w:r w:rsidRPr="001F3C4D">
        <w:rPr>
          <w:lang w:eastAsia="zh-CN"/>
        </w:rPr>
        <w:t>EG-ITRs</w:t>
      </w:r>
      <w:r w:rsidRPr="001F3C4D">
        <w:rPr>
          <w:rFonts w:hint="eastAsia"/>
          <w:lang w:eastAsia="zh-CN"/>
        </w:rPr>
        <w:t>会议</w:t>
      </w:r>
      <w:r w:rsidRPr="001F3C4D">
        <w:rPr>
          <w:lang w:eastAsia="zh-CN"/>
        </w:rPr>
        <w:t>的必要性</w:t>
      </w:r>
      <w:r w:rsidR="00553F4C" w:rsidRPr="001F3C4D">
        <w:rPr>
          <w:rFonts w:hint="eastAsia"/>
          <w:lang w:eastAsia="zh-CN"/>
        </w:rPr>
        <w:t>再次得到</w:t>
      </w:r>
      <w:r w:rsidRPr="001F3C4D">
        <w:rPr>
          <w:lang w:eastAsia="zh-CN"/>
        </w:rPr>
        <w:t>确认。</w:t>
      </w:r>
      <w:bookmarkEnd w:id="145"/>
    </w:p>
    <w:p w:rsidR="00DE6FAD" w:rsidRPr="009C7DE9" w:rsidRDefault="00DE6FAD" w:rsidP="001F3C4D">
      <w:pPr>
        <w:rPr>
          <w:rFonts w:cs="Calibri"/>
          <w:lang w:val="en-AU" w:eastAsia="zh-CN"/>
        </w:rPr>
      </w:pPr>
      <w:r w:rsidRPr="001F3C4D">
        <w:rPr>
          <w:lang w:eastAsia="zh-CN"/>
        </w:rPr>
        <w:t>7.31</w:t>
      </w:r>
      <w:r w:rsidRPr="001F3C4D">
        <w:rPr>
          <w:lang w:eastAsia="zh-CN"/>
        </w:rPr>
        <w:tab/>
      </w:r>
      <w:bookmarkStart w:id="146" w:name="lt_pId337"/>
      <w:r w:rsidRPr="001F3C4D">
        <w:rPr>
          <w:rFonts w:hint="eastAsia"/>
          <w:lang w:eastAsia="zh-CN"/>
        </w:rPr>
        <w:t>主席</w:t>
      </w:r>
      <w:r w:rsidRPr="001F3C4D">
        <w:rPr>
          <w:lang w:eastAsia="zh-CN"/>
        </w:rPr>
        <w:t>做出结论说，有必要就会议频次、会议结构以及所使用语文的种数做出进一步讨论。这些</w:t>
      </w:r>
      <w:r w:rsidRPr="001F3C4D">
        <w:rPr>
          <w:rFonts w:hint="eastAsia"/>
          <w:lang w:eastAsia="zh-CN"/>
        </w:rPr>
        <w:t>问题</w:t>
      </w:r>
      <w:r w:rsidRPr="001F3C4D">
        <w:rPr>
          <w:lang w:eastAsia="zh-CN"/>
        </w:rPr>
        <w:t>应当在理事会</w:t>
      </w:r>
      <w:r w:rsidRPr="001F3C4D">
        <w:rPr>
          <w:rFonts w:hint="eastAsia"/>
          <w:lang w:eastAsia="zh-CN"/>
        </w:rPr>
        <w:t>2019</w:t>
      </w:r>
      <w:r w:rsidRPr="001F3C4D">
        <w:rPr>
          <w:rFonts w:hint="eastAsia"/>
          <w:lang w:eastAsia="zh-CN"/>
        </w:rPr>
        <w:t>年</w:t>
      </w:r>
      <w:r w:rsidRPr="001F3C4D">
        <w:rPr>
          <w:lang w:eastAsia="zh-CN"/>
        </w:rPr>
        <w:t>会议</w:t>
      </w:r>
      <w:r w:rsidRPr="001F3C4D">
        <w:rPr>
          <w:rFonts w:hint="eastAsia"/>
          <w:lang w:eastAsia="zh-CN"/>
        </w:rPr>
        <w:t>讨论</w:t>
      </w:r>
      <w:bookmarkStart w:id="147" w:name="lt_pId338"/>
      <w:bookmarkEnd w:id="146"/>
      <w:r w:rsidRPr="001F3C4D">
        <w:rPr>
          <w:lang w:eastAsia="zh-CN"/>
        </w:rPr>
        <w:t>EG-ITRs</w:t>
      </w:r>
      <w:r w:rsidRPr="001F3C4D">
        <w:rPr>
          <w:rFonts w:hint="eastAsia"/>
          <w:lang w:eastAsia="zh-CN"/>
        </w:rPr>
        <w:t>和</w:t>
      </w:r>
      <w:r w:rsidRPr="001F3C4D">
        <w:rPr>
          <w:lang w:eastAsia="zh-CN"/>
        </w:rPr>
        <w:t>WTPF</w:t>
      </w:r>
      <w:r w:rsidRPr="001F3C4D">
        <w:rPr>
          <w:rFonts w:hint="eastAsia"/>
          <w:lang w:eastAsia="zh-CN"/>
        </w:rPr>
        <w:t>筹备</w:t>
      </w:r>
      <w:r w:rsidRPr="001F3C4D">
        <w:rPr>
          <w:lang w:eastAsia="zh-CN"/>
        </w:rPr>
        <w:t>安排时得到考虑。关于</w:t>
      </w:r>
      <w:r w:rsidRPr="001F3C4D">
        <w:rPr>
          <w:rFonts w:hint="eastAsia"/>
          <w:lang w:eastAsia="zh-CN"/>
        </w:rPr>
        <w:t>2020</w:t>
      </w:r>
      <w:r w:rsidRPr="001F3C4D">
        <w:rPr>
          <w:lang w:eastAsia="zh-CN"/>
        </w:rPr>
        <w:t>-2021</w:t>
      </w:r>
      <w:r w:rsidRPr="001F3C4D">
        <w:rPr>
          <w:rFonts w:hint="eastAsia"/>
          <w:lang w:eastAsia="zh-CN"/>
        </w:rPr>
        <w:t>年</w:t>
      </w:r>
      <w:r w:rsidRPr="001F3C4D">
        <w:rPr>
          <w:lang w:eastAsia="zh-CN"/>
        </w:rPr>
        <w:t>预算，秘书处在</w:t>
      </w:r>
      <w:bookmarkStart w:id="148" w:name="lt_pId339"/>
      <w:bookmarkEnd w:id="147"/>
      <w:r w:rsidRPr="001F3C4D">
        <w:rPr>
          <w:lang w:eastAsia="zh-CN"/>
        </w:rPr>
        <w:t>CWG-FHR 9/12</w:t>
      </w:r>
      <w:r w:rsidRPr="001F3C4D">
        <w:rPr>
          <w:rFonts w:hint="eastAsia"/>
          <w:lang w:eastAsia="zh-CN"/>
        </w:rPr>
        <w:t>号</w:t>
      </w:r>
      <w:r w:rsidRPr="001F3C4D">
        <w:rPr>
          <w:lang w:eastAsia="zh-CN"/>
        </w:rPr>
        <w:t>文件中介绍的数字</w:t>
      </w:r>
      <w:r w:rsidRPr="001F3C4D">
        <w:rPr>
          <w:rFonts w:hint="eastAsia"/>
          <w:lang w:eastAsia="zh-CN"/>
        </w:rPr>
        <w:t>需</w:t>
      </w:r>
      <w:r w:rsidRPr="001F3C4D">
        <w:rPr>
          <w:lang w:eastAsia="zh-CN"/>
        </w:rPr>
        <w:t>临时得到使用，以便理事会</w:t>
      </w:r>
      <w:r w:rsidRPr="001F3C4D">
        <w:rPr>
          <w:rFonts w:hint="eastAsia"/>
          <w:lang w:eastAsia="zh-CN"/>
        </w:rPr>
        <w:t>2019</w:t>
      </w:r>
      <w:r w:rsidRPr="001F3C4D">
        <w:rPr>
          <w:rFonts w:hint="eastAsia"/>
          <w:lang w:eastAsia="zh-CN"/>
        </w:rPr>
        <w:t>年</w:t>
      </w:r>
      <w:r w:rsidRPr="001F3C4D">
        <w:rPr>
          <w:lang w:eastAsia="zh-CN"/>
        </w:rPr>
        <w:t>会议在就上述问题做出决定时拥有灵活性</w:t>
      </w:r>
      <w:bookmarkEnd w:id="148"/>
      <w:r w:rsidRPr="001F3C4D">
        <w:rPr>
          <w:rFonts w:hint="eastAsia"/>
          <w:lang w:eastAsia="zh-CN"/>
        </w:rPr>
        <w:t>。</w:t>
      </w:r>
    </w:p>
    <w:p w:rsidR="00DE6FAD" w:rsidRDefault="00DE6FAD" w:rsidP="001F3C4D">
      <w:pPr>
        <w:pStyle w:val="Heading1"/>
        <w:rPr>
          <w:rFonts w:eastAsia="Calibri" w:cs="Calibri"/>
          <w:lang w:eastAsia="zh-CN"/>
        </w:rPr>
      </w:pPr>
      <w:r>
        <w:rPr>
          <w:rFonts w:eastAsia="Calibri" w:cs="Calibri"/>
          <w:lang w:eastAsia="zh-CN"/>
        </w:rPr>
        <w:t>8</w:t>
      </w:r>
      <w:r>
        <w:rPr>
          <w:rFonts w:eastAsia="Calibri" w:cs="Calibri"/>
          <w:lang w:eastAsia="zh-CN"/>
        </w:rPr>
        <w:tab/>
      </w:r>
      <w:bookmarkStart w:id="149" w:name="lt_pId341"/>
      <w:r>
        <w:rPr>
          <w:rFonts w:eastAsiaTheme="minorEastAsia" w:cs="Calibri" w:hint="eastAsia"/>
          <w:lang w:eastAsia="zh-CN"/>
        </w:rPr>
        <w:t>理事会</w:t>
      </w:r>
      <w:r>
        <w:rPr>
          <w:rFonts w:eastAsiaTheme="minorEastAsia" w:cs="Calibri"/>
          <w:lang w:eastAsia="zh-CN"/>
        </w:rPr>
        <w:t>第</w:t>
      </w:r>
      <w:r>
        <w:rPr>
          <w:rFonts w:eastAsiaTheme="minorEastAsia" w:cs="Calibri" w:hint="eastAsia"/>
          <w:lang w:eastAsia="zh-CN"/>
        </w:rPr>
        <w:t>600</w:t>
      </w:r>
      <w:r>
        <w:rPr>
          <w:rFonts w:eastAsiaTheme="minorEastAsia" w:cs="Calibri" w:hint="eastAsia"/>
          <w:lang w:eastAsia="zh-CN"/>
        </w:rPr>
        <w:t>和</w:t>
      </w:r>
      <w:r>
        <w:rPr>
          <w:rFonts w:eastAsiaTheme="minorEastAsia" w:cs="Calibri" w:hint="eastAsia"/>
          <w:lang w:eastAsia="zh-CN"/>
        </w:rPr>
        <w:t>6</w:t>
      </w:r>
      <w:r w:rsidR="002F1771">
        <w:rPr>
          <w:rFonts w:eastAsiaTheme="minorEastAsia" w:cs="Calibri" w:hint="eastAsia"/>
          <w:lang w:eastAsia="zh-CN"/>
        </w:rPr>
        <w:t>0</w:t>
      </w:r>
      <w:r>
        <w:rPr>
          <w:rFonts w:eastAsiaTheme="minorEastAsia" w:cs="Calibri" w:hint="eastAsia"/>
          <w:lang w:eastAsia="zh-CN"/>
        </w:rPr>
        <w:t>1</w:t>
      </w:r>
      <w:r>
        <w:rPr>
          <w:rFonts w:eastAsiaTheme="minorEastAsia" w:cs="Calibri" w:hint="eastAsia"/>
          <w:lang w:eastAsia="zh-CN"/>
        </w:rPr>
        <w:t>号</w:t>
      </w:r>
      <w:r>
        <w:rPr>
          <w:rFonts w:eastAsiaTheme="minorEastAsia" w:cs="Calibri"/>
          <w:lang w:eastAsia="zh-CN"/>
        </w:rPr>
        <w:t>决定（国际通用免费电话号码（</w:t>
      </w:r>
      <w:r w:rsidRPr="000818B0">
        <w:rPr>
          <w:rFonts w:eastAsia="Calibri" w:cs="Calibri"/>
          <w:lang w:eastAsia="zh-CN"/>
        </w:rPr>
        <w:t>UIFN</w:t>
      </w:r>
      <w:r>
        <w:rPr>
          <w:rFonts w:eastAsiaTheme="minorEastAsia" w:cs="Calibri" w:hint="eastAsia"/>
          <w:lang w:eastAsia="zh-CN"/>
        </w:rPr>
        <w:t>）</w:t>
      </w:r>
      <w:r>
        <w:rPr>
          <w:rFonts w:eastAsiaTheme="minorEastAsia" w:cs="Calibri"/>
          <w:lang w:eastAsia="zh-CN"/>
        </w:rPr>
        <w:t>、发行者标识码（</w:t>
      </w:r>
      <w:r w:rsidRPr="000818B0">
        <w:rPr>
          <w:rFonts w:eastAsia="Calibri" w:cs="Calibri"/>
          <w:lang w:eastAsia="zh-CN"/>
        </w:rPr>
        <w:t>IIN</w:t>
      </w:r>
      <w:r>
        <w:rPr>
          <w:rFonts w:eastAsiaTheme="minorEastAsia" w:cs="Calibri" w:hint="eastAsia"/>
          <w:lang w:eastAsia="zh-CN"/>
        </w:rPr>
        <w:t>）</w:t>
      </w:r>
      <w:r>
        <w:rPr>
          <w:rFonts w:eastAsiaTheme="minorEastAsia" w:cs="Calibri"/>
          <w:lang w:eastAsia="zh-CN"/>
        </w:rPr>
        <w:t>）落实情况报告</w:t>
      </w:r>
      <w:r>
        <w:rPr>
          <w:rFonts w:eastAsiaTheme="minorEastAsia" w:cs="Calibri" w:hint="eastAsia"/>
          <w:lang w:eastAsia="zh-CN"/>
        </w:rPr>
        <w:t>（</w:t>
      </w:r>
      <w:hyperlink r:id="rId21" w:history="1">
        <w:r w:rsidRPr="000818B0">
          <w:rPr>
            <w:rStyle w:val="Hyperlink"/>
            <w:bCs/>
            <w:szCs w:val="24"/>
            <w:lang w:eastAsia="zh-CN"/>
          </w:rPr>
          <w:t>CWG-FHR 9/14</w:t>
        </w:r>
      </w:hyperlink>
      <w:bookmarkEnd w:id="149"/>
      <w:r>
        <w:rPr>
          <w:rFonts w:eastAsiaTheme="minorEastAsia" w:cs="Calibri" w:hint="eastAsia"/>
          <w:lang w:eastAsia="zh-CN"/>
        </w:rPr>
        <w:t>号</w:t>
      </w:r>
      <w:r>
        <w:rPr>
          <w:rFonts w:eastAsiaTheme="minorEastAsia" w:cs="Calibri"/>
          <w:lang w:eastAsia="zh-CN"/>
        </w:rPr>
        <w:t>文件）</w:t>
      </w:r>
    </w:p>
    <w:p w:rsidR="00DE6FAD" w:rsidRPr="001F3C4D" w:rsidRDefault="00DE6FAD" w:rsidP="001F3C4D">
      <w:pPr>
        <w:rPr>
          <w:lang w:eastAsia="zh-CN"/>
        </w:rPr>
      </w:pPr>
      <w:r w:rsidRPr="001F3C4D">
        <w:rPr>
          <w:lang w:eastAsia="zh-CN"/>
        </w:rPr>
        <w:t>8.1</w:t>
      </w:r>
      <w:r w:rsidRPr="001F3C4D">
        <w:rPr>
          <w:lang w:eastAsia="zh-CN"/>
        </w:rPr>
        <w:tab/>
      </w:r>
      <w:bookmarkStart w:id="150" w:name="lt_pId343"/>
      <w:r w:rsidRPr="001F3C4D">
        <w:rPr>
          <w:rFonts w:hint="eastAsia"/>
          <w:lang w:eastAsia="zh-CN"/>
        </w:rPr>
        <w:t>秘书处介绍了</w:t>
      </w:r>
      <w:r w:rsidRPr="001F3C4D">
        <w:rPr>
          <w:lang w:eastAsia="zh-CN"/>
        </w:rPr>
        <w:t>CWG-FHR 9/14</w:t>
      </w:r>
      <w:r w:rsidRPr="001F3C4D">
        <w:rPr>
          <w:rFonts w:hint="eastAsia"/>
          <w:lang w:eastAsia="zh-CN"/>
        </w:rPr>
        <w:t>号文件：</w:t>
      </w:r>
      <w:r w:rsidRPr="001F3C4D">
        <w:rPr>
          <w:lang w:eastAsia="zh-CN"/>
        </w:rPr>
        <w:t xml:space="preserve">1) </w:t>
      </w:r>
      <w:r w:rsidRPr="001F3C4D">
        <w:rPr>
          <w:rFonts w:hint="eastAsia"/>
          <w:lang w:eastAsia="zh-CN"/>
        </w:rPr>
        <w:t>总结了理事会</w:t>
      </w:r>
      <w:r w:rsidRPr="001F3C4D">
        <w:rPr>
          <w:rFonts w:hint="eastAsia"/>
          <w:lang w:eastAsia="zh-CN"/>
        </w:rPr>
        <w:t>2018</w:t>
      </w:r>
      <w:r w:rsidRPr="001F3C4D">
        <w:rPr>
          <w:rFonts w:hint="eastAsia"/>
          <w:lang w:eastAsia="zh-CN"/>
        </w:rPr>
        <w:t>年</w:t>
      </w:r>
      <w:r w:rsidRPr="001F3C4D">
        <w:rPr>
          <w:lang w:eastAsia="zh-CN"/>
        </w:rPr>
        <w:t>会议的建议；</w:t>
      </w:r>
      <w:r w:rsidRPr="001F3C4D">
        <w:rPr>
          <w:lang w:eastAsia="zh-CN"/>
        </w:rPr>
        <w:t xml:space="preserve">2) </w:t>
      </w:r>
      <w:r w:rsidRPr="001F3C4D">
        <w:rPr>
          <w:rFonts w:hint="eastAsia"/>
          <w:lang w:eastAsia="zh-CN"/>
        </w:rPr>
        <w:t>提供</w:t>
      </w:r>
      <w:r w:rsidRPr="001F3C4D">
        <w:rPr>
          <w:lang w:eastAsia="zh-CN"/>
        </w:rPr>
        <w:t>与各国主管部门</w:t>
      </w:r>
      <w:r w:rsidRPr="001F3C4D">
        <w:rPr>
          <w:rFonts w:hint="eastAsia"/>
          <w:lang w:eastAsia="zh-CN"/>
        </w:rPr>
        <w:t>/</w:t>
      </w:r>
      <w:r w:rsidRPr="001F3C4D">
        <w:rPr>
          <w:rFonts w:hint="eastAsia"/>
          <w:lang w:eastAsia="zh-CN"/>
        </w:rPr>
        <w:t>监管</w:t>
      </w:r>
      <w:r w:rsidRPr="001F3C4D">
        <w:rPr>
          <w:lang w:eastAsia="zh-CN"/>
        </w:rPr>
        <w:t>机构和得到授权</w:t>
      </w:r>
      <w:r w:rsidRPr="001F3C4D">
        <w:rPr>
          <w:rFonts w:hint="eastAsia"/>
          <w:lang w:eastAsia="zh-CN"/>
        </w:rPr>
        <w:t>机构</w:t>
      </w:r>
      <w:r w:rsidRPr="001F3C4D">
        <w:rPr>
          <w:lang w:eastAsia="zh-CN"/>
        </w:rPr>
        <w:t>进行磋商的最新情况；</w:t>
      </w:r>
      <w:r w:rsidRPr="001F3C4D">
        <w:rPr>
          <w:lang w:eastAsia="zh-CN"/>
        </w:rPr>
        <w:t xml:space="preserve">3) </w:t>
      </w:r>
      <w:r w:rsidRPr="001F3C4D">
        <w:rPr>
          <w:rFonts w:hint="eastAsia"/>
          <w:lang w:eastAsia="zh-CN"/>
        </w:rPr>
        <w:t>介绍</w:t>
      </w:r>
      <w:r w:rsidRPr="001F3C4D">
        <w:rPr>
          <w:lang w:eastAsia="zh-CN"/>
        </w:rPr>
        <w:t>理事会第</w:t>
      </w:r>
      <w:r w:rsidRPr="001F3C4D">
        <w:rPr>
          <w:rFonts w:hint="eastAsia"/>
          <w:lang w:eastAsia="zh-CN"/>
        </w:rPr>
        <w:t>600</w:t>
      </w:r>
      <w:r w:rsidRPr="001F3C4D">
        <w:rPr>
          <w:rFonts w:hint="eastAsia"/>
          <w:lang w:eastAsia="zh-CN"/>
        </w:rPr>
        <w:t>和</w:t>
      </w:r>
      <w:r w:rsidRPr="001F3C4D">
        <w:rPr>
          <w:rFonts w:hint="eastAsia"/>
          <w:lang w:eastAsia="zh-CN"/>
        </w:rPr>
        <w:t>601</w:t>
      </w:r>
      <w:r w:rsidRPr="001F3C4D">
        <w:rPr>
          <w:rFonts w:hint="eastAsia"/>
          <w:lang w:eastAsia="zh-CN"/>
        </w:rPr>
        <w:t>号</w:t>
      </w:r>
      <w:r w:rsidRPr="001F3C4D">
        <w:rPr>
          <w:lang w:eastAsia="zh-CN"/>
        </w:rPr>
        <w:t>决定落实的最新情况。</w:t>
      </w:r>
      <w:bookmarkEnd w:id="150"/>
    </w:p>
    <w:p w:rsidR="00DE6FAD" w:rsidRPr="001F3C4D" w:rsidRDefault="00DE6FAD" w:rsidP="001F3C4D">
      <w:pPr>
        <w:rPr>
          <w:lang w:eastAsia="zh-CN"/>
        </w:rPr>
      </w:pPr>
      <w:r w:rsidRPr="001F3C4D">
        <w:rPr>
          <w:lang w:eastAsia="zh-CN"/>
        </w:rPr>
        <w:t>8.2</w:t>
      </w:r>
      <w:r w:rsidRPr="001F3C4D">
        <w:rPr>
          <w:lang w:eastAsia="zh-CN"/>
        </w:rPr>
        <w:tab/>
      </w:r>
      <w:bookmarkStart w:id="151" w:name="lt_pId345"/>
      <w:r w:rsidRPr="001F3C4D">
        <w:rPr>
          <w:rFonts w:hint="eastAsia"/>
          <w:lang w:eastAsia="zh-CN"/>
        </w:rPr>
        <w:t>相关</w:t>
      </w:r>
      <w:r w:rsidRPr="001F3C4D">
        <w:rPr>
          <w:lang w:eastAsia="zh-CN"/>
        </w:rPr>
        <w:t>方面就尚未得到付款的发票金额（</w:t>
      </w:r>
      <w:r w:rsidRPr="001F3C4D">
        <w:rPr>
          <w:lang w:eastAsia="zh-CN"/>
        </w:rPr>
        <w:t>752 700</w:t>
      </w:r>
      <w:r w:rsidRPr="001F3C4D">
        <w:rPr>
          <w:rFonts w:hint="eastAsia"/>
          <w:lang w:eastAsia="zh-CN"/>
        </w:rPr>
        <w:t>瑞郎</w:t>
      </w:r>
      <w:r w:rsidRPr="001F3C4D">
        <w:rPr>
          <w:lang w:eastAsia="zh-CN"/>
        </w:rPr>
        <w:t>中的</w:t>
      </w:r>
      <w:r w:rsidRPr="001F3C4D">
        <w:rPr>
          <w:lang w:eastAsia="zh-CN"/>
        </w:rPr>
        <w:t>671 700</w:t>
      </w:r>
      <w:r w:rsidRPr="001F3C4D">
        <w:rPr>
          <w:rFonts w:hint="eastAsia"/>
          <w:lang w:eastAsia="zh-CN"/>
        </w:rPr>
        <w:t>瑞郎</w:t>
      </w:r>
      <w:r w:rsidRPr="001F3C4D">
        <w:rPr>
          <w:lang w:eastAsia="zh-CN"/>
        </w:rPr>
        <w:t>）提出问题，秘书处澄清说，一家已</w:t>
      </w:r>
      <w:r w:rsidRPr="001F3C4D">
        <w:rPr>
          <w:rFonts w:hint="eastAsia"/>
          <w:lang w:eastAsia="zh-CN"/>
        </w:rPr>
        <w:t>为之</w:t>
      </w:r>
      <w:r w:rsidRPr="001F3C4D">
        <w:rPr>
          <w:lang w:eastAsia="zh-CN"/>
        </w:rPr>
        <w:t>开具发票的运营商（金额为</w:t>
      </w:r>
      <w:bookmarkStart w:id="152" w:name="lt_pId346"/>
      <w:bookmarkEnd w:id="151"/>
      <w:r w:rsidRPr="001F3C4D">
        <w:rPr>
          <w:lang w:eastAsia="zh-CN"/>
        </w:rPr>
        <w:t>326</w:t>
      </w:r>
      <w:proofErr w:type="gramStart"/>
      <w:r w:rsidRPr="001F3C4D">
        <w:rPr>
          <w:lang w:eastAsia="zh-CN"/>
        </w:rPr>
        <w:t>,800</w:t>
      </w:r>
      <w:r w:rsidRPr="001F3C4D">
        <w:rPr>
          <w:rFonts w:hint="eastAsia"/>
          <w:lang w:eastAsia="zh-CN"/>
        </w:rPr>
        <w:t>瑞郎</w:t>
      </w:r>
      <w:proofErr w:type="gramEnd"/>
      <w:r w:rsidRPr="001F3C4D">
        <w:rPr>
          <w:lang w:eastAsia="zh-CN"/>
        </w:rPr>
        <w:t>）决定变为部门成员，这代表着</w:t>
      </w:r>
      <w:r w:rsidRPr="001F3C4D">
        <w:rPr>
          <w:rFonts w:hint="eastAsia"/>
          <w:lang w:eastAsia="zh-CN"/>
        </w:rPr>
        <w:t>2018</w:t>
      </w:r>
      <w:r w:rsidRPr="001F3C4D">
        <w:rPr>
          <w:rFonts w:hint="eastAsia"/>
          <w:lang w:eastAsia="zh-CN"/>
        </w:rPr>
        <w:t>年</w:t>
      </w:r>
      <w:r w:rsidRPr="001F3C4D">
        <w:rPr>
          <w:lang w:eastAsia="zh-CN"/>
        </w:rPr>
        <w:t>初收取的近一半的未支付收入。</w:t>
      </w:r>
      <w:r w:rsidRPr="001F3C4D">
        <w:rPr>
          <w:rFonts w:hint="eastAsia"/>
          <w:lang w:eastAsia="zh-CN"/>
        </w:rPr>
        <w:t>新部门</w:t>
      </w:r>
      <w:r w:rsidRPr="001F3C4D">
        <w:rPr>
          <w:lang w:eastAsia="zh-CN"/>
        </w:rPr>
        <w:t>成员的会费将成为国际电联今后几年的经常性收入</w:t>
      </w:r>
      <w:bookmarkStart w:id="153" w:name="lt_pId347"/>
      <w:bookmarkEnd w:id="152"/>
      <w:r w:rsidRPr="001F3C4D">
        <w:rPr>
          <w:rFonts w:hint="eastAsia"/>
          <w:lang w:eastAsia="zh-CN"/>
        </w:rPr>
        <w:t>（</w:t>
      </w:r>
      <w:r w:rsidRPr="001F3C4D">
        <w:rPr>
          <w:lang w:eastAsia="zh-CN"/>
        </w:rPr>
        <w:t>recurring income</w:t>
      </w:r>
      <w:r w:rsidRPr="001F3C4D">
        <w:rPr>
          <w:rFonts w:hint="eastAsia"/>
          <w:lang w:eastAsia="zh-CN"/>
        </w:rPr>
        <w:t>）</w:t>
      </w:r>
      <w:r w:rsidRPr="001F3C4D">
        <w:rPr>
          <w:lang w:eastAsia="zh-CN"/>
        </w:rPr>
        <w:t>。</w:t>
      </w:r>
      <w:r w:rsidRPr="001F3C4D">
        <w:rPr>
          <w:rFonts w:hint="eastAsia"/>
          <w:lang w:eastAsia="zh-CN"/>
        </w:rPr>
        <w:t>其</w:t>
      </w:r>
      <w:r w:rsidRPr="001F3C4D">
        <w:rPr>
          <w:rFonts w:hint="eastAsia"/>
          <w:lang w:eastAsia="zh-CN"/>
        </w:rPr>
        <w:lastRenderedPageBreak/>
        <w:t>余未</w:t>
      </w:r>
      <w:r w:rsidRPr="001F3C4D">
        <w:rPr>
          <w:lang w:eastAsia="zh-CN"/>
        </w:rPr>
        <w:t>付款金额多数依然是四家公司的未付金额</w:t>
      </w:r>
      <w:r w:rsidRPr="001F3C4D">
        <w:rPr>
          <w:rFonts w:hint="eastAsia"/>
          <w:lang w:eastAsia="zh-CN"/>
        </w:rPr>
        <w:t>。如果</w:t>
      </w:r>
      <w:r w:rsidRPr="001F3C4D">
        <w:rPr>
          <w:lang w:eastAsia="zh-CN"/>
        </w:rPr>
        <w:t>可以结清这些运营商</w:t>
      </w:r>
      <w:r w:rsidRPr="001F3C4D">
        <w:rPr>
          <w:rFonts w:hint="eastAsia"/>
          <w:lang w:eastAsia="zh-CN"/>
        </w:rPr>
        <w:t>/</w:t>
      </w:r>
      <w:r w:rsidRPr="001F3C4D">
        <w:rPr>
          <w:rFonts w:hint="eastAsia"/>
          <w:lang w:eastAsia="zh-CN"/>
        </w:rPr>
        <w:t>公司</w:t>
      </w:r>
      <w:r w:rsidRPr="001F3C4D">
        <w:rPr>
          <w:lang w:eastAsia="zh-CN"/>
        </w:rPr>
        <w:t>的发票，则可以解决很大一部分未付发票金额</w:t>
      </w:r>
      <w:bookmarkEnd w:id="153"/>
      <w:r w:rsidRPr="001F3C4D">
        <w:rPr>
          <w:rFonts w:hint="eastAsia"/>
          <w:lang w:eastAsia="zh-CN"/>
        </w:rPr>
        <w:t>。</w:t>
      </w:r>
    </w:p>
    <w:p w:rsidR="00DE6FAD" w:rsidRPr="001F3C4D" w:rsidRDefault="00DE6FAD" w:rsidP="001F3C4D">
      <w:pPr>
        <w:rPr>
          <w:lang w:eastAsia="zh-CN"/>
        </w:rPr>
      </w:pPr>
      <w:r w:rsidRPr="001F3C4D">
        <w:rPr>
          <w:lang w:eastAsia="zh-CN"/>
        </w:rPr>
        <w:t>8.3</w:t>
      </w:r>
      <w:r w:rsidRPr="001F3C4D">
        <w:rPr>
          <w:lang w:eastAsia="zh-CN"/>
        </w:rPr>
        <w:tab/>
      </w:r>
      <w:bookmarkStart w:id="154" w:name="lt_pId351"/>
      <w:r w:rsidRPr="001F3C4D">
        <w:rPr>
          <w:rFonts w:hint="eastAsia"/>
          <w:lang w:eastAsia="zh-CN"/>
        </w:rPr>
        <w:t>秘书处</w:t>
      </w:r>
      <w:r w:rsidRPr="001F3C4D">
        <w:rPr>
          <w:lang w:eastAsia="zh-CN"/>
        </w:rPr>
        <w:t>提醒会议说，按照国际公共部门会计准则（</w:t>
      </w:r>
      <w:r w:rsidRPr="001F3C4D">
        <w:rPr>
          <w:rFonts w:hint="eastAsia"/>
          <w:lang w:eastAsia="zh-CN"/>
        </w:rPr>
        <w:t>I</w:t>
      </w:r>
      <w:r w:rsidRPr="001F3C4D">
        <w:rPr>
          <w:lang w:eastAsia="zh-CN"/>
        </w:rPr>
        <w:t>PSAS</w:t>
      </w:r>
      <w:r w:rsidRPr="001F3C4D">
        <w:rPr>
          <w:rFonts w:hint="eastAsia"/>
          <w:lang w:eastAsia="zh-CN"/>
        </w:rPr>
        <w:t>）的</w:t>
      </w:r>
      <w:r w:rsidR="007D5B63" w:rsidRPr="001F3C4D">
        <w:rPr>
          <w:lang w:eastAsia="zh-CN"/>
        </w:rPr>
        <w:t>规则，每年年底</w:t>
      </w:r>
      <w:r w:rsidRPr="001F3C4D">
        <w:rPr>
          <w:lang w:eastAsia="zh-CN"/>
        </w:rPr>
        <w:t>都将</w:t>
      </w:r>
      <w:r w:rsidRPr="001F3C4D">
        <w:rPr>
          <w:rFonts w:hint="eastAsia"/>
          <w:lang w:eastAsia="zh-CN"/>
        </w:rPr>
        <w:t>为</w:t>
      </w:r>
      <w:r w:rsidRPr="001F3C4D">
        <w:rPr>
          <w:lang w:eastAsia="zh-CN"/>
        </w:rPr>
        <w:t>任何未付发票提供准备金。</w:t>
      </w:r>
      <w:r w:rsidRPr="001F3C4D">
        <w:rPr>
          <w:rFonts w:hint="eastAsia"/>
          <w:lang w:eastAsia="zh-CN"/>
        </w:rPr>
        <w:t>如果</w:t>
      </w:r>
      <w:r w:rsidRPr="001F3C4D">
        <w:rPr>
          <w:lang w:eastAsia="zh-CN"/>
        </w:rPr>
        <w:t>发票长时间得不到付款，则秘书处将请求成员国</w:t>
      </w:r>
      <w:r w:rsidRPr="001F3C4D">
        <w:rPr>
          <w:rFonts w:hint="eastAsia"/>
          <w:lang w:eastAsia="zh-CN"/>
        </w:rPr>
        <w:t>协助</w:t>
      </w:r>
      <w:r w:rsidRPr="001F3C4D">
        <w:rPr>
          <w:lang w:eastAsia="zh-CN"/>
        </w:rPr>
        <w:t>追回债务。</w:t>
      </w:r>
      <w:r w:rsidRPr="001F3C4D">
        <w:rPr>
          <w:rFonts w:hint="eastAsia"/>
          <w:lang w:eastAsia="zh-CN"/>
        </w:rPr>
        <w:t>最后</w:t>
      </w:r>
      <w:r w:rsidRPr="001F3C4D">
        <w:rPr>
          <w:lang w:eastAsia="zh-CN"/>
        </w:rPr>
        <w:t>，如果还不成功，则由理事会决定是否要注销债务</w:t>
      </w:r>
      <w:bookmarkEnd w:id="154"/>
      <w:r w:rsidRPr="001F3C4D">
        <w:rPr>
          <w:rFonts w:hint="eastAsia"/>
          <w:lang w:eastAsia="zh-CN"/>
        </w:rPr>
        <w:t>。</w:t>
      </w:r>
    </w:p>
    <w:p w:rsidR="00DE6FAD" w:rsidRPr="00663971" w:rsidRDefault="00DE6FAD" w:rsidP="001F3C4D">
      <w:pPr>
        <w:rPr>
          <w:lang w:val="en-US" w:eastAsia="zh-CN"/>
        </w:rPr>
      </w:pPr>
      <w:r w:rsidRPr="001F3C4D">
        <w:rPr>
          <w:lang w:eastAsia="zh-CN"/>
        </w:rPr>
        <w:t>8.4</w:t>
      </w:r>
      <w:r w:rsidRPr="001F3C4D">
        <w:rPr>
          <w:lang w:eastAsia="zh-CN"/>
        </w:rPr>
        <w:tab/>
      </w:r>
      <w:bookmarkStart w:id="155" w:name="lt_pId355"/>
      <w:r w:rsidRPr="001F3C4D">
        <w:rPr>
          <w:rFonts w:hint="eastAsia"/>
          <w:lang w:eastAsia="zh-CN"/>
        </w:rPr>
        <w:t>秘书处</w:t>
      </w:r>
      <w:r w:rsidRPr="001F3C4D">
        <w:rPr>
          <w:lang w:eastAsia="zh-CN"/>
        </w:rPr>
        <w:t>确认说，</w:t>
      </w:r>
      <w:r w:rsidRPr="001F3C4D">
        <w:rPr>
          <w:rFonts w:hint="eastAsia"/>
          <w:lang w:eastAsia="zh-CN"/>
        </w:rPr>
        <w:t>2020</w:t>
      </w:r>
      <w:r w:rsidRPr="001F3C4D">
        <w:rPr>
          <w:rFonts w:hint="eastAsia"/>
          <w:lang w:eastAsia="zh-CN"/>
        </w:rPr>
        <w:t>和</w:t>
      </w:r>
      <w:r w:rsidRPr="001F3C4D">
        <w:rPr>
          <w:rFonts w:hint="eastAsia"/>
          <w:lang w:eastAsia="zh-CN"/>
        </w:rPr>
        <w:t>2021</w:t>
      </w:r>
      <w:r w:rsidRPr="001F3C4D">
        <w:rPr>
          <w:rFonts w:hint="eastAsia"/>
          <w:lang w:eastAsia="zh-CN"/>
        </w:rPr>
        <w:t>年</w:t>
      </w:r>
      <w:r w:rsidRPr="001F3C4D">
        <w:rPr>
          <w:lang w:eastAsia="zh-CN"/>
        </w:rPr>
        <w:t>预算草案中每年为</w:t>
      </w:r>
      <w:r w:rsidRPr="001F3C4D">
        <w:rPr>
          <w:rFonts w:hint="eastAsia"/>
          <w:lang w:eastAsia="zh-CN"/>
        </w:rPr>
        <w:t>UIFN</w:t>
      </w:r>
      <w:r w:rsidRPr="001F3C4D">
        <w:rPr>
          <w:rFonts w:hint="eastAsia"/>
          <w:lang w:eastAsia="zh-CN"/>
        </w:rPr>
        <w:t>预计</w:t>
      </w:r>
      <w:r w:rsidRPr="001F3C4D">
        <w:rPr>
          <w:lang w:eastAsia="zh-CN"/>
        </w:rPr>
        <w:t>的</w:t>
      </w:r>
      <w:r w:rsidRPr="001F3C4D">
        <w:rPr>
          <w:lang w:eastAsia="zh-CN"/>
        </w:rPr>
        <w:t>500</w:t>
      </w:r>
      <w:proofErr w:type="gramStart"/>
      <w:r w:rsidRPr="001F3C4D">
        <w:rPr>
          <w:lang w:eastAsia="zh-CN"/>
        </w:rPr>
        <w:t>,000</w:t>
      </w:r>
      <w:r w:rsidRPr="001F3C4D">
        <w:rPr>
          <w:rFonts w:hint="eastAsia"/>
          <w:lang w:eastAsia="zh-CN"/>
        </w:rPr>
        <w:t>瑞郎</w:t>
      </w:r>
      <w:r w:rsidRPr="001F3C4D">
        <w:rPr>
          <w:lang w:eastAsia="zh-CN"/>
        </w:rPr>
        <w:t>是一次性收费</w:t>
      </w:r>
      <w:proofErr w:type="gramEnd"/>
      <w:r w:rsidR="007D5B63" w:rsidRPr="001F3C4D">
        <w:rPr>
          <w:rFonts w:hint="eastAsia"/>
          <w:lang w:eastAsia="zh-CN"/>
        </w:rPr>
        <w:t>、</w:t>
      </w:r>
      <w:r w:rsidRPr="001F3C4D">
        <w:rPr>
          <w:rFonts w:hint="eastAsia"/>
          <w:lang w:eastAsia="zh-CN"/>
        </w:rPr>
        <w:t>UIFN</w:t>
      </w:r>
      <w:r w:rsidRPr="001F3C4D">
        <w:rPr>
          <w:rFonts w:hint="eastAsia"/>
          <w:lang w:eastAsia="zh-CN"/>
        </w:rPr>
        <w:t>年度</w:t>
      </w:r>
      <w:r w:rsidRPr="001F3C4D">
        <w:rPr>
          <w:lang w:eastAsia="zh-CN"/>
        </w:rPr>
        <w:t>保留</w:t>
      </w:r>
      <w:r w:rsidRPr="001F3C4D">
        <w:rPr>
          <w:rFonts w:hint="eastAsia"/>
          <w:lang w:eastAsia="zh-CN"/>
        </w:rPr>
        <w:t>费</w:t>
      </w:r>
      <w:r w:rsidRPr="001F3C4D">
        <w:rPr>
          <w:lang w:eastAsia="zh-CN"/>
        </w:rPr>
        <w:t>和经常性发生的新部门成员会费的综合数额。</w:t>
      </w:r>
      <w:bookmarkEnd w:id="155"/>
    </w:p>
    <w:p w:rsidR="00DE6FAD" w:rsidRPr="007E2FA9" w:rsidRDefault="00DE6FAD" w:rsidP="001F3C4D">
      <w:pPr>
        <w:pStyle w:val="Heading1"/>
        <w:rPr>
          <w:lang w:eastAsia="zh-CN"/>
        </w:rPr>
      </w:pPr>
      <w:r w:rsidRPr="00B6696E">
        <w:rPr>
          <w:rFonts w:eastAsia="Calibri"/>
          <w:lang w:eastAsia="zh-CN"/>
        </w:rPr>
        <w:t>9</w:t>
      </w:r>
      <w:r w:rsidRPr="00B6696E">
        <w:rPr>
          <w:rFonts w:eastAsia="Calibri"/>
          <w:lang w:eastAsia="zh-CN"/>
        </w:rPr>
        <w:tab/>
      </w:r>
      <w:bookmarkStart w:id="156" w:name="lt_pId357"/>
      <w:r>
        <w:rPr>
          <w:rFonts w:hint="eastAsia"/>
          <w:lang w:eastAsia="zh-CN"/>
        </w:rPr>
        <w:t>联合国</w:t>
      </w:r>
      <w:r>
        <w:rPr>
          <w:lang w:eastAsia="zh-CN"/>
        </w:rPr>
        <w:t>系统范围内</w:t>
      </w:r>
      <w:r>
        <w:rPr>
          <w:rFonts w:hint="eastAsia"/>
          <w:lang w:eastAsia="zh-CN"/>
        </w:rPr>
        <w:t>新</w:t>
      </w:r>
      <w:r>
        <w:rPr>
          <w:lang w:eastAsia="zh-CN"/>
        </w:rPr>
        <w:t>的性别平等和妇女赋能行动计划</w:t>
      </w:r>
      <w:bookmarkEnd w:id="156"/>
    </w:p>
    <w:p w:rsidR="00DE6FAD" w:rsidRPr="007E2FA9" w:rsidRDefault="00DE6FAD" w:rsidP="001F3C4D">
      <w:pPr>
        <w:rPr>
          <w:sz w:val="22"/>
          <w:lang w:eastAsia="zh-CN"/>
        </w:rPr>
      </w:pPr>
      <w:r w:rsidRPr="007E2FA9">
        <w:rPr>
          <w:lang w:eastAsia="zh-CN"/>
        </w:rPr>
        <w:t>9.1</w:t>
      </w:r>
      <w:r w:rsidRPr="007E2FA9">
        <w:rPr>
          <w:lang w:eastAsia="zh-CN"/>
        </w:rPr>
        <w:tab/>
      </w:r>
      <w:bookmarkStart w:id="157" w:name="lt_pId359"/>
      <w:r>
        <w:rPr>
          <w:rFonts w:hint="eastAsia"/>
          <w:lang w:eastAsia="zh-CN"/>
        </w:rPr>
        <w:t>秘书处概要</w:t>
      </w:r>
      <w:r>
        <w:rPr>
          <w:lang w:eastAsia="zh-CN"/>
        </w:rPr>
        <w:t>介绍了联合国系统范围内新的性别平等和妇女赋能行动计划（</w:t>
      </w:r>
      <w:r w:rsidRPr="007E2FA9">
        <w:rPr>
          <w:lang w:eastAsia="zh-CN"/>
        </w:rPr>
        <w:t>UN-SWAP</w:t>
      </w:r>
      <w:r>
        <w:rPr>
          <w:rFonts w:hint="eastAsia"/>
          <w:lang w:eastAsia="zh-CN"/>
        </w:rPr>
        <w:t>）</w:t>
      </w:r>
      <w:r>
        <w:rPr>
          <w:lang w:eastAsia="zh-CN"/>
        </w:rPr>
        <w:t>。最初的</w:t>
      </w:r>
      <w:r>
        <w:rPr>
          <w:rFonts w:hint="eastAsia"/>
          <w:lang w:eastAsia="zh-CN"/>
        </w:rPr>
        <w:t xml:space="preserve">UN-SWAP </w:t>
      </w:r>
      <w:r w:rsidR="001F3C4D">
        <w:rPr>
          <w:lang w:eastAsia="zh-CN"/>
        </w:rPr>
        <w:t>–</w:t>
      </w:r>
      <w:r>
        <w:rPr>
          <w:lang w:eastAsia="zh-CN"/>
        </w:rPr>
        <w:t xml:space="preserve"> </w:t>
      </w:r>
      <w:r>
        <w:rPr>
          <w:rFonts w:hint="eastAsia"/>
          <w:lang w:eastAsia="zh-CN"/>
        </w:rPr>
        <w:t>首个</w:t>
      </w:r>
      <w:r>
        <w:rPr>
          <w:lang w:eastAsia="zh-CN"/>
        </w:rPr>
        <w:t>联合国系统内主题问责框架</w:t>
      </w:r>
      <w:r>
        <w:rPr>
          <w:rFonts w:hint="eastAsia"/>
          <w:lang w:eastAsia="zh-CN"/>
        </w:rPr>
        <w:t xml:space="preserve"> </w:t>
      </w:r>
      <w:r w:rsidR="001F3C4D">
        <w:rPr>
          <w:lang w:eastAsia="zh-CN"/>
        </w:rPr>
        <w:t>–</w:t>
      </w:r>
      <w:r>
        <w:rPr>
          <w:lang w:eastAsia="zh-CN"/>
        </w:rPr>
        <w:t xml:space="preserve"> </w:t>
      </w:r>
      <w:r>
        <w:rPr>
          <w:rFonts w:hint="eastAsia"/>
          <w:lang w:eastAsia="zh-CN"/>
        </w:rPr>
        <w:t>于</w:t>
      </w:r>
      <w:r>
        <w:rPr>
          <w:rFonts w:hint="eastAsia"/>
          <w:lang w:eastAsia="zh-CN"/>
        </w:rPr>
        <w:t>2012</w:t>
      </w:r>
      <w:r>
        <w:rPr>
          <w:rFonts w:hint="eastAsia"/>
          <w:lang w:eastAsia="zh-CN"/>
        </w:rPr>
        <w:t>年</w:t>
      </w:r>
      <w:r>
        <w:rPr>
          <w:lang w:eastAsia="zh-CN"/>
        </w:rPr>
        <w:t>由行政首长</w:t>
      </w:r>
      <w:r w:rsidR="00F11818">
        <w:rPr>
          <w:rFonts w:hint="eastAsia"/>
          <w:lang w:eastAsia="zh-CN"/>
        </w:rPr>
        <w:t>协调</w:t>
      </w:r>
      <w:r>
        <w:rPr>
          <w:lang w:eastAsia="zh-CN"/>
        </w:rPr>
        <w:t>委员会（</w:t>
      </w:r>
      <w:r>
        <w:rPr>
          <w:rFonts w:hint="eastAsia"/>
          <w:lang w:eastAsia="zh-CN"/>
        </w:rPr>
        <w:t>CEB</w:t>
      </w:r>
      <w:r>
        <w:rPr>
          <w:rFonts w:hint="eastAsia"/>
          <w:lang w:eastAsia="zh-CN"/>
        </w:rPr>
        <w:t>）</w:t>
      </w:r>
      <w:r>
        <w:rPr>
          <w:lang w:eastAsia="zh-CN"/>
        </w:rPr>
        <w:t>批准，并在</w:t>
      </w:r>
      <w:r>
        <w:rPr>
          <w:rFonts w:hint="eastAsia"/>
          <w:lang w:eastAsia="zh-CN"/>
        </w:rPr>
        <w:t>2017</w:t>
      </w:r>
      <w:r>
        <w:rPr>
          <w:rFonts w:hint="eastAsia"/>
          <w:lang w:eastAsia="zh-CN"/>
        </w:rPr>
        <w:t>年</w:t>
      </w:r>
      <w:r>
        <w:rPr>
          <w:lang w:eastAsia="zh-CN"/>
        </w:rPr>
        <w:t>底前一直得到实施。在这</w:t>
      </w:r>
      <w:r>
        <w:rPr>
          <w:rFonts w:hint="eastAsia"/>
          <w:lang w:eastAsia="zh-CN"/>
        </w:rPr>
        <w:t>一</w:t>
      </w:r>
      <w:r>
        <w:rPr>
          <w:lang w:eastAsia="zh-CN"/>
        </w:rPr>
        <w:t>初始落实阶段，国际电联将其遵守率</w:t>
      </w:r>
      <w:r>
        <w:rPr>
          <w:rFonts w:hint="eastAsia"/>
          <w:lang w:eastAsia="zh-CN"/>
        </w:rPr>
        <w:t>由</w:t>
      </w:r>
      <w:r>
        <w:rPr>
          <w:rFonts w:hint="eastAsia"/>
          <w:lang w:eastAsia="zh-CN"/>
        </w:rPr>
        <w:t>13</w:t>
      </w:r>
      <w:r>
        <w:rPr>
          <w:lang w:eastAsia="zh-CN"/>
        </w:rPr>
        <w:t>%</w:t>
      </w:r>
      <w:r>
        <w:rPr>
          <w:lang w:eastAsia="zh-CN"/>
        </w:rPr>
        <w:t>提高到了</w:t>
      </w:r>
      <w:r>
        <w:rPr>
          <w:rFonts w:hint="eastAsia"/>
          <w:lang w:eastAsia="zh-CN"/>
        </w:rPr>
        <w:t>40</w:t>
      </w:r>
      <w:r>
        <w:rPr>
          <w:lang w:eastAsia="zh-CN"/>
        </w:rPr>
        <w:t>%</w:t>
      </w:r>
      <w:r>
        <w:rPr>
          <w:lang w:eastAsia="zh-CN"/>
        </w:rPr>
        <w:t>。整个</w:t>
      </w:r>
      <w:r>
        <w:rPr>
          <w:rFonts w:hint="eastAsia"/>
          <w:lang w:eastAsia="zh-CN"/>
        </w:rPr>
        <w:t>联合国</w:t>
      </w:r>
      <w:r>
        <w:rPr>
          <w:lang w:eastAsia="zh-CN"/>
        </w:rPr>
        <w:t>系统的综合结果表明</w:t>
      </w:r>
      <w:r>
        <w:rPr>
          <w:rFonts w:hint="eastAsia"/>
          <w:lang w:eastAsia="zh-CN"/>
        </w:rPr>
        <w:t>该</w:t>
      </w:r>
      <w:r>
        <w:rPr>
          <w:lang w:eastAsia="zh-CN"/>
        </w:rPr>
        <w:t>框架在推进性别平等并将其纳入主流工作中的重要性。有鉴于此</w:t>
      </w:r>
      <w:r>
        <w:rPr>
          <w:rFonts w:hint="eastAsia"/>
          <w:lang w:eastAsia="zh-CN"/>
        </w:rPr>
        <w:t>，</w:t>
      </w:r>
      <w:r>
        <w:rPr>
          <w:lang w:eastAsia="zh-CN"/>
        </w:rPr>
        <w:t>国际电联将其性别平等和将性别平等观点纳入主要工作（</w:t>
      </w:r>
      <w:r>
        <w:rPr>
          <w:rFonts w:hint="eastAsia"/>
          <w:lang w:eastAsia="zh-CN"/>
        </w:rPr>
        <w:t>GEM</w:t>
      </w:r>
      <w:r>
        <w:rPr>
          <w:rFonts w:hint="eastAsia"/>
          <w:lang w:eastAsia="zh-CN"/>
        </w:rPr>
        <w:t>）</w:t>
      </w:r>
      <w:r>
        <w:rPr>
          <w:lang w:eastAsia="zh-CN"/>
        </w:rPr>
        <w:t>的规划与</w:t>
      </w:r>
      <w:bookmarkStart w:id="158" w:name="lt_pId363"/>
      <w:bookmarkEnd w:id="157"/>
      <w:r w:rsidRPr="007E2FA9">
        <w:rPr>
          <w:lang w:eastAsia="zh-CN"/>
        </w:rPr>
        <w:t>UN-SWAP</w:t>
      </w:r>
      <w:r>
        <w:rPr>
          <w:rFonts w:hint="eastAsia"/>
          <w:lang w:eastAsia="zh-CN"/>
        </w:rPr>
        <w:t>框架</w:t>
      </w:r>
      <w:r>
        <w:rPr>
          <w:lang w:eastAsia="zh-CN"/>
        </w:rPr>
        <w:t>相统一。</w:t>
      </w:r>
      <w:bookmarkEnd w:id="158"/>
    </w:p>
    <w:p w:rsidR="00DE6FAD" w:rsidRPr="007E2FA9" w:rsidRDefault="00DE6FAD" w:rsidP="00DE6FAD">
      <w:pPr>
        <w:tabs>
          <w:tab w:val="left" w:pos="709"/>
        </w:tabs>
        <w:spacing w:before="0"/>
        <w:rPr>
          <w:lang w:eastAsia="zh-CN"/>
        </w:rPr>
      </w:pPr>
    </w:p>
    <w:p w:rsidR="00DE6FAD" w:rsidRPr="007E2FA9" w:rsidRDefault="00DE6FAD" w:rsidP="00DE6FAD">
      <w:pPr>
        <w:tabs>
          <w:tab w:val="left" w:pos="709"/>
        </w:tabs>
        <w:spacing w:before="0"/>
        <w:rPr>
          <w:lang w:eastAsia="zh-CN"/>
        </w:rPr>
      </w:pPr>
      <w:r w:rsidRPr="007E2FA9">
        <w:rPr>
          <w:lang w:eastAsia="zh-CN"/>
        </w:rPr>
        <w:t>9.2</w:t>
      </w:r>
      <w:r w:rsidRPr="007E2FA9">
        <w:rPr>
          <w:lang w:eastAsia="zh-CN"/>
        </w:rPr>
        <w:tab/>
      </w:r>
      <w:bookmarkStart w:id="159" w:name="lt_pId365"/>
      <w:r>
        <w:rPr>
          <w:rFonts w:hint="eastAsia"/>
          <w:lang w:eastAsia="zh-CN"/>
        </w:rPr>
        <w:t>该</w:t>
      </w:r>
      <w:r>
        <w:rPr>
          <w:lang w:eastAsia="zh-CN"/>
        </w:rPr>
        <w:t>框架第</w:t>
      </w:r>
      <w:r w:rsidRPr="007E2FA9">
        <w:rPr>
          <w:lang w:eastAsia="zh-CN"/>
        </w:rPr>
        <w:t>2</w:t>
      </w:r>
      <w:r>
        <w:rPr>
          <w:rFonts w:hint="eastAsia"/>
          <w:lang w:eastAsia="zh-CN"/>
        </w:rPr>
        <w:t>阶段</w:t>
      </w:r>
      <w:r>
        <w:rPr>
          <w:lang w:eastAsia="zh-CN"/>
        </w:rPr>
        <w:t>工作或</w:t>
      </w:r>
      <w:r w:rsidRPr="007E2FA9">
        <w:rPr>
          <w:lang w:eastAsia="zh-CN"/>
        </w:rPr>
        <w:t>UN-SWAP 2.0</w:t>
      </w:r>
      <w:r w:rsidR="00F11818">
        <w:rPr>
          <w:rFonts w:hint="eastAsia"/>
          <w:lang w:eastAsia="zh-CN"/>
        </w:rPr>
        <w:t>已</w:t>
      </w:r>
      <w:r>
        <w:rPr>
          <w:rFonts w:hint="eastAsia"/>
          <w:lang w:eastAsia="zh-CN"/>
        </w:rPr>
        <w:t>于</w:t>
      </w:r>
      <w:r>
        <w:rPr>
          <w:rFonts w:hint="eastAsia"/>
          <w:lang w:eastAsia="zh-CN"/>
        </w:rPr>
        <w:t>2018</w:t>
      </w:r>
      <w:r>
        <w:rPr>
          <w:rFonts w:hint="eastAsia"/>
          <w:lang w:eastAsia="zh-CN"/>
        </w:rPr>
        <w:t>年</w:t>
      </w:r>
      <w:r>
        <w:rPr>
          <w:lang w:eastAsia="zh-CN"/>
        </w:rPr>
        <w:t>启动，并将</w:t>
      </w:r>
      <w:r>
        <w:rPr>
          <w:rFonts w:hint="eastAsia"/>
          <w:lang w:eastAsia="zh-CN"/>
        </w:rPr>
        <w:t>再</w:t>
      </w:r>
      <w:r>
        <w:rPr>
          <w:lang w:eastAsia="zh-CN"/>
        </w:rPr>
        <w:t>实施</w:t>
      </w:r>
      <w:r>
        <w:rPr>
          <w:rFonts w:hint="eastAsia"/>
          <w:lang w:eastAsia="zh-CN"/>
        </w:rPr>
        <w:t>5</w:t>
      </w:r>
      <w:r>
        <w:rPr>
          <w:rFonts w:hint="eastAsia"/>
          <w:lang w:eastAsia="zh-CN"/>
        </w:rPr>
        <w:t>年</w:t>
      </w:r>
      <w:r>
        <w:rPr>
          <w:lang w:eastAsia="zh-CN"/>
        </w:rPr>
        <w:t>。</w:t>
      </w:r>
      <w:r>
        <w:rPr>
          <w:rFonts w:hint="eastAsia"/>
          <w:lang w:eastAsia="zh-CN"/>
        </w:rPr>
        <w:t>新</w:t>
      </w:r>
      <w:r>
        <w:rPr>
          <w:lang w:eastAsia="zh-CN"/>
        </w:rPr>
        <w:t>的框架</w:t>
      </w:r>
      <w:r w:rsidR="00F11818">
        <w:rPr>
          <w:rFonts w:hint="eastAsia"/>
          <w:lang w:eastAsia="zh-CN"/>
        </w:rPr>
        <w:t>与</w:t>
      </w:r>
      <w:r>
        <w:rPr>
          <w:rFonts w:hint="eastAsia"/>
          <w:lang w:eastAsia="zh-CN"/>
        </w:rPr>
        <w:t>2030</w:t>
      </w:r>
      <w:r>
        <w:rPr>
          <w:rFonts w:hint="eastAsia"/>
          <w:lang w:eastAsia="zh-CN"/>
        </w:rPr>
        <w:t>年</w:t>
      </w:r>
      <w:r>
        <w:rPr>
          <w:lang w:eastAsia="zh-CN"/>
        </w:rPr>
        <w:t>发展议程</w:t>
      </w:r>
      <w:r>
        <w:rPr>
          <w:rFonts w:hint="eastAsia"/>
          <w:lang w:eastAsia="zh-CN"/>
        </w:rPr>
        <w:t>相对应</w:t>
      </w:r>
      <w:r>
        <w:rPr>
          <w:lang w:eastAsia="zh-CN"/>
        </w:rPr>
        <w:t>，重点关注与性别相关的可持续发展目标（</w:t>
      </w:r>
      <w:r>
        <w:rPr>
          <w:rFonts w:hint="eastAsia"/>
          <w:lang w:eastAsia="zh-CN"/>
        </w:rPr>
        <w:t>SDG</w:t>
      </w:r>
      <w:r>
        <w:rPr>
          <w:rFonts w:hint="eastAsia"/>
          <w:lang w:eastAsia="zh-CN"/>
        </w:rPr>
        <w:t>）</w:t>
      </w:r>
      <w:r w:rsidR="00F11818">
        <w:rPr>
          <w:rFonts w:hint="eastAsia"/>
          <w:lang w:eastAsia="zh-CN"/>
        </w:rPr>
        <w:t>的成果</w:t>
      </w:r>
      <w:r>
        <w:rPr>
          <w:lang w:eastAsia="zh-CN"/>
        </w:rPr>
        <w:t>。</w:t>
      </w:r>
      <w:r>
        <w:rPr>
          <w:rFonts w:hint="eastAsia"/>
          <w:lang w:eastAsia="zh-CN"/>
        </w:rPr>
        <w:t>此外</w:t>
      </w:r>
      <w:r>
        <w:rPr>
          <w:lang w:eastAsia="zh-CN"/>
        </w:rPr>
        <w:t>，支持实现成果</w:t>
      </w:r>
      <w:r>
        <w:rPr>
          <w:rFonts w:hint="eastAsia"/>
          <w:lang w:eastAsia="zh-CN"/>
        </w:rPr>
        <w:t>的</w:t>
      </w:r>
      <w:r>
        <w:rPr>
          <w:lang w:eastAsia="zh-CN"/>
        </w:rPr>
        <w:t>制度强化指标门槛提高，包括了两项新的、自成一体的指标：</w:t>
      </w:r>
      <w:r>
        <w:rPr>
          <w:rFonts w:hint="eastAsia"/>
          <w:lang w:val="en-US" w:eastAsia="zh-CN"/>
        </w:rPr>
        <w:t>“</w:t>
      </w:r>
      <w:r>
        <w:rPr>
          <w:lang w:val="en-US" w:eastAsia="zh-CN"/>
        </w:rPr>
        <w:t>领导力</w:t>
      </w:r>
      <w:r>
        <w:rPr>
          <w:rFonts w:hint="eastAsia"/>
          <w:lang w:val="en-US" w:eastAsia="zh-CN"/>
        </w:rPr>
        <w:t>”</w:t>
      </w:r>
      <w:r>
        <w:rPr>
          <w:lang w:val="en-US" w:eastAsia="zh-CN"/>
        </w:rPr>
        <w:t>和</w:t>
      </w:r>
      <w:r>
        <w:rPr>
          <w:rFonts w:hint="eastAsia"/>
          <w:lang w:val="en-US" w:eastAsia="zh-CN"/>
        </w:rPr>
        <w:t>“妇女</w:t>
      </w:r>
      <w:r>
        <w:rPr>
          <w:lang w:val="en-US" w:eastAsia="zh-CN"/>
        </w:rPr>
        <w:t>平等代表性</w:t>
      </w:r>
      <w:r>
        <w:rPr>
          <w:rFonts w:hint="eastAsia"/>
          <w:lang w:val="en-US" w:eastAsia="zh-CN"/>
        </w:rPr>
        <w:t>”。将</w:t>
      </w:r>
      <w:r>
        <w:rPr>
          <w:lang w:val="en-US" w:eastAsia="zh-CN"/>
        </w:rPr>
        <w:t>向理事会</w:t>
      </w:r>
      <w:r>
        <w:rPr>
          <w:rFonts w:hint="eastAsia"/>
          <w:lang w:val="en-US" w:eastAsia="zh-CN"/>
        </w:rPr>
        <w:t>2019</w:t>
      </w:r>
      <w:r>
        <w:rPr>
          <w:rFonts w:hint="eastAsia"/>
          <w:lang w:val="en-US" w:eastAsia="zh-CN"/>
        </w:rPr>
        <w:t>年</w:t>
      </w:r>
      <w:r>
        <w:rPr>
          <w:lang w:val="en-US" w:eastAsia="zh-CN"/>
        </w:rPr>
        <w:t>会议提出一份新的年度</w:t>
      </w:r>
      <w:r>
        <w:rPr>
          <w:rFonts w:hint="eastAsia"/>
          <w:lang w:val="en-US" w:eastAsia="zh-CN"/>
        </w:rPr>
        <w:t>GEM</w:t>
      </w:r>
      <w:r>
        <w:rPr>
          <w:rFonts w:hint="eastAsia"/>
          <w:lang w:val="en-US" w:eastAsia="zh-CN"/>
        </w:rPr>
        <w:t>实施</w:t>
      </w:r>
      <w:r>
        <w:rPr>
          <w:lang w:val="en-US" w:eastAsia="zh-CN"/>
        </w:rPr>
        <w:t>计划</w:t>
      </w:r>
      <w:bookmarkEnd w:id="159"/>
      <w:r>
        <w:rPr>
          <w:rFonts w:hint="eastAsia"/>
          <w:lang w:val="en-US" w:eastAsia="zh-CN"/>
        </w:rPr>
        <w:t>。</w:t>
      </w:r>
    </w:p>
    <w:p w:rsidR="00DE6FAD" w:rsidRPr="00315919" w:rsidRDefault="00DE6FAD" w:rsidP="001F3C4D">
      <w:pPr>
        <w:pStyle w:val="Heading1"/>
        <w:rPr>
          <w:lang w:eastAsia="zh-CN"/>
        </w:rPr>
      </w:pPr>
      <w:r w:rsidRPr="007E2FA9">
        <w:rPr>
          <w:lang w:eastAsia="zh-CN"/>
        </w:rPr>
        <w:t>10</w:t>
      </w:r>
      <w:r w:rsidRPr="007E2FA9">
        <w:rPr>
          <w:lang w:eastAsia="zh-CN"/>
        </w:rPr>
        <w:tab/>
      </w:r>
      <w:bookmarkStart w:id="160" w:name="lt_pId370"/>
      <w:r>
        <w:rPr>
          <w:rFonts w:hint="eastAsia"/>
          <w:lang w:eastAsia="zh-CN"/>
        </w:rPr>
        <w:t>下次</w:t>
      </w:r>
      <w:r>
        <w:rPr>
          <w:lang w:eastAsia="zh-CN"/>
        </w:rPr>
        <w:t>会议</w:t>
      </w:r>
      <w:bookmarkEnd w:id="160"/>
    </w:p>
    <w:p w:rsidR="00DE6FAD" w:rsidRDefault="00DE6FAD" w:rsidP="001F3C4D">
      <w:pPr>
        <w:rPr>
          <w:lang w:eastAsia="zh-CN"/>
        </w:rPr>
      </w:pPr>
      <w:r w:rsidRPr="00315919">
        <w:rPr>
          <w:lang w:eastAsia="zh-CN"/>
        </w:rPr>
        <w:t>10.1</w:t>
      </w:r>
      <w:r w:rsidRPr="00315919">
        <w:rPr>
          <w:lang w:eastAsia="zh-CN"/>
        </w:rPr>
        <w:tab/>
      </w:r>
      <w:bookmarkStart w:id="161" w:name="lt_pId372"/>
      <w:r>
        <w:rPr>
          <w:rFonts w:hint="eastAsia"/>
          <w:lang w:eastAsia="zh-CN"/>
        </w:rPr>
        <w:t>如果</w:t>
      </w:r>
      <w:r>
        <w:rPr>
          <w:lang w:eastAsia="zh-CN"/>
        </w:rPr>
        <w:t>没有重大或急迫议题需要讨论或理事会</w:t>
      </w:r>
      <w:r>
        <w:rPr>
          <w:rFonts w:hint="eastAsia"/>
          <w:lang w:eastAsia="zh-CN"/>
        </w:rPr>
        <w:t>2019</w:t>
      </w:r>
      <w:r>
        <w:rPr>
          <w:rFonts w:hint="eastAsia"/>
          <w:lang w:eastAsia="zh-CN"/>
        </w:rPr>
        <w:t>年</w:t>
      </w:r>
      <w:r>
        <w:rPr>
          <w:lang w:eastAsia="zh-CN"/>
        </w:rPr>
        <w:t>会议</w:t>
      </w:r>
      <w:r w:rsidR="0002502B">
        <w:rPr>
          <w:rFonts w:hint="eastAsia"/>
          <w:lang w:eastAsia="zh-CN"/>
        </w:rPr>
        <w:t>不会为</w:t>
      </w:r>
      <w:r>
        <w:rPr>
          <w:lang w:eastAsia="zh-CN"/>
        </w:rPr>
        <w:t>工作组分配任何议题，则</w:t>
      </w:r>
      <w:r w:rsidRPr="00315919">
        <w:rPr>
          <w:lang w:eastAsia="zh-CN"/>
        </w:rPr>
        <w:t>CWG-FHR</w:t>
      </w:r>
      <w:r>
        <w:rPr>
          <w:rFonts w:hint="eastAsia"/>
          <w:lang w:eastAsia="zh-CN"/>
        </w:rPr>
        <w:t>没有</w:t>
      </w:r>
      <w:r>
        <w:rPr>
          <w:lang w:eastAsia="zh-CN"/>
        </w:rPr>
        <w:t>必要在</w:t>
      </w:r>
      <w:r>
        <w:rPr>
          <w:rFonts w:hint="eastAsia"/>
          <w:lang w:eastAsia="zh-CN"/>
        </w:rPr>
        <w:t>2019</w:t>
      </w:r>
      <w:r>
        <w:rPr>
          <w:rFonts w:hint="eastAsia"/>
          <w:lang w:eastAsia="zh-CN"/>
        </w:rPr>
        <w:t>年</w:t>
      </w:r>
      <w:r>
        <w:rPr>
          <w:rFonts w:hint="eastAsia"/>
          <w:lang w:eastAsia="zh-CN"/>
        </w:rPr>
        <w:t>9</w:t>
      </w:r>
      <w:r>
        <w:rPr>
          <w:rFonts w:hint="eastAsia"/>
          <w:lang w:eastAsia="zh-CN"/>
        </w:rPr>
        <w:t>月</w:t>
      </w:r>
      <w:r>
        <w:rPr>
          <w:lang w:eastAsia="zh-CN"/>
        </w:rPr>
        <w:t>集中会议期间举行会议。有鉴于此，</w:t>
      </w:r>
      <w:bookmarkStart w:id="162" w:name="lt_pId373"/>
      <w:bookmarkEnd w:id="161"/>
      <w:r w:rsidRPr="00315919">
        <w:rPr>
          <w:lang w:eastAsia="zh-CN"/>
        </w:rPr>
        <w:t>CWG-FHR</w:t>
      </w:r>
      <w:r>
        <w:rPr>
          <w:rFonts w:hint="eastAsia"/>
          <w:lang w:eastAsia="zh-CN"/>
        </w:rPr>
        <w:t>会议</w:t>
      </w:r>
      <w:r>
        <w:rPr>
          <w:lang w:eastAsia="zh-CN"/>
        </w:rPr>
        <w:t>时间表决定的该工作组的下次会议将在理事会</w:t>
      </w:r>
      <w:r>
        <w:rPr>
          <w:rFonts w:hint="eastAsia"/>
          <w:lang w:eastAsia="zh-CN"/>
        </w:rPr>
        <w:t>2019</w:t>
      </w:r>
      <w:r>
        <w:rPr>
          <w:rFonts w:hint="eastAsia"/>
          <w:lang w:eastAsia="zh-CN"/>
        </w:rPr>
        <w:t>年</w:t>
      </w:r>
      <w:r>
        <w:rPr>
          <w:lang w:eastAsia="zh-CN"/>
        </w:rPr>
        <w:t>会议之后举行。</w:t>
      </w:r>
      <w:bookmarkEnd w:id="162"/>
    </w:p>
    <w:p w:rsidR="00DE6FAD" w:rsidRDefault="00DE6FAD" w:rsidP="00373489">
      <w:pPr>
        <w:overflowPunct/>
        <w:autoSpaceDE/>
        <w:autoSpaceDN/>
        <w:snapToGrid w:val="0"/>
        <w:spacing w:before="0"/>
        <w:textAlignment w:val="auto"/>
        <w:rPr>
          <w:rFonts w:cs="Arial"/>
          <w:szCs w:val="24"/>
          <w:lang w:eastAsia="zh-CN"/>
        </w:rPr>
      </w:pPr>
    </w:p>
    <w:p w:rsidR="0002502B" w:rsidRDefault="0002502B" w:rsidP="00373489">
      <w:pPr>
        <w:overflowPunct/>
        <w:autoSpaceDE/>
        <w:autoSpaceDN/>
        <w:snapToGrid w:val="0"/>
        <w:spacing w:before="0"/>
        <w:textAlignment w:val="auto"/>
        <w:rPr>
          <w:rFonts w:cs="Arial"/>
          <w:szCs w:val="24"/>
          <w:lang w:eastAsia="zh-CN"/>
        </w:rPr>
      </w:pPr>
    </w:p>
    <w:p w:rsidR="0002502B" w:rsidRPr="001E5CCF" w:rsidRDefault="0002502B" w:rsidP="00373489">
      <w:pPr>
        <w:overflowPunct/>
        <w:autoSpaceDE/>
        <w:autoSpaceDN/>
        <w:snapToGrid w:val="0"/>
        <w:spacing w:before="0"/>
        <w:textAlignment w:val="auto"/>
        <w:rPr>
          <w:rFonts w:cs="Arial"/>
          <w:szCs w:val="24"/>
          <w:lang w:eastAsia="zh-CN"/>
        </w:rPr>
      </w:pPr>
    </w:p>
    <w:p w:rsidR="00373489" w:rsidRDefault="00373489" w:rsidP="00373489">
      <w:pPr>
        <w:tabs>
          <w:tab w:val="left" w:pos="709"/>
        </w:tabs>
        <w:overflowPunct/>
        <w:autoSpaceDE/>
        <w:autoSpaceDN/>
        <w:snapToGrid w:val="0"/>
        <w:spacing w:before="0"/>
        <w:ind w:right="57"/>
        <w:jc w:val="center"/>
        <w:textAlignment w:val="auto"/>
        <w:rPr>
          <w:rFonts w:cs="Calibri"/>
          <w:szCs w:val="24"/>
        </w:rPr>
      </w:pPr>
      <w:r>
        <w:rPr>
          <w:rFonts w:cs="Calibri"/>
          <w:szCs w:val="24"/>
        </w:rPr>
        <w:t>________________</w:t>
      </w:r>
    </w:p>
    <w:sectPr w:rsidR="00373489" w:rsidSect="006C36CD">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6D" w:rsidRDefault="005A2A6D">
      <w:r>
        <w:separator/>
      </w:r>
    </w:p>
  </w:endnote>
  <w:endnote w:type="continuationSeparator" w:id="0">
    <w:p w:rsidR="005A2A6D" w:rsidRDefault="005A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6D" w:rsidRPr="00A349B5" w:rsidRDefault="00A349B5" w:rsidP="00513A81">
    <w:pPr>
      <w:pStyle w:val="Footer"/>
      <w:rPr>
        <w:color w:val="D9D9D9" w:themeColor="background1" w:themeShade="D9"/>
      </w:rPr>
    </w:pPr>
    <w:r w:rsidRPr="00A349B5">
      <w:rPr>
        <w:color w:val="D9D9D9" w:themeColor="background1" w:themeShade="D9"/>
      </w:rPr>
      <w:fldChar w:fldCharType="begin"/>
    </w:r>
    <w:r w:rsidRPr="00A349B5">
      <w:rPr>
        <w:color w:val="D9D9D9" w:themeColor="background1" w:themeShade="D9"/>
      </w:rPr>
      <w:instrText xml:space="preserve"> FILENAME \p  \* MERGEFORMAT </w:instrText>
    </w:r>
    <w:r w:rsidRPr="00A349B5">
      <w:rPr>
        <w:color w:val="D9D9D9" w:themeColor="background1" w:themeShade="D9"/>
      </w:rPr>
      <w:fldChar w:fldCharType="separate"/>
    </w:r>
    <w:r w:rsidR="009E60A7" w:rsidRPr="00A349B5">
      <w:rPr>
        <w:color w:val="D9D9D9" w:themeColor="background1" w:themeShade="D9"/>
      </w:rPr>
      <w:t>P:\CHI\SG\CONSEIL\C19\000\050V2C.DOCX</w:t>
    </w:r>
    <w:r w:rsidRPr="00A349B5">
      <w:rPr>
        <w:color w:val="D9D9D9" w:themeColor="background1" w:themeShade="D9"/>
      </w:rPr>
      <w:fldChar w:fldCharType="end"/>
    </w:r>
    <w:r w:rsidR="005A2A6D" w:rsidRPr="00A349B5">
      <w:rPr>
        <w:color w:val="D9D9D9" w:themeColor="background1" w:themeShade="D9"/>
      </w:rPr>
      <w:t xml:space="preserve"> (450276)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6D" w:rsidRDefault="005A2A6D"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6D" w:rsidRDefault="005A2A6D">
      <w:r>
        <w:t>____________________</w:t>
      </w:r>
    </w:p>
  </w:footnote>
  <w:footnote w:type="continuationSeparator" w:id="0">
    <w:p w:rsidR="005A2A6D" w:rsidRDefault="005A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A6D" w:rsidRDefault="005A2A6D" w:rsidP="00CE6F22">
    <w:pPr>
      <w:pStyle w:val="Header"/>
    </w:pPr>
    <w:r>
      <w:fldChar w:fldCharType="begin"/>
    </w:r>
    <w:r>
      <w:instrText>PAGE</w:instrText>
    </w:r>
    <w:r>
      <w:fldChar w:fldCharType="separate"/>
    </w:r>
    <w:r w:rsidR="00A349B5">
      <w:rPr>
        <w:noProof/>
      </w:rPr>
      <w:t>2</w:t>
    </w:r>
    <w:r>
      <w:rPr>
        <w:noProof/>
      </w:rPr>
      <w:fldChar w:fldCharType="end"/>
    </w:r>
  </w:p>
  <w:p w:rsidR="005A2A6D" w:rsidRDefault="005A2A6D" w:rsidP="00513A81">
    <w:pPr>
      <w:pStyle w:val="Header"/>
      <w:rPr>
        <w:lang w:eastAsia="zh-CN"/>
      </w:rPr>
    </w:pPr>
    <w:r>
      <w:t>C1</w:t>
    </w:r>
    <w:r>
      <w:rPr>
        <w:lang w:eastAsia="zh-CN"/>
      </w:rPr>
      <w:t>9</w:t>
    </w:r>
    <w:r>
      <w:t>/</w:t>
    </w:r>
    <w:r>
      <w:rPr>
        <w:lang w:eastAsia="zh-CN"/>
      </w:rPr>
      <w:t>50</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67AE4"/>
    <w:multiLevelType w:val="hybridMultilevel"/>
    <w:tmpl w:val="892E3A3E"/>
    <w:lvl w:ilvl="0" w:tplc="9A80BC22">
      <w:start w:val="1"/>
      <w:numFmt w:val="bullet"/>
      <w:lvlText w:val=""/>
      <w:lvlJc w:val="left"/>
      <w:pPr>
        <w:ind w:left="720" w:hanging="360"/>
      </w:pPr>
      <w:rPr>
        <w:rFonts w:ascii="Symbol" w:hAnsi="Symbol" w:hint="default"/>
      </w:rPr>
    </w:lvl>
    <w:lvl w:ilvl="1" w:tplc="DBEA5AD4" w:tentative="1">
      <w:start w:val="1"/>
      <w:numFmt w:val="bullet"/>
      <w:lvlText w:val="o"/>
      <w:lvlJc w:val="left"/>
      <w:pPr>
        <w:ind w:left="1440" w:hanging="360"/>
      </w:pPr>
      <w:rPr>
        <w:rFonts w:ascii="Courier New" w:hAnsi="Courier New" w:cs="Courier New" w:hint="default"/>
      </w:rPr>
    </w:lvl>
    <w:lvl w:ilvl="2" w:tplc="0DF84746" w:tentative="1">
      <w:start w:val="1"/>
      <w:numFmt w:val="bullet"/>
      <w:lvlText w:val=""/>
      <w:lvlJc w:val="left"/>
      <w:pPr>
        <w:ind w:left="2160" w:hanging="360"/>
      </w:pPr>
      <w:rPr>
        <w:rFonts w:ascii="Wingdings" w:hAnsi="Wingdings" w:hint="default"/>
      </w:rPr>
    </w:lvl>
    <w:lvl w:ilvl="3" w:tplc="C484916A" w:tentative="1">
      <w:start w:val="1"/>
      <w:numFmt w:val="bullet"/>
      <w:lvlText w:val=""/>
      <w:lvlJc w:val="left"/>
      <w:pPr>
        <w:ind w:left="2880" w:hanging="360"/>
      </w:pPr>
      <w:rPr>
        <w:rFonts w:ascii="Symbol" w:hAnsi="Symbol" w:hint="default"/>
      </w:rPr>
    </w:lvl>
    <w:lvl w:ilvl="4" w:tplc="25A0E0D2" w:tentative="1">
      <w:start w:val="1"/>
      <w:numFmt w:val="bullet"/>
      <w:lvlText w:val="o"/>
      <w:lvlJc w:val="left"/>
      <w:pPr>
        <w:ind w:left="3600" w:hanging="360"/>
      </w:pPr>
      <w:rPr>
        <w:rFonts w:ascii="Courier New" w:hAnsi="Courier New" w:cs="Courier New" w:hint="default"/>
      </w:rPr>
    </w:lvl>
    <w:lvl w:ilvl="5" w:tplc="90CA0162" w:tentative="1">
      <w:start w:val="1"/>
      <w:numFmt w:val="bullet"/>
      <w:lvlText w:val=""/>
      <w:lvlJc w:val="left"/>
      <w:pPr>
        <w:ind w:left="4320" w:hanging="360"/>
      </w:pPr>
      <w:rPr>
        <w:rFonts w:ascii="Wingdings" w:hAnsi="Wingdings" w:hint="default"/>
      </w:rPr>
    </w:lvl>
    <w:lvl w:ilvl="6" w:tplc="6DE0C05C" w:tentative="1">
      <w:start w:val="1"/>
      <w:numFmt w:val="bullet"/>
      <w:lvlText w:val=""/>
      <w:lvlJc w:val="left"/>
      <w:pPr>
        <w:ind w:left="5040" w:hanging="360"/>
      </w:pPr>
      <w:rPr>
        <w:rFonts w:ascii="Symbol" w:hAnsi="Symbol" w:hint="default"/>
      </w:rPr>
    </w:lvl>
    <w:lvl w:ilvl="7" w:tplc="311ECBC6" w:tentative="1">
      <w:start w:val="1"/>
      <w:numFmt w:val="bullet"/>
      <w:lvlText w:val="o"/>
      <w:lvlJc w:val="left"/>
      <w:pPr>
        <w:ind w:left="5760" w:hanging="360"/>
      </w:pPr>
      <w:rPr>
        <w:rFonts w:ascii="Courier New" w:hAnsi="Courier New" w:cs="Courier New" w:hint="default"/>
      </w:rPr>
    </w:lvl>
    <w:lvl w:ilvl="8" w:tplc="12ACB532" w:tentative="1">
      <w:start w:val="1"/>
      <w:numFmt w:val="bullet"/>
      <w:lvlText w:val=""/>
      <w:lvlJc w:val="left"/>
      <w:pPr>
        <w:ind w:left="6480" w:hanging="360"/>
      </w:pPr>
      <w:rPr>
        <w:rFonts w:ascii="Wingdings" w:hAnsi="Wingdings" w:hint="default"/>
      </w:rPr>
    </w:lvl>
  </w:abstractNum>
  <w:abstractNum w:abstractNumId="2" w15:restartNumberingAfterBreak="0">
    <w:nsid w:val="02A8229D"/>
    <w:multiLevelType w:val="hybridMultilevel"/>
    <w:tmpl w:val="2DA22822"/>
    <w:lvl w:ilvl="0" w:tplc="37B6C5E4">
      <w:start w:val="1"/>
      <w:numFmt w:val="bullet"/>
      <w:lvlText w:val=""/>
      <w:lvlJc w:val="left"/>
      <w:pPr>
        <w:ind w:left="720" w:hanging="360"/>
      </w:pPr>
      <w:rPr>
        <w:rFonts w:ascii="Symbol" w:hAnsi="Symbol" w:hint="default"/>
      </w:rPr>
    </w:lvl>
    <w:lvl w:ilvl="1" w:tplc="49B0670C" w:tentative="1">
      <w:start w:val="1"/>
      <w:numFmt w:val="bullet"/>
      <w:lvlText w:val="o"/>
      <w:lvlJc w:val="left"/>
      <w:pPr>
        <w:ind w:left="1440" w:hanging="360"/>
      </w:pPr>
      <w:rPr>
        <w:rFonts w:ascii="Courier New" w:hAnsi="Courier New" w:cs="Courier New" w:hint="default"/>
      </w:rPr>
    </w:lvl>
    <w:lvl w:ilvl="2" w:tplc="BDD2C848" w:tentative="1">
      <w:start w:val="1"/>
      <w:numFmt w:val="bullet"/>
      <w:lvlText w:val=""/>
      <w:lvlJc w:val="left"/>
      <w:pPr>
        <w:ind w:left="2160" w:hanging="360"/>
      </w:pPr>
      <w:rPr>
        <w:rFonts w:ascii="Wingdings" w:hAnsi="Wingdings" w:hint="default"/>
      </w:rPr>
    </w:lvl>
    <w:lvl w:ilvl="3" w:tplc="1A360FAA" w:tentative="1">
      <w:start w:val="1"/>
      <w:numFmt w:val="bullet"/>
      <w:lvlText w:val=""/>
      <w:lvlJc w:val="left"/>
      <w:pPr>
        <w:ind w:left="2880" w:hanging="360"/>
      </w:pPr>
      <w:rPr>
        <w:rFonts w:ascii="Symbol" w:hAnsi="Symbol" w:hint="default"/>
      </w:rPr>
    </w:lvl>
    <w:lvl w:ilvl="4" w:tplc="31F4BD06" w:tentative="1">
      <w:start w:val="1"/>
      <w:numFmt w:val="bullet"/>
      <w:lvlText w:val="o"/>
      <w:lvlJc w:val="left"/>
      <w:pPr>
        <w:ind w:left="3600" w:hanging="360"/>
      </w:pPr>
      <w:rPr>
        <w:rFonts w:ascii="Courier New" w:hAnsi="Courier New" w:cs="Courier New" w:hint="default"/>
      </w:rPr>
    </w:lvl>
    <w:lvl w:ilvl="5" w:tplc="3D0C6F4E" w:tentative="1">
      <w:start w:val="1"/>
      <w:numFmt w:val="bullet"/>
      <w:lvlText w:val=""/>
      <w:lvlJc w:val="left"/>
      <w:pPr>
        <w:ind w:left="4320" w:hanging="360"/>
      </w:pPr>
      <w:rPr>
        <w:rFonts w:ascii="Wingdings" w:hAnsi="Wingdings" w:hint="default"/>
      </w:rPr>
    </w:lvl>
    <w:lvl w:ilvl="6" w:tplc="78FE05DE" w:tentative="1">
      <w:start w:val="1"/>
      <w:numFmt w:val="bullet"/>
      <w:lvlText w:val=""/>
      <w:lvlJc w:val="left"/>
      <w:pPr>
        <w:ind w:left="5040" w:hanging="360"/>
      </w:pPr>
      <w:rPr>
        <w:rFonts w:ascii="Symbol" w:hAnsi="Symbol" w:hint="default"/>
      </w:rPr>
    </w:lvl>
    <w:lvl w:ilvl="7" w:tplc="857A1EAA" w:tentative="1">
      <w:start w:val="1"/>
      <w:numFmt w:val="bullet"/>
      <w:lvlText w:val="o"/>
      <w:lvlJc w:val="left"/>
      <w:pPr>
        <w:ind w:left="5760" w:hanging="360"/>
      </w:pPr>
      <w:rPr>
        <w:rFonts w:ascii="Courier New" w:hAnsi="Courier New" w:cs="Courier New" w:hint="default"/>
      </w:rPr>
    </w:lvl>
    <w:lvl w:ilvl="8" w:tplc="A544A17E" w:tentative="1">
      <w:start w:val="1"/>
      <w:numFmt w:val="bullet"/>
      <w:lvlText w:val=""/>
      <w:lvlJc w:val="left"/>
      <w:pPr>
        <w:ind w:left="6480" w:hanging="360"/>
      </w:pPr>
      <w:rPr>
        <w:rFonts w:ascii="Wingdings" w:hAnsi="Wingdings" w:hint="default"/>
      </w:rPr>
    </w:lvl>
  </w:abstractNum>
  <w:abstractNum w:abstractNumId="3" w15:restartNumberingAfterBreak="0">
    <w:nsid w:val="036151A9"/>
    <w:multiLevelType w:val="hybridMultilevel"/>
    <w:tmpl w:val="2004B096"/>
    <w:lvl w:ilvl="0" w:tplc="0574ACDE">
      <w:start w:val="1"/>
      <w:numFmt w:val="bullet"/>
      <w:lvlText w:val=""/>
      <w:lvlJc w:val="left"/>
      <w:pPr>
        <w:ind w:left="720" w:hanging="360"/>
      </w:pPr>
      <w:rPr>
        <w:rFonts w:ascii="Symbol" w:hAnsi="Symbol" w:hint="default"/>
      </w:rPr>
    </w:lvl>
    <w:lvl w:ilvl="1" w:tplc="6B04EF54" w:tentative="1">
      <w:start w:val="1"/>
      <w:numFmt w:val="bullet"/>
      <w:lvlText w:val="o"/>
      <w:lvlJc w:val="left"/>
      <w:pPr>
        <w:ind w:left="1440" w:hanging="360"/>
      </w:pPr>
      <w:rPr>
        <w:rFonts w:ascii="Courier New" w:hAnsi="Courier New" w:cs="Courier New" w:hint="default"/>
      </w:rPr>
    </w:lvl>
    <w:lvl w:ilvl="2" w:tplc="0C9AC756" w:tentative="1">
      <w:start w:val="1"/>
      <w:numFmt w:val="bullet"/>
      <w:lvlText w:val=""/>
      <w:lvlJc w:val="left"/>
      <w:pPr>
        <w:ind w:left="2160" w:hanging="360"/>
      </w:pPr>
      <w:rPr>
        <w:rFonts w:ascii="Wingdings" w:hAnsi="Wingdings" w:hint="default"/>
      </w:rPr>
    </w:lvl>
    <w:lvl w:ilvl="3" w:tplc="CC485A4A" w:tentative="1">
      <w:start w:val="1"/>
      <w:numFmt w:val="bullet"/>
      <w:lvlText w:val=""/>
      <w:lvlJc w:val="left"/>
      <w:pPr>
        <w:ind w:left="2880" w:hanging="360"/>
      </w:pPr>
      <w:rPr>
        <w:rFonts w:ascii="Symbol" w:hAnsi="Symbol" w:hint="default"/>
      </w:rPr>
    </w:lvl>
    <w:lvl w:ilvl="4" w:tplc="5B1821F0" w:tentative="1">
      <w:start w:val="1"/>
      <w:numFmt w:val="bullet"/>
      <w:lvlText w:val="o"/>
      <w:lvlJc w:val="left"/>
      <w:pPr>
        <w:ind w:left="3600" w:hanging="360"/>
      </w:pPr>
      <w:rPr>
        <w:rFonts w:ascii="Courier New" w:hAnsi="Courier New" w:cs="Courier New" w:hint="default"/>
      </w:rPr>
    </w:lvl>
    <w:lvl w:ilvl="5" w:tplc="74C291BE" w:tentative="1">
      <w:start w:val="1"/>
      <w:numFmt w:val="bullet"/>
      <w:lvlText w:val=""/>
      <w:lvlJc w:val="left"/>
      <w:pPr>
        <w:ind w:left="4320" w:hanging="360"/>
      </w:pPr>
      <w:rPr>
        <w:rFonts w:ascii="Wingdings" w:hAnsi="Wingdings" w:hint="default"/>
      </w:rPr>
    </w:lvl>
    <w:lvl w:ilvl="6" w:tplc="92EE3CAA" w:tentative="1">
      <w:start w:val="1"/>
      <w:numFmt w:val="bullet"/>
      <w:lvlText w:val=""/>
      <w:lvlJc w:val="left"/>
      <w:pPr>
        <w:ind w:left="5040" w:hanging="360"/>
      </w:pPr>
      <w:rPr>
        <w:rFonts w:ascii="Symbol" w:hAnsi="Symbol" w:hint="default"/>
      </w:rPr>
    </w:lvl>
    <w:lvl w:ilvl="7" w:tplc="B7FCB022" w:tentative="1">
      <w:start w:val="1"/>
      <w:numFmt w:val="bullet"/>
      <w:lvlText w:val="o"/>
      <w:lvlJc w:val="left"/>
      <w:pPr>
        <w:ind w:left="5760" w:hanging="360"/>
      </w:pPr>
      <w:rPr>
        <w:rFonts w:ascii="Courier New" w:hAnsi="Courier New" w:cs="Courier New" w:hint="default"/>
      </w:rPr>
    </w:lvl>
    <w:lvl w:ilvl="8" w:tplc="BC3E0A5E" w:tentative="1">
      <w:start w:val="1"/>
      <w:numFmt w:val="bullet"/>
      <w:lvlText w:val=""/>
      <w:lvlJc w:val="left"/>
      <w:pPr>
        <w:ind w:left="6480" w:hanging="360"/>
      </w:pPr>
      <w:rPr>
        <w:rFonts w:ascii="Wingdings" w:hAnsi="Wingdings" w:hint="default"/>
      </w:rPr>
    </w:lvl>
  </w:abstractNum>
  <w:abstractNum w:abstractNumId="4" w15:restartNumberingAfterBreak="0">
    <w:nsid w:val="03825327"/>
    <w:multiLevelType w:val="hybridMultilevel"/>
    <w:tmpl w:val="A72E01BC"/>
    <w:lvl w:ilvl="0" w:tplc="12BE6CFC">
      <w:start w:val="1"/>
      <w:numFmt w:val="bullet"/>
      <w:lvlText w:val=""/>
      <w:lvlJc w:val="left"/>
      <w:pPr>
        <w:ind w:left="770" w:hanging="360"/>
      </w:pPr>
      <w:rPr>
        <w:rFonts w:ascii="Symbol" w:hAnsi="Symbol" w:hint="default"/>
      </w:rPr>
    </w:lvl>
    <w:lvl w:ilvl="1" w:tplc="693CBC46" w:tentative="1">
      <w:start w:val="1"/>
      <w:numFmt w:val="bullet"/>
      <w:lvlText w:val="o"/>
      <w:lvlJc w:val="left"/>
      <w:pPr>
        <w:ind w:left="1490" w:hanging="360"/>
      </w:pPr>
      <w:rPr>
        <w:rFonts w:ascii="Courier New" w:hAnsi="Courier New" w:cs="Courier New" w:hint="default"/>
      </w:rPr>
    </w:lvl>
    <w:lvl w:ilvl="2" w:tplc="5FD4A73E" w:tentative="1">
      <w:start w:val="1"/>
      <w:numFmt w:val="bullet"/>
      <w:lvlText w:val=""/>
      <w:lvlJc w:val="left"/>
      <w:pPr>
        <w:ind w:left="2210" w:hanging="360"/>
      </w:pPr>
      <w:rPr>
        <w:rFonts w:ascii="Wingdings" w:hAnsi="Wingdings" w:hint="default"/>
      </w:rPr>
    </w:lvl>
    <w:lvl w:ilvl="3" w:tplc="9A6EEF4E" w:tentative="1">
      <w:start w:val="1"/>
      <w:numFmt w:val="bullet"/>
      <w:lvlText w:val=""/>
      <w:lvlJc w:val="left"/>
      <w:pPr>
        <w:ind w:left="2930" w:hanging="360"/>
      </w:pPr>
      <w:rPr>
        <w:rFonts w:ascii="Symbol" w:hAnsi="Symbol" w:hint="default"/>
      </w:rPr>
    </w:lvl>
    <w:lvl w:ilvl="4" w:tplc="199CDCC0" w:tentative="1">
      <w:start w:val="1"/>
      <w:numFmt w:val="bullet"/>
      <w:lvlText w:val="o"/>
      <w:lvlJc w:val="left"/>
      <w:pPr>
        <w:ind w:left="3650" w:hanging="360"/>
      </w:pPr>
      <w:rPr>
        <w:rFonts w:ascii="Courier New" w:hAnsi="Courier New" w:cs="Courier New" w:hint="default"/>
      </w:rPr>
    </w:lvl>
    <w:lvl w:ilvl="5" w:tplc="520049C6" w:tentative="1">
      <w:start w:val="1"/>
      <w:numFmt w:val="bullet"/>
      <w:lvlText w:val=""/>
      <w:lvlJc w:val="left"/>
      <w:pPr>
        <w:ind w:left="4370" w:hanging="360"/>
      </w:pPr>
      <w:rPr>
        <w:rFonts w:ascii="Wingdings" w:hAnsi="Wingdings" w:hint="default"/>
      </w:rPr>
    </w:lvl>
    <w:lvl w:ilvl="6" w:tplc="8C10CFAA" w:tentative="1">
      <w:start w:val="1"/>
      <w:numFmt w:val="bullet"/>
      <w:lvlText w:val=""/>
      <w:lvlJc w:val="left"/>
      <w:pPr>
        <w:ind w:left="5090" w:hanging="360"/>
      </w:pPr>
      <w:rPr>
        <w:rFonts w:ascii="Symbol" w:hAnsi="Symbol" w:hint="default"/>
      </w:rPr>
    </w:lvl>
    <w:lvl w:ilvl="7" w:tplc="59767886" w:tentative="1">
      <w:start w:val="1"/>
      <w:numFmt w:val="bullet"/>
      <w:lvlText w:val="o"/>
      <w:lvlJc w:val="left"/>
      <w:pPr>
        <w:ind w:left="5810" w:hanging="360"/>
      </w:pPr>
      <w:rPr>
        <w:rFonts w:ascii="Courier New" w:hAnsi="Courier New" w:cs="Courier New" w:hint="default"/>
      </w:rPr>
    </w:lvl>
    <w:lvl w:ilvl="8" w:tplc="1BFE2AF6" w:tentative="1">
      <w:start w:val="1"/>
      <w:numFmt w:val="bullet"/>
      <w:lvlText w:val=""/>
      <w:lvlJc w:val="left"/>
      <w:pPr>
        <w:ind w:left="6530" w:hanging="360"/>
      </w:pPr>
      <w:rPr>
        <w:rFonts w:ascii="Wingdings" w:hAnsi="Wingdings" w:hint="default"/>
      </w:rPr>
    </w:lvl>
  </w:abstractNum>
  <w:abstractNum w:abstractNumId="5" w15:restartNumberingAfterBreak="0">
    <w:nsid w:val="10BF2EDA"/>
    <w:multiLevelType w:val="hybridMultilevel"/>
    <w:tmpl w:val="5C62B148"/>
    <w:lvl w:ilvl="0" w:tplc="248ED15E">
      <w:start w:val="1"/>
      <w:numFmt w:val="bullet"/>
      <w:lvlText w:val=""/>
      <w:lvlJc w:val="left"/>
      <w:pPr>
        <w:ind w:left="720" w:hanging="360"/>
      </w:pPr>
      <w:rPr>
        <w:rFonts w:ascii="Symbol" w:hAnsi="Symbol" w:hint="default"/>
      </w:rPr>
    </w:lvl>
    <w:lvl w:ilvl="1" w:tplc="A93E1F98" w:tentative="1">
      <w:start w:val="1"/>
      <w:numFmt w:val="bullet"/>
      <w:lvlText w:val="o"/>
      <w:lvlJc w:val="left"/>
      <w:pPr>
        <w:ind w:left="1440" w:hanging="360"/>
      </w:pPr>
      <w:rPr>
        <w:rFonts w:ascii="Courier New" w:hAnsi="Courier New" w:cs="Courier New" w:hint="default"/>
      </w:rPr>
    </w:lvl>
    <w:lvl w:ilvl="2" w:tplc="902C6586" w:tentative="1">
      <w:start w:val="1"/>
      <w:numFmt w:val="bullet"/>
      <w:lvlText w:val=""/>
      <w:lvlJc w:val="left"/>
      <w:pPr>
        <w:ind w:left="2160" w:hanging="360"/>
      </w:pPr>
      <w:rPr>
        <w:rFonts w:ascii="Wingdings" w:hAnsi="Wingdings" w:hint="default"/>
      </w:rPr>
    </w:lvl>
    <w:lvl w:ilvl="3" w:tplc="5A585068" w:tentative="1">
      <w:start w:val="1"/>
      <w:numFmt w:val="bullet"/>
      <w:lvlText w:val=""/>
      <w:lvlJc w:val="left"/>
      <w:pPr>
        <w:ind w:left="2880" w:hanging="360"/>
      </w:pPr>
      <w:rPr>
        <w:rFonts w:ascii="Symbol" w:hAnsi="Symbol" w:hint="default"/>
      </w:rPr>
    </w:lvl>
    <w:lvl w:ilvl="4" w:tplc="3D8EE140" w:tentative="1">
      <w:start w:val="1"/>
      <w:numFmt w:val="bullet"/>
      <w:lvlText w:val="o"/>
      <w:lvlJc w:val="left"/>
      <w:pPr>
        <w:ind w:left="3600" w:hanging="360"/>
      </w:pPr>
      <w:rPr>
        <w:rFonts w:ascii="Courier New" w:hAnsi="Courier New" w:cs="Courier New" w:hint="default"/>
      </w:rPr>
    </w:lvl>
    <w:lvl w:ilvl="5" w:tplc="D9227272" w:tentative="1">
      <w:start w:val="1"/>
      <w:numFmt w:val="bullet"/>
      <w:lvlText w:val=""/>
      <w:lvlJc w:val="left"/>
      <w:pPr>
        <w:ind w:left="4320" w:hanging="360"/>
      </w:pPr>
      <w:rPr>
        <w:rFonts w:ascii="Wingdings" w:hAnsi="Wingdings" w:hint="default"/>
      </w:rPr>
    </w:lvl>
    <w:lvl w:ilvl="6" w:tplc="F0E41652" w:tentative="1">
      <w:start w:val="1"/>
      <w:numFmt w:val="bullet"/>
      <w:lvlText w:val=""/>
      <w:lvlJc w:val="left"/>
      <w:pPr>
        <w:ind w:left="5040" w:hanging="360"/>
      </w:pPr>
      <w:rPr>
        <w:rFonts w:ascii="Symbol" w:hAnsi="Symbol" w:hint="default"/>
      </w:rPr>
    </w:lvl>
    <w:lvl w:ilvl="7" w:tplc="A7E8FD8A" w:tentative="1">
      <w:start w:val="1"/>
      <w:numFmt w:val="bullet"/>
      <w:lvlText w:val="o"/>
      <w:lvlJc w:val="left"/>
      <w:pPr>
        <w:ind w:left="5760" w:hanging="360"/>
      </w:pPr>
      <w:rPr>
        <w:rFonts w:ascii="Courier New" w:hAnsi="Courier New" w:cs="Courier New" w:hint="default"/>
      </w:rPr>
    </w:lvl>
    <w:lvl w:ilvl="8" w:tplc="2B5A9DB2" w:tentative="1">
      <w:start w:val="1"/>
      <w:numFmt w:val="bullet"/>
      <w:lvlText w:val=""/>
      <w:lvlJc w:val="left"/>
      <w:pPr>
        <w:ind w:left="6480" w:hanging="360"/>
      </w:pPr>
      <w:rPr>
        <w:rFonts w:ascii="Wingdings" w:hAnsi="Wingdings" w:hint="default"/>
      </w:rPr>
    </w:lvl>
  </w:abstractNum>
  <w:abstractNum w:abstractNumId="6" w15:restartNumberingAfterBreak="0">
    <w:nsid w:val="1B7D479F"/>
    <w:multiLevelType w:val="hybridMultilevel"/>
    <w:tmpl w:val="BF22F184"/>
    <w:lvl w:ilvl="0" w:tplc="1986B1CA">
      <w:start w:val="1"/>
      <w:numFmt w:val="bullet"/>
      <w:lvlText w:val=""/>
      <w:lvlJc w:val="left"/>
      <w:pPr>
        <w:ind w:left="1069" w:hanging="360"/>
      </w:pPr>
      <w:rPr>
        <w:rFonts w:ascii="Symbol" w:hAnsi="Symbol" w:hint="default"/>
      </w:rPr>
    </w:lvl>
    <w:lvl w:ilvl="1" w:tplc="432EA7E2" w:tentative="1">
      <w:start w:val="1"/>
      <w:numFmt w:val="bullet"/>
      <w:lvlText w:val="o"/>
      <w:lvlJc w:val="left"/>
      <w:pPr>
        <w:ind w:left="1789" w:hanging="360"/>
      </w:pPr>
      <w:rPr>
        <w:rFonts w:ascii="Courier New" w:hAnsi="Courier New" w:cs="Courier New" w:hint="default"/>
      </w:rPr>
    </w:lvl>
    <w:lvl w:ilvl="2" w:tplc="29D677AC" w:tentative="1">
      <w:start w:val="1"/>
      <w:numFmt w:val="bullet"/>
      <w:lvlText w:val=""/>
      <w:lvlJc w:val="left"/>
      <w:pPr>
        <w:ind w:left="2509" w:hanging="360"/>
      </w:pPr>
      <w:rPr>
        <w:rFonts w:ascii="Wingdings" w:hAnsi="Wingdings" w:hint="default"/>
      </w:rPr>
    </w:lvl>
    <w:lvl w:ilvl="3" w:tplc="9CCE0446" w:tentative="1">
      <w:start w:val="1"/>
      <w:numFmt w:val="bullet"/>
      <w:lvlText w:val=""/>
      <w:lvlJc w:val="left"/>
      <w:pPr>
        <w:ind w:left="3229" w:hanging="360"/>
      </w:pPr>
      <w:rPr>
        <w:rFonts w:ascii="Symbol" w:hAnsi="Symbol" w:hint="default"/>
      </w:rPr>
    </w:lvl>
    <w:lvl w:ilvl="4" w:tplc="42981FA0" w:tentative="1">
      <w:start w:val="1"/>
      <w:numFmt w:val="bullet"/>
      <w:lvlText w:val="o"/>
      <w:lvlJc w:val="left"/>
      <w:pPr>
        <w:ind w:left="3949" w:hanging="360"/>
      </w:pPr>
      <w:rPr>
        <w:rFonts w:ascii="Courier New" w:hAnsi="Courier New" w:cs="Courier New" w:hint="default"/>
      </w:rPr>
    </w:lvl>
    <w:lvl w:ilvl="5" w:tplc="B51217DA" w:tentative="1">
      <w:start w:val="1"/>
      <w:numFmt w:val="bullet"/>
      <w:lvlText w:val=""/>
      <w:lvlJc w:val="left"/>
      <w:pPr>
        <w:ind w:left="4669" w:hanging="360"/>
      </w:pPr>
      <w:rPr>
        <w:rFonts w:ascii="Wingdings" w:hAnsi="Wingdings" w:hint="default"/>
      </w:rPr>
    </w:lvl>
    <w:lvl w:ilvl="6" w:tplc="7B3402FC" w:tentative="1">
      <w:start w:val="1"/>
      <w:numFmt w:val="bullet"/>
      <w:lvlText w:val=""/>
      <w:lvlJc w:val="left"/>
      <w:pPr>
        <w:ind w:left="5389" w:hanging="360"/>
      </w:pPr>
      <w:rPr>
        <w:rFonts w:ascii="Symbol" w:hAnsi="Symbol" w:hint="default"/>
      </w:rPr>
    </w:lvl>
    <w:lvl w:ilvl="7" w:tplc="BFA82D46" w:tentative="1">
      <w:start w:val="1"/>
      <w:numFmt w:val="bullet"/>
      <w:lvlText w:val="o"/>
      <w:lvlJc w:val="left"/>
      <w:pPr>
        <w:ind w:left="6109" w:hanging="360"/>
      </w:pPr>
      <w:rPr>
        <w:rFonts w:ascii="Courier New" w:hAnsi="Courier New" w:cs="Courier New" w:hint="default"/>
      </w:rPr>
    </w:lvl>
    <w:lvl w:ilvl="8" w:tplc="2488D3FA" w:tentative="1">
      <w:start w:val="1"/>
      <w:numFmt w:val="bullet"/>
      <w:lvlText w:val=""/>
      <w:lvlJc w:val="left"/>
      <w:pPr>
        <w:ind w:left="6829" w:hanging="360"/>
      </w:pPr>
      <w:rPr>
        <w:rFonts w:ascii="Wingdings" w:hAnsi="Wingdings" w:hint="default"/>
      </w:rPr>
    </w:lvl>
  </w:abstractNum>
  <w:abstractNum w:abstractNumId="7"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7A93012"/>
    <w:multiLevelType w:val="hybridMultilevel"/>
    <w:tmpl w:val="2A520AAA"/>
    <w:lvl w:ilvl="0" w:tplc="CB9EFF96">
      <w:start w:val="10"/>
      <w:numFmt w:val="bullet"/>
      <w:lvlText w:val="-"/>
      <w:lvlJc w:val="left"/>
      <w:pPr>
        <w:ind w:left="1080" w:hanging="360"/>
      </w:pPr>
      <w:rPr>
        <w:rFonts w:ascii="Calibri" w:eastAsia="SimSun" w:hAnsi="Calibri" w:cs="Calibri" w:hint="default"/>
      </w:rPr>
    </w:lvl>
    <w:lvl w:ilvl="1" w:tplc="B0F8CF02" w:tentative="1">
      <w:start w:val="1"/>
      <w:numFmt w:val="bullet"/>
      <w:lvlText w:val="o"/>
      <w:lvlJc w:val="left"/>
      <w:pPr>
        <w:ind w:left="1800" w:hanging="360"/>
      </w:pPr>
      <w:rPr>
        <w:rFonts w:ascii="Courier New" w:hAnsi="Courier New" w:cs="Courier New" w:hint="default"/>
      </w:rPr>
    </w:lvl>
    <w:lvl w:ilvl="2" w:tplc="0F28BA9C" w:tentative="1">
      <w:start w:val="1"/>
      <w:numFmt w:val="bullet"/>
      <w:lvlText w:val=""/>
      <w:lvlJc w:val="left"/>
      <w:pPr>
        <w:ind w:left="2520" w:hanging="360"/>
      </w:pPr>
      <w:rPr>
        <w:rFonts w:ascii="Wingdings" w:hAnsi="Wingdings" w:hint="default"/>
      </w:rPr>
    </w:lvl>
    <w:lvl w:ilvl="3" w:tplc="64A69662" w:tentative="1">
      <w:start w:val="1"/>
      <w:numFmt w:val="bullet"/>
      <w:lvlText w:val=""/>
      <w:lvlJc w:val="left"/>
      <w:pPr>
        <w:ind w:left="3240" w:hanging="360"/>
      </w:pPr>
      <w:rPr>
        <w:rFonts w:ascii="Symbol" w:hAnsi="Symbol" w:hint="default"/>
      </w:rPr>
    </w:lvl>
    <w:lvl w:ilvl="4" w:tplc="AE265C14" w:tentative="1">
      <w:start w:val="1"/>
      <w:numFmt w:val="bullet"/>
      <w:lvlText w:val="o"/>
      <w:lvlJc w:val="left"/>
      <w:pPr>
        <w:ind w:left="3960" w:hanging="360"/>
      </w:pPr>
      <w:rPr>
        <w:rFonts w:ascii="Courier New" w:hAnsi="Courier New" w:cs="Courier New" w:hint="default"/>
      </w:rPr>
    </w:lvl>
    <w:lvl w:ilvl="5" w:tplc="0764C4DE" w:tentative="1">
      <w:start w:val="1"/>
      <w:numFmt w:val="bullet"/>
      <w:lvlText w:val=""/>
      <w:lvlJc w:val="left"/>
      <w:pPr>
        <w:ind w:left="4680" w:hanging="360"/>
      </w:pPr>
      <w:rPr>
        <w:rFonts w:ascii="Wingdings" w:hAnsi="Wingdings" w:hint="default"/>
      </w:rPr>
    </w:lvl>
    <w:lvl w:ilvl="6" w:tplc="257A2C5E" w:tentative="1">
      <w:start w:val="1"/>
      <w:numFmt w:val="bullet"/>
      <w:lvlText w:val=""/>
      <w:lvlJc w:val="left"/>
      <w:pPr>
        <w:ind w:left="5400" w:hanging="360"/>
      </w:pPr>
      <w:rPr>
        <w:rFonts w:ascii="Symbol" w:hAnsi="Symbol" w:hint="default"/>
      </w:rPr>
    </w:lvl>
    <w:lvl w:ilvl="7" w:tplc="8E84F738" w:tentative="1">
      <w:start w:val="1"/>
      <w:numFmt w:val="bullet"/>
      <w:lvlText w:val="o"/>
      <w:lvlJc w:val="left"/>
      <w:pPr>
        <w:ind w:left="6120" w:hanging="360"/>
      </w:pPr>
      <w:rPr>
        <w:rFonts w:ascii="Courier New" w:hAnsi="Courier New" w:cs="Courier New" w:hint="default"/>
      </w:rPr>
    </w:lvl>
    <w:lvl w:ilvl="8" w:tplc="AE10234A" w:tentative="1">
      <w:start w:val="1"/>
      <w:numFmt w:val="bullet"/>
      <w:lvlText w:val=""/>
      <w:lvlJc w:val="left"/>
      <w:pPr>
        <w:ind w:left="6840" w:hanging="360"/>
      </w:pPr>
      <w:rPr>
        <w:rFonts w:ascii="Wingdings" w:hAnsi="Wingdings" w:hint="default"/>
      </w:rPr>
    </w:lvl>
  </w:abstractNum>
  <w:abstractNum w:abstractNumId="11" w15:restartNumberingAfterBreak="0">
    <w:nsid w:val="5E372E0C"/>
    <w:multiLevelType w:val="hybridMultilevel"/>
    <w:tmpl w:val="9A3A4392"/>
    <w:lvl w:ilvl="0" w:tplc="2C869F14">
      <w:start w:val="1"/>
      <w:numFmt w:val="bullet"/>
      <w:lvlText w:val=""/>
      <w:lvlJc w:val="left"/>
      <w:pPr>
        <w:ind w:left="720" w:hanging="360"/>
      </w:pPr>
      <w:rPr>
        <w:rFonts w:ascii="Symbol" w:hAnsi="Symbol" w:hint="default"/>
      </w:rPr>
    </w:lvl>
    <w:lvl w:ilvl="1" w:tplc="30B86A82" w:tentative="1">
      <w:start w:val="1"/>
      <w:numFmt w:val="bullet"/>
      <w:lvlText w:val="o"/>
      <w:lvlJc w:val="left"/>
      <w:pPr>
        <w:ind w:left="1440" w:hanging="360"/>
      </w:pPr>
      <w:rPr>
        <w:rFonts w:ascii="Courier New" w:hAnsi="Courier New" w:cs="Courier New" w:hint="default"/>
      </w:rPr>
    </w:lvl>
    <w:lvl w:ilvl="2" w:tplc="81787962" w:tentative="1">
      <w:start w:val="1"/>
      <w:numFmt w:val="bullet"/>
      <w:lvlText w:val=""/>
      <w:lvlJc w:val="left"/>
      <w:pPr>
        <w:ind w:left="2160" w:hanging="360"/>
      </w:pPr>
      <w:rPr>
        <w:rFonts w:ascii="Wingdings" w:hAnsi="Wingdings" w:hint="default"/>
      </w:rPr>
    </w:lvl>
    <w:lvl w:ilvl="3" w:tplc="0F14BAFA" w:tentative="1">
      <w:start w:val="1"/>
      <w:numFmt w:val="bullet"/>
      <w:lvlText w:val=""/>
      <w:lvlJc w:val="left"/>
      <w:pPr>
        <w:ind w:left="2880" w:hanging="360"/>
      </w:pPr>
      <w:rPr>
        <w:rFonts w:ascii="Symbol" w:hAnsi="Symbol" w:hint="default"/>
      </w:rPr>
    </w:lvl>
    <w:lvl w:ilvl="4" w:tplc="78328612" w:tentative="1">
      <w:start w:val="1"/>
      <w:numFmt w:val="bullet"/>
      <w:lvlText w:val="o"/>
      <w:lvlJc w:val="left"/>
      <w:pPr>
        <w:ind w:left="3600" w:hanging="360"/>
      </w:pPr>
      <w:rPr>
        <w:rFonts w:ascii="Courier New" w:hAnsi="Courier New" w:cs="Courier New" w:hint="default"/>
      </w:rPr>
    </w:lvl>
    <w:lvl w:ilvl="5" w:tplc="03423362" w:tentative="1">
      <w:start w:val="1"/>
      <w:numFmt w:val="bullet"/>
      <w:lvlText w:val=""/>
      <w:lvlJc w:val="left"/>
      <w:pPr>
        <w:ind w:left="4320" w:hanging="360"/>
      </w:pPr>
      <w:rPr>
        <w:rFonts w:ascii="Wingdings" w:hAnsi="Wingdings" w:hint="default"/>
      </w:rPr>
    </w:lvl>
    <w:lvl w:ilvl="6" w:tplc="C6B00426" w:tentative="1">
      <w:start w:val="1"/>
      <w:numFmt w:val="bullet"/>
      <w:lvlText w:val=""/>
      <w:lvlJc w:val="left"/>
      <w:pPr>
        <w:ind w:left="5040" w:hanging="360"/>
      </w:pPr>
      <w:rPr>
        <w:rFonts w:ascii="Symbol" w:hAnsi="Symbol" w:hint="default"/>
      </w:rPr>
    </w:lvl>
    <w:lvl w:ilvl="7" w:tplc="8CC26DDE" w:tentative="1">
      <w:start w:val="1"/>
      <w:numFmt w:val="bullet"/>
      <w:lvlText w:val="o"/>
      <w:lvlJc w:val="left"/>
      <w:pPr>
        <w:ind w:left="5760" w:hanging="360"/>
      </w:pPr>
      <w:rPr>
        <w:rFonts w:ascii="Courier New" w:hAnsi="Courier New" w:cs="Courier New" w:hint="default"/>
      </w:rPr>
    </w:lvl>
    <w:lvl w:ilvl="8" w:tplc="358A559A" w:tentative="1">
      <w:start w:val="1"/>
      <w:numFmt w:val="bullet"/>
      <w:lvlText w:val=""/>
      <w:lvlJc w:val="left"/>
      <w:pPr>
        <w:ind w:left="6480" w:hanging="360"/>
      </w:pPr>
      <w:rPr>
        <w:rFonts w:ascii="Wingdings" w:hAnsi="Wingdings" w:hint="default"/>
      </w:rPr>
    </w:lvl>
  </w:abstractNum>
  <w:abstractNum w:abstractNumId="12" w15:restartNumberingAfterBreak="0">
    <w:nsid w:val="617F18B1"/>
    <w:multiLevelType w:val="hybridMultilevel"/>
    <w:tmpl w:val="0D8E43DE"/>
    <w:lvl w:ilvl="0" w:tplc="81B0D404">
      <w:start w:val="1"/>
      <w:numFmt w:val="bullet"/>
      <w:lvlText w:val=""/>
      <w:lvlJc w:val="left"/>
      <w:pPr>
        <w:ind w:left="720" w:hanging="360"/>
      </w:pPr>
      <w:rPr>
        <w:rFonts w:ascii="Symbol" w:hAnsi="Symbol" w:hint="default"/>
      </w:rPr>
    </w:lvl>
    <w:lvl w:ilvl="1" w:tplc="5164BC5E" w:tentative="1">
      <w:start w:val="1"/>
      <w:numFmt w:val="bullet"/>
      <w:lvlText w:val="o"/>
      <w:lvlJc w:val="left"/>
      <w:pPr>
        <w:ind w:left="1440" w:hanging="360"/>
      </w:pPr>
      <w:rPr>
        <w:rFonts w:ascii="Courier New" w:hAnsi="Courier New" w:cs="Courier New" w:hint="default"/>
      </w:rPr>
    </w:lvl>
    <w:lvl w:ilvl="2" w:tplc="D9DC5D2E" w:tentative="1">
      <w:start w:val="1"/>
      <w:numFmt w:val="bullet"/>
      <w:lvlText w:val=""/>
      <w:lvlJc w:val="left"/>
      <w:pPr>
        <w:ind w:left="2160" w:hanging="360"/>
      </w:pPr>
      <w:rPr>
        <w:rFonts w:ascii="Wingdings" w:hAnsi="Wingdings" w:hint="default"/>
      </w:rPr>
    </w:lvl>
    <w:lvl w:ilvl="3" w:tplc="2ADA68A2" w:tentative="1">
      <w:start w:val="1"/>
      <w:numFmt w:val="bullet"/>
      <w:lvlText w:val=""/>
      <w:lvlJc w:val="left"/>
      <w:pPr>
        <w:ind w:left="2880" w:hanging="360"/>
      </w:pPr>
      <w:rPr>
        <w:rFonts w:ascii="Symbol" w:hAnsi="Symbol" w:hint="default"/>
      </w:rPr>
    </w:lvl>
    <w:lvl w:ilvl="4" w:tplc="7144C302" w:tentative="1">
      <w:start w:val="1"/>
      <w:numFmt w:val="bullet"/>
      <w:lvlText w:val="o"/>
      <w:lvlJc w:val="left"/>
      <w:pPr>
        <w:ind w:left="3600" w:hanging="360"/>
      </w:pPr>
      <w:rPr>
        <w:rFonts w:ascii="Courier New" w:hAnsi="Courier New" w:cs="Courier New" w:hint="default"/>
      </w:rPr>
    </w:lvl>
    <w:lvl w:ilvl="5" w:tplc="DEF89448" w:tentative="1">
      <w:start w:val="1"/>
      <w:numFmt w:val="bullet"/>
      <w:lvlText w:val=""/>
      <w:lvlJc w:val="left"/>
      <w:pPr>
        <w:ind w:left="4320" w:hanging="360"/>
      </w:pPr>
      <w:rPr>
        <w:rFonts w:ascii="Wingdings" w:hAnsi="Wingdings" w:hint="default"/>
      </w:rPr>
    </w:lvl>
    <w:lvl w:ilvl="6" w:tplc="37AACE90" w:tentative="1">
      <w:start w:val="1"/>
      <w:numFmt w:val="bullet"/>
      <w:lvlText w:val=""/>
      <w:lvlJc w:val="left"/>
      <w:pPr>
        <w:ind w:left="5040" w:hanging="360"/>
      </w:pPr>
      <w:rPr>
        <w:rFonts w:ascii="Symbol" w:hAnsi="Symbol" w:hint="default"/>
      </w:rPr>
    </w:lvl>
    <w:lvl w:ilvl="7" w:tplc="0C56C2EE" w:tentative="1">
      <w:start w:val="1"/>
      <w:numFmt w:val="bullet"/>
      <w:lvlText w:val="o"/>
      <w:lvlJc w:val="left"/>
      <w:pPr>
        <w:ind w:left="5760" w:hanging="360"/>
      </w:pPr>
      <w:rPr>
        <w:rFonts w:ascii="Courier New" w:hAnsi="Courier New" w:cs="Courier New" w:hint="default"/>
      </w:rPr>
    </w:lvl>
    <w:lvl w:ilvl="8" w:tplc="DE5E4B7E" w:tentative="1">
      <w:start w:val="1"/>
      <w:numFmt w:val="bullet"/>
      <w:lvlText w:val=""/>
      <w:lvlJc w:val="left"/>
      <w:pPr>
        <w:ind w:left="6480" w:hanging="360"/>
      </w:pPr>
      <w:rPr>
        <w:rFonts w:ascii="Wingdings" w:hAnsi="Wingdings" w:hint="default"/>
      </w:r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DB3709"/>
    <w:multiLevelType w:val="hybridMultilevel"/>
    <w:tmpl w:val="82ECFE40"/>
    <w:lvl w:ilvl="0" w:tplc="826CE2C4">
      <w:start w:val="6"/>
      <w:numFmt w:val="bullet"/>
      <w:lvlText w:val="-"/>
      <w:lvlJc w:val="left"/>
      <w:pPr>
        <w:ind w:left="720" w:hanging="360"/>
      </w:pPr>
      <w:rPr>
        <w:rFonts w:ascii="Calibri" w:eastAsiaTheme="minorHAnsi" w:hAnsi="Calibri" w:cs="Calibri" w:hint="default"/>
      </w:rPr>
    </w:lvl>
    <w:lvl w:ilvl="1" w:tplc="F9E6821A" w:tentative="1">
      <w:start w:val="1"/>
      <w:numFmt w:val="bullet"/>
      <w:lvlText w:val="o"/>
      <w:lvlJc w:val="left"/>
      <w:pPr>
        <w:ind w:left="1440" w:hanging="360"/>
      </w:pPr>
      <w:rPr>
        <w:rFonts w:ascii="Courier New" w:hAnsi="Courier New" w:cs="Courier New" w:hint="default"/>
      </w:rPr>
    </w:lvl>
    <w:lvl w:ilvl="2" w:tplc="AEBE3B30" w:tentative="1">
      <w:start w:val="1"/>
      <w:numFmt w:val="bullet"/>
      <w:lvlText w:val=""/>
      <w:lvlJc w:val="left"/>
      <w:pPr>
        <w:ind w:left="2160" w:hanging="360"/>
      </w:pPr>
      <w:rPr>
        <w:rFonts w:ascii="Wingdings" w:hAnsi="Wingdings" w:hint="default"/>
      </w:rPr>
    </w:lvl>
    <w:lvl w:ilvl="3" w:tplc="FBFEDB78" w:tentative="1">
      <w:start w:val="1"/>
      <w:numFmt w:val="bullet"/>
      <w:lvlText w:val=""/>
      <w:lvlJc w:val="left"/>
      <w:pPr>
        <w:ind w:left="2880" w:hanging="360"/>
      </w:pPr>
      <w:rPr>
        <w:rFonts w:ascii="Symbol" w:hAnsi="Symbol" w:hint="default"/>
      </w:rPr>
    </w:lvl>
    <w:lvl w:ilvl="4" w:tplc="1882791A" w:tentative="1">
      <w:start w:val="1"/>
      <w:numFmt w:val="bullet"/>
      <w:lvlText w:val="o"/>
      <w:lvlJc w:val="left"/>
      <w:pPr>
        <w:ind w:left="3600" w:hanging="360"/>
      </w:pPr>
      <w:rPr>
        <w:rFonts w:ascii="Courier New" w:hAnsi="Courier New" w:cs="Courier New" w:hint="default"/>
      </w:rPr>
    </w:lvl>
    <w:lvl w:ilvl="5" w:tplc="62B4EE52" w:tentative="1">
      <w:start w:val="1"/>
      <w:numFmt w:val="bullet"/>
      <w:lvlText w:val=""/>
      <w:lvlJc w:val="left"/>
      <w:pPr>
        <w:ind w:left="4320" w:hanging="360"/>
      </w:pPr>
      <w:rPr>
        <w:rFonts w:ascii="Wingdings" w:hAnsi="Wingdings" w:hint="default"/>
      </w:rPr>
    </w:lvl>
    <w:lvl w:ilvl="6" w:tplc="5CE2DC90" w:tentative="1">
      <w:start w:val="1"/>
      <w:numFmt w:val="bullet"/>
      <w:lvlText w:val=""/>
      <w:lvlJc w:val="left"/>
      <w:pPr>
        <w:ind w:left="5040" w:hanging="360"/>
      </w:pPr>
      <w:rPr>
        <w:rFonts w:ascii="Symbol" w:hAnsi="Symbol" w:hint="default"/>
      </w:rPr>
    </w:lvl>
    <w:lvl w:ilvl="7" w:tplc="323819B0" w:tentative="1">
      <w:start w:val="1"/>
      <w:numFmt w:val="bullet"/>
      <w:lvlText w:val="o"/>
      <w:lvlJc w:val="left"/>
      <w:pPr>
        <w:ind w:left="5760" w:hanging="360"/>
      </w:pPr>
      <w:rPr>
        <w:rFonts w:ascii="Courier New" w:hAnsi="Courier New" w:cs="Courier New" w:hint="default"/>
      </w:rPr>
    </w:lvl>
    <w:lvl w:ilvl="8" w:tplc="CF544962" w:tentative="1">
      <w:start w:val="1"/>
      <w:numFmt w:val="bullet"/>
      <w:lvlText w:val=""/>
      <w:lvlJc w:val="left"/>
      <w:pPr>
        <w:ind w:left="6480" w:hanging="360"/>
      </w:pPr>
      <w:rPr>
        <w:rFonts w:ascii="Wingdings" w:hAnsi="Wingdings" w:hint="default"/>
      </w:rPr>
    </w:lvl>
  </w:abstractNum>
  <w:abstractNum w:abstractNumId="15" w15:restartNumberingAfterBreak="0">
    <w:nsid w:val="70D747BD"/>
    <w:multiLevelType w:val="hybridMultilevel"/>
    <w:tmpl w:val="EBACBB84"/>
    <w:lvl w:ilvl="0" w:tplc="C7FA6038">
      <w:start w:val="1"/>
      <w:numFmt w:val="bullet"/>
      <w:lvlText w:val=""/>
      <w:lvlJc w:val="left"/>
      <w:pPr>
        <w:ind w:left="770" w:hanging="360"/>
      </w:pPr>
      <w:rPr>
        <w:rFonts w:ascii="Symbol" w:hAnsi="Symbol" w:hint="default"/>
      </w:rPr>
    </w:lvl>
    <w:lvl w:ilvl="1" w:tplc="C23CEDFC" w:tentative="1">
      <w:start w:val="1"/>
      <w:numFmt w:val="bullet"/>
      <w:lvlText w:val="o"/>
      <w:lvlJc w:val="left"/>
      <w:pPr>
        <w:ind w:left="1490" w:hanging="360"/>
      </w:pPr>
      <w:rPr>
        <w:rFonts w:ascii="Courier New" w:hAnsi="Courier New" w:cs="Courier New" w:hint="default"/>
      </w:rPr>
    </w:lvl>
    <w:lvl w:ilvl="2" w:tplc="5F6075E6" w:tentative="1">
      <w:start w:val="1"/>
      <w:numFmt w:val="bullet"/>
      <w:lvlText w:val=""/>
      <w:lvlJc w:val="left"/>
      <w:pPr>
        <w:ind w:left="2210" w:hanging="360"/>
      </w:pPr>
      <w:rPr>
        <w:rFonts w:ascii="Wingdings" w:hAnsi="Wingdings" w:hint="default"/>
      </w:rPr>
    </w:lvl>
    <w:lvl w:ilvl="3" w:tplc="9578B9CA" w:tentative="1">
      <w:start w:val="1"/>
      <w:numFmt w:val="bullet"/>
      <w:lvlText w:val=""/>
      <w:lvlJc w:val="left"/>
      <w:pPr>
        <w:ind w:left="2930" w:hanging="360"/>
      </w:pPr>
      <w:rPr>
        <w:rFonts w:ascii="Symbol" w:hAnsi="Symbol" w:hint="default"/>
      </w:rPr>
    </w:lvl>
    <w:lvl w:ilvl="4" w:tplc="0298E018" w:tentative="1">
      <w:start w:val="1"/>
      <w:numFmt w:val="bullet"/>
      <w:lvlText w:val="o"/>
      <w:lvlJc w:val="left"/>
      <w:pPr>
        <w:ind w:left="3650" w:hanging="360"/>
      </w:pPr>
      <w:rPr>
        <w:rFonts w:ascii="Courier New" w:hAnsi="Courier New" w:cs="Courier New" w:hint="default"/>
      </w:rPr>
    </w:lvl>
    <w:lvl w:ilvl="5" w:tplc="83F4CF22" w:tentative="1">
      <w:start w:val="1"/>
      <w:numFmt w:val="bullet"/>
      <w:lvlText w:val=""/>
      <w:lvlJc w:val="left"/>
      <w:pPr>
        <w:ind w:left="4370" w:hanging="360"/>
      </w:pPr>
      <w:rPr>
        <w:rFonts w:ascii="Wingdings" w:hAnsi="Wingdings" w:hint="default"/>
      </w:rPr>
    </w:lvl>
    <w:lvl w:ilvl="6" w:tplc="E6086A68" w:tentative="1">
      <w:start w:val="1"/>
      <w:numFmt w:val="bullet"/>
      <w:lvlText w:val=""/>
      <w:lvlJc w:val="left"/>
      <w:pPr>
        <w:ind w:left="5090" w:hanging="360"/>
      </w:pPr>
      <w:rPr>
        <w:rFonts w:ascii="Symbol" w:hAnsi="Symbol" w:hint="default"/>
      </w:rPr>
    </w:lvl>
    <w:lvl w:ilvl="7" w:tplc="6EBA6788" w:tentative="1">
      <w:start w:val="1"/>
      <w:numFmt w:val="bullet"/>
      <w:lvlText w:val="o"/>
      <w:lvlJc w:val="left"/>
      <w:pPr>
        <w:ind w:left="5810" w:hanging="360"/>
      </w:pPr>
      <w:rPr>
        <w:rFonts w:ascii="Courier New" w:hAnsi="Courier New" w:cs="Courier New" w:hint="default"/>
      </w:rPr>
    </w:lvl>
    <w:lvl w:ilvl="8" w:tplc="4C500E6C" w:tentative="1">
      <w:start w:val="1"/>
      <w:numFmt w:val="bullet"/>
      <w:lvlText w:val=""/>
      <w:lvlJc w:val="left"/>
      <w:pPr>
        <w:ind w:left="6530" w:hanging="360"/>
      </w:pPr>
      <w:rPr>
        <w:rFonts w:ascii="Wingdings" w:hAnsi="Wingdings" w:hint="default"/>
      </w:r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9"/>
  </w:num>
  <w:num w:numId="4">
    <w:abstractNumId w:val="13"/>
  </w:num>
  <w:num w:numId="5">
    <w:abstractNumId w:val="17"/>
  </w:num>
  <w:num w:numId="6">
    <w:abstractNumId w:val="16"/>
  </w:num>
  <w:num w:numId="7">
    <w:abstractNumId w:val="7"/>
  </w:num>
  <w:num w:numId="8">
    <w:abstractNumId w:val="14"/>
  </w:num>
  <w:num w:numId="9">
    <w:abstractNumId w:val="11"/>
  </w:num>
  <w:num w:numId="10">
    <w:abstractNumId w:val="2"/>
  </w:num>
  <w:num w:numId="11">
    <w:abstractNumId w:val="4"/>
  </w:num>
  <w:num w:numId="12">
    <w:abstractNumId w:val="3"/>
  </w:num>
  <w:num w:numId="13">
    <w:abstractNumId w:val="1"/>
  </w:num>
  <w:num w:numId="14">
    <w:abstractNumId w:val="6"/>
  </w:num>
  <w:num w:numId="15">
    <w:abstractNumId w:val="5"/>
  </w:num>
  <w:num w:numId="16">
    <w:abstractNumId w:val="10"/>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A"/>
    <w:rsid w:val="00001B77"/>
    <w:rsid w:val="0000517A"/>
    <w:rsid w:val="00013AE1"/>
    <w:rsid w:val="00014EFF"/>
    <w:rsid w:val="000232D8"/>
    <w:rsid w:val="0002502B"/>
    <w:rsid w:val="00031E72"/>
    <w:rsid w:val="000404D2"/>
    <w:rsid w:val="00051577"/>
    <w:rsid w:val="00070706"/>
    <w:rsid w:val="000739A7"/>
    <w:rsid w:val="00080923"/>
    <w:rsid w:val="000836F3"/>
    <w:rsid w:val="000853C0"/>
    <w:rsid w:val="000A18A9"/>
    <w:rsid w:val="000A1B65"/>
    <w:rsid w:val="000A1C21"/>
    <w:rsid w:val="000B4AB2"/>
    <w:rsid w:val="000C7B60"/>
    <w:rsid w:val="000D15EA"/>
    <w:rsid w:val="000F0514"/>
    <w:rsid w:val="000F4823"/>
    <w:rsid w:val="00100D84"/>
    <w:rsid w:val="00124C9D"/>
    <w:rsid w:val="00136343"/>
    <w:rsid w:val="00151D24"/>
    <w:rsid w:val="00154B07"/>
    <w:rsid w:val="00157773"/>
    <w:rsid w:val="0018251A"/>
    <w:rsid w:val="00190272"/>
    <w:rsid w:val="00193244"/>
    <w:rsid w:val="00195C6C"/>
    <w:rsid w:val="00195FED"/>
    <w:rsid w:val="001A4BD6"/>
    <w:rsid w:val="001B6DA4"/>
    <w:rsid w:val="001D5A18"/>
    <w:rsid w:val="001F3C4D"/>
    <w:rsid w:val="00226E0D"/>
    <w:rsid w:val="00242CAA"/>
    <w:rsid w:val="00253160"/>
    <w:rsid w:val="002551D8"/>
    <w:rsid w:val="00280EB8"/>
    <w:rsid w:val="00290EBC"/>
    <w:rsid w:val="002A1F07"/>
    <w:rsid w:val="002A64A3"/>
    <w:rsid w:val="002A6670"/>
    <w:rsid w:val="002B19E3"/>
    <w:rsid w:val="002F1771"/>
    <w:rsid w:val="00303502"/>
    <w:rsid w:val="00324418"/>
    <w:rsid w:val="00325C25"/>
    <w:rsid w:val="00334D09"/>
    <w:rsid w:val="00345AA5"/>
    <w:rsid w:val="00372C8F"/>
    <w:rsid w:val="00373489"/>
    <w:rsid w:val="00374CCE"/>
    <w:rsid w:val="00380ECE"/>
    <w:rsid w:val="00393DDF"/>
    <w:rsid w:val="00397F55"/>
    <w:rsid w:val="003A243C"/>
    <w:rsid w:val="003B4454"/>
    <w:rsid w:val="003B5DBD"/>
    <w:rsid w:val="003B5E1B"/>
    <w:rsid w:val="003C2E37"/>
    <w:rsid w:val="003C7AD9"/>
    <w:rsid w:val="003D163A"/>
    <w:rsid w:val="003D5797"/>
    <w:rsid w:val="003F1415"/>
    <w:rsid w:val="0040144C"/>
    <w:rsid w:val="00403EB7"/>
    <w:rsid w:val="004060C3"/>
    <w:rsid w:val="00406AD6"/>
    <w:rsid w:val="00407875"/>
    <w:rsid w:val="00430BF0"/>
    <w:rsid w:val="00430FBF"/>
    <w:rsid w:val="00434954"/>
    <w:rsid w:val="004672E6"/>
    <w:rsid w:val="00474ED1"/>
    <w:rsid w:val="00493085"/>
    <w:rsid w:val="00494125"/>
    <w:rsid w:val="00494930"/>
    <w:rsid w:val="004A36EC"/>
    <w:rsid w:val="004A4558"/>
    <w:rsid w:val="004C6582"/>
    <w:rsid w:val="004D163F"/>
    <w:rsid w:val="004D5B56"/>
    <w:rsid w:val="004E4091"/>
    <w:rsid w:val="004E4BFF"/>
    <w:rsid w:val="004F2598"/>
    <w:rsid w:val="00513A81"/>
    <w:rsid w:val="00515015"/>
    <w:rsid w:val="005403F7"/>
    <w:rsid w:val="00540632"/>
    <w:rsid w:val="00541CF4"/>
    <w:rsid w:val="005451E8"/>
    <w:rsid w:val="00545308"/>
    <w:rsid w:val="005507F2"/>
    <w:rsid w:val="00553F4C"/>
    <w:rsid w:val="00555563"/>
    <w:rsid w:val="005759CC"/>
    <w:rsid w:val="005A2A6D"/>
    <w:rsid w:val="005A72E1"/>
    <w:rsid w:val="005C6632"/>
    <w:rsid w:val="005D1C9E"/>
    <w:rsid w:val="00613606"/>
    <w:rsid w:val="00626856"/>
    <w:rsid w:val="00627698"/>
    <w:rsid w:val="00654257"/>
    <w:rsid w:val="0065435A"/>
    <w:rsid w:val="006558D5"/>
    <w:rsid w:val="00674D48"/>
    <w:rsid w:val="00683621"/>
    <w:rsid w:val="006A047A"/>
    <w:rsid w:val="006A2DD3"/>
    <w:rsid w:val="006A5AF8"/>
    <w:rsid w:val="006C36CD"/>
    <w:rsid w:val="006D7137"/>
    <w:rsid w:val="006E5228"/>
    <w:rsid w:val="006F1DB6"/>
    <w:rsid w:val="00700D1F"/>
    <w:rsid w:val="007205CB"/>
    <w:rsid w:val="0072262E"/>
    <w:rsid w:val="00726073"/>
    <w:rsid w:val="00734FE8"/>
    <w:rsid w:val="007353EB"/>
    <w:rsid w:val="007360CE"/>
    <w:rsid w:val="007500C4"/>
    <w:rsid w:val="00772315"/>
    <w:rsid w:val="00775157"/>
    <w:rsid w:val="007813AE"/>
    <w:rsid w:val="0078705A"/>
    <w:rsid w:val="00793E37"/>
    <w:rsid w:val="007A050C"/>
    <w:rsid w:val="007A37DB"/>
    <w:rsid w:val="007C647A"/>
    <w:rsid w:val="007D31D7"/>
    <w:rsid w:val="007D5B63"/>
    <w:rsid w:val="007E189D"/>
    <w:rsid w:val="007F57EB"/>
    <w:rsid w:val="00811259"/>
    <w:rsid w:val="00813AA2"/>
    <w:rsid w:val="008173A3"/>
    <w:rsid w:val="008444AD"/>
    <w:rsid w:val="0086059C"/>
    <w:rsid w:val="00864589"/>
    <w:rsid w:val="00875A37"/>
    <w:rsid w:val="00890AFB"/>
    <w:rsid w:val="00890FC4"/>
    <w:rsid w:val="00891405"/>
    <w:rsid w:val="00895905"/>
    <w:rsid w:val="008A6943"/>
    <w:rsid w:val="008B0AC0"/>
    <w:rsid w:val="008C5B08"/>
    <w:rsid w:val="008F21B6"/>
    <w:rsid w:val="009158FB"/>
    <w:rsid w:val="009164A9"/>
    <w:rsid w:val="009258CB"/>
    <w:rsid w:val="0093362E"/>
    <w:rsid w:val="00944563"/>
    <w:rsid w:val="00953160"/>
    <w:rsid w:val="009625D8"/>
    <w:rsid w:val="00971B91"/>
    <w:rsid w:val="00982EEF"/>
    <w:rsid w:val="0098459B"/>
    <w:rsid w:val="00997185"/>
    <w:rsid w:val="009A5DC1"/>
    <w:rsid w:val="009B294F"/>
    <w:rsid w:val="009C2458"/>
    <w:rsid w:val="009C4A7B"/>
    <w:rsid w:val="009C6123"/>
    <w:rsid w:val="009D1B15"/>
    <w:rsid w:val="009D62D8"/>
    <w:rsid w:val="009E04CB"/>
    <w:rsid w:val="009E60A7"/>
    <w:rsid w:val="009F1E3E"/>
    <w:rsid w:val="00A1213C"/>
    <w:rsid w:val="00A2649C"/>
    <w:rsid w:val="00A272FF"/>
    <w:rsid w:val="00A33D83"/>
    <w:rsid w:val="00A349B5"/>
    <w:rsid w:val="00A5354B"/>
    <w:rsid w:val="00A71B57"/>
    <w:rsid w:val="00A84BB2"/>
    <w:rsid w:val="00A9700C"/>
    <w:rsid w:val="00AA7396"/>
    <w:rsid w:val="00AB3E30"/>
    <w:rsid w:val="00AB42C1"/>
    <w:rsid w:val="00AC516F"/>
    <w:rsid w:val="00AE2926"/>
    <w:rsid w:val="00AE2FCF"/>
    <w:rsid w:val="00AE568F"/>
    <w:rsid w:val="00B00F62"/>
    <w:rsid w:val="00B0184B"/>
    <w:rsid w:val="00B035CD"/>
    <w:rsid w:val="00B0769D"/>
    <w:rsid w:val="00B12626"/>
    <w:rsid w:val="00B17188"/>
    <w:rsid w:val="00B20DC4"/>
    <w:rsid w:val="00B217F8"/>
    <w:rsid w:val="00B332EA"/>
    <w:rsid w:val="00B40A53"/>
    <w:rsid w:val="00B41A9A"/>
    <w:rsid w:val="00B45365"/>
    <w:rsid w:val="00B46A65"/>
    <w:rsid w:val="00B51DB4"/>
    <w:rsid w:val="00B60184"/>
    <w:rsid w:val="00B62D20"/>
    <w:rsid w:val="00B66B67"/>
    <w:rsid w:val="00B81E75"/>
    <w:rsid w:val="00BA6D65"/>
    <w:rsid w:val="00BC02E7"/>
    <w:rsid w:val="00BC6A3E"/>
    <w:rsid w:val="00BD1A5A"/>
    <w:rsid w:val="00BD6916"/>
    <w:rsid w:val="00BD7A9B"/>
    <w:rsid w:val="00BD7BE1"/>
    <w:rsid w:val="00BF416B"/>
    <w:rsid w:val="00C27F74"/>
    <w:rsid w:val="00C64E4E"/>
    <w:rsid w:val="00C66E64"/>
    <w:rsid w:val="00C761A0"/>
    <w:rsid w:val="00C85F7E"/>
    <w:rsid w:val="00C90D53"/>
    <w:rsid w:val="00CA1795"/>
    <w:rsid w:val="00CA1A88"/>
    <w:rsid w:val="00CC2069"/>
    <w:rsid w:val="00CD47F0"/>
    <w:rsid w:val="00CD5566"/>
    <w:rsid w:val="00CD64D7"/>
    <w:rsid w:val="00CE6F22"/>
    <w:rsid w:val="00CF41F6"/>
    <w:rsid w:val="00CF7D3E"/>
    <w:rsid w:val="00D02B4E"/>
    <w:rsid w:val="00D16AE6"/>
    <w:rsid w:val="00D17E0F"/>
    <w:rsid w:val="00D21F11"/>
    <w:rsid w:val="00D36817"/>
    <w:rsid w:val="00D453EE"/>
    <w:rsid w:val="00D5666C"/>
    <w:rsid w:val="00D666BC"/>
    <w:rsid w:val="00D83542"/>
    <w:rsid w:val="00D92F45"/>
    <w:rsid w:val="00D94637"/>
    <w:rsid w:val="00D9725C"/>
    <w:rsid w:val="00DA7006"/>
    <w:rsid w:val="00DC2622"/>
    <w:rsid w:val="00DC6427"/>
    <w:rsid w:val="00DD66A1"/>
    <w:rsid w:val="00DE196D"/>
    <w:rsid w:val="00DE31F9"/>
    <w:rsid w:val="00DE6FAD"/>
    <w:rsid w:val="00DF6B49"/>
    <w:rsid w:val="00E067C5"/>
    <w:rsid w:val="00E265BF"/>
    <w:rsid w:val="00E26C67"/>
    <w:rsid w:val="00E378D8"/>
    <w:rsid w:val="00E43A12"/>
    <w:rsid w:val="00E67C67"/>
    <w:rsid w:val="00E75361"/>
    <w:rsid w:val="00E77476"/>
    <w:rsid w:val="00E8228B"/>
    <w:rsid w:val="00E84B38"/>
    <w:rsid w:val="00E853E1"/>
    <w:rsid w:val="00E90D26"/>
    <w:rsid w:val="00EE5706"/>
    <w:rsid w:val="00EF373D"/>
    <w:rsid w:val="00F11595"/>
    <w:rsid w:val="00F11818"/>
    <w:rsid w:val="00F13BC9"/>
    <w:rsid w:val="00F16FC1"/>
    <w:rsid w:val="00F24E26"/>
    <w:rsid w:val="00F357B2"/>
    <w:rsid w:val="00F36556"/>
    <w:rsid w:val="00F63D37"/>
    <w:rsid w:val="00F705DF"/>
    <w:rsid w:val="00F70622"/>
    <w:rsid w:val="00F71F31"/>
    <w:rsid w:val="00F85624"/>
    <w:rsid w:val="00F87C05"/>
    <w:rsid w:val="00F93191"/>
    <w:rsid w:val="00F93A17"/>
    <w:rsid w:val="00FA2AF6"/>
    <w:rsid w:val="00FA36BA"/>
    <w:rsid w:val="00FB073D"/>
    <w:rsid w:val="00FB771F"/>
    <w:rsid w:val="00FC5386"/>
    <w:rsid w:val="00FE1EC8"/>
    <w:rsid w:val="00FE7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78BC7FE-5464-4B50-8119-212DDF8A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WGFHR09-C-0003/en" TargetMode="External"/><Relationship Id="rId18" Type="http://schemas.openxmlformats.org/officeDocument/2006/relationships/hyperlink" Target="https://www.itu.int/md/S19-CLCWGFHR09-C-000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9-CLCWGFHR09-C-0014/en" TargetMode="External"/><Relationship Id="rId7" Type="http://schemas.openxmlformats.org/officeDocument/2006/relationships/endnotes" Target="endnotes.xml"/><Relationship Id="rId12" Type="http://schemas.openxmlformats.org/officeDocument/2006/relationships/hyperlink" Target="http://www.itu.int/md/S18-CLCWGFHRM8-C-0007/en" TargetMode="External"/><Relationship Id="rId17" Type="http://schemas.openxmlformats.org/officeDocument/2006/relationships/hyperlink" Target="https://www.itu.int/md/S19-CLCWGFHR09-C-0002/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WGFHR09-C-0006/en" TargetMode="External"/><Relationship Id="rId20" Type="http://schemas.openxmlformats.org/officeDocument/2006/relationships/hyperlink" Target="https://www.itu.int/md/S19-CLCWGFHR09-C-001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WGFHR09-C-0011/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9-CLCWGFHR09-C-0006/en" TargetMode="External"/><Relationship Id="rId23" Type="http://schemas.openxmlformats.org/officeDocument/2006/relationships/footer" Target="footer1.xml"/><Relationship Id="rId10" Type="http://schemas.openxmlformats.org/officeDocument/2006/relationships/hyperlink" Target="http://www.itu.int/md/S13-CL-C-0113/en" TargetMode="External"/><Relationship Id="rId19" Type="http://schemas.openxmlformats.org/officeDocument/2006/relationships/hyperlink" Target="https://www.itu.int/md/S19-CLCWGFHR09-C-0009/en" TargetMode="External"/><Relationship Id="rId4" Type="http://schemas.openxmlformats.org/officeDocument/2006/relationships/settings" Target="settings.xml"/><Relationship Id="rId9" Type="http://schemas.openxmlformats.org/officeDocument/2006/relationships/hyperlink" Target="http://www.itu.int/md/S18-CL-C-0050/en" TargetMode="External"/><Relationship Id="rId14" Type="http://schemas.openxmlformats.org/officeDocument/2006/relationships/hyperlink" Target="https://www.itu.int/md/S19-CLCWGFHR09-C-0007/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5A3A2-BB9A-475C-A17F-5255E952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12</Pages>
  <Words>10876</Words>
  <Characters>3666</Characters>
  <Application>Microsoft Office Word</Application>
  <DocSecurity>4</DocSecurity>
  <Lines>30</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14513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2019</dc:subject>
  <dc:creator>Zhang, Lin</dc:creator>
  <cp:keywords>C2019, C19</cp:keywords>
  <dc:description/>
  <cp:lastModifiedBy>Brouard, Ricarda</cp:lastModifiedBy>
  <cp:revision>2</cp:revision>
  <cp:lastPrinted>2015-02-24T13:23:00Z</cp:lastPrinted>
  <dcterms:created xsi:type="dcterms:W3CDTF">2019-05-22T10:02:00Z</dcterms:created>
  <dcterms:modified xsi:type="dcterms:W3CDTF">2019-05-22T10:02:00Z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