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44A12" w14:paraId="1689B657" w14:textId="77777777">
        <w:trPr>
          <w:cantSplit/>
        </w:trPr>
        <w:tc>
          <w:tcPr>
            <w:tcW w:w="6912" w:type="dxa"/>
          </w:tcPr>
          <w:p w14:paraId="1546AFC0" w14:textId="77777777" w:rsidR="00520F36" w:rsidRPr="00D44A12" w:rsidRDefault="00520F36" w:rsidP="00D568EA">
            <w:pPr>
              <w:spacing w:before="360"/>
            </w:pPr>
            <w:bookmarkStart w:id="0" w:name="dc06"/>
            <w:bookmarkEnd w:id="0"/>
            <w:r w:rsidRPr="00D44A12">
              <w:rPr>
                <w:b/>
                <w:bCs/>
                <w:sz w:val="30"/>
                <w:szCs w:val="30"/>
              </w:rPr>
              <w:t>Conseil 201</w:t>
            </w:r>
            <w:r w:rsidR="00106B19" w:rsidRPr="00D44A12">
              <w:rPr>
                <w:b/>
                <w:bCs/>
                <w:sz w:val="30"/>
                <w:szCs w:val="30"/>
              </w:rPr>
              <w:t>9</w:t>
            </w:r>
            <w:r w:rsidRPr="00D44A12">
              <w:rPr>
                <w:rFonts w:ascii="Verdana" w:hAnsi="Verdana"/>
                <w:b/>
                <w:bCs/>
                <w:sz w:val="26"/>
                <w:szCs w:val="26"/>
              </w:rPr>
              <w:br/>
            </w:r>
            <w:r w:rsidRPr="00D44A12">
              <w:rPr>
                <w:b/>
                <w:bCs/>
                <w:szCs w:val="24"/>
              </w:rPr>
              <w:t xml:space="preserve">Genève, </w:t>
            </w:r>
            <w:r w:rsidR="00106B19" w:rsidRPr="00D44A12">
              <w:rPr>
                <w:b/>
                <w:bCs/>
                <w:szCs w:val="24"/>
              </w:rPr>
              <w:t>10</w:t>
            </w:r>
            <w:r w:rsidRPr="00D44A12">
              <w:rPr>
                <w:b/>
                <w:bCs/>
                <w:szCs w:val="24"/>
              </w:rPr>
              <w:t>-</w:t>
            </w:r>
            <w:r w:rsidR="00106B19" w:rsidRPr="00D44A12">
              <w:rPr>
                <w:b/>
                <w:bCs/>
                <w:szCs w:val="24"/>
              </w:rPr>
              <w:t>20 juin</w:t>
            </w:r>
            <w:r w:rsidRPr="00D44A12">
              <w:rPr>
                <w:b/>
                <w:bCs/>
                <w:szCs w:val="24"/>
              </w:rPr>
              <w:t xml:space="preserve"> 201</w:t>
            </w:r>
            <w:r w:rsidR="00106B19" w:rsidRPr="00D44A12">
              <w:rPr>
                <w:b/>
                <w:bCs/>
                <w:szCs w:val="24"/>
              </w:rPr>
              <w:t>9</w:t>
            </w:r>
          </w:p>
        </w:tc>
        <w:tc>
          <w:tcPr>
            <w:tcW w:w="3261" w:type="dxa"/>
          </w:tcPr>
          <w:p w14:paraId="53D11118" w14:textId="77777777" w:rsidR="00520F36" w:rsidRPr="00D44A12" w:rsidRDefault="00520F36" w:rsidP="00D568EA">
            <w:pPr>
              <w:spacing w:before="0"/>
              <w:jc w:val="right"/>
            </w:pPr>
            <w:bookmarkStart w:id="1" w:name="ditulogo"/>
            <w:bookmarkEnd w:id="1"/>
            <w:r w:rsidRPr="00D44A12">
              <w:rPr>
                <w:rFonts w:cstheme="minorHAnsi"/>
                <w:b/>
                <w:bCs/>
                <w:noProof/>
                <w:lang w:val="en-GB" w:eastAsia="zh-CN"/>
              </w:rPr>
              <w:drawing>
                <wp:inline distT="0" distB="0" distL="0" distR="0" wp14:anchorId="37DF2919" wp14:editId="07387F8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44A12" w14:paraId="6D014F08" w14:textId="77777777" w:rsidTr="00FF57C3">
        <w:trPr>
          <w:cantSplit/>
          <w:trHeight w:val="20"/>
        </w:trPr>
        <w:tc>
          <w:tcPr>
            <w:tcW w:w="6912" w:type="dxa"/>
            <w:tcBorders>
              <w:bottom w:val="single" w:sz="12" w:space="0" w:color="auto"/>
            </w:tcBorders>
            <w:vAlign w:val="center"/>
          </w:tcPr>
          <w:p w14:paraId="3C24DB4E" w14:textId="77777777" w:rsidR="00520F36" w:rsidRPr="00D44A12" w:rsidRDefault="00520F36" w:rsidP="00D568EA">
            <w:pPr>
              <w:spacing w:before="0"/>
              <w:rPr>
                <w:b/>
                <w:bCs/>
                <w:sz w:val="26"/>
                <w:szCs w:val="26"/>
              </w:rPr>
            </w:pPr>
          </w:p>
        </w:tc>
        <w:tc>
          <w:tcPr>
            <w:tcW w:w="3261" w:type="dxa"/>
            <w:tcBorders>
              <w:bottom w:val="single" w:sz="12" w:space="0" w:color="auto"/>
            </w:tcBorders>
          </w:tcPr>
          <w:p w14:paraId="6CFE25E9" w14:textId="77777777" w:rsidR="00520F36" w:rsidRPr="00D44A12" w:rsidRDefault="00520F36" w:rsidP="00D568EA">
            <w:pPr>
              <w:spacing w:before="0"/>
              <w:rPr>
                <w:b/>
                <w:bCs/>
              </w:rPr>
            </w:pPr>
          </w:p>
        </w:tc>
      </w:tr>
      <w:tr w:rsidR="00520F36" w:rsidRPr="00D44A12" w14:paraId="32D9DC0A" w14:textId="77777777">
        <w:trPr>
          <w:cantSplit/>
          <w:trHeight w:val="20"/>
        </w:trPr>
        <w:tc>
          <w:tcPr>
            <w:tcW w:w="6912" w:type="dxa"/>
            <w:tcBorders>
              <w:top w:val="single" w:sz="12" w:space="0" w:color="auto"/>
            </w:tcBorders>
          </w:tcPr>
          <w:p w14:paraId="6641DB9E" w14:textId="77777777" w:rsidR="00520F36" w:rsidRPr="00D44A12" w:rsidRDefault="00520F36" w:rsidP="00D568EA">
            <w:pPr>
              <w:spacing w:before="0"/>
              <w:rPr>
                <w:smallCaps/>
                <w:sz w:val="22"/>
              </w:rPr>
            </w:pPr>
          </w:p>
        </w:tc>
        <w:tc>
          <w:tcPr>
            <w:tcW w:w="3261" w:type="dxa"/>
            <w:tcBorders>
              <w:top w:val="single" w:sz="12" w:space="0" w:color="auto"/>
            </w:tcBorders>
          </w:tcPr>
          <w:p w14:paraId="07932407" w14:textId="77777777" w:rsidR="00520F36" w:rsidRPr="00D44A12" w:rsidRDefault="00520F36" w:rsidP="00D568EA">
            <w:pPr>
              <w:spacing w:before="0"/>
              <w:rPr>
                <w:b/>
                <w:bCs/>
              </w:rPr>
            </w:pPr>
          </w:p>
        </w:tc>
      </w:tr>
      <w:tr w:rsidR="00520F36" w:rsidRPr="00D44A12" w14:paraId="5F16CD64" w14:textId="77777777">
        <w:trPr>
          <w:cantSplit/>
          <w:trHeight w:val="20"/>
        </w:trPr>
        <w:tc>
          <w:tcPr>
            <w:tcW w:w="6912" w:type="dxa"/>
            <w:vMerge w:val="restart"/>
          </w:tcPr>
          <w:p w14:paraId="6ADB27A6" w14:textId="77777777" w:rsidR="00520F36" w:rsidRPr="00D44A12" w:rsidRDefault="006841B8" w:rsidP="00D568EA">
            <w:pPr>
              <w:spacing w:before="0"/>
              <w:rPr>
                <w:rFonts w:cs="Times"/>
                <w:b/>
                <w:bCs/>
                <w:szCs w:val="24"/>
              </w:rPr>
            </w:pPr>
            <w:bookmarkStart w:id="2" w:name="dnum" w:colFirst="1" w:colLast="1"/>
            <w:bookmarkStart w:id="3" w:name="dmeeting" w:colFirst="0" w:colLast="0"/>
            <w:r w:rsidRPr="00D44A12">
              <w:rPr>
                <w:rFonts w:cs="Times"/>
                <w:b/>
                <w:bCs/>
                <w:szCs w:val="24"/>
              </w:rPr>
              <w:t>Point de l'ordre du jour: ADM 8</w:t>
            </w:r>
          </w:p>
        </w:tc>
        <w:tc>
          <w:tcPr>
            <w:tcW w:w="3261" w:type="dxa"/>
          </w:tcPr>
          <w:p w14:paraId="748CF819" w14:textId="77777777" w:rsidR="00520F36" w:rsidRPr="00D44A12" w:rsidRDefault="00520F36" w:rsidP="00D568EA">
            <w:pPr>
              <w:spacing w:before="0"/>
              <w:rPr>
                <w:b/>
                <w:bCs/>
              </w:rPr>
            </w:pPr>
            <w:r w:rsidRPr="00D44A12">
              <w:rPr>
                <w:b/>
                <w:bCs/>
              </w:rPr>
              <w:t>Document C1</w:t>
            </w:r>
            <w:r w:rsidR="00106B19" w:rsidRPr="00D44A12">
              <w:rPr>
                <w:b/>
                <w:bCs/>
              </w:rPr>
              <w:t>9</w:t>
            </w:r>
            <w:r w:rsidRPr="00D44A12">
              <w:rPr>
                <w:b/>
                <w:bCs/>
              </w:rPr>
              <w:t>/</w:t>
            </w:r>
            <w:r w:rsidR="006841B8" w:rsidRPr="00D44A12">
              <w:rPr>
                <w:b/>
                <w:bCs/>
              </w:rPr>
              <w:t>52</w:t>
            </w:r>
            <w:r w:rsidRPr="00D44A12">
              <w:rPr>
                <w:b/>
                <w:bCs/>
              </w:rPr>
              <w:t>-F</w:t>
            </w:r>
          </w:p>
        </w:tc>
      </w:tr>
      <w:tr w:rsidR="00520F36" w:rsidRPr="00D44A12" w14:paraId="21E88727" w14:textId="77777777">
        <w:trPr>
          <w:cantSplit/>
          <w:trHeight w:val="20"/>
        </w:trPr>
        <w:tc>
          <w:tcPr>
            <w:tcW w:w="6912" w:type="dxa"/>
            <w:vMerge/>
          </w:tcPr>
          <w:p w14:paraId="08D26E57" w14:textId="77777777" w:rsidR="00520F36" w:rsidRPr="00D44A12" w:rsidRDefault="00520F36" w:rsidP="00D568EA">
            <w:pPr>
              <w:shd w:val="solid" w:color="FFFFFF" w:fill="FFFFFF"/>
              <w:spacing w:before="180"/>
              <w:rPr>
                <w:smallCaps/>
              </w:rPr>
            </w:pPr>
            <w:bookmarkStart w:id="4" w:name="ddate" w:colFirst="1" w:colLast="1"/>
            <w:bookmarkEnd w:id="2"/>
            <w:bookmarkEnd w:id="3"/>
          </w:p>
        </w:tc>
        <w:tc>
          <w:tcPr>
            <w:tcW w:w="3261" w:type="dxa"/>
          </w:tcPr>
          <w:p w14:paraId="0BDFC07F" w14:textId="77777777" w:rsidR="00520F36" w:rsidRPr="00D44A12" w:rsidRDefault="006841B8" w:rsidP="00D568EA">
            <w:pPr>
              <w:spacing w:before="0"/>
              <w:rPr>
                <w:b/>
                <w:bCs/>
              </w:rPr>
            </w:pPr>
            <w:r w:rsidRPr="00D44A12">
              <w:rPr>
                <w:b/>
                <w:bCs/>
              </w:rPr>
              <w:t>18 avril</w:t>
            </w:r>
            <w:r w:rsidR="00520F36" w:rsidRPr="00D44A12">
              <w:rPr>
                <w:b/>
                <w:bCs/>
              </w:rPr>
              <w:t xml:space="preserve"> 201</w:t>
            </w:r>
            <w:r w:rsidR="00106B19" w:rsidRPr="00D44A12">
              <w:rPr>
                <w:b/>
                <w:bCs/>
              </w:rPr>
              <w:t>9</w:t>
            </w:r>
          </w:p>
        </w:tc>
      </w:tr>
      <w:tr w:rsidR="00520F36" w:rsidRPr="00D44A12" w14:paraId="5A998CF7" w14:textId="77777777">
        <w:trPr>
          <w:cantSplit/>
          <w:trHeight w:val="20"/>
        </w:trPr>
        <w:tc>
          <w:tcPr>
            <w:tcW w:w="6912" w:type="dxa"/>
            <w:vMerge/>
          </w:tcPr>
          <w:p w14:paraId="7095B3CA" w14:textId="77777777" w:rsidR="00520F36" w:rsidRPr="00D44A12" w:rsidRDefault="00520F36" w:rsidP="00D568EA">
            <w:pPr>
              <w:shd w:val="solid" w:color="FFFFFF" w:fill="FFFFFF"/>
              <w:spacing w:before="180"/>
              <w:rPr>
                <w:smallCaps/>
              </w:rPr>
            </w:pPr>
            <w:bookmarkStart w:id="5" w:name="dorlang" w:colFirst="1" w:colLast="1"/>
            <w:bookmarkEnd w:id="4"/>
          </w:p>
        </w:tc>
        <w:tc>
          <w:tcPr>
            <w:tcW w:w="3261" w:type="dxa"/>
          </w:tcPr>
          <w:p w14:paraId="3A1F374E" w14:textId="77777777" w:rsidR="00520F36" w:rsidRPr="00D44A12" w:rsidRDefault="00520F36" w:rsidP="00D568EA">
            <w:pPr>
              <w:spacing w:before="0"/>
              <w:rPr>
                <w:b/>
                <w:bCs/>
              </w:rPr>
            </w:pPr>
            <w:r w:rsidRPr="00D44A12">
              <w:rPr>
                <w:b/>
                <w:bCs/>
              </w:rPr>
              <w:t>Original: anglais</w:t>
            </w:r>
          </w:p>
        </w:tc>
      </w:tr>
      <w:tr w:rsidR="00520F36" w:rsidRPr="00D44A12" w14:paraId="59DE5AD5" w14:textId="77777777">
        <w:trPr>
          <w:cantSplit/>
        </w:trPr>
        <w:tc>
          <w:tcPr>
            <w:tcW w:w="10173" w:type="dxa"/>
            <w:gridSpan w:val="2"/>
          </w:tcPr>
          <w:p w14:paraId="4FC1D392" w14:textId="77777777" w:rsidR="00520F36" w:rsidRPr="00D44A12" w:rsidRDefault="006841B8" w:rsidP="00D568EA">
            <w:pPr>
              <w:pStyle w:val="Source"/>
            </w:pPr>
            <w:bookmarkStart w:id="6" w:name="dsource" w:colFirst="0" w:colLast="0"/>
            <w:bookmarkEnd w:id="5"/>
            <w:r w:rsidRPr="00D44A12">
              <w:t>Rapport du Secrétaire général</w:t>
            </w:r>
          </w:p>
        </w:tc>
      </w:tr>
      <w:tr w:rsidR="00520F36" w:rsidRPr="00D44A12" w14:paraId="01B6A1D1" w14:textId="77777777">
        <w:trPr>
          <w:cantSplit/>
        </w:trPr>
        <w:tc>
          <w:tcPr>
            <w:tcW w:w="10173" w:type="dxa"/>
            <w:gridSpan w:val="2"/>
          </w:tcPr>
          <w:p w14:paraId="424F9291" w14:textId="77777777" w:rsidR="00520F36" w:rsidRPr="00D44A12" w:rsidRDefault="006841B8" w:rsidP="00D568EA">
            <w:pPr>
              <w:pStyle w:val="Title1"/>
            </w:pPr>
            <w:bookmarkStart w:id="7" w:name="dtitle1" w:colFirst="0" w:colLast="0"/>
            <w:bookmarkEnd w:id="6"/>
            <w:r w:rsidRPr="00D44A12">
              <w:t>AMÉLIORATION DE LA GESTION</w:t>
            </w:r>
            <w:r w:rsidRPr="00D44A12">
              <w:rPr>
                <w:bCs/>
              </w:rPr>
              <w:t xml:space="preserve"> ET DU SUIVI DE LA CONTRIBUTION DES MEMBRES DE SECTEUR, DES ASSOCIéS ET DES éTABLISSEMENTS UNIVERSITAIRES </w:t>
            </w:r>
            <w:r w:rsidRPr="00D44A12">
              <w:rPr>
                <w:bCs/>
              </w:rPr>
              <w:br/>
              <w:t>AUX DéPENSES DE L'UIT</w:t>
            </w:r>
          </w:p>
        </w:tc>
      </w:tr>
      <w:bookmarkEnd w:id="7"/>
    </w:tbl>
    <w:p w14:paraId="566A79EF" w14:textId="77777777" w:rsidR="00520F36" w:rsidRPr="00D44A12" w:rsidRDefault="00520F36" w:rsidP="00D568E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44A12" w14:paraId="1CE5F59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DD4A9B5" w14:textId="77777777" w:rsidR="00520F36" w:rsidRPr="00D44A12" w:rsidRDefault="00520F36" w:rsidP="00D568EA">
            <w:pPr>
              <w:pStyle w:val="Headingb"/>
              <w:keepNext w:val="0"/>
              <w:keepLines w:val="0"/>
            </w:pPr>
            <w:r w:rsidRPr="00D44A12">
              <w:t>Résumé</w:t>
            </w:r>
          </w:p>
          <w:p w14:paraId="727F541A" w14:textId="06D04A23" w:rsidR="006841B8" w:rsidRPr="00D44A12" w:rsidRDefault="006841B8" w:rsidP="00D568EA">
            <w:pPr>
              <w:rPr>
                <w:szCs w:val="24"/>
              </w:rPr>
            </w:pPr>
            <w:bookmarkStart w:id="8" w:name="lt_pId011"/>
            <w:r w:rsidRPr="00D44A12">
              <w:rPr>
                <w:szCs w:val="24"/>
              </w:rPr>
              <w:t xml:space="preserve">Par </w:t>
            </w:r>
            <w:r w:rsidRPr="00CC5CDC">
              <w:t xml:space="preserve">sa </w:t>
            </w:r>
            <w:hyperlink r:id="rId8" w:history="1">
              <w:r w:rsidRPr="00CC5CDC">
                <w:t>Résolution 152 (</w:t>
              </w:r>
              <w:proofErr w:type="spellStart"/>
              <w:r w:rsidRPr="00CC5CDC">
                <w:t>Rév</w:t>
              </w:r>
              <w:proofErr w:type="spellEnd"/>
              <w:r w:rsidRPr="00CC5CDC">
                <w:t>. Busan, 2014)</w:t>
              </w:r>
            </w:hyperlink>
            <w:r w:rsidRPr="00D44A12">
              <w:rPr>
                <w:szCs w:val="24"/>
              </w:rPr>
              <w:t>, la Conférence de plénipotentiaires a chargé le Secrétaire général, en concertation avec les Directeurs des Bureaux, de faire rapport au Conseil sur la gestion et le suivi de la contribution des Membres de Secteur et des Associés aux dépenses de l'UIT, en soulignant les éventuelles difficultés et en proposant de</w:t>
            </w:r>
            <w:r w:rsidR="00C7737D" w:rsidRPr="00D44A12">
              <w:rPr>
                <w:szCs w:val="24"/>
              </w:rPr>
              <w:t xml:space="preserve"> nouvelle</w:t>
            </w:r>
            <w:r w:rsidRPr="00D44A12">
              <w:rPr>
                <w:szCs w:val="24"/>
              </w:rPr>
              <w:t>s améliorations.</w:t>
            </w:r>
            <w:bookmarkEnd w:id="8"/>
          </w:p>
          <w:p w14:paraId="19CA5100" w14:textId="7B8A76C9" w:rsidR="006841B8" w:rsidRPr="00D44A12" w:rsidRDefault="002D54A7" w:rsidP="00D568EA">
            <w:pPr>
              <w:rPr>
                <w:rFonts w:asciiTheme="minorHAnsi" w:hAnsiTheme="minorHAnsi" w:cstheme="minorHAnsi"/>
                <w:spacing w:val="-2"/>
                <w:szCs w:val="24"/>
              </w:rPr>
            </w:pPr>
            <w:bookmarkStart w:id="9" w:name="lt_pId012"/>
            <w:r w:rsidRPr="00D44A12">
              <w:rPr>
                <w:rFonts w:asciiTheme="minorHAnsi" w:hAnsiTheme="minorHAnsi" w:cstheme="minorHAnsi"/>
                <w:spacing w:val="-2"/>
                <w:szCs w:val="24"/>
              </w:rPr>
              <w:t xml:space="preserve">Depuis </w:t>
            </w:r>
            <w:r w:rsidR="006841B8" w:rsidRPr="00D44A12">
              <w:rPr>
                <w:rFonts w:asciiTheme="minorHAnsi" w:hAnsiTheme="minorHAnsi" w:cstheme="minorHAnsi"/>
                <w:spacing w:val="-2"/>
                <w:szCs w:val="24"/>
              </w:rPr>
              <w:t xml:space="preserve">la session de 2011 du Conseil, le Secrétaire général </w:t>
            </w:r>
            <w:r w:rsidR="00C30274" w:rsidRPr="00D44A12">
              <w:rPr>
                <w:rFonts w:asciiTheme="minorHAnsi" w:hAnsiTheme="minorHAnsi" w:cstheme="minorHAnsi"/>
                <w:spacing w:val="-2"/>
                <w:szCs w:val="24"/>
              </w:rPr>
              <w:t xml:space="preserve">dispose </w:t>
            </w:r>
            <w:r w:rsidR="006841B8" w:rsidRPr="00D44A12">
              <w:rPr>
                <w:rFonts w:asciiTheme="minorHAnsi" w:hAnsiTheme="minorHAnsi" w:cstheme="minorHAnsi"/>
                <w:spacing w:val="-2"/>
                <w:szCs w:val="24"/>
              </w:rPr>
              <w:t xml:space="preserve">d'une plus grande </w:t>
            </w:r>
            <w:r w:rsidR="006841B8" w:rsidRPr="00D44A12">
              <w:t>flexibilité</w:t>
            </w:r>
            <w:r w:rsidR="006841B8" w:rsidRPr="00D44A12">
              <w:rPr>
                <w:rFonts w:asciiTheme="minorHAnsi" w:hAnsiTheme="minorHAnsi" w:cstheme="minorHAnsi"/>
                <w:spacing w:val="-2"/>
                <w:szCs w:val="24"/>
              </w:rPr>
              <w:t xml:space="preserve"> dans la mise </w:t>
            </w:r>
            <w:bookmarkStart w:id="10" w:name="_GoBack"/>
            <w:bookmarkEnd w:id="10"/>
            <w:r w:rsidR="006841B8" w:rsidRPr="00D44A12">
              <w:rPr>
                <w:rFonts w:asciiTheme="minorHAnsi" w:hAnsiTheme="minorHAnsi" w:cstheme="minorHAnsi"/>
                <w:spacing w:val="-2"/>
                <w:szCs w:val="24"/>
              </w:rPr>
              <w:t xml:space="preserve">en </w:t>
            </w:r>
            <w:r w:rsidR="00D44A12" w:rsidRPr="00D44A12">
              <w:rPr>
                <w:rFonts w:asciiTheme="minorHAnsi" w:hAnsiTheme="minorHAnsi" w:cstheme="minorHAnsi"/>
                <w:spacing w:val="-2"/>
                <w:szCs w:val="24"/>
              </w:rPr>
              <w:t>œuvre</w:t>
            </w:r>
            <w:r w:rsidR="006841B8" w:rsidRPr="00D44A12">
              <w:rPr>
                <w:rFonts w:asciiTheme="minorHAnsi" w:hAnsiTheme="minorHAnsi" w:cstheme="minorHAnsi"/>
                <w:spacing w:val="-2"/>
                <w:szCs w:val="24"/>
              </w:rPr>
              <w:t xml:space="preserve"> de la Résolution 152 (</w:t>
            </w:r>
            <w:proofErr w:type="spellStart"/>
            <w:r w:rsidR="006841B8" w:rsidRPr="00D44A12">
              <w:rPr>
                <w:rFonts w:asciiTheme="minorHAnsi" w:hAnsiTheme="minorHAnsi" w:cstheme="minorHAnsi"/>
                <w:spacing w:val="-2"/>
                <w:szCs w:val="24"/>
              </w:rPr>
              <w:t>Rév</w:t>
            </w:r>
            <w:proofErr w:type="spellEnd"/>
            <w:r w:rsidR="006841B8" w:rsidRPr="00D44A12">
              <w:rPr>
                <w:rFonts w:asciiTheme="minorHAnsi" w:hAnsiTheme="minorHAnsi" w:cstheme="minorHAnsi"/>
                <w:spacing w:val="-2"/>
                <w:szCs w:val="24"/>
              </w:rPr>
              <w:t>. </w:t>
            </w:r>
            <w:r w:rsidR="00C7737D" w:rsidRPr="00D44A12">
              <w:rPr>
                <w:rFonts w:asciiTheme="minorHAnsi" w:hAnsiTheme="minorHAnsi" w:cstheme="minorHAnsi"/>
                <w:spacing w:val="-2"/>
                <w:szCs w:val="24"/>
              </w:rPr>
              <w:t>Guadalajara, </w:t>
            </w:r>
            <w:r w:rsidR="006841B8" w:rsidRPr="00D44A12">
              <w:rPr>
                <w:rFonts w:asciiTheme="minorHAnsi" w:hAnsiTheme="minorHAnsi" w:cstheme="minorHAnsi"/>
                <w:spacing w:val="-2"/>
                <w:szCs w:val="24"/>
              </w:rPr>
              <w:t>2010) concernant la disposition</w:t>
            </w:r>
            <w:r w:rsidR="001B5E7F" w:rsidRPr="00D44A12">
              <w:rPr>
                <w:rFonts w:asciiTheme="minorHAnsi" w:hAnsiTheme="minorHAnsi" w:cstheme="minorHAnsi"/>
                <w:spacing w:val="-2"/>
                <w:szCs w:val="24"/>
              </w:rPr>
              <w:t xml:space="preserve"> </w:t>
            </w:r>
            <w:r w:rsidR="00C30274" w:rsidRPr="00D44A12">
              <w:rPr>
                <w:rFonts w:asciiTheme="minorHAnsi" w:hAnsiTheme="minorHAnsi" w:cstheme="minorHAnsi"/>
                <w:spacing w:val="-2"/>
                <w:szCs w:val="24"/>
              </w:rPr>
              <w:t xml:space="preserve">relative à la radiation automatique, afin de garder les </w:t>
            </w:r>
            <w:r w:rsidR="00C7737D" w:rsidRPr="00D44A12">
              <w:rPr>
                <w:rFonts w:asciiTheme="minorHAnsi" w:hAnsiTheme="minorHAnsi" w:cstheme="minorHAnsi"/>
                <w:spacing w:val="-2"/>
                <w:szCs w:val="24"/>
              </w:rPr>
              <w:t>M</w:t>
            </w:r>
            <w:r w:rsidR="00C30274" w:rsidRPr="00D44A12">
              <w:rPr>
                <w:rFonts w:asciiTheme="minorHAnsi" w:hAnsiTheme="minorHAnsi" w:cstheme="minorHAnsi"/>
                <w:spacing w:val="-2"/>
                <w:szCs w:val="24"/>
              </w:rPr>
              <w:t>embres actuels et de faciliter le recouvrement des dettes antérieures. La Conférence de plénipotentiaires (Busan, 2014) a mod</w:t>
            </w:r>
            <w:r w:rsidR="003C4D25" w:rsidRPr="00D44A12">
              <w:rPr>
                <w:rFonts w:asciiTheme="minorHAnsi" w:hAnsiTheme="minorHAnsi" w:cstheme="minorHAnsi"/>
                <w:spacing w:val="-2"/>
                <w:szCs w:val="24"/>
              </w:rPr>
              <w:t>ifié l</w:t>
            </w:r>
            <w:r w:rsidR="00C30274" w:rsidRPr="00D44A12">
              <w:rPr>
                <w:rFonts w:asciiTheme="minorHAnsi" w:hAnsiTheme="minorHAnsi" w:cstheme="minorHAnsi"/>
                <w:spacing w:val="-2"/>
                <w:szCs w:val="24"/>
              </w:rPr>
              <w:t xml:space="preserve">a Résolution 152 </w:t>
            </w:r>
            <w:r w:rsidR="00C00B9D" w:rsidRPr="00D44A12">
              <w:rPr>
                <w:rFonts w:asciiTheme="minorHAnsi" w:hAnsiTheme="minorHAnsi" w:cstheme="minorHAnsi"/>
                <w:spacing w:val="-2"/>
                <w:szCs w:val="24"/>
              </w:rPr>
              <w:t>pour tenir compte de cette flexibilité</w:t>
            </w:r>
            <w:r w:rsidR="006841B8" w:rsidRPr="00D44A12">
              <w:rPr>
                <w:rFonts w:asciiTheme="minorHAnsi" w:hAnsiTheme="minorHAnsi" w:cstheme="minorHAnsi"/>
                <w:spacing w:val="-2"/>
                <w:szCs w:val="24"/>
              </w:rPr>
              <w:t>.</w:t>
            </w:r>
            <w:bookmarkEnd w:id="9"/>
          </w:p>
          <w:p w14:paraId="019221AE" w14:textId="77777777" w:rsidR="006841B8" w:rsidRPr="00D44A12" w:rsidRDefault="006841B8" w:rsidP="00D568EA">
            <w:pPr>
              <w:pStyle w:val="Headingb"/>
              <w:keepNext w:val="0"/>
              <w:keepLines w:val="0"/>
            </w:pPr>
            <w:r w:rsidRPr="00D44A12">
              <w:t>Suite à donner</w:t>
            </w:r>
          </w:p>
          <w:p w14:paraId="5E22B7EC" w14:textId="77777777" w:rsidR="006841B8" w:rsidRPr="00D44A12" w:rsidRDefault="006841B8" w:rsidP="00D568EA">
            <w:bookmarkStart w:id="11" w:name="lt_pId016"/>
            <w:r w:rsidRPr="00D44A12">
              <w:rPr>
                <w:rFonts w:asciiTheme="minorHAnsi" w:hAnsiTheme="minorHAnsi"/>
                <w:szCs w:val="24"/>
              </w:rPr>
              <w:t xml:space="preserve">Le Conseil est invité à </w:t>
            </w:r>
            <w:r w:rsidRPr="00D44A12">
              <w:rPr>
                <w:rFonts w:asciiTheme="minorHAnsi" w:hAnsiTheme="minorHAnsi"/>
                <w:b/>
                <w:bCs/>
                <w:szCs w:val="24"/>
              </w:rPr>
              <w:t>prendre note</w:t>
            </w:r>
            <w:r w:rsidRPr="00D44A12">
              <w:rPr>
                <w:rFonts w:asciiTheme="minorHAnsi" w:hAnsiTheme="minorHAnsi"/>
                <w:szCs w:val="24"/>
              </w:rPr>
              <w:t xml:space="preserve"> du rapport du Secrétaire général sur l'amélioration de la gestion et du suivi de la contribution des Membres de Secteur, des Associés et des établissements universitaires aux dépenses de l'UIT et à </w:t>
            </w:r>
            <w:r w:rsidRPr="00D44A12">
              <w:rPr>
                <w:rFonts w:asciiTheme="minorHAnsi" w:hAnsiTheme="minorHAnsi"/>
                <w:b/>
                <w:bCs/>
                <w:szCs w:val="24"/>
              </w:rPr>
              <w:t>approuver</w:t>
            </w:r>
            <w:r w:rsidRPr="00D44A12">
              <w:rPr>
                <w:rFonts w:asciiTheme="minorHAnsi" w:hAnsiTheme="minorHAnsi"/>
                <w:szCs w:val="24"/>
              </w:rPr>
              <w:t xml:space="preserve"> les recommandations figurant au § 4.</w:t>
            </w:r>
            <w:bookmarkEnd w:id="11"/>
          </w:p>
          <w:p w14:paraId="74F6BCE9" w14:textId="77777777" w:rsidR="006841B8" w:rsidRPr="00D44A12" w:rsidRDefault="006841B8" w:rsidP="00D568EA">
            <w:pPr>
              <w:pStyle w:val="Table"/>
              <w:keepNext w:val="0"/>
              <w:spacing w:before="0" w:after="0"/>
              <w:rPr>
                <w:rFonts w:ascii="Calibri" w:hAnsi="Calibri"/>
                <w:caps w:val="0"/>
                <w:sz w:val="22"/>
                <w:lang w:val="fr-FR"/>
              </w:rPr>
            </w:pPr>
            <w:r w:rsidRPr="00D44A12">
              <w:rPr>
                <w:rFonts w:ascii="Calibri" w:hAnsi="Calibri"/>
                <w:caps w:val="0"/>
                <w:sz w:val="22"/>
                <w:lang w:val="fr-FR"/>
              </w:rPr>
              <w:t>____________</w:t>
            </w:r>
          </w:p>
          <w:p w14:paraId="38BA3CB1" w14:textId="77777777" w:rsidR="006841B8" w:rsidRPr="00D44A12" w:rsidRDefault="006841B8" w:rsidP="00D568EA">
            <w:pPr>
              <w:pStyle w:val="Headingb"/>
              <w:keepNext w:val="0"/>
              <w:keepLines w:val="0"/>
            </w:pPr>
            <w:r w:rsidRPr="00D44A12">
              <w:t>Références</w:t>
            </w:r>
          </w:p>
          <w:p w14:paraId="5BB72A7D" w14:textId="6E9111E8" w:rsidR="00520F36" w:rsidRPr="00D44A12" w:rsidRDefault="00EF4A1F" w:rsidP="00D568EA">
            <w:pPr>
              <w:spacing w:after="120"/>
              <w:rPr>
                <w:i/>
                <w:iCs/>
              </w:rPr>
            </w:pPr>
            <w:hyperlink r:id="rId9" w:history="1">
              <w:r w:rsidRPr="00EF4A1F">
                <w:rPr>
                  <w:rStyle w:val="Hyperlink"/>
                  <w:bCs/>
                  <w:szCs w:val="24"/>
                </w:rPr>
                <w:t xml:space="preserve">Numéros </w:t>
              </w:r>
              <w:r w:rsidRPr="00EF4A1F">
                <w:rPr>
                  <w:rStyle w:val="Hyperlink"/>
                  <w:bCs/>
                  <w:i/>
                  <w:iCs/>
                  <w:szCs w:val="24"/>
                </w:rPr>
                <w:t>241</w:t>
              </w:r>
              <w:r w:rsidRPr="00EF4A1F">
                <w:rPr>
                  <w:rStyle w:val="Hyperlink"/>
                  <w:bCs/>
                  <w:szCs w:val="24"/>
                </w:rPr>
                <w:t xml:space="preserve"> et </w:t>
              </w:r>
              <w:r w:rsidRPr="00EF4A1F">
                <w:rPr>
                  <w:rStyle w:val="Hyperlink"/>
                  <w:bCs/>
                  <w:i/>
                  <w:iCs/>
                  <w:szCs w:val="24"/>
                </w:rPr>
                <w:t>241C</w:t>
              </w:r>
              <w:r w:rsidRPr="00EF4A1F">
                <w:rPr>
                  <w:rStyle w:val="Hyperlink"/>
                  <w:bCs/>
                  <w:szCs w:val="24"/>
                </w:rPr>
                <w:t xml:space="preserve"> (article 19) de la Convention </w:t>
              </w:r>
            </w:hyperlink>
            <w:r>
              <w:rPr>
                <w:bCs/>
                <w:szCs w:val="24"/>
              </w:rPr>
              <w:t>;</w:t>
            </w:r>
            <w:r w:rsidR="006841B8" w:rsidRPr="00D44A12">
              <w:rPr>
                <w:bCs/>
                <w:szCs w:val="24"/>
              </w:rPr>
              <w:t xml:space="preserve"> </w:t>
            </w:r>
            <w:hyperlink r:id="rId10" w:history="1">
              <w:r w:rsidR="006841B8" w:rsidRPr="00D44A12">
                <w:rPr>
                  <w:rStyle w:val="Hyperlink"/>
                  <w:rFonts w:asciiTheme="minorHAnsi" w:hAnsiTheme="minorHAnsi" w:cstheme="minorHAnsi"/>
                  <w:bCs/>
                  <w:i/>
                  <w:iCs/>
                  <w:szCs w:val="24"/>
                </w:rPr>
                <w:t xml:space="preserve">Résolution 152 </w:t>
              </w:r>
              <w:r w:rsidR="00CC5CDC">
                <w:rPr>
                  <w:rStyle w:val="Hyperlink"/>
                  <w:rFonts w:asciiTheme="minorHAnsi" w:hAnsiTheme="minorHAnsi" w:cstheme="minorHAnsi"/>
                  <w:bCs/>
                  <w:i/>
                  <w:iCs/>
                  <w:szCs w:val="24"/>
                </w:rPr>
                <w:br/>
              </w:r>
              <w:r w:rsidR="006841B8" w:rsidRPr="00D44A12">
                <w:rPr>
                  <w:rStyle w:val="Hyperlink"/>
                  <w:rFonts w:asciiTheme="minorHAnsi" w:hAnsiTheme="minorHAnsi" w:cstheme="minorHAnsi"/>
                  <w:bCs/>
                  <w:i/>
                  <w:iCs/>
                  <w:szCs w:val="24"/>
                </w:rPr>
                <w:t>(</w:t>
              </w:r>
              <w:proofErr w:type="spellStart"/>
              <w:r w:rsidR="006841B8" w:rsidRPr="00D44A12">
                <w:rPr>
                  <w:rStyle w:val="Hyperlink"/>
                  <w:rFonts w:asciiTheme="minorHAnsi" w:hAnsiTheme="minorHAnsi" w:cstheme="minorHAnsi"/>
                  <w:bCs/>
                  <w:i/>
                  <w:iCs/>
                  <w:szCs w:val="24"/>
                </w:rPr>
                <w:t>Rév</w:t>
              </w:r>
              <w:proofErr w:type="spellEnd"/>
              <w:r w:rsidR="006841B8" w:rsidRPr="00D44A12">
                <w:rPr>
                  <w:rStyle w:val="Hyperlink"/>
                  <w:rFonts w:asciiTheme="minorHAnsi" w:hAnsiTheme="minorHAnsi" w:cstheme="minorHAnsi"/>
                  <w:bCs/>
                  <w:i/>
                  <w:iCs/>
                  <w:szCs w:val="24"/>
                </w:rPr>
                <w:t>. Busan, 2014)</w:t>
              </w:r>
            </w:hyperlink>
            <w:r w:rsidR="006841B8" w:rsidRPr="00D44A12">
              <w:rPr>
                <w:i/>
                <w:iCs/>
              </w:rPr>
              <w:t xml:space="preserve"> de la Conférence de plénipotentiaires</w:t>
            </w:r>
            <w:r w:rsidR="006841B8" w:rsidRPr="00D44A12">
              <w:rPr>
                <w:bCs/>
                <w:sz w:val="20"/>
              </w:rPr>
              <w:t xml:space="preserve">; </w:t>
            </w:r>
            <w:r w:rsidR="006841B8" w:rsidRPr="00D44A12">
              <w:rPr>
                <w:i/>
                <w:iCs/>
              </w:rPr>
              <w:t xml:space="preserve">Documents C93/49, C95/87, C95/112, </w:t>
            </w:r>
            <w:hyperlink r:id="rId11" w:history="1">
              <w:r w:rsidR="006841B8" w:rsidRPr="00D44A12">
                <w:rPr>
                  <w:rStyle w:val="Hyperlink"/>
                  <w:rFonts w:asciiTheme="minorHAnsi" w:hAnsiTheme="minorHAnsi" w:cstheme="minorHAnsi"/>
                  <w:i/>
                  <w:iCs/>
                  <w:szCs w:val="24"/>
                </w:rPr>
                <w:t>C01/34</w:t>
              </w:r>
            </w:hyperlink>
            <w:r w:rsidR="006841B8" w:rsidRPr="00D44A12">
              <w:rPr>
                <w:i/>
                <w:iCs/>
              </w:rPr>
              <w:t xml:space="preserve">, </w:t>
            </w:r>
            <w:hyperlink r:id="rId12" w:history="1">
              <w:r w:rsidR="006841B8" w:rsidRPr="00D44A12">
                <w:rPr>
                  <w:rStyle w:val="Hyperlink"/>
                  <w:rFonts w:asciiTheme="minorHAnsi" w:hAnsiTheme="minorHAnsi" w:cstheme="minorHAnsi"/>
                  <w:i/>
                  <w:iCs/>
                  <w:szCs w:val="24"/>
                </w:rPr>
                <w:t>C06/25</w:t>
              </w:r>
            </w:hyperlink>
            <w:r w:rsidR="006841B8" w:rsidRPr="00D44A12">
              <w:rPr>
                <w:i/>
                <w:iCs/>
              </w:rPr>
              <w:t xml:space="preserve">, </w:t>
            </w:r>
            <w:hyperlink r:id="rId13" w:history="1">
              <w:r w:rsidR="006841B8" w:rsidRPr="00D44A12">
                <w:rPr>
                  <w:rStyle w:val="Hyperlink"/>
                  <w:rFonts w:asciiTheme="minorHAnsi" w:hAnsiTheme="minorHAnsi" w:cstheme="minorHAnsi"/>
                  <w:i/>
                  <w:iCs/>
                  <w:szCs w:val="24"/>
                </w:rPr>
                <w:t>C07/5(Rév.1)</w:t>
              </w:r>
            </w:hyperlink>
            <w:r w:rsidR="006841B8" w:rsidRPr="00D44A12">
              <w:rPr>
                <w:i/>
                <w:iCs/>
              </w:rPr>
              <w:t xml:space="preserve">, </w:t>
            </w:r>
            <w:hyperlink r:id="rId14" w:history="1">
              <w:r w:rsidR="006841B8" w:rsidRPr="00D44A12">
                <w:rPr>
                  <w:rStyle w:val="Hyperlink"/>
                  <w:rFonts w:asciiTheme="minorHAnsi" w:hAnsiTheme="minorHAnsi" w:cstheme="minorHAnsi"/>
                  <w:i/>
                  <w:iCs/>
                  <w:szCs w:val="24"/>
                </w:rPr>
                <w:t>C08/14</w:t>
              </w:r>
            </w:hyperlink>
            <w:r w:rsidR="006841B8" w:rsidRPr="00D44A12">
              <w:rPr>
                <w:i/>
                <w:iCs/>
              </w:rPr>
              <w:t xml:space="preserve">, </w:t>
            </w:r>
            <w:hyperlink r:id="rId15" w:history="1">
              <w:r w:rsidR="006841B8" w:rsidRPr="00D44A12">
                <w:rPr>
                  <w:rStyle w:val="Hyperlink"/>
                  <w:rFonts w:asciiTheme="minorHAnsi" w:hAnsiTheme="minorHAnsi" w:cstheme="minorHAnsi"/>
                  <w:i/>
                  <w:iCs/>
                  <w:szCs w:val="24"/>
                </w:rPr>
                <w:t>C09/5(Rév.1)</w:t>
              </w:r>
            </w:hyperlink>
            <w:r w:rsidR="006841B8" w:rsidRPr="00D44A12">
              <w:rPr>
                <w:i/>
                <w:iCs/>
              </w:rPr>
              <w:t xml:space="preserve">, </w:t>
            </w:r>
            <w:hyperlink r:id="rId16" w:history="1">
              <w:r w:rsidR="006841B8" w:rsidRPr="00D44A12">
                <w:rPr>
                  <w:rStyle w:val="Hyperlink"/>
                  <w:rFonts w:asciiTheme="minorHAnsi" w:hAnsiTheme="minorHAnsi" w:cstheme="minorHAnsi"/>
                  <w:i/>
                  <w:iCs/>
                  <w:szCs w:val="24"/>
                </w:rPr>
                <w:t>C10/33</w:t>
              </w:r>
            </w:hyperlink>
            <w:r w:rsidR="006841B8" w:rsidRPr="00D44A12">
              <w:rPr>
                <w:i/>
                <w:iCs/>
              </w:rPr>
              <w:t>, </w:t>
            </w:r>
            <w:hyperlink r:id="rId17" w:history="1">
              <w:r w:rsidR="006841B8" w:rsidRPr="00D44A12">
                <w:rPr>
                  <w:rStyle w:val="Hyperlink"/>
                  <w:rFonts w:asciiTheme="minorHAnsi" w:hAnsiTheme="minorHAnsi" w:cstheme="minorHAnsi"/>
                  <w:i/>
                  <w:iCs/>
                  <w:szCs w:val="24"/>
                </w:rPr>
                <w:t>C10/96</w:t>
              </w:r>
            </w:hyperlink>
            <w:r w:rsidR="006841B8" w:rsidRPr="00D44A12">
              <w:rPr>
                <w:i/>
                <w:iCs/>
              </w:rPr>
              <w:t xml:space="preserve">, </w:t>
            </w:r>
            <w:hyperlink r:id="rId18" w:history="1">
              <w:r w:rsidR="006841B8" w:rsidRPr="00D44A12">
                <w:rPr>
                  <w:rStyle w:val="Hyperlink"/>
                  <w:rFonts w:asciiTheme="minorHAnsi" w:hAnsiTheme="minorHAnsi" w:cstheme="minorHAnsi"/>
                  <w:i/>
                  <w:iCs/>
                  <w:szCs w:val="24"/>
                </w:rPr>
                <w:t>C11/21</w:t>
              </w:r>
            </w:hyperlink>
            <w:r w:rsidR="006841B8" w:rsidRPr="00D44A12">
              <w:rPr>
                <w:i/>
                <w:iCs/>
              </w:rPr>
              <w:t xml:space="preserve">, </w:t>
            </w:r>
            <w:hyperlink r:id="rId19" w:history="1">
              <w:r w:rsidR="006841B8" w:rsidRPr="00D44A12">
                <w:rPr>
                  <w:rStyle w:val="Hyperlink"/>
                  <w:rFonts w:asciiTheme="minorHAnsi" w:hAnsiTheme="minorHAnsi" w:cstheme="minorHAnsi"/>
                  <w:i/>
                  <w:iCs/>
                  <w:szCs w:val="24"/>
                </w:rPr>
                <w:t>C12/5</w:t>
              </w:r>
            </w:hyperlink>
            <w:r w:rsidR="006841B8" w:rsidRPr="00D44A12">
              <w:rPr>
                <w:i/>
                <w:iCs/>
              </w:rPr>
              <w:t xml:space="preserve">, </w:t>
            </w:r>
            <w:hyperlink r:id="rId20" w:history="1">
              <w:r w:rsidR="006841B8" w:rsidRPr="00D44A12">
                <w:rPr>
                  <w:rStyle w:val="Hyperlink"/>
                  <w:rFonts w:asciiTheme="minorHAnsi" w:hAnsiTheme="minorHAnsi" w:cstheme="minorHAnsi"/>
                  <w:i/>
                  <w:iCs/>
                  <w:szCs w:val="24"/>
                </w:rPr>
                <w:t>C12/10</w:t>
              </w:r>
            </w:hyperlink>
            <w:r w:rsidR="006841B8" w:rsidRPr="00D44A12">
              <w:rPr>
                <w:i/>
                <w:iCs/>
              </w:rPr>
              <w:t xml:space="preserve">, </w:t>
            </w:r>
            <w:hyperlink r:id="rId21" w:history="1">
              <w:r w:rsidR="006841B8" w:rsidRPr="00D44A12">
                <w:rPr>
                  <w:rStyle w:val="Hyperlink"/>
                  <w:rFonts w:asciiTheme="minorHAnsi" w:hAnsiTheme="minorHAnsi" w:cstheme="minorHAnsi"/>
                  <w:bCs/>
                  <w:i/>
                  <w:iCs/>
                  <w:szCs w:val="24"/>
                </w:rPr>
                <w:t>C13/14</w:t>
              </w:r>
            </w:hyperlink>
            <w:r w:rsidR="006841B8" w:rsidRPr="00D44A12">
              <w:rPr>
                <w:i/>
                <w:iCs/>
              </w:rPr>
              <w:t xml:space="preserve">, </w:t>
            </w:r>
            <w:hyperlink r:id="rId22" w:history="1">
              <w:r w:rsidR="006841B8" w:rsidRPr="00D44A12">
                <w:rPr>
                  <w:rStyle w:val="Hyperlink"/>
                  <w:rFonts w:asciiTheme="minorHAnsi" w:hAnsiTheme="minorHAnsi" w:cstheme="minorHAnsi"/>
                  <w:i/>
                  <w:iCs/>
                  <w:szCs w:val="24"/>
                </w:rPr>
                <w:t>C14/14</w:t>
              </w:r>
            </w:hyperlink>
            <w:r w:rsidR="006841B8" w:rsidRPr="00D44A12">
              <w:t xml:space="preserve">, </w:t>
            </w:r>
            <w:hyperlink r:id="rId23" w:history="1">
              <w:r w:rsidR="006841B8" w:rsidRPr="00D44A12">
                <w:rPr>
                  <w:rStyle w:val="Hyperlink"/>
                  <w:bCs/>
                  <w:i/>
                  <w:iCs/>
                  <w:szCs w:val="24"/>
                </w:rPr>
                <w:t>C15/14</w:t>
              </w:r>
            </w:hyperlink>
            <w:r w:rsidR="006841B8" w:rsidRPr="00D44A12">
              <w:t xml:space="preserve">, </w:t>
            </w:r>
            <w:hyperlink r:id="rId24" w:history="1">
              <w:r w:rsidR="006841B8" w:rsidRPr="00D44A12">
                <w:rPr>
                  <w:rStyle w:val="Hyperlink"/>
                  <w:i/>
                  <w:iCs/>
                </w:rPr>
                <w:t>C16/14</w:t>
              </w:r>
            </w:hyperlink>
            <w:r w:rsidR="006841B8" w:rsidRPr="00D44A12">
              <w:rPr>
                <w:rStyle w:val="Hyperlink"/>
                <w:i/>
                <w:iCs/>
                <w:color w:val="auto"/>
                <w:u w:val="none"/>
              </w:rPr>
              <w:t xml:space="preserve">, </w:t>
            </w:r>
            <w:hyperlink r:id="rId25" w:history="1">
              <w:r w:rsidR="006841B8" w:rsidRPr="00D44A12">
                <w:rPr>
                  <w:rStyle w:val="Hyperlink"/>
                  <w:i/>
                  <w:iCs/>
                  <w:szCs w:val="24"/>
                </w:rPr>
                <w:t>C17/14</w:t>
              </w:r>
            </w:hyperlink>
            <w:r w:rsidR="006841B8" w:rsidRPr="00D44A12">
              <w:rPr>
                <w:rStyle w:val="Hyperlink"/>
                <w:i/>
                <w:iCs/>
                <w:color w:val="auto"/>
                <w:szCs w:val="24"/>
                <w:u w:val="none"/>
              </w:rPr>
              <w:t>,</w:t>
            </w:r>
            <w:r w:rsidR="006841B8" w:rsidRPr="00D44A12">
              <w:rPr>
                <w:rStyle w:val="Hyperlink"/>
                <w:i/>
                <w:iCs/>
                <w:szCs w:val="24"/>
                <w:u w:val="none"/>
              </w:rPr>
              <w:t xml:space="preserve"> </w:t>
            </w:r>
            <w:hyperlink r:id="rId26" w:history="1">
              <w:r w:rsidR="006841B8" w:rsidRPr="00D44A12">
                <w:rPr>
                  <w:rStyle w:val="Hyperlink"/>
                  <w:i/>
                  <w:iCs/>
                  <w:szCs w:val="24"/>
                </w:rPr>
                <w:t>C18/60</w:t>
              </w:r>
            </w:hyperlink>
          </w:p>
        </w:tc>
      </w:tr>
    </w:tbl>
    <w:p w14:paraId="3D0BAF8C" w14:textId="77777777" w:rsidR="006841B8" w:rsidRPr="00D44A12" w:rsidRDefault="006841B8" w:rsidP="00D568EA">
      <w:pPr>
        <w:pStyle w:val="Heading1"/>
      </w:pPr>
      <w:r w:rsidRPr="00D44A12">
        <w:t>1</w:t>
      </w:r>
      <w:r w:rsidRPr="00D44A12">
        <w:tab/>
      </w:r>
      <w:bookmarkStart w:id="12" w:name="lt_pId022"/>
      <w:r w:rsidRPr="00D44A12">
        <w:t>Résumé</w:t>
      </w:r>
      <w:bookmarkEnd w:id="12"/>
    </w:p>
    <w:p w14:paraId="045A53D9" w14:textId="474F1A1D" w:rsidR="006841B8" w:rsidRPr="00D44A12" w:rsidRDefault="006841B8" w:rsidP="00D568EA">
      <w:r w:rsidRPr="00D44A12">
        <w:t>1.1</w:t>
      </w:r>
      <w:r w:rsidRPr="00D44A12">
        <w:tab/>
      </w:r>
      <w:bookmarkStart w:id="13" w:name="lt_pId024"/>
      <w:r w:rsidRPr="00D44A12">
        <w:t>En vertu de la Résolution 152 (</w:t>
      </w:r>
      <w:proofErr w:type="spellStart"/>
      <w:r w:rsidRPr="00D44A12">
        <w:t>Rév</w:t>
      </w:r>
      <w:proofErr w:type="spellEnd"/>
      <w:r w:rsidRPr="00D44A12">
        <w:t>. Busan, 2014) de</w:t>
      </w:r>
      <w:r w:rsidRPr="00D44A12">
        <w:rPr>
          <w:szCs w:val="24"/>
        </w:rPr>
        <w:t xml:space="preserve"> la Conférence de plénipotentiaires</w:t>
      </w:r>
      <w:r w:rsidRPr="00D44A12">
        <w:t xml:space="preserve">, le Secrétaire général est chargé, en concertation avec les Directeurs des Bureaux, de faire rapport au Conseil en ce qui concerne la gestion et le suivi </w:t>
      </w:r>
      <w:r w:rsidRPr="00D44A12">
        <w:lastRenderedPageBreak/>
        <w:t>de la contribution des Membres de Secteur et des Associés aux dépenses de l'UIT, en soulignant les éventuelles difficultés et en proposant de</w:t>
      </w:r>
      <w:r w:rsidR="00C7737D" w:rsidRPr="00D44A12">
        <w:t xml:space="preserve"> nouvelle</w:t>
      </w:r>
      <w:r w:rsidRPr="00D44A12">
        <w:t>s améliorations.</w:t>
      </w:r>
      <w:bookmarkEnd w:id="13"/>
    </w:p>
    <w:p w14:paraId="184F51F9" w14:textId="6C4DE100" w:rsidR="006841B8" w:rsidRPr="00D44A12" w:rsidRDefault="006841B8" w:rsidP="00D568EA">
      <w:r w:rsidRPr="00D44A12">
        <w:t>1.2</w:t>
      </w:r>
      <w:r w:rsidRPr="00D44A12">
        <w:tab/>
      </w:r>
      <w:bookmarkStart w:id="14" w:name="lt_pId026"/>
      <w:r w:rsidRPr="00D44A12">
        <w:t xml:space="preserve">La Résolution 152 </w:t>
      </w:r>
      <w:r w:rsidR="001647AF" w:rsidRPr="00D44A12">
        <w:t>(</w:t>
      </w:r>
      <w:proofErr w:type="spellStart"/>
      <w:r w:rsidR="001647AF" w:rsidRPr="00D44A12">
        <w:t>Rév</w:t>
      </w:r>
      <w:proofErr w:type="spellEnd"/>
      <w:r w:rsidR="001647AF" w:rsidRPr="00D44A12">
        <w:t>. Busan, 2014) définit le délai</w:t>
      </w:r>
      <w:r w:rsidRPr="00D44A12">
        <w:t xml:space="preserve"> pour la suspension et l'exclusion de Membres de Secteur et d'Associés </w:t>
      </w:r>
      <w:r w:rsidR="00C7737D" w:rsidRPr="00D44A12">
        <w:t>en</w:t>
      </w:r>
      <w:r w:rsidRPr="00D44A12">
        <w:t xml:space="preserve"> cas de </w:t>
      </w:r>
      <w:r w:rsidR="00C7737D" w:rsidRPr="00D44A12">
        <w:t xml:space="preserve">retard de </w:t>
      </w:r>
      <w:r w:rsidRPr="00D44A12">
        <w:t>paiements, comme suit:</w:t>
      </w:r>
      <w:bookmarkEnd w:id="14"/>
    </w:p>
    <w:p w14:paraId="36088264" w14:textId="7D1DA385" w:rsidR="006841B8" w:rsidRPr="00D44A12" w:rsidRDefault="006841B8" w:rsidP="00D568EA">
      <w:pPr>
        <w:pStyle w:val="enumlev1"/>
      </w:pPr>
      <w:bookmarkStart w:id="15" w:name="lt_pId028"/>
      <w:r w:rsidRPr="00D44A12">
        <w:t>–</w:t>
      </w:r>
      <w:r w:rsidRPr="00D44A12">
        <w:tab/>
      </w:r>
      <w:r w:rsidR="001647AF" w:rsidRPr="00D44A12">
        <w:t>la participation aux travaux de l'UIT est suspendue six mois (180 jours)</w:t>
      </w:r>
      <w:r w:rsidR="0011295E" w:rsidRPr="00D44A12">
        <w:t xml:space="preserve"> après l'expiration de l'échéance fixée pour le paiement de la contribution annuelle</w:t>
      </w:r>
      <w:r w:rsidRPr="00D44A12">
        <w:t>; et</w:t>
      </w:r>
      <w:bookmarkEnd w:id="15"/>
    </w:p>
    <w:p w14:paraId="7F7F145C" w14:textId="6098F8EE" w:rsidR="006841B8" w:rsidRPr="00D44A12" w:rsidRDefault="006841B8" w:rsidP="00D568EA">
      <w:pPr>
        <w:pStyle w:val="enumlev1"/>
      </w:pPr>
      <w:bookmarkStart w:id="16" w:name="lt_pId030"/>
      <w:r w:rsidRPr="00D44A12">
        <w:t>–</w:t>
      </w:r>
      <w:r w:rsidRPr="00D44A12">
        <w:tab/>
      </w:r>
      <w:r w:rsidR="0011295E" w:rsidRPr="00D44A12">
        <w:t>l'exclusion devra</w:t>
      </w:r>
      <w:r w:rsidR="0026446D" w:rsidRPr="00D44A12">
        <w:t>it</w:t>
      </w:r>
      <w:r w:rsidR="0011295E" w:rsidRPr="00D44A12">
        <w:t xml:space="preserve"> intervenir </w:t>
      </w:r>
      <w:r w:rsidR="00245DF2" w:rsidRPr="00D44A12">
        <w:t xml:space="preserve">trois mois (90 jours) après la date de </w:t>
      </w:r>
      <w:r w:rsidR="0026446D" w:rsidRPr="00D44A12">
        <w:t xml:space="preserve">la </w:t>
      </w:r>
      <w:r w:rsidR="00245DF2" w:rsidRPr="00D44A12">
        <w:t>suspension</w:t>
      </w:r>
      <w:r w:rsidRPr="00D44A12">
        <w:t>.</w:t>
      </w:r>
      <w:bookmarkEnd w:id="16"/>
    </w:p>
    <w:p w14:paraId="493D0C0D" w14:textId="77777777" w:rsidR="006841B8" w:rsidRPr="00D44A12" w:rsidRDefault="006841B8" w:rsidP="00D568EA">
      <w:r w:rsidRPr="00D44A12">
        <w:t>1.3</w:t>
      </w:r>
      <w:r w:rsidRPr="00D44A12">
        <w:tab/>
      </w:r>
      <w:bookmarkStart w:id="17" w:name="lt_pId032"/>
      <w:r w:rsidRPr="00D44A12">
        <w:t xml:space="preserve">L'entrée en vigueur de la Résolution 152 a eu des retombées positives, mais a également fait naître un certain nombre de difficultés, en particulier: perte systématique de Membres de Secteur et d'Associés; difficultés rencontrées pour le recouvrement des dettes des Membres de Secteur et Associés exclus, dans la mesure où il n'y a pas d'incitations à rembourser les montants dus ou d'autres mécanismes de négociation une fois l'exclusion prononcée; enfin, manque de flexibilité pour négocier les dettes des Membres de Secteur et des Associés en cas de fusion ou d'acquisition (Membres de Secteur et Associés nouveaux ou existants ayant acquis un ex-Membre de Secteur ou un ex-Associé de l'UIT qui avait une dette). </w:t>
      </w:r>
      <w:bookmarkStart w:id="18" w:name="lt_pId035"/>
      <w:bookmarkEnd w:id="17"/>
    </w:p>
    <w:bookmarkEnd w:id="18"/>
    <w:p w14:paraId="460427AA" w14:textId="24F19114" w:rsidR="006841B8" w:rsidRPr="00D44A12" w:rsidRDefault="006841B8" w:rsidP="00D568EA">
      <w:r w:rsidRPr="00D44A12">
        <w:t>1.4</w:t>
      </w:r>
      <w:r w:rsidRPr="00D44A12">
        <w:tab/>
      </w:r>
      <w:bookmarkStart w:id="19" w:name="lt_pId034"/>
      <w:r w:rsidRPr="00D44A12">
        <w:t xml:space="preserve">Face aux problèmes susmentionnés, et en vue de réduire le nombre d'exclusions, le Secrétaire général a demandé à disposer d'une plus grande flexibilité dans la mise en </w:t>
      </w:r>
      <w:r w:rsidR="00D44A12" w:rsidRPr="00D44A12">
        <w:t>œuvre</w:t>
      </w:r>
      <w:r w:rsidRPr="00D44A12">
        <w:t xml:space="preserve"> de la Résolution 152 </w:t>
      </w:r>
      <w:r w:rsidR="00B6709F" w:rsidRPr="00D44A12">
        <w:t>(</w:t>
      </w:r>
      <w:r w:rsidRPr="00D44A12">
        <w:t>à sa session de 2011, le Conseil lui a accordé cette flexibilité et cette décision a été renouvelée les années suivantes</w:t>
      </w:r>
      <w:r w:rsidR="00B6709F" w:rsidRPr="00D44A12">
        <w:t>)</w:t>
      </w:r>
      <w:r w:rsidRPr="00D44A12">
        <w:t>.</w:t>
      </w:r>
      <w:bookmarkEnd w:id="19"/>
      <w:r w:rsidRPr="00D44A12">
        <w:t xml:space="preserve"> </w:t>
      </w:r>
      <w:r w:rsidR="003C4D25" w:rsidRPr="00D44A12">
        <w:t>La</w:t>
      </w:r>
      <w:r w:rsidRPr="00D44A12">
        <w:t xml:space="preserve"> Conférence de plénipotentiaires (Busan, 2014) a</w:t>
      </w:r>
      <w:r w:rsidR="00D63998" w:rsidRPr="00D44A12">
        <w:t xml:space="preserve"> ensuite</w:t>
      </w:r>
      <w:r w:rsidRPr="00D44A12">
        <w:t xml:space="preserve"> révisé la Résolution 152, </w:t>
      </w:r>
      <w:r w:rsidR="000A7EA5" w:rsidRPr="00D44A12">
        <w:t>compte</w:t>
      </w:r>
      <w:r w:rsidR="00B6709F" w:rsidRPr="00D44A12">
        <w:t xml:space="preserve"> tenu</w:t>
      </w:r>
      <w:r w:rsidR="000A7EA5" w:rsidRPr="00D44A12">
        <w:t xml:space="preserve"> de la</w:t>
      </w:r>
      <w:r w:rsidRPr="00D44A12">
        <w:t xml:space="preserve"> flexibilité permanente concernant la disposition relative à la radiation automatique de Membres de Secteur et d'Associés, afin de faciliter le recouvrement des dettes antérieures, de garder les </w:t>
      </w:r>
      <w:r w:rsidR="000A7EA5" w:rsidRPr="00D44A12">
        <w:t>membres</w:t>
      </w:r>
      <w:r w:rsidRPr="00D44A12">
        <w:t xml:space="preserve"> actuels et </w:t>
      </w:r>
      <w:r w:rsidR="000A7EA5" w:rsidRPr="00D44A12">
        <w:t>d'en attirer de nouveaux</w:t>
      </w:r>
      <w:r w:rsidRPr="00D44A12">
        <w:t>.</w:t>
      </w:r>
    </w:p>
    <w:p w14:paraId="28726F8A" w14:textId="77777777" w:rsidR="006841B8" w:rsidRPr="00D44A12" w:rsidRDefault="006841B8" w:rsidP="00D568EA">
      <w:pPr>
        <w:pStyle w:val="Heading1"/>
      </w:pPr>
      <w:r w:rsidRPr="00D44A12">
        <w:t>2</w:t>
      </w:r>
      <w:r w:rsidRPr="00D44A12">
        <w:tab/>
      </w:r>
      <w:bookmarkStart w:id="20" w:name="lt_pId037"/>
      <w:r w:rsidRPr="00D44A12">
        <w:t>Rappel: Résultats obtenus dans l'application de la Résolution 152</w:t>
      </w:r>
      <w:bookmarkEnd w:id="20"/>
    </w:p>
    <w:p w14:paraId="492DBF40" w14:textId="070E9849" w:rsidR="006841B8" w:rsidRPr="00D44A12" w:rsidRDefault="006841B8" w:rsidP="00D568EA">
      <w:r w:rsidRPr="00D44A12">
        <w:t>2.1</w:t>
      </w:r>
      <w:r w:rsidRPr="00D44A12">
        <w:tab/>
      </w:r>
      <w:bookmarkStart w:id="21" w:name="lt_pId039"/>
      <w:r w:rsidRPr="00D44A12">
        <w:t>L'adoption de la Résolution 152 a eu des conséquences positives sur le paiement des contributions, qui se sont traduites par un meilleur taux de recouvrement de celles-ci et, de ce fait, une diminution de la dette des Membres de Secteur et des Associés.</w:t>
      </w:r>
      <w:bookmarkEnd w:id="21"/>
      <w:r w:rsidRPr="00D44A12">
        <w:t xml:space="preserve"> </w:t>
      </w:r>
      <w:bookmarkStart w:id="22" w:name="lt_pId040"/>
      <w:r w:rsidRPr="00D44A12">
        <w:t xml:space="preserve">Les deux tableaux suivants montrent l'évolution du taux de </w:t>
      </w:r>
      <w:r w:rsidRPr="00D44A12">
        <w:lastRenderedPageBreak/>
        <w:t>recouvrement des contributions ainsi que l'évolution de la dette courante (contributions dues pour l'année en cours) et des arriérés (contributions impayées cumulatives pour les années précédentes) des Membres de Secteur et des Associés.</w:t>
      </w:r>
      <w:bookmarkEnd w:id="22"/>
      <w:r w:rsidRPr="00D44A12">
        <w:t xml:space="preserve"> </w:t>
      </w:r>
      <w:bookmarkStart w:id="23" w:name="lt_pId041"/>
      <w:r w:rsidRPr="00D44A12">
        <w:t xml:space="preserve">Le Tableau 1 indique, à partir </w:t>
      </w:r>
      <w:r w:rsidR="00027C42" w:rsidRPr="00D44A12">
        <w:t xml:space="preserve">de </w:t>
      </w:r>
      <w:r w:rsidRPr="00D44A12">
        <w:t xml:space="preserve">2011, les taux de recouvrement correspondant à la nouvelle catégorie de membres "établissements universitaires" (établissements universitaires, </w:t>
      </w:r>
      <w:r w:rsidR="00027C42" w:rsidRPr="00D44A12">
        <w:t xml:space="preserve">instituts, </w:t>
      </w:r>
      <w:r w:rsidRPr="00D44A12">
        <w:t>universités et instituts de recherche associés) créée aux termes de la Résolution 169 (</w:t>
      </w:r>
      <w:proofErr w:type="spellStart"/>
      <w:r w:rsidRPr="00D44A12">
        <w:t>Rév</w:t>
      </w:r>
      <w:proofErr w:type="spellEnd"/>
      <w:r w:rsidRPr="00D44A12">
        <w:t>. Dubaï, 2018) de la Conférence de plénipotentiaires.</w:t>
      </w:r>
      <w:bookmarkEnd w:id="23"/>
    </w:p>
    <w:p w14:paraId="7B0EC3FA" w14:textId="77777777" w:rsidR="006841B8" w:rsidRPr="00D44A12" w:rsidRDefault="006841B8" w:rsidP="00D568EA">
      <w:pPr>
        <w:pStyle w:val="TableNo"/>
        <w:spacing w:before="480"/>
      </w:pPr>
      <w:bookmarkStart w:id="24" w:name="lt_pId042"/>
      <w:r w:rsidRPr="00D44A12">
        <w:t>Tableau 1</w:t>
      </w:r>
      <w:bookmarkStart w:id="25" w:name="lt_pId043"/>
      <w:bookmarkEnd w:id="24"/>
    </w:p>
    <w:p w14:paraId="008143D6" w14:textId="2BDF8BDF" w:rsidR="006841B8" w:rsidRPr="00D44A12" w:rsidRDefault="00027C42" w:rsidP="00D568EA">
      <w:pPr>
        <w:pStyle w:val="Tabletitle"/>
        <w:spacing w:after="240"/>
      </w:pPr>
      <w:r w:rsidRPr="00D44A12">
        <w:t>Évolution</w:t>
      </w:r>
      <w:r w:rsidR="006841B8" w:rsidRPr="00D44A12">
        <w:t xml:space="preserve"> du taux de recouvrement des contributions des Membres de Secteur, des Associés et des établissements universitaires (pourcentage des montants reçus </w:t>
      </w:r>
      <w:r w:rsidR="006841B8" w:rsidRPr="00D44A12">
        <w:br/>
        <w:t>par rapport aux montants facturés)</w:t>
      </w:r>
      <w:bookmarkEnd w:id="25"/>
    </w:p>
    <w:tbl>
      <w:tblPr>
        <w:tblW w:w="9776" w:type="dxa"/>
        <w:jc w:val="center"/>
        <w:tblLook w:val="04A0" w:firstRow="1" w:lastRow="0" w:firstColumn="1" w:lastColumn="0" w:noHBand="0" w:noVBand="1"/>
      </w:tblPr>
      <w:tblGrid>
        <w:gridCol w:w="2107"/>
        <w:gridCol w:w="778"/>
        <w:gridCol w:w="778"/>
        <w:gridCol w:w="778"/>
        <w:gridCol w:w="778"/>
        <w:gridCol w:w="779"/>
        <w:gridCol w:w="779"/>
        <w:gridCol w:w="779"/>
        <w:gridCol w:w="779"/>
        <w:gridCol w:w="703"/>
        <w:gridCol w:w="738"/>
      </w:tblGrid>
      <w:tr w:rsidR="00EB03B9" w:rsidRPr="00D44A12" w14:paraId="7052706A" w14:textId="77777777" w:rsidTr="00EB03B9">
        <w:trPr>
          <w:trHeight w:val="300"/>
          <w:jc w:val="center"/>
        </w:trPr>
        <w:tc>
          <w:tcPr>
            <w:tcW w:w="210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141F83" w14:textId="77777777" w:rsidR="00EB03B9" w:rsidRPr="00D44A12" w:rsidRDefault="00EB03B9" w:rsidP="00D568EA">
            <w:pPr>
              <w:pStyle w:val="Tablehead"/>
              <w:rPr>
                <w:lang w:eastAsia="zh-CN"/>
              </w:rPr>
            </w:pPr>
            <w:bookmarkStart w:id="26" w:name="lt_pId044"/>
            <w:r w:rsidRPr="00D44A12">
              <w:rPr>
                <w:lang w:eastAsia="zh-CN"/>
              </w:rPr>
              <w:t>Membres</w:t>
            </w:r>
            <w:bookmarkEnd w:id="26"/>
          </w:p>
        </w:tc>
        <w:tc>
          <w:tcPr>
            <w:tcW w:w="778" w:type="dxa"/>
            <w:tcBorders>
              <w:top w:val="single" w:sz="4" w:space="0" w:color="auto"/>
              <w:left w:val="nil"/>
              <w:bottom w:val="single" w:sz="4" w:space="0" w:color="auto"/>
              <w:right w:val="single" w:sz="4" w:space="0" w:color="auto"/>
            </w:tcBorders>
            <w:shd w:val="clear" w:color="auto" w:fill="FFFFFF"/>
            <w:noWrap/>
            <w:vAlign w:val="bottom"/>
            <w:hideMark/>
          </w:tcPr>
          <w:p w14:paraId="7109DC53" w14:textId="77777777" w:rsidR="00EB03B9" w:rsidRPr="00D44A12" w:rsidRDefault="00EB03B9" w:rsidP="00D568EA">
            <w:pPr>
              <w:pStyle w:val="Tablehead"/>
            </w:pPr>
            <w:r w:rsidRPr="00D44A12">
              <w:t>2009</w:t>
            </w:r>
          </w:p>
        </w:tc>
        <w:tc>
          <w:tcPr>
            <w:tcW w:w="778" w:type="dxa"/>
            <w:tcBorders>
              <w:top w:val="single" w:sz="4" w:space="0" w:color="auto"/>
              <w:left w:val="nil"/>
              <w:bottom w:val="single" w:sz="4" w:space="0" w:color="auto"/>
              <w:right w:val="single" w:sz="4" w:space="0" w:color="auto"/>
            </w:tcBorders>
            <w:shd w:val="clear" w:color="auto" w:fill="FFFFFF"/>
            <w:noWrap/>
            <w:vAlign w:val="bottom"/>
            <w:hideMark/>
          </w:tcPr>
          <w:p w14:paraId="22564B93" w14:textId="77777777" w:rsidR="00EB03B9" w:rsidRPr="00D44A12" w:rsidRDefault="00EB03B9" w:rsidP="00D568EA">
            <w:pPr>
              <w:pStyle w:val="Tablehead"/>
            </w:pPr>
            <w:r w:rsidRPr="00D44A12">
              <w:t>2010</w:t>
            </w:r>
          </w:p>
        </w:tc>
        <w:tc>
          <w:tcPr>
            <w:tcW w:w="778" w:type="dxa"/>
            <w:tcBorders>
              <w:top w:val="single" w:sz="4" w:space="0" w:color="auto"/>
              <w:left w:val="nil"/>
              <w:bottom w:val="single" w:sz="4" w:space="0" w:color="auto"/>
              <w:right w:val="single" w:sz="4" w:space="0" w:color="auto"/>
            </w:tcBorders>
            <w:shd w:val="clear" w:color="auto" w:fill="FFFFFF"/>
            <w:noWrap/>
            <w:vAlign w:val="bottom"/>
            <w:hideMark/>
          </w:tcPr>
          <w:p w14:paraId="639DFDC6" w14:textId="77777777" w:rsidR="00EB03B9" w:rsidRPr="00D44A12" w:rsidRDefault="00EB03B9" w:rsidP="00D568EA">
            <w:pPr>
              <w:pStyle w:val="Tablehead"/>
            </w:pPr>
            <w:r w:rsidRPr="00D44A12">
              <w:t>2011</w:t>
            </w:r>
          </w:p>
        </w:tc>
        <w:tc>
          <w:tcPr>
            <w:tcW w:w="778" w:type="dxa"/>
            <w:tcBorders>
              <w:top w:val="single" w:sz="4" w:space="0" w:color="auto"/>
              <w:left w:val="nil"/>
              <w:bottom w:val="single" w:sz="4" w:space="0" w:color="auto"/>
              <w:right w:val="single" w:sz="4" w:space="0" w:color="auto"/>
            </w:tcBorders>
            <w:shd w:val="clear" w:color="auto" w:fill="FFFFFF"/>
            <w:noWrap/>
            <w:vAlign w:val="bottom"/>
            <w:hideMark/>
          </w:tcPr>
          <w:p w14:paraId="3F1D77B0" w14:textId="77777777" w:rsidR="00EB03B9" w:rsidRPr="00D44A12" w:rsidRDefault="00EB03B9" w:rsidP="00D568EA">
            <w:pPr>
              <w:pStyle w:val="Tablehead"/>
            </w:pPr>
            <w:r w:rsidRPr="00D44A12">
              <w:t>2012</w:t>
            </w:r>
          </w:p>
        </w:tc>
        <w:tc>
          <w:tcPr>
            <w:tcW w:w="779" w:type="dxa"/>
            <w:tcBorders>
              <w:top w:val="single" w:sz="4" w:space="0" w:color="auto"/>
              <w:left w:val="nil"/>
              <w:bottom w:val="single" w:sz="4" w:space="0" w:color="auto"/>
              <w:right w:val="single" w:sz="4" w:space="0" w:color="auto"/>
            </w:tcBorders>
            <w:shd w:val="clear" w:color="auto" w:fill="FFFFFF"/>
            <w:noWrap/>
            <w:vAlign w:val="bottom"/>
            <w:hideMark/>
          </w:tcPr>
          <w:p w14:paraId="68855DD9" w14:textId="77777777" w:rsidR="00EB03B9" w:rsidRPr="00D44A12" w:rsidRDefault="00EB03B9" w:rsidP="00D568EA">
            <w:pPr>
              <w:pStyle w:val="Tablehead"/>
            </w:pPr>
            <w:r w:rsidRPr="00D44A12">
              <w:rPr>
                <w:rFonts w:cs="Calibri"/>
                <w:bCs/>
                <w:lang w:eastAsia="zh-CN"/>
              </w:rPr>
              <w:t>2013</w:t>
            </w:r>
          </w:p>
        </w:tc>
        <w:tc>
          <w:tcPr>
            <w:tcW w:w="779" w:type="dxa"/>
            <w:tcBorders>
              <w:top w:val="single" w:sz="4" w:space="0" w:color="auto"/>
              <w:left w:val="nil"/>
              <w:bottom w:val="single" w:sz="4" w:space="0" w:color="auto"/>
              <w:right w:val="single" w:sz="4" w:space="0" w:color="auto"/>
            </w:tcBorders>
            <w:shd w:val="clear" w:color="auto" w:fill="FFFFFF"/>
            <w:noWrap/>
            <w:vAlign w:val="bottom"/>
            <w:hideMark/>
          </w:tcPr>
          <w:p w14:paraId="5F6E2F89" w14:textId="77777777" w:rsidR="00EB03B9" w:rsidRPr="00D44A12" w:rsidRDefault="00EB03B9" w:rsidP="00D568EA">
            <w:pPr>
              <w:pStyle w:val="Tablehead"/>
            </w:pPr>
            <w:r w:rsidRPr="00D44A12">
              <w:rPr>
                <w:rFonts w:cs="Calibri"/>
                <w:bCs/>
                <w:lang w:eastAsia="zh-CN"/>
              </w:rPr>
              <w:t>2014</w:t>
            </w:r>
          </w:p>
        </w:tc>
        <w:tc>
          <w:tcPr>
            <w:tcW w:w="779" w:type="dxa"/>
            <w:tcBorders>
              <w:top w:val="single" w:sz="4" w:space="0" w:color="auto"/>
              <w:left w:val="nil"/>
              <w:bottom w:val="single" w:sz="4" w:space="0" w:color="auto"/>
              <w:right w:val="single" w:sz="4" w:space="0" w:color="auto"/>
            </w:tcBorders>
            <w:shd w:val="clear" w:color="auto" w:fill="FFFFFF"/>
            <w:noWrap/>
            <w:vAlign w:val="bottom"/>
            <w:hideMark/>
          </w:tcPr>
          <w:p w14:paraId="21229594" w14:textId="77777777" w:rsidR="00EB03B9" w:rsidRPr="00D44A12" w:rsidRDefault="00EB03B9" w:rsidP="00D568EA">
            <w:pPr>
              <w:pStyle w:val="Tablehead"/>
            </w:pPr>
            <w:r w:rsidRPr="00D44A12">
              <w:rPr>
                <w:rFonts w:cs="Calibri"/>
                <w:bCs/>
                <w:lang w:eastAsia="zh-CN"/>
              </w:rPr>
              <w:t>2015</w:t>
            </w:r>
          </w:p>
        </w:tc>
        <w:tc>
          <w:tcPr>
            <w:tcW w:w="779" w:type="dxa"/>
            <w:tcBorders>
              <w:top w:val="single" w:sz="4" w:space="0" w:color="auto"/>
              <w:left w:val="nil"/>
              <w:bottom w:val="single" w:sz="4" w:space="0" w:color="auto"/>
              <w:right w:val="single" w:sz="4" w:space="0" w:color="auto"/>
            </w:tcBorders>
            <w:shd w:val="clear" w:color="auto" w:fill="FFFFFF"/>
            <w:noWrap/>
            <w:vAlign w:val="bottom"/>
            <w:hideMark/>
          </w:tcPr>
          <w:p w14:paraId="46D11D71" w14:textId="77777777" w:rsidR="00EB03B9" w:rsidRPr="00D44A12" w:rsidRDefault="00EB03B9" w:rsidP="00D568EA">
            <w:pPr>
              <w:pStyle w:val="Tablehead"/>
            </w:pPr>
            <w:r w:rsidRPr="00D44A12">
              <w:rPr>
                <w:rFonts w:cs="Calibri"/>
                <w:bCs/>
                <w:lang w:eastAsia="zh-CN"/>
              </w:rPr>
              <w:t>2016</w:t>
            </w:r>
          </w:p>
        </w:tc>
        <w:tc>
          <w:tcPr>
            <w:tcW w:w="703" w:type="dxa"/>
            <w:tcBorders>
              <w:top w:val="single" w:sz="4" w:space="0" w:color="auto"/>
              <w:left w:val="nil"/>
              <w:bottom w:val="single" w:sz="4" w:space="0" w:color="auto"/>
              <w:right w:val="single" w:sz="4" w:space="0" w:color="auto"/>
            </w:tcBorders>
            <w:shd w:val="clear" w:color="auto" w:fill="FFFFFF"/>
            <w:vAlign w:val="bottom"/>
          </w:tcPr>
          <w:p w14:paraId="5F634740" w14:textId="77777777" w:rsidR="00EB03B9" w:rsidRPr="00D44A12" w:rsidRDefault="00EB03B9" w:rsidP="00D568EA">
            <w:pPr>
              <w:pStyle w:val="Tablehead"/>
            </w:pPr>
            <w:r w:rsidRPr="00D44A12">
              <w:rPr>
                <w:rFonts w:cs="Calibri"/>
                <w:bCs/>
                <w:lang w:eastAsia="zh-CN"/>
              </w:rPr>
              <w:t>2017</w:t>
            </w:r>
          </w:p>
        </w:tc>
        <w:tc>
          <w:tcPr>
            <w:tcW w:w="738" w:type="dxa"/>
            <w:tcBorders>
              <w:top w:val="single" w:sz="4" w:space="0" w:color="auto"/>
              <w:left w:val="nil"/>
              <w:bottom w:val="single" w:sz="4" w:space="0" w:color="auto"/>
              <w:right w:val="single" w:sz="4" w:space="0" w:color="auto"/>
            </w:tcBorders>
            <w:shd w:val="clear" w:color="auto" w:fill="FFFFFF"/>
            <w:vAlign w:val="bottom"/>
          </w:tcPr>
          <w:p w14:paraId="7EB13BDC" w14:textId="77777777" w:rsidR="00EB03B9" w:rsidRPr="00D44A12" w:rsidRDefault="00EB03B9" w:rsidP="00D568EA">
            <w:pPr>
              <w:pStyle w:val="Tablehead"/>
            </w:pPr>
            <w:r w:rsidRPr="00D44A12">
              <w:t>2018</w:t>
            </w:r>
          </w:p>
        </w:tc>
      </w:tr>
      <w:tr w:rsidR="00EB03B9" w:rsidRPr="00D44A12" w14:paraId="48BA5FE8" w14:textId="77777777" w:rsidTr="00CC5CDC">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25AF7856" w14:textId="77777777" w:rsidR="00EB03B9" w:rsidRPr="00D44A12" w:rsidRDefault="00EB03B9" w:rsidP="00D568EA">
            <w:pPr>
              <w:pStyle w:val="Tabletext"/>
              <w:rPr>
                <w:lang w:eastAsia="zh-CN"/>
              </w:rPr>
            </w:pPr>
            <w:bookmarkStart w:id="27" w:name="lt_pId053"/>
            <w:r w:rsidRPr="00D44A12">
              <w:rPr>
                <w:lang w:eastAsia="zh-CN"/>
              </w:rPr>
              <w:t>Membres de Secteur</w:t>
            </w:r>
            <w:bookmarkEnd w:id="27"/>
          </w:p>
        </w:tc>
        <w:tc>
          <w:tcPr>
            <w:tcW w:w="778" w:type="dxa"/>
            <w:tcBorders>
              <w:top w:val="nil"/>
              <w:left w:val="nil"/>
              <w:bottom w:val="single" w:sz="4" w:space="0" w:color="auto"/>
              <w:right w:val="single" w:sz="4" w:space="0" w:color="auto"/>
            </w:tcBorders>
            <w:shd w:val="clear" w:color="auto" w:fill="DCE6F1"/>
            <w:noWrap/>
            <w:vAlign w:val="center"/>
            <w:hideMark/>
          </w:tcPr>
          <w:p w14:paraId="57A84F63" w14:textId="77777777" w:rsidR="00EB03B9" w:rsidRPr="00D44A12" w:rsidRDefault="00EB03B9" w:rsidP="00CC5CDC">
            <w:pPr>
              <w:pStyle w:val="Tabletext"/>
              <w:jc w:val="center"/>
            </w:pPr>
            <w:r w:rsidRPr="00D44A12">
              <w:t>96%</w:t>
            </w:r>
          </w:p>
        </w:tc>
        <w:tc>
          <w:tcPr>
            <w:tcW w:w="778" w:type="dxa"/>
            <w:tcBorders>
              <w:top w:val="nil"/>
              <w:left w:val="nil"/>
              <w:bottom w:val="single" w:sz="4" w:space="0" w:color="auto"/>
              <w:right w:val="single" w:sz="4" w:space="0" w:color="auto"/>
            </w:tcBorders>
            <w:shd w:val="clear" w:color="auto" w:fill="DCE6F1"/>
            <w:noWrap/>
            <w:vAlign w:val="center"/>
            <w:hideMark/>
          </w:tcPr>
          <w:p w14:paraId="6EFA6221" w14:textId="77777777" w:rsidR="00EB03B9" w:rsidRPr="00D44A12" w:rsidRDefault="00EB03B9" w:rsidP="00CC5CDC">
            <w:pPr>
              <w:pStyle w:val="Tabletext"/>
              <w:jc w:val="center"/>
            </w:pPr>
            <w:r w:rsidRPr="00D44A12">
              <w:rPr>
                <w:rFonts w:cs="Calibri"/>
                <w:lang w:eastAsia="zh-CN"/>
              </w:rPr>
              <w:t>97</w:t>
            </w:r>
            <w:r w:rsidRPr="00D44A12">
              <w:t>%</w:t>
            </w:r>
          </w:p>
        </w:tc>
        <w:tc>
          <w:tcPr>
            <w:tcW w:w="778" w:type="dxa"/>
            <w:tcBorders>
              <w:top w:val="nil"/>
              <w:left w:val="nil"/>
              <w:bottom w:val="single" w:sz="4" w:space="0" w:color="auto"/>
              <w:right w:val="single" w:sz="4" w:space="0" w:color="auto"/>
            </w:tcBorders>
            <w:shd w:val="clear" w:color="auto" w:fill="DCE6F1"/>
            <w:noWrap/>
            <w:vAlign w:val="center"/>
            <w:hideMark/>
          </w:tcPr>
          <w:p w14:paraId="16936BAD" w14:textId="77777777" w:rsidR="00EB03B9" w:rsidRPr="00D44A12" w:rsidRDefault="00EB03B9" w:rsidP="00CC5CDC">
            <w:pPr>
              <w:pStyle w:val="Tabletext"/>
              <w:jc w:val="center"/>
            </w:pPr>
            <w:r w:rsidRPr="00D44A12">
              <w:rPr>
                <w:rFonts w:cs="Calibri"/>
                <w:lang w:eastAsia="zh-CN"/>
              </w:rPr>
              <w:t>99</w:t>
            </w:r>
            <w:r w:rsidRPr="00D44A12">
              <w:t>%</w:t>
            </w:r>
          </w:p>
        </w:tc>
        <w:tc>
          <w:tcPr>
            <w:tcW w:w="778" w:type="dxa"/>
            <w:tcBorders>
              <w:top w:val="nil"/>
              <w:left w:val="nil"/>
              <w:bottom w:val="single" w:sz="4" w:space="0" w:color="auto"/>
              <w:right w:val="single" w:sz="4" w:space="0" w:color="auto"/>
            </w:tcBorders>
            <w:shd w:val="clear" w:color="auto" w:fill="DCE6F1"/>
            <w:noWrap/>
            <w:vAlign w:val="center"/>
            <w:hideMark/>
          </w:tcPr>
          <w:p w14:paraId="30967DAD" w14:textId="77777777" w:rsidR="00EB03B9" w:rsidRPr="00D44A12" w:rsidRDefault="00EB03B9" w:rsidP="00CC5CDC">
            <w:pPr>
              <w:pStyle w:val="Tabletext"/>
              <w:jc w:val="center"/>
            </w:pPr>
            <w:r w:rsidRPr="00D44A12">
              <w:rPr>
                <w:rFonts w:cs="Calibri"/>
                <w:lang w:eastAsia="zh-CN"/>
              </w:rPr>
              <w:t>98</w:t>
            </w:r>
            <w:r w:rsidRPr="00D44A12">
              <w:t>%</w:t>
            </w:r>
          </w:p>
        </w:tc>
        <w:tc>
          <w:tcPr>
            <w:tcW w:w="779" w:type="dxa"/>
            <w:tcBorders>
              <w:top w:val="nil"/>
              <w:left w:val="nil"/>
              <w:bottom w:val="single" w:sz="4" w:space="0" w:color="auto"/>
              <w:right w:val="single" w:sz="4" w:space="0" w:color="auto"/>
            </w:tcBorders>
            <w:shd w:val="clear" w:color="auto" w:fill="DCE6F1"/>
            <w:noWrap/>
            <w:vAlign w:val="center"/>
            <w:hideMark/>
          </w:tcPr>
          <w:p w14:paraId="186027AC" w14:textId="77777777" w:rsidR="00EB03B9" w:rsidRPr="00D44A12" w:rsidRDefault="00EB03B9" w:rsidP="00CC5CDC">
            <w:pPr>
              <w:pStyle w:val="Tabletext"/>
              <w:jc w:val="center"/>
            </w:pPr>
            <w:r w:rsidRPr="00D44A12">
              <w:t>98%</w:t>
            </w:r>
          </w:p>
        </w:tc>
        <w:tc>
          <w:tcPr>
            <w:tcW w:w="779" w:type="dxa"/>
            <w:tcBorders>
              <w:top w:val="nil"/>
              <w:left w:val="nil"/>
              <w:bottom w:val="single" w:sz="4" w:space="0" w:color="auto"/>
              <w:right w:val="single" w:sz="4" w:space="0" w:color="auto"/>
            </w:tcBorders>
            <w:shd w:val="clear" w:color="auto" w:fill="DCE6F1"/>
            <w:noWrap/>
            <w:vAlign w:val="center"/>
            <w:hideMark/>
          </w:tcPr>
          <w:p w14:paraId="3BDEB273" w14:textId="77777777" w:rsidR="00EB03B9" w:rsidRPr="00D44A12" w:rsidRDefault="00EB03B9" w:rsidP="00CC5CDC">
            <w:pPr>
              <w:pStyle w:val="Tabletext"/>
              <w:jc w:val="center"/>
            </w:pPr>
            <w:r w:rsidRPr="00D44A12">
              <w:t>98%</w:t>
            </w:r>
          </w:p>
        </w:tc>
        <w:tc>
          <w:tcPr>
            <w:tcW w:w="779" w:type="dxa"/>
            <w:tcBorders>
              <w:top w:val="nil"/>
              <w:left w:val="nil"/>
              <w:bottom w:val="single" w:sz="4" w:space="0" w:color="auto"/>
              <w:right w:val="single" w:sz="4" w:space="0" w:color="auto"/>
            </w:tcBorders>
            <w:shd w:val="clear" w:color="auto" w:fill="DCE6F1"/>
            <w:noWrap/>
            <w:vAlign w:val="center"/>
            <w:hideMark/>
          </w:tcPr>
          <w:p w14:paraId="6970ABC2" w14:textId="77777777" w:rsidR="00EB03B9" w:rsidRPr="00D44A12" w:rsidRDefault="00EB03B9" w:rsidP="00CC5CDC">
            <w:pPr>
              <w:pStyle w:val="Tabletext"/>
              <w:jc w:val="center"/>
            </w:pPr>
            <w:r w:rsidRPr="00D44A12">
              <w:t>98%</w:t>
            </w:r>
          </w:p>
        </w:tc>
        <w:tc>
          <w:tcPr>
            <w:tcW w:w="779" w:type="dxa"/>
            <w:tcBorders>
              <w:top w:val="nil"/>
              <w:left w:val="nil"/>
              <w:bottom w:val="single" w:sz="4" w:space="0" w:color="auto"/>
              <w:right w:val="single" w:sz="4" w:space="0" w:color="auto"/>
            </w:tcBorders>
            <w:shd w:val="clear" w:color="auto" w:fill="DCE6F1"/>
            <w:noWrap/>
            <w:vAlign w:val="center"/>
            <w:hideMark/>
          </w:tcPr>
          <w:p w14:paraId="227A2458" w14:textId="77777777" w:rsidR="00EB03B9" w:rsidRPr="00D44A12" w:rsidRDefault="00EB03B9" w:rsidP="00CC5CDC">
            <w:pPr>
              <w:pStyle w:val="Tabletext"/>
              <w:jc w:val="center"/>
            </w:pPr>
            <w:r w:rsidRPr="00D44A12">
              <w:t>98%</w:t>
            </w:r>
          </w:p>
        </w:tc>
        <w:tc>
          <w:tcPr>
            <w:tcW w:w="703" w:type="dxa"/>
            <w:tcBorders>
              <w:top w:val="nil"/>
              <w:left w:val="nil"/>
              <w:bottom w:val="single" w:sz="4" w:space="0" w:color="auto"/>
              <w:right w:val="single" w:sz="4" w:space="0" w:color="auto"/>
            </w:tcBorders>
            <w:shd w:val="clear" w:color="auto" w:fill="DCE6F1"/>
            <w:vAlign w:val="center"/>
          </w:tcPr>
          <w:p w14:paraId="42D108E7" w14:textId="77777777" w:rsidR="00EB03B9" w:rsidRPr="00D44A12" w:rsidRDefault="00EB03B9" w:rsidP="00CC5CDC">
            <w:pPr>
              <w:pStyle w:val="Tabletext"/>
              <w:jc w:val="center"/>
            </w:pPr>
            <w:r w:rsidRPr="00D44A12">
              <w:rPr>
                <w:rFonts w:cs="Calibri"/>
                <w:lang w:eastAsia="zh-CN"/>
              </w:rPr>
              <w:t>97</w:t>
            </w:r>
            <w:r w:rsidRPr="00D44A12">
              <w:t>%</w:t>
            </w:r>
          </w:p>
        </w:tc>
        <w:tc>
          <w:tcPr>
            <w:tcW w:w="738" w:type="dxa"/>
            <w:tcBorders>
              <w:top w:val="nil"/>
              <w:left w:val="nil"/>
              <w:bottom w:val="single" w:sz="4" w:space="0" w:color="auto"/>
              <w:right w:val="single" w:sz="4" w:space="0" w:color="auto"/>
            </w:tcBorders>
            <w:shd w:val="clear" w:color="auto" w:fill="DCE6F1"/>
            <w:vAlign w:val="center"/>
          </w:tcPr>
          <w:p w14:paraId="684F63F3" w14:textId="77777777" w:rsidR="00EB03B9" w:rsidRPr="00D44A12" w:rsidRDefault="00EB03B9" w:rsidP="00CC5CDC">
            <w:pPr>
              <w:pStyle w:val="Tabletext"/>
              <w:jc w:val="center"/>
            </w:pPr>
            <w:r w:rsidRPr="00D44A12">
              <w:rPr>
                <w:rFonts w:cs="Calibri"/>
                <w:lang w:eastAsia="zh-CN"/>
              </w:rPr>
              <w:t>96</w:t>
            </w:r>
            <w:r w:rsidRPr="00D44A12">
              <w:t>%</w:t>
            </w:r>
          </w:p>
        </w:tc>
      </w:tr>
      <w:tr w:rsidR="00EB03B9" w:rsidRPr="00D44A12" w14:paraId="5C090763" w14:textId="77777777" w:rsidTr="00CC5CDC">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30FE2013" w14:textId="77777777" w:rsidR="00EB03B9" w:rsidRPr="00D44A12" w:rsidRDefault="00EB03B9" w:rsidP="00D568EA">
            <w:pPr>
              <w:pStyle w:val="Tabletext"/>
              <w:rPr>
                <w:lang w:eastAsia="zh-CN"/>
              </w:rPr>
            </w:pPr>
            <w:bookmarkStart w:id="28" w:name="lt_pId062"/>
            <w:r w:rsidRPr="00D44A12">
              <w:rPr>
                <w:lang w:eastAsia="zh-CN"/>
              </w:rPr>
              <w:t>Associés</w:t>
            </w:r>
            <w:bookmarkEnd w:id="28"/>
          </w:p>
        </w:tc>
        <w:tc>
          <w:tcPr>
            <w:tcW w:w="778" w:type="dxa"/>
            <w:tcBorders>
              <w:top w:val="nil"/>
              <w:left w:val="nil"/>
              <w:bottom w:val="single" w:sz="4" w:space="0" w:color="auto"/>
              <w:right w:val="single" w:sz="4" w:space="0" w:color="auto"/>
            </w:tcBorders>
            <w:shd w:val="clear" w:color="auto" w:fill="DCE6F1"/>
            <w:noWrap/>
            <w:vAlign w:val="center"/>
            <w:hideMark/>
          </w:tcPr>
          <w:p w14:paraId="202135BF" w14:textId="77777777" w:rsidR="00EB03B9" w:rsidRPr="00D44A12" w:rsidRDefault="00EB03B9" w:rsidP="00CC5CDC">
            <w:pPr>
              <w:pStyle w:val="Tabletext"/>
              <w:jc w:val="center"/>
            </w:pPr>
            <w:r w:rsidRPr="00D44A12">
              <w:rPr>
                <w:rFonts w:cs="Calibri"/>
                <w:lang w:eastAsia="zh-CN"/>
              </w:rPr>
              <w:t>88</w:t>
            </w:r>
            <w:r w:rsidRPr="00D44A12">
              <w:t>%</w:t>
            </w:r>
          </w:p>
        </w:tc>
        <w:tc>
          <w:tcPr>
            <w:tcW w:w="778" w:type="dxa"/>
            <w:tcBorders>
              <w:top w:val="nil"/>
              <w:left w:val="nil"/>
              <w:bottom w:val="single" w:sz="4" w:space="0" w:color="auto"/>
              <w:right w:val="single" w:sz="4" w:space="0" w:color="auto"/>
            </w:tcBorders>
            <w:shd w:val="clear" w:color="auto" w:fill="DCE6F1"/>
            <w:noWrap/>
            <w:vAlign w:val="center"/>
            <w:hideMark/>
          </w:tcPr>
          <w:p w14:paraId="3517A6BF" w14:textId="77777777" w:rsidR="00EB03B9" w:rsidRPr="00D44A12" w:rsidRDefault="00EB03B9" w:rsidP="00CC5CDC">
            <w:pPr>
              <w:pStyle w:val="Tabletext"/>
              <w:jc w:val="center"/>
            </w:pPr>
            <w:r w:rsidRPr="00D44A12">
              <w:rPr>
                <w:rFonts w:cs="Calibri"/>
                <w:lang w:eastAsia="zh-CN"/>
              </w:rPr>
              <w:t>91</w:t>
            </w:r>
            <w:r w:rsidRPr="00D44A12">
              <w:t>%</w:t>
            </w:r>
          </w:p>
        </w:tc>
        <w:tc>
          <w:tcPr>
            <w:tcW w:w="778" w:type="dxa"/>
            <w:tcBorders>
              <w:top w:val="nil"/>
              <w:left w:val="nil"/>
              <w:bottom w:val="single" w:sz="4" w:space="0" w:color="auto"/>
              <w:right w:val="single" w:sz="4" w:space="0" w:color="auto"/>
            </w:tcBorders>
            <w:shd w:val="clear" w:color="auto" w:fill="DCE6F1"/>
            <w:noWrap/>
            <w:vAlign w:val="center"/>
            <w:hideMark/>
          </w:tcPr>
          <w:p w14:paraId="6764B65D" w14:textId="77777777" w:rsidR="00EB03B9" w:rsidRPr="00D44A12" w:rsidRDefault="00EB03B9" w:rsidP="00CC5CDC">
            <w:pPr>
              <w:pStyle w:val="Tabletext"/>
              <w:jc w:val="center"/>
            </w:pPr>
            <w:r w:rsidRPr="00D44A12">
              <w:rPr>
                <w:rFonts w:cs="Calibri"/>
                <w:lang w:eastAsia="zh-CN"/>
              </w:rPr>
              <w:t>93</w:t>
            </w:r>
            <w:r w:rsidRPr="00D44A12">
              <w:t>%</w:t>
            </w:r>
          </w:p>
        </w:tc>
        <w:tc>
          <w:tcPr>
            <w:tcW w:w="778" w:type="dxa"/>
            <w:tcBorders>
              <w:top w:val="nil"/>
              <w:left w:val="nil"/>
              <w:bottom w:val="single" w:sz="4" w:space="0" w:color="auto"/>
              <w:right w:val="single" w:sz="4" w:space="0" w:color="auto"/>
            </w:tcBorders>
            <w:shd w:val="clear" w:color="auto" w:fill="DCE6F1"/>
            <w:noWrap/>
            <w:vAlign w:val="center"/>
            <w:hideMark/>
          </w:tcPr>
          <w:p w14:paraId="1DB50AD8" w14:textId="77777777" w:rsidR="00EB03B9" w:rsidRPr="00D44A12" w:rsidRDefault="00EB03B9" w:rsidP="00CC5CDC">
            <w:pPr>
              <w:pStyle w:val="Tabletext"/>
              <w:jc w:val="center"/>
            </w:pPr>
            <w:r w:rsidRPr="00D44A12">
              <w:rPr>
                <w:rFonts w:cs="Calibri"/>
                <w:lang w:eastAsia="zh-CN"/>
              </w:rPr>
              <w:t>94</w:t>
            </w:r>
            <w:r w:rsidRPr="00D44A12">
              <w:t>%</w:t>
            </w:r>
          </w:p>
        </w:tc>
        <w:tc>
          <w:tcPr>
            <w:tcW w:w="779" w:type="dxa"/>
            <w:tcBorders>
              <w:top w:val="nil"/>
              <w:left w:val="nil"/>
              <w:bottom w:val="single" w:sz="4" w:space="0" w:color="auto"/>
              <w:right w:val="single" w:sz="4" w:space="0" w:color="auto"/>
            </w:tcBorders>
            <w:shd w:val="clear" w:color="auto" w:fill="DCE6F1"/>
            <w:noWrap/>
            <w:vAlign w:val="center"/>
            <w:hideMark/>
          </w:tcPr>
          <w:p w14:paraId="456DBA04" w14:textId="77777777" w:rsidR="00EB03B9" w:rsidRPr="00D44A12" w:rsidRDefault="00EB03B9" w:rsidP="00CC5CDC">
            <w:pPr>
              <w:pStyle w:val="Tabletext"/>
              <w:jc w:val="center"/>
            </w:pPr>
            <w:r w:rsidRPr="00D44A12">
              <w:rPr>
                <w:rFonts w:cs="Calibri"/>
                <w:lang w:eastAsia="zh-CN"/>
              </w:rPr>
              <w:t>93</w:t>
            </w:r>
            <w:r w:rsidRPr="00D44A12">
              <w:t>%</w:t>
            </w:r>
          </w:p>
        </w:tc>
        <w:tc>
          <w:tcPr>
            <w:tcW w:w="779" w:type="dxa"/>
            <w:tcBorders>
              <w:top w:val="nil"/>
              <w:left w:val="nil"/>
              <w:bottom w:val="single" w:sz="4" w:space="0" w:color="auto"/>
              <w:right w:val="single" w:sz="4" w:space="0" w:color="auto"/>
            </w:tcBorders>
            <w:shd w:val="clear" w:color="auto" w:fill="DCE6F1"/>
            <w:noWrap/>
            <w:vAlign w:val="center"/>
            <w:hideMark/>
          </w:tcPr>
          <w:p w14:paraId="1D85F21D" w14:textId="77777777" w:rsidR="00EB03B9" w:rsidRPr="00D44A12" w:rsidRDefault="00EB03B9" w:rsidP="00CC5CDC">
            <w:pPr>
              <w:pStyle w:val="Tabletext"/>
              <w:jc w:val="center"/>
            </w:pPr>
            <w:r w:rsidRPr="00D44A12">
              <w:t>93%</w:t>
            </w:r>
          </w:p>
        </w:tc>
        <w:tc>
          <w:tcPr>
            <w:tcW w:w="779" w:type="dxa"/>
            <w:tcBorders>
              <w:top w:val="nil"/>
              <w:left w:val="nil"/>
              <w:bottom w:val="single" w:sz="4" w:space="0" w:color="auto"/>
              <w:right w:val="single" w:sz="4" w:space="0" w:color="auto"/>
            </w:tcBorders>
            <w:shd w:val="clear" w:color="auto" w:fill="DCE6F1"/>
            <w:noWrap/>
            <w:vAlign w:val="center"/>
            <w:hideMark/>
          </w:tcPr>
          <w:p w14:paraId="36A60107" w14:textId="77777777" w:rsidR="00EB03B9" w:rsidRPr="00D44A12" w:rsidRDefault="00EB03B9" w:rsidP="00CC5CDC">
            <w:pPr>
              <w:pStyle w:val="Tabletext"/>
              <w:jc w:val="center"/>
            </w:pPr>
            <w:r w:rsidRPr="00D44A12">
              <w:t>93%</w:t>
            </w:r>
          </w:p>
        </w:tc>
        <w:tc>
          <w:tcPr>
            <w:tcW w:w="779" w:type="dxa"/>
            <w:tcBorders>
              <w:top w:val="nil"/>
              <w:left w:val="nil"/>
              <w:bottom w:val="single" w:sz="4" w:space="0" w:color="auto"/>
              <w:right w:val="single" w:sz="4" w:space="0" w:color="auto"/>
            </w:tcBorders>
            <w:shd w:val="clear" w:color="auto" w:fill="DCE6F1"/>
            <w:noWrap/>
            <w:vAlign w:val="center"/>
            <w:hideMark/>
          </w:tcPr>
          <w:p w14:paraId="19822FC1" w14:textId="77777777" w:rsidR="00EB03B9" w:rsidRPr="00D44A12" w:rsidRDefault="00EB03B9" w:rsidP="00CC5CDC">
            <w:pPr>
              <w:pStyle w:val="Tabletext"/>
              <w:jc w:val="center"/>
            </w:pPr>
            <w:r w:rsidRPr="00D44A12">
              <w:t>93%</w:t>
            </w:r>
          </w:p>
        </w:tc>
        <w:tc>
          <w:tcPr>
            <w:tcW w:w="703" w:type="dxa"/>
            <w:tcBorders>
              <w:top w:val="nil"/>
              <w:left w:val="nil"/>
              <w:bottom w:val="single" w:sz="4" w:space="0" w:color="auto"/>
              <w:right w:val="single" w:sz="4" w:space="0" w:color="auto"/>
            </w:tcBorders>
            <w:shd w:val="clear" w:color="auto" w:fill="DCE6F1"/>
            <w:vAlign w:val="center"/>
          </w:tcPr>
          <w:p w14:paraId="326EBA28" w14:textId="77777777" w:rsidR="00EB03B9" w:rsidRPr="00D44A12" w:rsidRDefault="00EB03B9" w:rsidP="00CC5CDC">
            <w:pPr>
              <w:pStyle w:val="Tabletext"/>
              <w:jc w:val="center"/>
            </w:pPr>
            <w:r w:rsidRPr="00D44A12">
              <w:rPr>
                <w:rFonts w:cs="Calibri"/>
                <w:lang w:eastAsia="zh-CN"/>
              </w:rPr>
              <w:t>96</w:t>
            </w:r>
            <w:r w:rsidRPr="00D44A12">
              <w:t>%</w:t>
            </w:r>
          </w:p>
        </w:tc>
        <w:tc>
          <w:tcPr>
            <w:tcW w:w="738" w:type="dxa"/>
            <w:tcBorders>
              <w:top w:val="nil"/>
              <w:left w:val="nil"/>
              <w:bottom w:val="single" w:sz="4" w:space="0" w:color="auto"/>
              <w:right w:val="single" w:sz="4" w:space="0" w:color="auto"/>
            </w:tcBorders>
            <w:shd w:val="clear" w:color="auto" w:fill="DCE6F1"/>
            <w:vAlign w:val="center"/>
          </w:tcPr>
          <w:p w14:paraId="5CE86F77" w14:textId="77777777" w:rsidR="00EB03B9" w:rsidRPr="00D44A12" w:rsidRDefault="00EB03B9" w:rsidP="00CC5CDC">
            <w:pPr>
              <w:pStyle w:val="Tabletext"/>
              <w:jc w:val="center"/>
            </w:pPr>
            <w:r w:rsidRPr="00D44A12">
              <w:rPr>
                <w:rFonts w:cs="Calibri"/>
                <w:lang w:eastAsia="zh-CN"/>
              </w:rPr>
              <w:t>94</w:t>
            </w:r>
            <w:r w:rsidRPr="00D44A12">
              <w:t>%</w:t>
            </w:r>
          </w:p>
        </w:tc>
      </w:tr>
      <w:tr w:rsidR="00EB03B9" w:rsidRPr="00D44A12" w14:paraId="4A1D6A2B" w14:textId="77777777" w:rsidTr="00CC5CDC">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616D5507" w14:textId="4DB5E58C" w:rsidR="00EB03B9" w:rsidRPr="00D44A12" w:rsidRDefault="00D44A12" w:rsidP="00D568EA">
            <w:pPr>
              <w:pStyle w:val="Tabletext"/>
              <w:rPr>
                <w:lang w:eastAsia="zh-CN"/>
              </w:rPr>
            </w:pPr>
            <w:bookmarkStart w:id="29" w:name="lt_pId071"/>
            <w:r w:rsidRPr="00D44A12">
              <w:rPr>
                <w:lang w:eastAsia="zh-CN"/>
              </w:rPr>
              <w:t>Établissements</w:t>
            </w:r>
            <w:r w:rsidR="00EB03B9" w:rsidRPr="00D44A12">
              <w:rPr>
                <w:lang w:eastAsia="zh-CN"/>
              </w:rPr>
              <w:t xml:space="preserve"> universitaires</w:t>
            </w:r>
            <w:bookmarkEnd w:id="29"/>
          </w:p>
        </w:tc>
        <w:tc>
          <w:tcPr>
            <w:tcW w:w="778" w:type="dxa"/>
            <w:tcBorders>
              <w:top w:val="nil"/>
              <w:left w:val="nil"/>
              <w:bottom w:val="single" w:sz="4" w:space="0" w:color="auto"/>
              <w:right w:val="single" w:sz="4" w:space="0" w:color="auto"/>
            </w:tcBorders>
            <w:shd w:val="clear" w:color="auto" w:fill="DCE6F1"/>
            <w:noWrap/>
            <w:vAlign w:val="center"/>
            <w:hideMark/>
          </w:tcPr>
          <w:p w14:paraId="3A63D53F" w14:textId="77777777" w:rsidR="00EB03B9" w:rsidRPr="00D44A12" w:rsidRDefault="00EB03B9" w:rsidP="00CC5CDC">
            <w:pPr>
              <w:pStyle w:val="Tabletext"/>
              <w:jc w:val="center"/>
            </w:pPr>
          </w:p>
        </w:tc>
        <w:tc>
          <w:tcPr>
            <w:tcW w:w="778" w:type="dxa"/>
            <w:tcBorders>
              <w:top w:val="nil"/>
              <w:left w:val="nil"/>
              <w:bottom w:val="single" w:sz="4" w:space="0" w:color="auto"/>
              <w:right w:val="single" w:sz="4" w:space="0" w:color="auto"/>
            </w:tcBorders>
            <w:shd w:val="clear" w:color="auto" w:fill="DCE6F1"/>
            <w:noWrap/>
            <w:vAlign w:val="center"/>
            <w:hideMark/>
          </w:tcPr>
          <w:p w14:paraId="22F8945A" w14:textId="77777777" w:rsidR="00EB03B9" w:rsidRPr="00D44A12" w:rsidRDefault="00EB03B9" w:rsidP="00CC5CDC">
            <w:pPr>
              <w:pStyle w:val="Tabletext"/>
              <w:jc w:val="center"/>
            </w:pPr>
          </w:p>
        </w:tc>
        <w:tc>
          <w:tcPr>
            <w:tcW w:w="778" w:type="dxa"/>
            <w:tcBorders>
              <w:top w:val="nil"/>
              <w:left w:val="nil"/>
              <w:bottom w:val="single" w:sz="4" w:space="0" w:color="auto"/>
              <w:right w:val="single" w:sz="4" w:space="0" w:color="auto"/>
            </w:tcBorders>
            <w:shd w:val="clear" w:color="auto" w:fill="DCE6F1"/>
            <w:noWrap/>
            <w:vAlign w:val="center"/>
            <w:hideMark/>
          </w:tcPr>
          <w:p w14:paraId="355FF898" w14:textId="77777777" w:rsidR="00EB03B9" w:rsidRPr="00D44A12" w:rsidRDefault="00EB03B9" w:rsidP="00CC5CDC">
            <w:pPr>
              <w:pStyle w:val="Tabletext"/>
              <w:jc w:val="center"/>
            </w:pPr>
            <w:r w:rsidRPr="00D44A12">
              <w:rPr>
                <w:rFonts w:cs="Calibri"/>
                <w:lang w:eastAsia="zh-CN"/>
              </w:rPr>
              <w:t>80%</w:t>
            </w:r>
          </w:p>
        </w:tc>
        <w:tc>
          <w:tcPr>
            <w:tcW w:w="778" w:type="dxa"/>
            <w:tcBorders>
              <w:top w:val="single" w:sz="4" w:space="0" w:color="auto"/>
              <w:left w:val="nil"/>
              <w:bottom w:val="single" w:sz="4" w:space="0" w:color="auto"/>
              <w:right w:val="single" w:sz="4" w:space="0" w:color="auto"/>
            </w:tcBorders>
            <w:shd w:val="clear" w:color="auto" w:fill="DCE6F1"/>
            <w:noWrap/>
            <w:vAlign w:val="center"/>
            <w:hideMark/>
          </w:tcPr>
          <w:p w14:paraId="3DD0A607" w14:textId="77777777" w:rsidR="00EB03B9" w:rsidRPr="00D44A12" w:rsidRDefault="00EB03B9" w:rsidP="00CC5CDC">
            <w:pPr>
              <w:pStyle w:val="Tabletext"/>
              <w:jc w:val="center"/>
            </w:pPr>
            <w:r w:rsidRPr="00D44A12">
              <w:rPr>
                <w:rFonts w:cs="Calibri"/>
                <w:lang w:eastAsia="zh-CN"/>
              </w:rPr>
              <w:t>86</w:t>
            </w:r>
            <w:r w:rsidRPr="00D44A12">
              <w:t>%</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087E26F9" w14:textId="77777777" w:rsidR="00EB03B9" w:rsidRPr="00D44A12" w:rsidRDefault="00EB03B9" w:rsidP="00CC5CDC">
            <w:pPr>
              <w:pStyle w:val="Tabletext"/>
              <w:jc w:val="center"/>
            </w:pPr>
            <w:r w:rsidRPr="00D44A12">
              <w:rPr>
                <w:rFonts w:cs="Calibri"/>
                <w:lang w:eastAsia="zh-CN"/>
              </w:rPr>
              <w:t>92</w:t>
            </w:r>
            <w:r w:rsidRPr="00D44A12">
              <w:t>%</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6AA9DC6C" w14:textId="77777777" w:rsidR="00EB03B9" w:rsidRPr="00D44A12" w:rsidRDefault="00EB03B9" w:rsidP="00CC5CDC">
            <w:pPr>
              <w:pStyle w:val="Tabletext"/>
              <w:jc w:val="center"/>
            </w:pPr>
            <w:r w:rsidRPr="00D44A12">
              <w:rPr>
                <w:rFonts w:cs="Calibri"/>
                <w:lang w:eastAsia="zh-CN"/>
              </w:rPr>
              <w:t>95</w:t>
            </w:r>
            <w:r w:rsidRPr="00D44A12">
              <w:t>%</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1179FD65" w14:textId="77777777" w:rsidR="00EB03B9" w:rsidRPr="00D44A12" w:rsidRDefault="00EB03B9" w:rsidP="00CC5CDC">
            <w:pPr>
              <w:pStyle w:val="Tabletext"/>
              <w:jc w:val="center"/>
            </w:pPr>
            <w:r w:rsidRPr="00D44A12">
              <w:rPr>
                <w:rFonts w:cs="Calibri"/>
                <w:lang w:eastAsia="zh-CN"/>
              </w:rPr>
              <w:t>93</w:t>
            </w:r>
            <w:r w:rsidRPr="00D44A12">
              <w:t>%</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0FFABD39" w14:textId="77777777" w:rsidR="00EB03B9" w:rsidRPr="00D44A12" w:rsidRDefault="00EB03B9" w:rsidP="00CC5CDC">
            <w:pPr>
              <w:pStyle w:val="Tabletext"/>
              <w:jc w:val="center"/>
            </w:pPr>
            <w:r w:rsidRPr="00D44A12">
              <w:rPr>
                <w:rFonts w:cs="Calibri"/>
                <w:lang w:eastAsia="zh-CN"/>
              </w:rPr>
              <w:t>96</w:t>
            </w:r>
            <w:r w:rsidRPr="00D44A12">
              <w:t>%</w:t>
            </w:r>
          </w:p>
        </w:tc>
        <w:tc>
          <w:tcPr>
            <w:tcW w:w="703" w:type="dxa"/>
            <w:tcBorders>
              <w:top w:val="single" w:sz="4" w:space="0" w:color="auto"/>
              <w:left w:val="nil"/>
              <w:bottom w:val="single" w:sz="4" w:space="0" w:color="auto"/>
              <w:right w:val="single" w:sz="4" w:space="0" w:color="auto"/>
            </w:tcBorders>
            <w:shd w:val="clear" w:color="auto" w:fill="DCE6F1"/>
            <w:vAlign w:val="center"/>
          </w:tcPr>
          <w:p w14:paraId="2139E9A8" w14:textId="77777777" w:rsidR="00EB03B9" w:rsidRPr="00D44A12" w:rsidRDefault="00EB03B9" w:rsidP="00CC5CDC">
            <w:pPr>
              <w:pStyle w:val="Tabletext"/>
              <w:jc w:val="center"/>
            </w:pPr>
            <w:r w:rsidRPr="00D44A12">
              <w:rPr>
                <w:rFonts w:cs="Calibri"/>
                <w:lang w:eastAsia="zh-CN"/>
              </w:rPr>
              <w:t>94</w:t>
            </w:r>
            <w:r w:rsidRPr="00D44A12">
              <w:t>%</w:t>
            </w:r>
          </w:p>
        </w:tc>
        <w:tc>
          <w:tcPr>
            <w:tcW w:w="738" w:type="dxa"/>
            <w:tcBorders>
              <w:top w:val="single" w:sz="4" w:space="0" w:color="auto"/>
              <w:left w:val="nil"/>
              <w:bottom w:val="single" w:sz="4" w:space="0" w:color="auto"/>
              <w:right w:val="single" w:sz="4" w:space="0" w:color="auto"/>
            </w:tcBorders>
            <w:shd w:val="clear" w:color="auto" w:fill="DCE6F1"/>
            <w:vAlign w:val="center"/>
          </w:tcPr>
          <w:p w14:paraId="45C5A37A" w14:textId="77777777" w:rsidR="00EB03B9" w:rsidRPr="00D44A12" w:rsidRDefault="00EB03B9" w:rsidP="00CC5CDC">
            <w:pPr>
              <w:pStyle w:val="Tabletext"/>
              <w:jc w:val="center"/>
            </w:pPr>
            <w:r w:rsidRPr="00D44A12">
              <w:rPr>
                <w:rFonts w:cs="Calibri"/>
                <w:lang w:eastAsia="zh-CN"/>
              </w:rPr>
              <w:t>93</w:t>
            </w:r>
            <w:r w:rsidRPr="00D44A12">
              <w:t>%</w:t>
            </w:r>
          </w:p>
        </w:tc>
      </w:tr>
    </w:tbl>
    <w:p w14:paraId="657ECE35" w14:textId="77777777" w:rsidR="006841B8" w:rsidRPr="00D44A12" w:rsidRDefault="006841B8" w:rsidP="00D568EA">
      <w:pPr>
        <w:pStyle w:val="TableNo"/>
        <w:spacing w:before="480"/>
      </w:pPr>
      <w:bookmarkStart w:id="30" w:name="lt_pId080"/>
      <w:r w:rsidRPr="00D44A12">
        <w:t>Tableau 2</w:t>
      </w:r>
      <w:bookmarkStart w:id="31" w:name="lt_pId081"/>
      <w:bookmarkEnd w:id="30"/>
    </w:p>
    <w:p w14:paraId="4CB9B83F" w14:textId="0A9BEF58" w:rsidR="006841B8" w:rsidRPr="00D44A12" w:rsidRDefault="00027C42" w:rsidP="00D568EA">
      <w:pPr>
        <w:pStyle w:val="Tabletitle"/>
      </w:pPr>
      <w:r w:rsidRPr="00D44A12">
        <w:t>Évolution</w:t>
      </w:r>
      <w:r w:rsidR="006841B8" w:rsidRPr="00D44A12">
        <w:t xml:space="preserve"> de la dette courante et des arriérés des Membres de Secteur, des Associés </w:t>
      </w:r>
      <w:r w:rsidR="006841B8" w:rsidRPr="00D44A12">
        <w:br/>
        <w:t>et des établissements universitaires</w:t>
      </w:r>
      <w:bookmarkEnd w:id="31"/>
      <w:r w:rsidR="006841B8" w:rsidRPr="00D44A12">
        <w:t xml:space="preserve"> </w:t>
      </w:r>
      <w:bookmarkStart w:id="32" w:name="lt_pId082"/>
      <w:r w:rsidR="006841B8" w:rsidRPr="00D44A12">
        <w:t>(en milliers de CHF)</w:t>
      </w:r>
      <w:bookmarkEnd w:id="32"/>
    </w:p>
    <w:tbl>
      <w:tblPr>
        <w:tblW w:w="5040" w:type="pct"/>
        <w:jc w:val="center"/>
        <w:tblLayout w:type="fixed"/>
        <w:tblLook w:val="04A0" w:firstRow="1" w:lastRow="0" w:firstColumn="1" w:lastColumn="0" w:noHBand="0" w:noVBand="1"/>
      </w:tblPr>
      <w:tblGrid>
        <w:gridCol w:w="2088"/>
        <w:gridCol w:w="774"/>
        <w:gridCol w:w="749"/>
        <w:gridCol w:w="749"/>
        <w:gridCol w:w="749"/>
        <w:gridCol w:w="749"/>
        <w:gridCol w:w="749"/>
        <w:gridCol w:w="749"/>
        <w:gridCol w:w="749"/>
        <w:gridCol w:w="749"/>
        <w:gridCol w:w="852"/>
      </w:tblGrid>
      <w:tr w:rsidR="00EB03B9" w:rsidRPr="00D44A12" w14:paraId="1C3D0C47" w14:textId="77777777" w:rsidTr="00EB03B9">
        <w:trPr>
          <w:trHeight w:val="30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DE1F6F" w14:textId="77777777" w:rsidR="00EB03B9" w:rsidRPr="00D44A12" w:rsidRDefault="00EB03B9" w:rsidP="00D568EA">
            <w:pPr>
              <w:pStyle w:val="Tablehead"/>
              <w:rPr>
                <w:lang w:eastAsia="zh-CN"/>
              </w:rPr>
            </w:pPr>
            <w:bookmarkStart w:id="33" w:name="lt_pId083"/>
            <w:r w:rsidRPr="00D44A12">
              <w:rPr>
                <w:lang w:eastAsia="zh-CN"/>
              </w:rPr>
              <w:t>Dette</w:t>
            </w:r>
            <w:bookmarkEnd w:id="33"/>
          </w:p>
        </w:tc>
        <w:tc>
          <w:tcPr>
            <w:tcW w:w="398" w:type="pct"/>
            <w:tcBorders>
              <w:top w:val="single" w:sz="4" w:space="0" w:color="auto"/>
              <w:left w:val="nil"/>
              <w:bottom w:val="single" w:sz="4" w:space="0" w:color="auto"/>
              <w:right w:val="single" w:sz="4" w:space="0" w:color="auto"/>
            </w:tcBorders>
            <w:shd w:val="clear" w:color="auto" w:fill="FFFFFF"/>
            <w:noWrap/>
            <w:vAlign w:val="bottom"/>
            <w:hideMark/>
          </w:tcPr>
          <w:p w14:paraId="636890EE" w14:textId="77777777" w:rsidR="00EB03B9" w:rsidRPr="00D44A12" w:rsidRDefault="00EB03B9" w:rsidP="00D568EA">
            <w:pPr>
              <w:pStyle w:val="Tablehead"/>
            </w:pPr>
            <w:r w:rsidRPr="00D44A12">
              <w:t>2009</w:t>
            </w:r>
          </w:p>
        </w:tc>
        <w:tc>
          <w:tcPr>
            <w:tcW w:w="386" w:type="pct"/>
            <w:tcBorders>
              <w:top w:val="single" w:sz="4" w:space="0" w:color="auto"/>
              <w:left w:val="nil"/>
              <w:bottom w:val="single" w:sz="4" w:space="0" w:color="auto"/>
              <w:right w:val="single" w:sz="4" w:space="0" w:color="auto"/>
            </w:tcBorders>
            <w:shd w:val="clear" w:color="auto" w:fill="FFFFFF"/>
            <w:noWrap/>
            <w:vAlign w:val="bottom"/>
            <w:hideMark/>
          </w:tcPr>
          <w:p w14:paraId="3D8CEFB9" w14:textId="77777777" w:rsidR="00EB03B9" w:rsidRPr="00D44A12" w:rsidRDefault="00EB03B9" w:rsidP="00D568EA">
            <w:pPr>
              <w:pStyle w:val="Tablehead"/>
            </w:pPr>
            <w:r w:rsidRPr="00D44A12">
              <w:t>2010</w:t>
            </w:r>
          </w:p>
        </w:tc>
        <w:tc>
          <w:tcPr>
            <w:tcW w:w="386" w:type="pct"/>
            <w:tcBorders>
              <w:top w:val="single" w:sz="4" w:space="0" w:color="auto"/>
              <w:left w:val="nil"/>
              <w:bottom w:val="single" w:sz="4" w:space="0" w:color="auto"/>
              <w:right w:val="single" w:sz="4" w:space="0" w:color="auto"/>
            </w:tcBorders>
            <w:shd w:val="clear" w:color="auto" w:fill="FFFFFF"/>
            <w:noWrap/>
            <w:vAlign w:val="bottom"/>
            <w:hideMark/>
          </w:tcPr>
          <w:p w14:paraId="62D5704F" w14:textId="77777777" w:rsidR="00EB03B9" w:rsidRPr="00D44A12" w:rsidRDefault="00EB03B9" w:rsidP="00D568EA">
            <w:pPr>
              <w:pStyle w:val="Tablehead"/>
            </w:pPr>
            <w:r w:rsidRPr="00D44A12">
              <w:t>2011</w:t>
            </w:r>
          </w:p>
        </w:tc>
        <w:tc>
          <w:tcPr>
            <w:tcW w:w="386" w:type="pct"/>
            <w:tcBorders>
              <w:top w:val="single" w:sz="4" w:space="0" w:color="auto"/>
              <w:left w:val="nil"/>
              <w:bottom w:val="single" w:sz="4" w:space="0" w:color="auto"/>
              <w:right w:val="single" w:sz="4" w:space="0" w:color="auto"/>
            </w:tcBorders>
            <w:shd w:val="clear" w:color="auto" w:fill="FFFFFF"/>
            <w:noWrap/>
            <w:vAlign w:val="bottom"/>
            <w:hideMark/>
          </w:tcPr>
          <w:p w14:paraId="31427A51" w14:textId="77777777" w:rsidR="00EB03B9" w:rsidRPr="00D44A12" w:rsidRDefault="00EB03B9" w:rsidP="00D568EA">
            <w:pPr>
              <w:pStyle w:val="Tablehead"/>
            </w:pPr>
            <w:r w:rsidRPr="00D44A12">
              <w:t>2012</w:t>
            </w:r>
          </w:p>
        </w:tc>
        <w:tc>
          <w:tcPr>
            <w:tcW w:w="386" w:type="pct"/>
            <w:tcBorders>
              <w:top w:val="single" w:sz="4" w:space="0" w:color="auto"/>
              <w:left w:val="nil"/>
              <w:bottom w:val="single" w:sz="4" w:space="0" w:color="auto"/>
              <w:right w:val="single" w:sz="4" w:space="0" w:color="auto"/>
            </w:tcBorders>
            <w:shd w:val="clear" w:color="auto" w:fill="FFFFFF"/>
            <w:noWrap/>
            <w:vAlign w:val="bottom"/>
            <w:hideMark/>
          </w:tcPr>
          <w:p w14:paraId="5E5B3351" w14:textId="77777777" w:rsidR="00EB03B9" w:rsidRPr="00D44A12" w:rsidRDefault="00EB03B9" w:rsidP="00D568EA">
            <w:pPr>
              <w:pStyle w:val="Tablehead"/>
            </w:pPr>
            <w:r w:rsidRPr="00D44A12">
              <w:rPr>
                <w:rFonts w:cs="Calibri"/>
                <w:bCs/>
                <w:lang w:eastAsia="zh-CN"/>
              </w:rPr>
              <w:t>2013</w:t>
            </w:r>
          </w:p>
        </w:tc>
        <w:tc>
          <w:tcPr>
            <w:tcW w:w="386" w:type="pct"/>
            <w:tcBorders>
              <w:top w:val="single" w:sz="4" w:space="0" w:color="auto"/>
              <w:left w:val="nil"/>
              <w:bottom w:val="single" w:sz="4" w:space="0" w:color="auto"/>
              <w:right w:val="single" w:sz="4" w:space="0" w:color="auto"/>
            </w:tcBorders>
            <w:shd w:val="clear" w:color="auto" w:fill="FFFFFF"/>
            <w:noWrap/>
            <w:vAlign w:val="bottom"/>
            <w:hideMark/>
          </w:tcPr>
          <w:p w14:paraId="6BCC859C" w14:textId="77777777" w:rsidR="00EB03B9" w:rsidRPr="00D44A12" w:rsidRDefault="00EB03B9" w:rsidP="00D568EA">
            <w:pPr>
              <w:pStyle w:val="Tablehead"/>
            </w:pPr>
            <w:r w:rsidRPr="00D44A12">
              <w:rPr>
                <w:rFonts w:cs="Calibri"/>
                <w:bCs/>
                <w:lang w:eastAsia="zh-CN"/>
              </w:rPr>
              <w:t>2014</w:t>
            </w:r>
          </w:p>
        </w:tc>
        <w:tc>
          <w:tcPr>
            <w:tcW w:w="386" w:type="pct"/>
            <w:tcBorders>
              <w:top w:val="single" w:sz="4" w:space="0" w:color="auto"/>
              <w:left w:val="nil"/>
              <w:bottom w:val="single" w:sz="4" w:space="0" w:color="auto"/>
              <w:right w:val="single" w:sz="4" w:space="0" w:color="auto"/>
            </w:tcBorders>
            <w:shd w:val="clear" w:color="auto" w:fill="FFFFFF"/>
            <w:noWrap/>
            <w:vAlign w:val="bottom"/>
            <w:hideMark/>
          </w:tcPr>
          <w:p w14:paraId="202EB40D" w14:textId="77777777" w:rsidR="00EB03B9" w:rsidRPr="00D44A12" w:rsidRDefault="00EB03B9" w:rsidP="00D568EA">
            <w:pPr>
              <w:pStyle w:val="Tablehead"/>
            </w:pPr>
            <w:r w:rsidRPr="00D44A12">
              <w:rPr>
                <w:rFonts w:cs="Calibri"/>
                <w:bCs/>
                <w:lang w:eastAsia="zh-CN"/>
              </w:rPr>
              <w:t>2015</w:t>
            </w:r>
          </w:p>
        </w:tc>
        <w:tc>
          <w:tcPr>
            <w:tcW w:w="386" w:type="pct"/>
            <w:tcBorders>
              <w:top w:val="single" w:sz="4" w:space="0" w:color="auto"/>
              <w:left w:val="nil"/>
              <w:bottom w:val="single" w:sz="4" w:space="0" w:color="auto"/>
              <w:right w:val="single" w:sz="4" w:space="0" w:color="auto"/>
            </w:tcBorders>
            <w:shd w:val="clear" w:color="auto" w:fill="FFFFFF"/>
            <w:noWrap/>
            <w:vAlign w:val="bottom"/>
            <w:hideMark/>
          </w:tcPr>
          <w:p w14:paraId="3ABE0C4C" w14:textId="77777777" w:rsidR="00EB03B9" w:rsidRPr="00D44A12" w:rsidRDefault="00EB03B9" w:rsidP="00D568EA">
            <w:pPr>
              <w:pStyle w:val="Tablehead"/>
            </w:pPr>
            <w:r w:rsidRPr="00D44A12">
              <w:rPr>
                <w:rFonts w:cs="Calibri"/>
                <w:bCs/>
                <w:lang w:eastAsia="zh-CN"/>
              </w:rPr>
              <w:t>2016</w:t>
            </w:r>
          </w:p>
        </w:tc>
        <w:tc>
          <w:tcPr>
            <w:tcW w:w="386" w:type="pct"/>
            <w:tcBorders>
              <w:top w:val="single" w:sz="4" w:space="0" w:color="auto"/>
              <w:left w:val="nil"/>
              <w:bottom w:val="single" w:sz="4" w:space="0" w:color="auto"/>
              <w:right w:val="single" w:sz="4" w:space="0" w:color="auto"/>
            </w:tcBorders>
            <w:shd w:val="clear" w:color="auto" w:fill="FFFFFF"/>
            <w:noWrap/>
            <w:vAlign w:val="bottom"/>
            <w:hideMark/>
          </w:tcPr>
          <w:p w14:paraId="27EA9494" w14:textId="77777777" w:rsidR="00EB03B9" w:rsidRPr="00D44A12" w:rsidRDefault="00EB03B9" w:rsidP="00D568EA">
            <w:pPr>
              <w:pStyle w:val="Tablehead"/>
            </w:pPr>
            <w:r w:rsidRPr="00D44A12">
              <w:rPr>
                <w:rFonts w:cs="Calibri"/>
                <w:bCs/>
                <w:lang w:eastAsia="zh-CN"/>
              </w:rPr>
              <w:t>2017</w:t>
            </w:r>
          </w:p>
        </w:tc>
        <w:tc>
          <w:tcPr>
            <w:tcW w:w="441" w:type="pct"/>
            <w:tcBorders>
              <w:top w:val="single" w:sz="4" w:space="0" w:color="auto"/>
              <w:left w:val="nil"/>
              <w:bottom w:val="single" w:sz="4" w:space="0" w:color="auto"/>
              <w:right w:val="single" w:sz="4" w:space="0" w:color="auto"/>
            </w:tcBorders>
            <w:shd w:val="clear" w:color="auto" w:fill="FFFFFF"/>
            <w:vAlign w:val="bottom"/>
          </w:tcPr>
          <w:p w14:paraId="6D52CADA" w14:textId="77777777" w:rsidR="00EB03B9" w:rsidRPr="00D44A12" w:rsidRDefault="00EB03B9" w:rsidP="00D568EA">
            <w:pPr>
              <w:pStyle w:val="Tablehead"/>
            </w:pPr>
            <w:r w:rsidRPr="00D44A12">
              <w:t>2018</w:t>
            </w:r>
          </w:p>
        </w:tc>
      </w:tr>
      <w:tr w:rsidR="00EB03B9" w:rsidRPr="00D44A12" w14:paraId="6FCE4E6D" w14:textId="77777777" w:rsidTr="00CC5CDC">
        <w:trPr>
          <w:trHeight w:val="600"/>
          <w:jc w:val="center"/>
        </w:trPr>
        <w:tc>
          <w:tcPr>
            <w:tcW w:w="1075" w:type="pct"/>
            <w:tcBorders>
              <w:top w:val="nil"/>
              <w:left w:val="single" w:sz="4" w:space="0" w:color="auto"/>
              <w:bottom w:val="single" w:sz="4" w:space="0" w:color="auto"/>
              <w:right w:val="single" w:sz="4" w:space="0" w:color="auto"/>
            </w:tcBorders>
            <w:shd w:val="clear" w:color="auto" w:fill="DCE6F1"/>
            <w:vAlign w:val="bottom"/>
            <w:hideMark/>
          </w:tcPr>
          <w:p w14:paraId="6D0CB5AA" w14:textId="77777777" w:rsidR="00EB03B9" w:rsidRPr="00D44A12" w:rsidRDefault="00EB03B9" w:rsidP="00D568EA">
            <w:pPr>
              <w:pStyle w:val="Tabletext"/>
              <w:rPr>
                <w:lang w:eastAsia="zh-CN"/>
              </w:rPr>
            </w:pPr>
            <w:bookmarkStart w:id="34" w:name="lt_pId094"/>
            <w:r w:rsidRPr="00D44A12">
              <w:rPr>
                <w:lang w:eastAsia="zh-CN"/>
              </w:rPr>
              <w:t>Dette courante (contributions)</w:t>
            </w:r>
            <w:bookmarkEnd w:id="34"/>
          </w:p>
        </w:tc>
        <w:tc>
          <w:tcPr>
            <w:tcW w:w="398"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BA22B9A" w14:textId="77777777" w:rsidR="00EB03B9" w:rsidRPr="00D44A12" w:rsidRDefault="00EB03B9" w:rsidP="00CC5CDC">
            <w:pPr>
              <w:pStyle w:val="Tabletext"/>
              <w:jc w:val="right"/>
            </w:pPr>
            <w:r w:rsidRPr="00D44A12">
              <w:t>1 416</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76F7BB4" w14:textId="77777777" w:rsidR="00EB03B9" w:rsidRPr="00D44A12" w:rsidRDefault="00EB03B9" w:rsidP="00CC5CDC">
            <w:pPr>
              <w:pStyle w:val="Tabletext"/>
              <w:jc w:val="right"/>
            </w:pPr>
            <w:r w:rsidRPr="00D44A12">
              <w:rPr>
                <w:rFonts w:cs="Calibri"/>
                <w:lang w:eastAsia="zh-CN"/>
              </w:rPr>
              <w:t>677</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4AE96A2D" w14:textId="77777777" w:rsidR="00EB03B9" w:rsidRPr="00D44A12" w:rsidRDefault="00EB03B9" w:rsidP="00CC5CDC">
            <w:pPr>
              <w:pStyle w:val="Tabletext"/>
              <w:jc w:val="right"/>
            </w:pPr>
            <w:r w:rsidRPr="00D44A12">
              <w:rPr>
                <w:rFonts w:cs="Calibri"/>
                <w:lang w:eastAsia="zh-CN"/>
              </w:rPr>
              <w:t>374</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779B2C9E" w14:textId="77777777" w:rsidR="00EB03B9" w:rsidRPr="00D44A12" w:rsidRDefault="00EB03B9" w:rsidP="00CC5CDC">
            <w:pPr>
              <w:pStyle w:val="Tabletext"/>
              <w:jc w:val="right"/>
            </w:pPr>
            <w:r w:rsidRPr="00D44A12">
              <w:rPr>
                <w:rFonts w:cs="Calibri"/>
                <w:lang w:eastAsia="zh-CN"/>
              </w:rPr>
              <w:t>469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70B954C" w14:textId="77777777" w:rsidR="00EB03B9" w:rsidRPr="00D44A12" w:rsidRDefault="00EB03B9" w:rsidP="00CC5CDC">
            <w:pPr>
              <w:pStyle w:val="Tabletext"/>
              <w:jc w:val="right"/>
            </w:pPr>
            <w:r w:rsidRPr="00D44A12">
              <w:rPr>
                <w:rFonts w:cs="Calibri"/>
                <w:lang w:eastAsia="zh-CN"/>
              </w:rPr>
              <w:t>470</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26B4DAA" w14:textId="77777777" w:rsidR="00EB03B9" w:rsidRPr="00D44A12" w:rsidRDefault="00EB03B9" w:rsidP="00CC5CDC">
            <w:pPr>
              <w:pStyle w:val="Tabletext"/>
              <w:jc w:val="right"/>
            </w:pPr>
            <w:r w:rsidRPr="00D44A12">
              <w:rPr>
                <w:rFonts w:cs="Calibri"/>
                <w:lang w:eastAsia="zh-CN"/>
              </w:rPr>
              <w:t>487</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598F506B" w14:textId="77777777" w:rsidR="00EB03B9" w:rsidRPr="00D44A12" w:rsidRDefault="00EB03B9" w:rsidP="00CC5CDC">
            <w:pPr>
              <w:pStyle w:val="Tabletext"/>
              <w:jc w:val="right"/>
            </w:pPr>
            <w:r w:rsidRPr="00D44A12">
              <w:rPr>
                <w:rFonts w:cs="Calibri"/>
                <w:lang w:eastAsia="zh-CN"/>
              </w:rPr>
              <w:t>441</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6A0CF4A8" w14:textId="77777777" w:rsidR="00EB03B9" w:rsidRPr="00D44A12" w:rsidRDefault="00EB03B9" w:rsidP="00CC5CDC">
            <w:pPr>
              <w:pStyle w:val="Tabletext"/>
              <w:jc w:val="right"/>
            </w:pPr>
            <w:r w:rsidRPr="00D44A12">
              <w:rPr>
                <w:rFonts w:cs="Calibri"/>
                <w:lang w:eastAsia="zh-CN"/>
              </w:rPr>
              <w:t>515</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0E12BE6E" w14:textId="77777777" w:rsidR="00EB03B9" w:rsidRPr="00D44A12" w:rsidRDefault="00EB03B9" w:rsidP="00CC5CDC">
            <w:pPr>
              <w:pStyle w:val="Tabletext"/>
              <w:jc w:val="right"/>
            </w:pPr>
            <w:r w:rsidRPr="00D44A12">
              <w:rPr>
                <w:rFonts w:cs="Calibri"/>
                <w:lang w:eastAsia="zh-CN"/>
              </w:rPr>
              <w:t>542</w:t>
            </w:r>
          </w:p>
        </w:tc>
        <w:tc>
          <w:tcPr>
            <w:tcW w:w="441" w:type="pct"/>
            <w:tcBorders>
              <w:top w:val="single" w:sz="4" w:space="0" w:color="auto"/>
              <w:left w:val="nil"/>
              <w:bottom w:val="single" w:sz="4" w:space="0" w:color="auto"/>
              <w:right w:val="single" w:sz="4" w:space="0" w:color="auto"/>
            </w:tcBorders>
            <w:shd w:val="clear" w:color="auto" w:fill="DCE6F1"/>
            <w:tcMar>
              <w:left w:w="57" w:type="dxa"/>
              <w:right w:w="57" w:type="dxa"/>
            </w:tcMar>
            <w:vAlign w:val="center"/>
          </w:tcPr>
          <w:p w14:paraId="00203CEF" w14:textId="77777777" w:rsidR="00EB03B9" w:rsidRPr="00D44A12" w:rsidRDefault="00EB03B9" w:rsidP="00CC5CDC">
            <w:pPr>
              <w:pStyle w:val="Tabletext"/>
              <w:jc w:val="right"/>
            </w:pPr>
            <w:r w:rsidRPr="00D44A12">
              <w:rPr>
                <w:rFonts w:cs="Calibri"/>
                <w:lang w:eastAsia="zh-CN"/>
              </w:rPr>
              <w:t>871</w:t>
            </w:r>
          </w:p>
        </w:tc>
      </w:tr>
      <w:tr w:rsidR="00EB03B9" w:rsidRPr="00D44A12" w14:paraId="1AFDB980" w14:textId="77777777" w:rsidTr="00CC5CDC">
        <w:trPr>
          <w:trHeight w:val="600"/>
          <w:jc w:val="center"/>
        </w:trPr>
        <w:tc>
          <w:tcPr>
            <w:tcW w:w="1075" w:type="pct"/>
            <w:tcBorders>
              <w:top w:val="nil"/>
              <w:left w:val="single" w:sz="4" w:space="0" w:color="auto"/>
              <w:bottom w:val="single" w:sz="4" w:space="0" w:color="auto"/>
              <w:right w:val="single" w:sz="4" w:space="0" w:color="auto"/>
            </w:tcBorders>
            <w:shd w:val="clear" w:color="auto" w:fill="DCE6F1"/>
            <w:vAlign w:val="bottom"/>
            <w:hideMark/>
          </w:tcPr>
          <w:p w14:paraId="58A38EE1" w14:textId="77777777" w:rsidR="00EB03B9" w:rsidRPr="00D44A12" w:rsidRDefault="00EB03B9" w:rsidP="00D568EA">
            <w:pPr>
              <w:pStyle w:val="Tabletext"/>
              <w:rPr>
                <w:lang w:eastAsia="zh-CN"/>
              </w:rPr>
            </w:pPr>
            <w:bookmarkStart w:id="35" w:name="lt_pId105"/>
            <w:r w:rsidRPr="00D44A12">
              <w:rPr>
                <w:lang w:eastAsia="zh-CN"/>
              </w:rPr>
              <w:t>Arriérés (contributions)</w:t>
            </w:r>
            <w:bookmarkEnd w:id="35"/>
          </w:p>
        </w:tc>
        <w:tc>
          <w:tcPr>
            <w:tcW w:w="398"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5AD2987" w14:textId="77777777" w:rsidR="00EB03B9" w:rsidRPr="00D44A12" w:rsidRDefault="00EB03B9" w:rsidP="00CC5CDC">
            <w:pPr>
              <w:pStyle w:val="Tabletext"/>
              <w:jc w:val="right"/>
            </w:pPr>
            <w:r w:rsidRPr="00D44A12">
              <w:t>18 </w:t>
            </w:r>
            <w:r w:rsidRPr="00D44A12">
              <w:rPr>
                <w:rFonts w:cs="Calibri"/>
                <w:lang w:eastAsia="zh-CN"/>
              </w:rPr>
              <w:t>580</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2F1EE714" w14:textId="77777777" w:rsidR="00EB03B9" w:rsidRPr="00D44A12" w:rsidRDefault="00EB03B9" w:rsidP="00CC5CDC">
            <w:pPr>
              <w:pStyle w:val="Tabletext"/>
              <w:jc w:val="right"/>
            </w:pPr>
            <w:r w:rsidRPr="00D44A12">
              <w:rPr>
                <w:rFonts w:cs="Calibri"/>
                <w:lang w:eastAsia="zh-CN"/>
              </w:rPr>
              <w:t>19</w:t>
            </w:r>
            <w:r w:rsidRPr="00D44A12">
              <w:t> </w:t>
            </w:r>
            <w:r w:rsidRPr="00D44A12">
              <w:rPr>
                <w:rFonts w:cs="Calibri"/>
                <w:lang w:eastAsia="zh-CN"/>
              </w:rPr>
              <w:t>679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4F93A53C" w14:textId="77777777" w:rsidR="00EB03B9" w:rsidRPr="00D44A12" w:rsidRDefault="00EB03B9" w:rsidP="00CC5CDC">
            <w:pPr>
              <w:pStyle w:val="Tabletext"/>
              <w:jc w:val="right"/>
            </w:pPr>
            <w:r w:rsidRPr="00D44A12">
              <w:t>19 </w:t>
            </w:r>
            <w:r w:rsidRPr="00D44A12">
              <w:rPr>
                <w:rFonts w:cs="Calibri"/>
                <w:lang w:eastAsia="zh-CN"/>
              </w:rPr>
              <w:t>149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6E36C6C3" w14:textId="77777777" w:rsidR="00EB03B9" w:rsidRPr="00D44A12" w:rsidRDefault="00EB03B9" w:rsidP="00CC5CDC">
            <w:pPr>
              <w:pStyle w:val="Tabletext"/>
              <w:jc w:val="right"/>
            </w:pPr>
            <w:r w:rsidRPr="00D44A12">
              <w:rPr>
                <w:rFonts w:cs="Calibri"/>
                <w:lang w:eastAsia="zh-CN"/>
              </w:rPr>
              <w:t>17</w:t>
            </w:r>
            <w:r w:rsidRPr="00D44A12">
              <w:t> </w:t>
            </w:r>
            <w:r w:rsidRPr="00D44A12">
              <w:rPr>
                <w:rFonts w:cs="Calibri"/>
                <w:lang w:eastAsia="zh-CN"/>
              </w:rPr>
              <w:t>758</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46740A1F" w14:textId="77777777" w:rsidR="00EB03B9" w:rsidRPr="00D44A12" w:rsidRDefault="00EB03B9" w:rsidP="00CC5CDC">
            <w:pPr>
              <w:pStyle w:val="Tabletext"/>
              <w:jc w:val="right"/>
            </w:pPr>
            <w:r w:rsidRPr="00D44A12">
              <w:rPr>
                <w:rFonts w:cs="Calibri"/>
                <w:lang w:eastAsia="zh-CN"/>
              </w:rPr>
              <w:t>16</w:t>
            </w:r>
            <w:r w:rsidRPr="00D44A12">
              <w:t> </w:t>
            </w:r>
            <w:r w:rsidRPr="00D44A12">
              <w:rPr>
                <w:rFonts w:cs="Calibri"/>
                <w:lang w:eastAsia="zh-CN"/>
              </w:rPr>
              <w:t>484</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6CB514A9" w14:textId="77777777" w:rsidR="00EB03B9" w:rsidRPr="00D44A12" w:rsidRDefault="00EB03B9" w:rsidP="00CC5CDC">
            <w:pPr>
              <w:pStyle w:val="Tabletext"/>
              <w:jc w:val="right"/>
            </w:pPr>
            <w:r w:rsidRPr="00D44A12">
              <w:t>16 </w:t>
            </w:r>
            <w:r w:rsidRPr="00D44A12">
              <w:rPr>
                <w:rFonts w:cs="Calibri"/>
                <w:lang w:eastAsia="zh-CN"/>
              </w:rPr>
              <w:t>729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79E68995" w14:textId="77777777" w:rsidR="00EB03B9" w:rsidRPr="00D44A12" w:rsidRDefault="00EB03B9" w:rsidP="00CC5CDC">
            <w:pPr>
              <w:pStyle w:val="Tabletext"/>
              <w:jc w:val="right"/>
            </w:pPr>
            <w:r w:rsidRPr="00D44A12">
              <w:t>16 </w:t>
            </w:r>
            <w:r w:rsidRPr="00D44A12">
              <w:rPr>
                <w:rFonts w:cs="Calibri"/>
                <w:lang w:eastAsia="zh-CN"/>
              </w:rPr>
              <w:t>300</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C391271" w14:textId="77777777" w:rsidR="00EB03B9" w:rsidRPr="00D44A12" w:rsidRDefault="00EB03B9" w:rsidP="00CC5CDC">
            <w:pPr>
              <w:pStyle w:val="Tabletext"/>
              <w:jc w:val="right"/>
            </w:pPr>
            <w:r w:rsidRPr="00D44A12">
              <w:rPr>
                <w:rFonts w:cs="Calibri"/>
                <w:lang w:eastAsia="zh-CN"/>
              </w:rPr>
              <w:t>15</w:t>
            </w:r>
            <w:r w:rsidRPr="00D44A12">
              <w:t> </w:t>
            </w:r>
            <w:r w:rsidRPr="00D44A12">
              <w:rPr>
                <w:rFonts w:cs="Calibri"/>
                <w:lang w:eastAsia="zh-CN"/>
              </w:rPr>
              <w:t>367</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54852F86" w14:textId="77777777" w:rsidR="00EB03B9" w:rsidRPr="00D44A12" w:rsidRDefault="00EB03B9" w:rsidP="00CC5CDC">
            <w:pPr>
              <w:pStyle w:val="Tabletext"/>
              <w:jc w:val="right"/>
            </w:pPr>
            <w:r w:rsidRPr="00D44A12">
              <w:rPr>
                <w:rFonts w:cs="Calibri"/>
                <w:lang w:eastAsia="zh-CN"/>
              </w:rPr>
              <w:t>13</w:t>
            </w:r>
            <w:r w:rsidRPr="00D44A12">
              <w:t> </w:t>
            </w:r>
            <w:r w:rsidRPr="00D44A12">
              <w:rPr>
                <w:rFonts w:cs="Calibri"/>
                <w:lang w:eastAsia="zh-CN"/>
              </w:rPr>
              <w:t>938</w:t>
            </w:r>
          </w:p>
        </w:tc>
        <w:tc>
          <w:tcPr>
            <w:tcW w:w="441" w:type="pct"/>
            <w:tcBorders>
              <w:top w:val="single" w:sz="4" w:space="0" w:color="auto"/>
              <w:left w:val="nil"/>
              <w:bottom w:val="single" w:sz="4" w:space="0" w:color="auto"/>
              <w:right w:val="single" w:sz="4" w:space="0" w:color="auto"/>
            </w:tcBorders>
            <w:shd w:val="clear" w:color="auto" w:fill="DCE6F1"/>
            <w:tcMar>
              <w:left w:w="57" w:type="dxa"/>
              <w:right w:w="57" w:type="dxa"/>
            </w:tcMar>
            <w:vAlign w:val="center"/>
          </w:tcPr>
          <w:p w14:paraId="147D038B" w14:textId="77777777" w:rsidR="00EB03B9" w:rsidRPr="00D44A12" w:rsidRDefault="00EB03B9" w:rsidP="00CC5CDC">
            <w:pPr>
              <w:pStyle w:val="Tabletext"/>
              <w:jc w:val="right"/>
            </w:pPr>
            <w:r w:rsidRPr="00D44A12">
              <w:rPr>
                <w:rFonts w:cs="Calibri"/>
                <w:lang w:eastAsia="zh-CN"/>
              </w:rPr>
              <w:t>11</w:t>
            </w:r>
            <w:r w:rsidRPr="00D44A12">
              <w:t> </w:t>
            </w:r>
            <w:r w:rsidRPr="00D44A12">
              <w:rPr>
                <w:rFonts w:cs="Calibri"/>
                <w:lang w:eastAsia="zh-CN"/>
              </w:rPr>
              <w:t>213</w:t>
            </w:r>
          </w:p>
        </w:tc>
      </w:tr>
    </w:tbl>
    <w:p w14:paraId="12C21A5A" w14:textId="4CD053FC" w:rsidR="006841B8" w:rsidRPr="00D44A12" w:rsidRDefault="006841B8" w:rsidP="00577E41">
      <w:pPr>
        <w:spacing w:before="360"/>
      </w:pPr>
      <w:r w:rsidRPr="00D44A12">
        <w:t>2.2</w:t>
      </w:r>
      <w:r w:rsidRPr="00D44A12">
        <w:tab/>
      </w:r>
      <w:bookmarkStart w:id="36" w:name="lt_pId117"/>
      <w:r w:rsidRPr="00D44A12">
        <w:t>Le Tableau 2 montre que, sur les dix dernières années, de 200</w:t>
      </w:r>
      <w:r w:rsidR="00EB03B9" w:rsidRPr="00D44A12">
        <w:t>9</w:t>
      </w:r>
      <w:r w:rsidRPr="00D44A12">
        <w:t xml:space="preserve"> à 201</w:t>
      </w:r>
      <w:r w:rsidR="00EB03B9" w:rsidRPr="00D44A12">
        <w:t>8</w:t>
      </w:r>
      <w:r w:rsidRPr="00D44A12">
        <w:t>, la dette courante des Membres de Secteur, des Associés et des établissements universitaires a diminué de </w:t>
      </w:r>
      <w:r w:rsidR="00EB03B9" w:rsidRPr="00D44A12">
        <w:t>38</w:t>
      </w:r>
      <w:r w:rsidRPr="00D44A12">
        <w:t xml:space="preserve">%, étant ramenée de </w:t>
      </w:r>
      <w:r w:rsidR="00FF57C3" w:rsidRPr="00D44A12">
        <w:t>1</w:t>
      </w:r>
      <w:r w:rsidRPr="00D44A12">
        <w:t>,</w:t>
      </w:r>
      <w:r w:rsidR="00FF57C3" w:rsidRPr="00D44A12">
        <w:t>4</w:t>
      </w:r>
      <w:r w:rsidRPr="00D44A12">
        <w:t> million CHF à 0,</w:t>
      </w:r>
      <w:r w:rsidR="00FF57C3" w:rsidRPr="00D44A12">
        <w:t>9</w:t>
      </w:r>
      <w:r w:rsidRPr="00D44A12">
        <w:t> million CHF.</w:t>
      </w:r>
      <w:bookmarkEnd w:id="36"/>
      <w:r w:rsidRPr="00D44A12">
        <w:t xml:space="preserve"> </w:t>
      </w:r>
      <w:bookmarkStart w:id="37" w:name="lt_pId120"/>
      <w:r w:rsidRPr="00D44A12">
        <w:t xml:space="preserve">Les arriérés </w:t>
      </w:r>
      <w:bookmarkStart w:id="38" w:name="lt_pId121"/>
      <w:bookmarkEnd w:id="37"/>
      <w:r w:rsidRPr="00D44A12">
        <w:rPr>
          <w:rFonts w:asciiTheme="minorHAnsi" w:hAnsiTheme="minorHAnsi" w:cstheme="minorHAnsi"/>
        </w:rPr>
        <w:t xml:space="preserve">ont enregistré une baisse </w:t>
      </w:r>
      <w:r w:rsidR="0079194B" w:rsidRPr="00D44A12">
        <w:rPr>
          <w:rFonts w:asciiTheme="minorHAnsi" w:hAnsiTheme="minorHAnsi" w:cstheme="minorHAnsi"/>
        </w:rPr>
        <w:t xml:space="preserve">significative </w:t>
      </w:r>
      <w:r w:rsidRPr="00D44A12">
        <w:rPr>
          <w:rFonts w:asciiTheme="minorHAnsi" w:hAnsiTheme="minorHAnsi" w:cstheme="minorHAnsi"/>
        </w:rPr>
        <w:t xml:space="preserve">de </w:t>
      </w:r>
      <w:r w:rsidR="00FF57C3" w:rsidRPr="00D44A12">
        <w:rPr>
          <w:rFonts w:asciiTheme="minorHAnsi" w:hAnsiTheme="minorHAnsi" w:cstheme="minorHAnsi"/>
        </w:rPr>
        <w:t>40</w:t>
      </w:r>
      <w:r w:rsidRPr="00D44A12">
        <w:rPr>
          <w:rFonts w:asciiTheme="minorHAnsi" w:hAnsiTheme="minorHAnsi" w:cstheme="minorHAnsi"/>
        </w:rPr>
        <w:t>%, leur total ayant été ramené de 18,</w:t>
      </w:r>
      <w:r w:rsidR="00FF57C3" w:rsidRPr="00D44A12">
        <w:rPr>
          <w:rFonts w:asciiTheme="minorHAnsi" w:hAnsiTheme="minorHAnsi" w:cstheme="minorHAnsi"/>
        </w:rPr>
        <w:t>6</w:t>
      </w:r>
      <w:r w:rsidRPr="00D44A12">
        <w:rPr>
          <w:rFonts w:asciiTheme="minorHAnsi" w:hAnsiTheme="minorHAnsi" w:cstheme="minorHAnsi"/>
        </w:rPr>
        <w:t> millions CHF en 200</w:t>
      </w:r>
      <w:r w:rsidR="00FF57C3" w:rsidRPr="00D44A12">
        <w:rPr>
          <w:rFonts w:asciiTheme="minorHAnsi" w:hAnsiTheme="minorHAnsi" w:cstheme="minorHAnsi"/>
        </w:rPr>
        <w:t>9</w:t>
      </w:r>
      <w:r w:rsidRPr="00D44A12">
        <w:rPr>
          <w:rFonts w:asciiTheme="minorHAnsi" w:hAnsiTheme="minorHAnsi" w:cstheme="minorHAnsi"/>
        </w:rPr>
        <w:t xml:space="preserve"> à 1</w:t>
      </w:r>
      <w:r w:rsidR="00FF57C3" w:rsidRPr="00D44A12">
        <w:rPr>
          <w:rFonts w:asciiTheme="minorHAnsi" w:hAnsiTheme="minorHAnsi" w:cstheme="minorHAnsi"/>
        </w:rPr>
        <w:t>1</w:t>
      </w:r>
      <w:r w:rsidRPr="00D44A12">
        <w:rPr>
          <w:rFonts w:asciiTheme="minorHAnsi" w:hAnsiTheme="minorHAnsi" w:cstheme="minorHAnsi"/>
        </w:rPr>
        <w:t>,</w:t>
      </w:r>
      <w:r w:rsidR="00FF57C3" w:rsidRPr="00D44A12">
        <w:rPr>
          <w:rFonts w:asciiTheme="minorHAnsi" w:hAnsiTheme="minorHAnsi" w:cstheme="minorHAnsi"/>
        </w:rPr>
        <w:t>2</w:t>
      </w:r>
      <w:r w:rsidRPr="00D44A12">
        <w:rPr>
          <w:rFonts w:asciiTheme="minorHAnsi" w:hAnsiTheme="minorHAnsi" w:cstheme="minorHAnsi"/>
        </w:rPr>
        <w:t> millions CHF en 201</w:t>
      </w:r>
      <w:r w:rsidR="00FF57C3" w:rsidRPr="00D44A12">
        <w:rPr>
          <w:rFonts w:asciiTheme="minorHAnsi" w:hAnsiTheme="minorHAnsi" w:cstheme="minorHAnsi"/>
        </w:rPr>
        <w:t>8</w:t>
      </w:r>
      <w:r w:rsidRPr="00D44A12">
        <w:rPr>
          <w:rFonts w:asciiTheme="minorHAnsi" w:hAnsiTheme="minorHAnsi" w:cstheme="minorHAnsi"/>
        </w:rPr>
        <w:t>.</w:t>
      </w:r>
      <w:bookmarkEnd w:id="38"/>
      <w:r w:rsidR="0079194B" w:rsidRPr="00D44A12">
        <w:rPr>
          <w:rFonts w:cstheme="minorHAnsi"/>
        </w:rPr>
        <w:t xml:space="preserve"> Il </w:t>
      </w:r>
      <w:r w:rsidR="00FD7C78" w:rsidRPr="00D44A12">
        <w:rPr>
          <w:rFonts w:cstheme="minorHAnsi"/>
        </w:rPr>
        <w:t xml:space="preserve">convient également de noter qu'en 2018, la dette courante a augmenté par rapport </w:t>
      </w:r>
      <w:r w:rsidR="00FD7C78" w:rsidRPr="00D44A12">
        <w:rPr>
          <w:rFonts w:cstheme="minorHAnsi"/>
        </w:rPr>
        <w:lastRenderedPageBreak/>
        <w:t>à l'année précédente. En 2017, la dette courante s'est établie à 0,5</w:t>
      </w:r>
      <w:r w:rsidR="00027C42" w:rsidRPr="00D44A12">
        <w:rPr>
          <w:rFonts w:cstheme="minorHAnsi"/>
        </w:rPr>
        <w:t> </w:t>
      </w:r>
      <w:r w:rsidR="00FD7C78" w:rsidRPr="00D44A12">
        <w:rPr>
          <w:rFonts w:cstheme="minorHAnsi"/>
        </w:rPr>
        <w:t>million</w:t>
      </w:r>
      <w:r w:rsidR="00027C42" w:rsidRPr="00D44A12">
        <w:rPr>
          <w:rFonts w:cstheme="minorHAnsi"/>
        </w:rPr>
        <w:t> </w:t>
      </w:r>
      <w:r w:rsidR="00FD7C78" w:rsidRPr="00D44A12">
        <w:rPr>
          <w:rFonts w:cstheme="minorHAnsi"/>
        </w:rPr>
        <w:t>CHF</w:t>
      </w:r>
      <w:r w:rsidR="00027C42" w:rsidRPr="00D44A12">
        <w:rPr>
          <w:rFonts w:cstheme="minorHAnsi"/>
        </w:rPr>
        <w:t xml:space="preserve"> alors qu'elle s'élevait à </w:t>
      </w:r>
      <w:r w:rsidR="00FD7C78" w:rsidRPr="00D44A12">
        <w:rPr>
          <w:rFonts w:cstheme="minorHAnsi"/>
        </w:rPr>
        <w:t>0,9</w:t>
      </w:r>
      <w:r w:rsidR="00027C42" w:rsidRPr="00D44A12">
        <w:rPr>
          <w:rFonts w:cstheme="minorHAnsi"/>
        </w:rPr>
        <w:t> </w:t>
      </w:r>
      <w:r w:rsidR="00FD7C78" w:rsidRPr="00D44A12">
        <w:rPr>
          <w:rFonts w:cstheme="minorHAnsi"/>
        </w:rPr>
        <w:t>million</w:t>
      </w:r>
      <w:r w:rsidR="00027C42" w:rsidRPr="00D44A12">
        <w:rPr>
          <w:rFonts w:cstheme="minorHAnsi"/>
        </w:rPr>
        <w:t> </w:t>
      </w:r>
      <w:r w:rsidR="00FD7C78" w:rsidRPr="00D44A12">
        <w:rPr>
          <w:rFonts w:cstheme="minorHAnsi"/>
        </w:rPr>
        <w:t xml:space="preserve">CHF en 2018. Cette augmentation s'explique en partie par les </w:t>
      </w:r>
      <w:r w:rsidR="001D2CDD" w:rsidRPr="00D44A12">
        <w:rPr>
          <w:rFonts w:cstheme="minorHAnsi"/>
        </w:rPr>
        <w:t>factures établies</w:t>
      </w:r>
      <w:r w:rsidR="00D806B4" w:rsidRPr="00D44A12">
        <w:rPr>
          <w:rFonts w:cstheme="minorHAnsi"/>
        </w:rPr>
        <w:t xml:space="preserve"> à la fin de 2018 </w:t>
      </w:r>
      <w:r w:rsidR="001D2CDD" w:rsidRPr="00D44A12">
        <w:rPr>
          <w:rFonts w:cstheme="minorHAnsi"/>
        </w:rPr>
        <w:t>pour les membres non exonérés au titre de la contributi</w:t>
      </w:r>
      <w:r w:rsidR="00577E41" w:rsidRPr="00D44A12">
        <w:rPr>
          <w:rFonts w:cstheme="minorHAnsi"/>
        </w:rPr>
        <w:t>on aux charges de la Conférence </w:t>
      </w:r>
      <w:r w:rsidR="001D2CDD" w:rsidRPr="00D44A12">
        <w:rPr>
          <w:rFonts w:cstheme="minorHAnsi"/>
        </w:rPr>
        <w:t xml:space="preserve">de plénipotentiaires de 2018 </w:t>
      </w:r>
      <w:r w:rsidR="00D806B4" w:rsidRPr="00D44A12">
        <w:rPr>
          <w:rFonts w:cstheme="minorHAnsi"/>
        </w:rPr>
        <w:t xml:space="preserve">(26 factures </w:t>
      </w:r>
      <w:r w:rsidR="002622EB" w:rsidRPr="00D44A12">
        <w:rPr>
          <w:rFonts w:cstheme="minorHAnsi"/>
        </w:rPr>
        <w:t xml:space="preserve">chacune d'un montant </w:t>
      </w:r>
      <w:r w:rsidR="00577E41" w:rsidRPr="00D44A12">
        <w:rPr>
          <w:rFonts w:cstheme="minorHAnsi"/>
        </w:rPr>
        <w:t>de 8 835,00 CHF = </w:t>
      </w:r>
      <w:r w:rsidR="00D806B4" w:rsidRPr="00D44A12">
        <w:rPr>
          <w:rFonts w:cstheme="minorHAnsi"/>
        </w:rPr>
        <w:t>229 710,00 CHF).</w:t>
      </w:r>
    </w:p>
    <w:p w14:paraId="3B79A0AC" w14:textId="15233D0B" w:rsidR="006841B8" w:rsidRPr="00D44A12" w:rsidRDefault="006841B8" w:rsidP="0060738E">
      <w:r w:rsidRPr="00D44A12">
        <w:t>2.3</w:t>
      </w:r>
      <w:r w:rsidRPr="00D44A12">
        <w:tab/>
      </w:r>
      <w:bookmarkStart w:id="39" w:name="lt_pId123"/>
      <w:r w:rsidRPr="00D44A12">
        <w:t>La flexibilité accordée au Secrétaire général depuis la session de 2011 du Conseil</w:t>
      </w:r>
      <w:bookmarkStart w:id="40" w:name="lt_pId124"/>
      <w:bookmarkEnd w:id="39"/>
      <w:r w:rsidRPr="00D44A12">
        <w:t xml:space="preserve"> a permis au </w:t>
      </w:r>
      <w:r w:rsidR="0060738E">
        <w:t>s</w:t>
      </w:r>
      <w:r w:rsidRPr="00D44A12">
        <w:t>ecrétariat de recouvrer certains arriérés qu'il aurait autrement été difficile de récupérer, grâce à la négociation d'accords de remboursement avec des entités qui ont racheté d'anciens Membres de Secteur ou Associés de l'UIT endettés et ont souhaité devenir membres de l'UIT.</w:t>
      </w:r>
      <w:bookmarkEnd w:id="40"/>
      <w:r w:rsidRPr="00D44A12">
        <w:t xml:space="preserve"> </w:t>
      </w:r>
      <w:bookmarkStart w:id="41" w:name="lt_pId125"/>
      <w:r w:rsidRPr="00D44A12">
        <w:t xml:space="preserve">En </w:t>
      </w:r>
      <w:r w:rsidR="00D806B4" w:rsidRPr="00D44A12">
        <w:t>2018</w:t>
      </w:r>
      <w:r w:rsidRPr="00D44A12">
        <w:t>, aucun accord de remboursement n'a été négocié avec des Membres ayant racheté d'anciens Membres endettés à l'égard de l'UIT. Cependant, ces résultats laissent espérer que, grâce à la flexibilité accordée au titre de la Résolution 152 (</w:t>
      </w:r>
      <w:proofErr w:type="spellStart"/>
      <w:r w:rsidRPr="00D44A12">
        <w:t>Rév</w:t>
      </w:r>
      <w:proofErr w:type="spellEnd"/>
      <w:r w:rsidRPr="00D44A12">
        <w:t>. Busan, 2014) pour ce qui est de la négociation des conditions de paiement des dettes de Membres de Secteur et d'Associés, les chances de recouvrer certains arriérés continueront d'augmenter.</w:t>
      </w:r>
      <w:bookmarkEnd w:id="41"/>
      <w:r w:rsidRPr="00D44A12">
        <w:t xml:space="preserve"> </w:t>
      </w:r>
    </w:p>
    <w:p w14:paraId="4415C63E" w14:textId="77777777" w:rsidR="006841B8" w:rsidRPr="00D44A12" w:rsidRDefault="006841B8" w:rsidP="00D568EA">
      <w:pPr>
        <w:pStyle w:val="Heading1"/>
        <w:spacing w:before="360"/>
      </w:pPr>
      <w:r w:rsidRPr="00D44A12">
        <w:t>3</w:t>
      </w:r>
      <w:r w:rsidRPr="00D44A12">
        <w:tab/>
      </w:r>
      <w:bookmarkStart w:id="42" w:name="lt_pId128"/>
      <w:r w:rsidRPr="00D44A12">
        <w:t>Suspension/radiation de Membres de Secteur de l'UIT, d'Associés et d'établissements universitaires</w:t>
      </w:r>
      <w:bookmarkEnd w:id="42"/>
    </w:p>
    <w:p w14:paraId="1263179C" w14:textId="77777777" w:rsidR="006841B8" w:rsidRPr="00D44A12" w:rsidRDefault="006841B8" w:rsidP="00D568EA">
      <w:r w:rsidRPr="00D44A12">
        <w:t>3.1</w:t>
      </w:r>
      <w:r w:rsidRPr="00D44A12">
        <w:tab/>
      </w:r>
      <w:bookmarkStart w:id="43" w:name="lt_pId130"/>
      <w:r w:rsidRPr="00D44A12">
        <w:t xml:space="preserve">Depuis l'adoption de la Résolution 152 et, en particulier, depuis qu'une certaine flexibilité a été accordée au Secrétaire général (session de 2011 du Conseil), une procédure de rappels personnalisés pour les Membres de Secteur, les Associés et les établissements universitaires en retard de paiement a été mise en place, conjuguée à un suivi proactif et coordonné associant le Secrétariat général, les Bureaux des Secteurs et les Bureaux régionaux. Les administrations sont informées de ce processus et, dans certains cas, jouent un rôle actif et très fructueux en aidant le </w:t>
      </w:r>
      <w:r w:rsidR="00FF57C3" w:rsidRPr="00D44A12">
        <w:t>s</w:t>
      </w:r>
      <w:r w:rsidRPr="00D44A12">
        <w:t xml:space="preserve">ecrétariat à recouvrer les dettes et à réadmettre les membres dont la participation avait été suspendue. Le </w:t>
      </w:r>
      <w:r w:rsidR="00FF57C3" w:rsidRPr="00D44A12">
        <w:t>s</w:t>
      </w:r>
      <w:r w:rsidRPr="00D44A12">
        <w:t>ecrétariat est reconnaissant de cet appui apporté.</w:t>
      </w:r>
    </w:p>
    <w:bookmarkEnd w:id="43"/>
    <w:p w14:paraId="7E8D8267" w14:textId="2C254D3D" w:rsidR="006841B8" w:rsidRPr="00D44A12" w:rsidRDefault="006841B8" w:rsidP="00D568EA">
      <w:pPr>
        <w:rPr>
          <w:rFonts w:asciiTheme="minorHAnsi" w:hAnsiTheme="minorHAnsi" w:cstheme="minorHAnsi"/>
        </w:rPr>
      </w:pPr>
      <w:r w:rsidRPr="00D44A12">
        <w:t>3.2</w:t>
      </w:r>
      <w:r w:rsidRPr="00D44A12">
        <w:tab/>
      </w:r>
      <w:bookmarkStart w:id="44" w:name="lt_pId132"/>
      <w:r w:rsidRPr="00D44A12">
        <w:t>La procédure mise en place a donné de bons résultats, puisqu'elle a permis une baisse du nombre de suspensions et du nombre d'exclusions définitives.</w:t>
      </w:r>
      <w:bookmarkEnd w:id="44"/>
      <w:r w:rsidRPr="00D44A12">
        <w:rPr>
          <w:szCs w:val="24"/>
        </w:rPr>
        <w:t xml:space="preserve"> </w:t>
      </w:r>
      <w:bookmarkStart w:id="45" w:name="lt_pId133"/>
      <w:r w:rsidR="00D806B4" w:rsidRPr="00D44A12">
        <w:rPr>
          <w:rFonts w:asciiTheme="minorHAnsi" w:hAnsiTheme="minorHAnsi" w:cstheme="minorHAnsi"/>
        </w:rPr>
        <w:t>Sur</w:t>
      </w:r>
      <w:r w:rsidRPr="00D44A12">
        <w:rPr>
          <w:rFonts w:asciiTheme="minorHAnsi" w:hAnsiTheme="minorHAnsi" w:cstheme="minorHAnsi"/>
        </w:rPr>
        <w:t xml:space="preserve"> les 1</w:t>
      </w:r>
      <w:r w:rsidR="00FF57C3" w:rsidRPr="00D44A12">
        <w:rPr>
          <w:rFonts w:asciiTheme="minorHAnsi" w:hAnsiTheme="minorHAnsi" w:cstheme="minorHAnsi"/>
        </w:rPr>
        <w:t>89</w:t>
      </w:r>
      <w:r w:rsidRPr="00D44A12">
        <w:rPr>
          <w:rFonts w:asciiTheme="minorHAnsi" w:hAnsiTheme="minorHAnsi" w:cstheme="minorHAnsi"/>
        </w:rPr>
        <w:t xml:space="preserve"> entités encourant le risque d'une suspension en </w:t>
      </w:r>
      <w:r w:rsidR="00FF57C3" w:rsidRPr="00D44A12">
        <w:rPr>
          <w:rFonts w:asciiTheme="minorHAnsi" w:hAnsiTheme="minorHAnsi" w:cstheme="minorHAnsi"/>
        </w:rPr>
        <w:t>juin 2018</w:t>
      </w:r>
      <w:r w:rsidRPr="00D44A12">
        <w:rPr>
          <w:rFonts w:asciiTheme="minorHAnsi" w:hAnsiTheme="minorHAnsi" w:cstheme="minorHAnsi"/>
        </w:rPr>
        <w:t xml:space="preserve">, </w:t>
      </w:r>
      <w:r w:rsidR="00FF57C3" w:rsidRPr="00D44A12">
        <w:rPr>
          <w:rFonts w:asciiTheme="minorHAnsi" w:hAnsiTheme="minorHAnsi" w:cstheme="minorHAnsi"/>
        </w:rPr>
        <w:t>83</w:t>
      </w:r>
      <w:r w:rsidRPr="00D44A12">
        <w:rPr>
          <w:rFonts w:asciiTheme="minorHAnsi" w:hAnsiTheme="minorHAnsi" w:cstheme="minorHAnsi"/>
        </w:rPr>
        <w:t> ont été suspendues en octobre 201</w:t>
      </w:r>
      <w:r w:rsidR="00FF57C3" w:rsidRPr="00D44A12">
        <w:rPr>
          <w:rFonts w:asciiTheme="minorHAnsi" w:hAnsiTheme="minorHAnsi" w:cstheme="minorHAnsi"/>
        </w:rPr>
        <w:t>8</w:t>
      </w:r>
      <w:r w:rsidRPr="00D44A12">
        <w:rPr>
          <w:rFonts w:asciiTheme="minorHAnsi" w:hAnsiTheme="minorHAnsi" w:cstheme="minorHAnsi"/>
        </w:rPr>
        <w:t>.</w:t>
      </w:r>
      <w:bookmarkEnd w:id="45"/>
      <w:r w:rsidRPr="00D44A12">
        <w:rPr>
          <w:rFonts w:asciiTheme="minorHAnsi" w:hAnsiTheme="minorHAnsi" w:cstheme="minorHAnsi"/>
        </w:rPr>
        <w:t xml:space="preserve"> </w:t>
      </w:r>
      <w:bookmarkStart w:id="46" w:name="lt_pId134"/>
      <w:r w:rsidRPr="00D44A12">
        <w:rPr>
          <w:rFonts w:asciiTheme="minorHAnsi" w:hAnsiTheme="minorHAnsi" w:cstheme="minorHAnsi"/>
        </w:rPr>
        <w:t>Ce nombre est ensuite descendu à 2</w:t>
      </w:r>
      <w:r w:rsidR="00FF57C3" w:rsidRPr="00D44A12">
        <w:rPr>
          <w:rFonts w:asciiTheme="minorHAnsi" w:hAnsiTheme="minorHAnsi" w:cstheme="minorHAnsi"/>
        </w:rPr>
        <w:t>4</w:t>
      </w:r>
      <w:r w:rsidRPr="00D44A12">
        <w:rPr>
          <w:rFonts w:asciiTheme="minorHAnsi" w:hAnsiTheme="minorHAnsi" w:cstheme="minorHAnsi"/>
        </w:rPr>
        <w:t xml:space="preserve"> entités (au </w:t>
      </w:r>
      <w:r w:rsidR="00FF57C3" w:rsidRPr="00D44A12">
        <w:rPr>
          <w:rFonts w:asciiTheme="minorHAnsi" w:hAnsiTheme="minorHAnsi" w:cstheme="minorHAnsi"/>
        </w:rPr>
        <w:t>5 avril 2019</w:t>
      </w:r>
      <w:r w:rsidRPr="00D44A12">
        <w:rPr>
          <w:rFonts w:asciiTheme="minorHAnsi" w:hAnsiTheme="minorHAnsi" w:cstheme="minorHAnsi"/>
        </w:rPr>
        <w:t>) dont la participa</w:t>
      </w:r>
      <w:r w:rsidR="00560EE8" w:rsidRPr="00D44A12">
        <w:rPr>
          <w:rFonts w:asciiTheme="minorHAnsi" w:hAnsiTheme="minorHAnsi" w:cstheme="minorHAnsi"/>
        </w:rPr>
        <w:t>tion est "gelée" depuis janvier </w:t>
      </w:r>
      <w:r w:rsidRPr="00D44A12">
        <w:rPr>
          <w:rFonts w:asciiTheme="minorHAnsi" w:hAnsiTheme="minorHAnsi" w:cstheme="minorHAnsi"/>
        </w:rPr>
        <w:t>201</w:t>
      </w:r>
      <w:r w:rsidR="00FF57C3" w:rsidRPr="00D44A12">
        <w:rPr>
          <w:rFonts w:asciiTheme="minorHAnsi" w:hAnsiTheme="minorHAnsi" w:cstheme="minorHAnsi"/>
        </w:rPr>
        <w:t>9</w:t>
      </w:r>
      <w:r w:rsidRPr="00D44A12">
        <w:rPr>
          <w:rFonts w:asciiTheme="minorHAnsi" w:hAnsiTheme="minorHAnsi" w:cstheme="minorHAnsi"/>
        </w:rPr>
        <w:t>.</w:t>
      </w:r>
      <w:bookmarkEnd w:id="46"/>
      <w:r w:rsidRPr="00D44A12">
        <w:rPr>
          <w:rFonts w:asciiTheme="minorHAnsi" w:hAnsiTheme="minorHAnsi" w:cstheme="minorHAnsi"/>
        </w:rPr>
        <w:t xml:space="preserve"> </w:t>
      </w:r>
      <w:bookmarkStart w:id="47" w:name="lt_pId135"/>
      <w:r w:rsidRPr="00D44A12">
        <w:t xml:space="preserve">Le statut d'entité dont la participation est "gelée" permet aux entités concernées de disposer de temps supplémentaire pour régler leur situation financière au lieu d'être </w:t>
      </w:r>
      <w:r w:rsidRPr="00D44A12">
        <w:lastRenderedPageBreak/>
        <w:t>automatiquement exclues. Plus aucune facture ne leur est envoyée, leur participation reste suspendue, mais elles continuent de figurer sur la liste des Membres de Secteur/Associés/établissements universitaires, selon le cas. La liste des entités dont la participation est "gelée" depuis janvier 201</w:t>
      </w:r>
      <w:r w:rsidR="00FF57C3" w:rsidRPr="00D44A12">
        <w:t>9</w:t>
      </w:r>
      <w:r w:rsidRPr="00D44A12">
        <w:t xml:space="preserve"> </w:t>
      </w:r>
      <w:bookmarkStart w:id="48" w:name="lt_pId136"/>
      <w:bookmarkEnd w:id="47"/>
      <w:r w:rsidRPr="00D44A12">
        <w:t>figure</w:t>
      </w:r>
      <w:r w:rsidRPr="00D44A12">
        <w:rPr>
          <w:rFonts w:asciiTheme="minorHAnsi" w:hAnsiTheme="minorHAnsi" w:cstheme="minorHAnsi"/>
        </w:rPr>
        <w:t xml:space="preserve"> dans l'Annexe 1.</w:t>
      </w:r>
      <w:bookmarkEnd w:id="48"/>
    </w:p>
    <w:p w14:paraId="15D0953E" w14:textId="3005B037" w:rsidR="006841B8" w:rsidRPr="00D44A12" w:rsidRDefault="006841B8" w:rsidP="00D568EA">
      <w:pPr>
        <w:rPr>
          <w:rFonts w:asciiTheme="minorHAnsi" w:hAnsiTheme="minorHAnsi" w:cstheme="minorHAnsi"/>
        </w:rPr>
      </w:pPr>
      <w:r w:rsidRPr="00D44A12">
        <w:t>3.3</w:t>
      </w:r>
      <w:r w:rsidRPr="00D44A12">
        <w:tab/>
      </w:r>
      <w:bookmarkStart w:id="49" w:name="lt_pId138"/>
      <w:r w:rsidRPr="00D44A12">
        <w:t>Des efforts considérables ont été déployés pour que des entités dont la participation était "gelée" et qui risquaient d'être exclues reprennent leur participation.</w:t>
      </w:r>
      <w:bookmarkEnd w:id="49"/>
      <w:r w:rsidRPr="00D44A12">
        <w:t xml:space="preserve"> </w:t>
      </w:r>
      <w:bookmarkStart w:id="50" w:name="lt_pId139"/>
      <w:r w:rsidRPr="00D44A12">
        <w:t xml:space="preserve">Ainsi, sur </w:t>
      </w:r>
      <w:r w:rsidR="00FF57C3" w:rsidRPr="00D44A12">
        <w:t>33</w:t>
      </w:r>
      <w:r w:rsidRPr="00D44A12">
        <w:t xml:space="preserve"> entités qui auraient été exclues en application de la Résolution 152 (</w:t>
      </w:r>
      <w:proofErr w:type="spellStart"/>
      <w:r w:rsidRPr="00D44A12">
        <w:t>Rév</w:t>
      </w:r>
      <w:proofErr w:type="spellEnd"/>
      <w:r w:rsidRPr="00D44A12">
        <w:t>. Busan, 2014) en janvier 201</w:t>
      </w:r>
      <w:r w:rsidR="00FF57C3" w:rsidRPr="00D44A12">
        <w:t>8</w:t>
      </w:r>
      <w:r w:rsidRPr="00D44A12">
        <w:t xml:space="preserve">, le </w:t>
      </w:r>
      <w:r w:rsidR="0060738E">
        <w:t>s</w:t>
      </w:r>
      <w:r w:rsidRPr="00D44A12">
        <w:t xml:space="preserve">ecrétariat a réussi à en convaincre </w:t>
      </w:r>
      <w:r w:rsidR="00FF57C3" w:rsidRPr="00D44A12">
        <w:t>quinze</w:t>
      </w:r>
      <w:r w:rsidRPr="00D44A12">
        <w:t xml:space="preserve"> de s'acquitter de leurs contributions, ce qui a permis la réactivation de leur participation en tant que membre, tandis que </w:t>
      </w:r>
      <w:r w:rsidR="00FF57C3" w:rsidRPr="00D44A12">
        <w:t>cinq</w:t>
      </w:r>
      <w:r w:rsidRPr="00D44A12">
        <w:t xml:space="preserve"> entités ont</w:t>
      </w:r>
      <w:r w:rsidR="00D806B4" w:rsidRPr="00D44A12">
        <w:t xml:space="preserve"> fait l'objet d'une dénonciation officielle et ont</w:t>
      </w:r>
      <w:r w:rsidRPr="00D44A12">
        <w:t xml:space="preserve"> réglé leur situation financière</w:t>
      </w:r>
      <w:r w:rsidR="00D806B4" w:rsidRPr="00D44A12">
        <w:t>.</w:t>
      </w:r>
      <w:bookmarkEnd w:id="50"/>
    </w:p>
    <w:p w14:paraId="7DFA2DAF" w14:textId="65460D10" w:rsidR="006841B8" w:rsidRPr="00D44A12" w:rsidRDefault="006841B8" w:rsidP="0060738E">
      <w:r w:rsidRPr="00D44A12">
        <w:t>3.4</w:t>
      </w:r>
      <w:r w:rsidRPr="00D44A12">
        <w:tab/>
      </w:r>
      <w:bookmarkStart w:id="51" w:name="lt_pId141"/>
      <w:r w:rsidRPr="00D44A12">
        <w:t>Bien que l'octroi d'un délai supplémentaire ait permis à certaines entités de conserver leur qualité de membre, lorsqu'il devient évident que certaines entités suspendues de longue date ne seront pas réadmises et ne régleront pas leurs arriérés, il convient de les exclure.</w:t>
      </w:r>
      <w:bookmarkEnd w:id="51"/>
      <w:r w:rsidRPr="00D44A12">
        <w:t xml:space="preserve"> </w:t>
      </w:r>
      <w:bookmarkStart w:id="52" w:name="lt_pId142"/>
      <w:r w:rsidRPr="00D44A12">
        <w:t>L'expérience a montré que les entités qui souhaitent continuer de participer aux travaux des Secteurs régularisent habituellement leur situation rapidement.</w:t>
      </w:r>
      <w:bookmarkEnd w:id="52"/>
      <w:r w:rsidRPr="00D44A12">
        <w:t xml:space="preserve"> </w:t>
      </w:r>
      <w:bookmarkStart w:id="53" w:name="lt_pId143"/>
      <w:r w:rsidRPr="00D44A12">
        <w:t>En d'autres termes, plus longue est la période de suspension, moins les entités sont susceptibles de participer à nouveau aux travaux et de régler leurs dettes.</w:t>
      </w:r>
      <w:bookmarkEnd w:id="53"/>
      <w:r w:rsidRPr="00D44A12">
        <w:t xml:space="preserve"> </w:t>
      </w:r>
      <w:bookmarkStart w:id="54" w:name="lt_pId144"/>
      <w:r w:rsidRPr="00D44A12">
        <w:t>Le Secrétaire général a approuvé l'exclusion de 1</w:t>
      </w:r>
      <w:r w:rsidR="00FF57C3" w:rsidRPr="00D44A12">
        <w:t>9</w:t>
      </w:r>
      <w:r w:rsidRPr="00D44A12">
        <w:t xml:space="preserve"> entités </w:t>
      </w:r>
      <w:r w:rsidR="00026D25" w:rsidRPr="00D44A12">
        <w:t>(</w:t>
      </w:r>
      <w:r w:rsidR="001B5722" w:rsidRPr="00D44A12">
        <w:t xml:space="preserve">pour </w:t>
      </w:r>
      <w:r w:rsidR="00026D25" w:rsidRPr="00D44A12">
        <w:t xml:space="preserve">13 </w:t>
      </w:r>
      <w:r w:rsidR="001B5722" w:rsidRPr="00D44A12">
        <w:t xml:space="preserve">de ces </w:t>
      </w:r>
      <w:r w:rsidR="00026D25" w:rsidRPr="00D44A12">
        <w:t>entités</w:t>
      </w:r>
      <w:r w:rsidR="001B5722" w:rsidRPr="00D44A12">
        <w:t>,</w:t>
      </w:r>
      <w:r w:rsidR="00026D25" w:rsidRPr="00D44A12">
        <w:t xml:space="preserve"> </w:t>
      </w:r>
      <w:r w:rsidRPr="00D44A12">
        <w:t>la participation était "gelée" depuis janvier 201</w:t>
      </w:r>
      <w:r w:rsidR="00FF57C3" w:rsidRPr="00D44A12">
        <w:t>8</w:t>
      </w:r>
      <w:r w:rsidRPr="00D44A12">
        <w:t xml:space="preserve">, </w:t>
      </w:r>
      <w:r w:rsidR="001B5722" w:rsidRPr="00D44A12">
        <w:t xml:space="preserve">tandis que pour les </w:t>
      </w:r>
      <w:r w:rsidR="00026D25" w:rsidRPr="00D44A12">
        <w:t xml:space="preserve">6 </w:t>
      </w:r>
      <w:r w:rsidR="001B5722" w:rsidRPr="00D44A12">
        <w:t xml:space="preserve">autres </w:t>
      </w:r>
      <w:r w:rsidR="00026D25" w:rsidRPr="00D44A12">
        <w:t>la participation a</w:t>
      </w:r>
      <w:r w:rsidR="001B5722" w:rsidRPr="00D44A12">
        <w:t>vait</w:t>
      </w:r>
      <w:r w:rsidR="00026D25" w:rsidRPr="00D44A12">
        <w:t xml:space="preserve"> été gelée </w:t>
      </w:r>
      <w:r w:rsidR="001D2CDD" w:rsidRPr="00D44A12">
        <w:t>antérieurement</w:t>
      </w:r>
      <w:r w:rsidR="00026D25" w:rsidRPr="00D44A12">
        <w:t xml:space="preserve">) </w:t>
      </w:r>
      <w:r w:rsidRPr="00D44A12">
        <w:t xml:space="preserve">avec effet au 30 </w:t>
      </w:r>
      <w:r w:rsidR="00FF57C3" w:rsidRPr="00D44A12">
        <w:t>juin 2019</w:t>
      </w:r>
      <w:r w:rsidRPr="00D44A12">
        <w:t xml:space="preserve">. </w:t>
      </w:r>
      <w:bookmarkStart w:id="55" w:name="lt_pId145"/>
      <w:bookmarkEnd w:id="54"/>
      <w:r w:rsidRPr="00D44A12">
        <w:t>La liste de ces entités figure dans l'Annexe 2.</w:t>
      </w:r>
      <w:bookmarkEnd w:id="55"/>
      <w:r w:rsidRPr="00D44A12">
        <w:t xml:space="preserve"> </w:t>
      </w:r>
    </w:p>
    <w:p w14:paraId="01B77B54" w14:textId="77777777" w:rsidR="006841B8" w:rsidRPr="00D44A12" w:rsidRDefault="006841B8" w:rsidP="00D568EA">
      <w:pPr>
        <w:pStyle w:val="Heading1"/>
        <w:spacing w:before="360"/>
      </w:pPr>
      <w:r w:rsidRPr="00D44A12">
        <w:t>4</w:t>
      </w:r>
      <w:r w:rsidRPr="00D44A12">
        <w:tab/>
      </w:r>
      <w:bookmarkStart w:id="56" w:name="lt_pId151"/>
      <w:r w:rsidRPr="00D44A12">
        <w:t>Recommandations</w:t>
      </w:r>
      <w:bookmarkEnd w:id="56"/>
    </w:p>
    <w:p w14:paraId="7702F697" w14:textId="77777777" w:rsidR="006841B8" w:rsidRPr="00D44A12" w:rsidRDefault="006841B8" w:rsidP="00D568EA">
      <w:r w:rsidRPr="00D44A12">
        <w:t>4.1</w:t>
      </w:r>
      <w:r w:rsidRPr="00D44A12">
        <w:tab/>
      </w:r>
      <w:bookmarkStart w:id="57" w:name="lt_pId153"/>
      <w:r w:rsidRPr="00D44A12">
        <w:t xml:space="preserve">Il convient de poursuivre la collaboration étroite entre le </w:t>
      </w:r>
      <w:r w:rsidR="00FF57C3" w:rsidRPr="00D44A12">
        <w:t>s</w:t>
      </w:r>
      <w:r w:rsidRPr="00D44A12">
        <w:t>ecrétariat, les Bureaux et les bureaux régionaux, afin d'assurer le suivi du paiement des droits par les Membres de Secteur, les Associés et les établissements universitaires.</w:t>
      </w:r>
      <w:bookmarkEnd w:id="57"/>
      <w:r w:rsidRPr="00D44A12">
        <w:t xml:space="preserve"> </w:t>
      </w:r>
      <w:bookmarkStart w:id="58" w:name="lt_pId154"/>
      <w:r w:rsidRPr="00D44A12">
        <w:t>Il est nécessaire de prendre des mesures coordonnées pour garder les entités suspendues, afin qu'elles recouvrent leurs arriérés et participent de nouveau aux travaux des Secteurs.</w:t>
      </w:r>
      <w:bookmarkEnd w:id="58"/>
    </w:p>
    <w:p w14:paraId="47BAFE16" w14:textId="77777777" w:rsidR="006841B8" w:rsidRPr="00D44A12" w:rsidRDefault="006841B8" w:rsidP="00D568EA">
      <w:r w:rsidRPr="00D44A12">
        <w:t>4.2</w:t>
      </w:r>
      <w:r w:rsidRPr="00D44A12">
        <w:tab/>
      </w:r>
      <w:bookmarkStart w:id="59" w:name="lt_pId156"/>
      <w:r w:rsidRPr="00D44A12">
        <w:t>Même si l'expérience a montré que la flexibilité offerte a été utile, en ce qu'elle a permis de laisser davantage de temps pour retenir certaines entités à l'UIT, il est recommandé que le Secrétaire général continue d'exclure les entités suspendues de longue date, car il est peu probable qu'elles soient réadmises et remboursent leurs dettes.</w:t>
      </w:r>
      <w:bookmarkEnd w:id="59"/>
      <w:r w:rsidRPr="00D44A12">
        <w:t xml:space="preserve"> </w:t>
      </w:r>
    </w:p>
    <w:p w14:paraId="6BB26CE1" w14:textId="77777777" w:rsidR="006841B8" w:rsidRPr="00D44A12" w:rsidRDefault="006841B8" w:rsidP="00D568EA">
      <w:r w:rsidRPr="00D44A12">
        <w:t>4.3</w:t>
      </w:r>
      <w:r w:rsidRPr="00D44A12">
        <w:tab/>
      </w:r>
      <w:bookmarkStart w:id="60" w:name="lt_pId160"/>
      <w:bookmarkStart w:id="61" w:name="lt_pId159"/>
      <w:bookmarkEnd w:id="60"/>
      <w:r w:rsidRPr="00D44A12">
        <w:t xml:space="preserve">Nonobstant ce qui précède, le </w:t>
      </w:r>
      <w:r w:rsidR="00FF57C3" w:rsidRPr="00D44A12">
        <w:t>s</w:t>
      </w:r>
      <w:r w:rsidRPr="00D44A12">
        <w:t>ecrétariat de l'UIT demande aux Administrations qui, en vertu de l'Article 19 de la Convention, approuvent la participation des Membres de Secteur,</w:t>
      </w:r>
      <w:r w:rsidR="00FF57C3" w:rsidRPr="00D44A12">
        <w:t xml:space="preserve"> </w:t>
      </w:r>
      <w:r w:rsidRPr="00D44A12">
        <w:t xml:space="preserve">des Associés et des établissements universitaires, de </w:t>
      </w:r>
      <w:r w:rsidRPr="00D44A12">
        <w:lastRenderedPageBreak/>
        <w:t>continuer à lui fournir un appui continu en ce qui concerne le suivi des entités en retard dans le paiement de leurs contributions.</w:t>
      </w:r>
      <w:bookmarkEnd w:id="61"/>
    </w:p>
    <w:p w14:paraId="3707DA3E" w14:textId="77777777" w:rsidR="006841B8" w:rsidRPr="00D44A12" w:rsidRDefault="006841B8" w:rsidP="00D568EA">
      <w:pPr>
        <w:spacing w:before="1800"/>
        <w:jc w:val="both"/>
      </w:pPr>
      <w:r w:rsidRPr="00D44A12">
        <w:rPr>
          <w:b/>
          <w:bCs/>
        </w:rPr>
        <w:t>Annexes</w:t>
      </w:r>
      <w:r w:rsidRPr="00D44A12">
        <w:t>: 2</w:t>
      </w:r>
    </w:p>
    <w:p w14:paraId="434C4295" w14:textId="77777777" w:rsidR="006841B8" w:rsidRPr="00D44A12" w:rsidRDefault="006841B8" w:rsidP="00D568EA">
      <w:pPr>
        <w:spacing w:before="3000"/>
        <w:jc w:val="both"/>
        <w:rPr>
          <w:rFonts w:asciiTheme="minorHAnsi" w:hAnsiTheme="minorHAnsi"/>
          <w:b/>
          <w:bCs/>
        </w:rPr>
      </w:pPr>
      <w:r w:rsidRPr="00D44A12">
        <w:rPr>
          <w:rFonts w:asciiTheme="minorHAnsi" w:hAnsiTheme="minorHAnsi"/>
          <w:b/>
          <w:bCs/>
        </w:rPr>
        <w:br w:type="page"/>
      </w:r>
    </w:p>
    <w:p w14:paraId="5FA32199" w14:textId="77777777" w:rsidR="006841B8" w:rsidRPr="00D44A12" w:rsidRDefault="006841B8" w:rsidP="00D568EA">
      <w:pPr>
        <w:pStyle w:val="AnnexNo"/>
      </w:pPr>
      <w:r w:rsidRPr="00D44A12">
        <w:lastRenderedPageBreak/>
        <w:t>ANNEXE 1</w:t>
      </w:r>
    </w:p>
    <w:p w14:paraId="104CD1C3" w14:textId="5AD538B3" w:rsidR="006841B8" w:rsidRPr="00D44A12" w:rsidRDefault="006841B8" w:rsidP="00560EE8">
      <w:pPr>
        <w:spacing w:before="240"/>
        <w:jc w:val="center"/>
        <w:rPr>
          <w:rFonts w:asciiTheme="minorHAnsi" w:hAnsiTheme="minorHAnsi"/>
        </w:rPr>
      </w:pPr>
      <w:r w:rsidRPr="00D44A12">
        <w:rPr>
          <w:rFonts w:asciiTheme="minorHAnsi" w:hAnsiTheme="minorHAnsi"/>
        </w:rPr>
        <w:t>MEMBRES SUSPENDUS À PARTIR DU 1</w:t>
      </w:r>
      <w:r w:rsidRPr="00D44A12">
        <w:t>er</w:t>
      </w:r>
      <w:r w:rsidRPr="00D44A12">
        <w:rPr>
          <w:rFonts w:asciiTheme="minorHAnsi" w:hAnsiTheme="minorHAnsi"/>
        </w:rPr>
        <w:t xml:space="preserve"> OCTOBRE 201</w:t>
      </w:r>
      <w:r w:rsidR="00FF57C3" w:rsidRPr="00D44A12">
        <w:rPr>
          <w:rFonts w:asciiTheme="minorHAnsi" w:hAnsiTheme="minorHAnsi"/>
        </w:rPr>
        <w:t>8</w:t>
      </w:r>
      <w:r w:rsidRPr="00D44A12">
        <w:rPr>
          <w:rFonts w:asciiTheme="minorHAnsi" w:hAnsiTheme="minorHAnsi"/>
        </w:rPr>
        <w:t xml:space="preserve"> – PARTICIPATION </w:t>
      </w:r>
      <w:r w:rsidR="00560EE8" w:rsidRPr="00D44A12">
        <w:rPr>
          <w:rFonts w:asciiTheme="minorHAnsi" w:hAnsiTheme="minorHAnsi"/>
        </w:rPr>
        <w:br/>
      </w:r>
      <w:r w:rsidRPr="00D44A12">
        <w:rPr>
          <w:rFonts w:asciiTheme="minorHAnsi" w:hAnsiTheme="minorHAnsi"/>
        </w:rPr>
        <w:t>"GELÉE" DEPUIS LE 1</w:t>
      </w:r>
      <w:r w:rsidRPr="00D44A12">
        <w:t>er</w:t>
      </w:r>
      <w:r w:rsidRPr="00D44A12">
        <w:rPr>
          <w:rFonts w:asciiTheme="minorHAnsi" w:hAnsiTheme="minorHAnsi"/>
        </w:rPr>
        <w:t xml:space="preserve"> JANVIER 201</w:t>
      </w:r>
      <w:r w:rsidR="00FF57C3" w:rsidRPr="00D44A12">
        <w:rPr>
          <w:rFonts w:asciiTheme="minorHAnsi" w:hAnsiTheme="minorHAnsi"/>
        </w:rPr>
        <w:t>9</w:t>
      </w:r>
    </w:p>
    <w:p w14:paraId="6E17DDE2" w14:textId="5FC0EBBE" w:rsidR="006841B8" w:rsidRPr="00D44A12" w:rsidRDefault="006841B8" w:rsidP="00560EE8">
      <w:pPr>
        <w:spacing w:after="120"/>
        <w:jc w:val="center"/>
        <w:rPr>
          <w:rFonts w:asciiTheme="minorHAnsi" w:hAnsiTheme="minorHAnsi"/>
          <w:i/>
          <w:iCs/>
        </w:rPr>
      </w:pPr>
      <w:r w:rsidRPr="00D44A12">
        <w:rPr>
          <w:rFonts w:asciiTheme="minorHAnsi" w:hAnsiTheme="minorHAnsi"/>
          <w:i/>
          <w:iCs/>
        </w:rPr>
        <w:t>Contributions dues pour 201</w:t>
      </w:r>
      <w:r w:rsidR="00FF57C3" w:rsidRPr="00D44A12">
        <w:rPr>
          <w:rFonts w:asciiTheme="minorHAnsi" w:hAnsiTheme="minorHAnsi"/>
          <w:i/>
          <w:iCs/>
        </w:rPr>
        <w:t>8</w:t>
      </w:r>
      <w:r w:rsidRPr="00D44A12">
        <w:rPr>
          <w:rFonts w:asciiTheme="minorHAnsi" w:hAnsiTheme="minorHAnsi"/>
          <w:i/>
          <w:iCs/>
        </w:rPr>
        <w:t xml:space="preserve"> – </w:t>
      </w:r>
      <w:r w:rsidR="00560EE8" w:rsidRPr="00D44A12">
        <w:rPr>
          <w:rFonts w:asciiTheme="minorHAnsi" w:hAnsiTheme="minorHAnsi"/>
          <w:i/>
          <w:iCs/>
        </w:rPr>
        <w:t>État</w:t>
      </w:r>
      <w:r w:rsidRPr="00D44A12">
        <w:rPr>
          <w:rFonts w:asciiTheme="minorHAnsi" w:hAnsiTheme="minorHAnsi"/>
          <w:i/>
          <w:iCs/>
        </w:rPr>
        <w:t xml:space="preserve"> au </w:t>
      </w:r>
      <w:r w:rsidR="00FF57C3" w:rsidRPr="00D44A12">
        <w:rPr>
          <w:rFonts w:asciiTheme="minorHAnsi" w:hAnsiTheme="minorHAnsi"/>
          <w:i/>
          <w:iCs/>
        </w:rPr>
        <w:t>5 avril 2019</w:t>
      </w:r>
    </w:p>
    <w:tbl>
      <w:tblPr>
        <w:tblW w:w="10187" w:type="dxa"/>
        <w:jc w:val="center"/>
        <w:tblLayout w:type="fixed"/>
        <w:tblLook w:val="04A0" w:firstRow="1" w:lastRow="0" w:firstColumn="1" w:lastColumn="0" w:noHBand="0" w:noVBand="1"/>
      </w:tblPr>
      <w:tblGrid>
        <w:gridCol w:w="1822"/>
        <w:gridCol w:w="2709"/>
        <w:gridCol w:w="1985"/>
        <w:gridCol w:w="709"/>
        <w:gridCol w:w="708"/>
        <w:gridCol w:w="709"/>
        <w:gridCol w:w="1545"/>
      </w:tblGrid>
      <w:tr w:rsidR="00FF57C3" w:rsidRPr="00D44A12" w14:paraId="6FC74A2F" w14:textId="77777777" w:rsidTr="00560EE8">
        <w:trPr>
          <w:trHeight w:val="480"/>
          <w:tblHeader/>
          <w:jc w:val="center"/>
        </w:trPr>
        <w:tc>
          <w:tcPr>
            <w:tcW w:w="1822" w:type="dxa"/>
            <w:tcBorders>
              <w:top w:val="single" w:sz="4" w:space="0" w:color="auto"/>
              <w:left w:val="single" w:sz="4" w:space="0" w:color="auto"/>
              <w:bottom w:val="single" w:sz="4" w:space="0" w:color="auto"/>
              <w:right w:val="single" w:sz="4" w:space="0" w:color="auto"/>
            </w:tcBorders>
            <w:shd w:val="clear" w:color="auto" w:fill="DDDDDD"/>
            <w:noWrap/>
            <w:hideMark/>
          </w:tcPr>
          <w:p w14:paraId="24A82236" w14:textId="77777777" w:rsidR="00FF57C3" w:rsidRPr="00D44A12" w:rsidRDefault="00FF57C3" w:rsidP="00560EE8">
            <w:pPr>
              <w:pStyle w:val="Tablehead"/>
              <w:spacing w:before="40" w:after="40"/>
              <w:rPr>
                <w:sz w:val="20"/>
                <w:lang w:eastAsia="zh-CN"/>
              </w:rPr>
            </w:pPr>
            <w:bookmarkStart w:id="62" w:name="lt_pId163"/>
            <w:r w:rsidRPr="00D44A12">
              <w:rPr>
                <w:sz w:val="20"/>
                <w:lang w:eastAsia="zh-CN"/>
              </w:rPr>
              <w:t>Pays</w:t>
            </w:r>
            <w:bookmarkEnd w:id="62"/>
          </w:p>
        </w:tc>
        <w:tc>
          <w:tcPr>
            <w:tcW w:w="2709" w:type="dxa"/>
            <w:tcBorders>
              <w:top w:val="single" w:sz="4" w:space="0" w:color="auto"/>
              <w:left w:val="nil"/>
              <w:bottom w:val="single" w:sz="4" w:space="0" w:color="auto"/>
              <w:right w:val="single" w:sz="4" w:space="0" w:color="auto"/>
            </w:tcBorders>
            <w:shd w:val="clear" w:color="auto" w:fill="DDDDDD"/>
            <w:noWrap/>
            <w:hideMark/>
          </w:tcPr>
          <w:p w14:paraId="613535E0" w14:textId="77777777" w:rsidR="00FF57C3" w:rsidRPr="00D44A12" w:rsidRDefault="00FF57C3" w:rsidP="00560EE8">
            <w:pPr>
              <w:pStyle w:val="Tablehead"/>
              <w:spacing w:before="40" w:after="40"/>
              <w:rPr>
                <w:sz w:val="20"/>
                <w:lang w:eastAsia="zh-CN"/>
              </w:rPr>
            </w:pPr>
            <w:r w:rsidRPr="00D44A12">
              <w:rPr>
                <w:sz w:val="20"/>
                <w:lang w:eastAsia="zh-CN"/>
              </w:rPr>
              <w:t>Entité</w:t>
            </w:r>
          </w:p>
        </w:tc>
        <w:tc>
          <w:tcPr>
            <w:tcW w:w="1985" w:type="dxa"/>
            <w:tcBorders>
              <w:top w:val="single" w:sz="4" w:space="0" w:color="auto"/>
              <w:left w:val="nil"/>
              <w:bottom w:val="single" w:sz="4" w:space="0" w:color="auto"/>
              <w:right w:val="single" w:sz="4" w:space="0" w:color="auto"/>
            </w:tcBorders>
            <w:shd w:val="clear" w:color="auto" w:fill="DDDDDD"/>
            <w:hideMark/>
          </w:tcPr>
          <w:p w14:paraId="5160BE6C" w14:textId="77777777" w:rsidR="00FF57C3" w:rsidRPr="00D44A12" w:rsidRDefault="00FF57C3" w:rsidP="00560EE8">
            <w:pPr>
              <w:pStyle w:val="Tablehead"/>
              <w:spacing w:before="40" w:after="40"/>
              <w:rPr>
                <w:sz w:val="20"/>
                <w:lang w:eastAsia="zh-CN"/>
              </w:rPr>
            </w:pPr>
            <w:bookmarkStart w:id="63" w:name="lt_pId165"/>
            <w:r w:rsidRPr="00D44A12">
              <w:rPr>
                <w:sz w:val="20"/>
                <w:lang w:eastAsia="zh-CN"/>
              </w:rPr>
              <w:t>Période/Secteur</w:t>
            </w:r>
            <w:bookmarkEnd w:id="63"/>
          </w:p>
        </w:tc>
        <w:tc>
          <w:tcPr>
            <w:tcW w:w="709" w:type="dxa"/>
            <w:tcBorders>
              <w:top w:val="single" w:sz="4" w:space="0" w:color="auto"/>
              <w:left w:val="nil"/>
              <w:bottom w:val="single" w:sz="4" w:space="0" w:color="auto"/>
              <w:right w:val="single" w:sz="4" w:space="0" w:color="auto"/>
            </w:tcBorders>
            <w:shd w:val="clear" w:color="auto" w:fill="DDDDDD"/>
          </w:tcPr>
          <w:p w14:paraId="07760C3B" w14:textId="77777777" w:rsidR="00FF57C3" w:rsidRPr="00D44A12" w:rsidRDefault="00FF57C3" w:rsidP="00560EE8">
            <w:pPr>
              <w:pStyle w:val="Tablehead"/>
              <w:spacing w:before="40" w:after="40"/>
              <w:rPr>
                <w:sz w:val="20"/>
                <w:lang w:eastAsia="zh-CN"/>
              </w:rPr>
            </w:pPr>
            <w:r w:rsidRPr="00D44A12">
              <w:rPr>
                <w:sz w:val="20"/>
                <w:lang w:eastAsia="zh-CN"/>
              </w:rPr>
              <w:t>UIT-R</w:t>
            </w:r>
          </w:p>
        </w:tc>
        <w:tc>
          <w:tcPr>
            <w:tcW w:w="708" w:type="dxa"/>
            <w:tcBorders>
              <w:top w:val="single" w:sz="4" w:space="0" w:color="auto"/>
              <w:left w:val="nil"/>
              <w:bottom w:val="single" w:sz="4" w:space="0" w:color="auto"/>
              <w:right w:val="single" w:sz="4" w:space="0" w:color="auto"/>
            </w:tcBorders>
            <w:shd w:val="clear" w:color="auto" w:fill="DDDDDD"/>
          </w:tcPr>
          <w:p w14:paraId="56BFE27D" w14:textId="77777777" w:rsidR="00FF57C3" w:rsidRPr="00D44A12" w:rsidRDefault="00FF57C3" w:rsidP="00560EE8">
            <w:pPr>
              <w:pStyle w:val="Tablehead"/>
              <w:spacing w:before="40" w:after="40"/>
              <w:rPr>
                <w:sz w:val="20"/>
                <w:lang w:eastAsia="zh-CN"/>
              </w:rPr>
            </w:pPr>
            <w:r w:rsidRPr="00D44A12">
              <w:rPr>
                <w:sz w:val="20"/>
                <w:lang w:eastAsia="zh-CN"/>
              </w:rPr>
              <w:t>UIT-T</w:t>
            </w:r>
          </w:p>
        </w:tc>
        <w:tc>
          <w:tcPr>
            <w:tcW w:w="709" w:type="dxa"/>
            <w:tcBorders>
              <w:top w:val="single" w:sz="4" w:space="0" w:color="auto"/>
              <w:left w:val="nil"/>
              <w:bottom w:val="single" w:sz="4" w:space="0" w:color="auto"/>
              <w:right w:val="single" w:sz="4" w:space="0" w:color="auto"/>
            </w:tcBorders>
            <w:shd w:val="clear" w:color="auto" w:fill="DDDDDD"/>
          </w:tcPr>
          <w:p w14:paraId="1A60B1F3" w14:textId="77777777" w:rsidR="00FF57C3" w:rsidRPr="00D44A12" w:rsidRDefault="00FF57C3" w:rsidP="00560EE8">
            <w:pPr>
              <w:pStyle w:val="Tablehead"/>
              <w:spacing w:before="40" w:after="40"/>
              <w:rPr>
                <w:sz w:val="20"/>
                <w:lang w:eastAsia="zh-CN"/>
              </w:rPr>
            </w:pPr>
            <w:r w:rsidRPr="00D44A12">
              <w:rPr>
                <w:sz w:val="20"/>
                <w:lang w:eastAsia="zh-CN"/>
              </w:rPr>
              <w:t>UIT-D</w:t>
            </w:r>
          </w:p>
        </w:tc>
        <w:tc>
          <w:tcPr>
            <w:tcW w:w="1545" w:type="dxa"/>
            <w:tcBorders>
              <w:top w:val="single" w:sz="4" w:space="0" w:color="auto"/>
              <w:left w:val="nil"/>
              <w:bottom w:val="single" w:sz="4" w:space="0" w:color="auto"/>
              <w:right w:val="single" w:sz="4" w:space="0" w:color="auto"/>
            </w:tcBorders>
            <w:shd w:val="clear" w:color="auto" w:fill="DDDDDD"/>
          </w:tcPr>
          <w:p w14:paraId="0A977745" w14:textId="77777777" w:rsidR="00FF57C3" w:rsidRPr="00D44A12" w:rsidRDefault="006E0E41" w:rsidP="00560EE8">
            <w:pPr>
              <w:pStyle w:val="Tablehead"/>
              <w:spacing w:before="40" w:after="40"/>
              <w:rPr>
                <w:sz w:val="20"/>
                <w:lang w:eastAsia="zh-CN"/>
              </w:rPr>
            </w:pPr>
            <w:r w:rsidRPr="00D44A12">
              <w:rPr>
                <w:sz w:val="20"/>
                <w:lang w:eastAsia="zh-CN"/>
              </w:rPr>
              <w:t xml:space="preserve">Établissements </w:t>
            </w:r>
            <w:r w:rsidR="00FF57C3" w:rsidRPr="00D44A12">
              <w:rPr>
                <w:sz w:val="20"/>
                <w:lang w:eastAsia="zh-CN"/>
              </w:rPr>
              <w:t>universitaires</w:t>
            </w:r>
          </w:p>
        </w:tc>
      </w:tr>
      <w:tr w:rsidR="00FF57C3" w:rsidRPr="00D44A12" w14:paraId="45DD704F"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hideMark/>
          </w:tcPr>
          <w:p w14:paraId="4B75EF26" w14:textId="77777777" w:rsidR="00FF57C3" w:rsidRPr="00D44A12" w:rsidRDefault="00FF57C3" w:rsidP="00560EE8">
            <w:pPr>
              <w:pStyle w:val="Tabletext"/>
              <w:spacing w:before="40" w:after="40"/>
              <w:rPr>
                <w:sz w:val="20"/>
                <w:lang w:eastAsia="zh-CN"/>
              </w:rPr>
            </w:pPr>
            <w:r w:rsidRPr="00D44A12">
              <w:rPr>
                <w:sz w:val="20"/>
                <w:lang w:eastAsia="zh-CN"/>
              </w:rPr>
              <w:t>BAHREÏN</w:t>
            </w:r>
          </w:p>
        </w:tc>
        <w:tc>
          <w:tcPr>
            <w:tcW w:w="2709" w:type="dxa"/>
            <w:tcBorders>
              <w:top w:val="single" w:sz="4" w:space="0" w:color="auto"/>
              <w:left w:val="nil"/>
              <w:bottom w:val="single" w:sz="4" w:space="0" w:color="auto"/>
              <w:right w:val="single" w:sz="4" w:space="0" w:color="auto"/>
            </w:tcBorders>
            <w:shd w:val="clear" w:color="000000" w:fill="FFFFFF"/>
            <w:hideMark/>
          </w:tcPr>
          <w:p w14:paraId="06646B3C" w14:textId="6A8BC4EC" w:rsidR="00FF57C3" w:rsidRPr="00D44A12" w:rsidRDefault="00FF57C3" w:rsidP="00560EE8">
            <w:pPr>
              <w:pStyle w:val="Tabletext"/>
              <w:spacing w:before="40" w:after="40"/>
              <w:rPr>
                <w:sz w:val="20"/>
                <w:lang w:eastAsia="zh-CN"/>
              </w:rPr>
            </w:pPr>
            <w:proofErr w:type="spellStart"/>
            <w:r w:rsidRPr="00D44A12">
              <w:rPr>
                <w:sz w:val="20"/>
                <w:lang w:eastAsia="zh-CN"/>
              </w:rPr>
              <w:t>University</w:t>
            </w:r>
            <w:proofErr w:type="spellEnd"/>
            <w:r w:rsidRPr="00D44A12">
              <w:rPr>
                <w:sz w:val="20"/>
                <w:lang w:eastAsia="zh-CN"/>
              </w:rPr>
              <w:t xml:space="preserve"> </w:t>
            </w:r>
            <w:proofErr w:type="spellStart"/>
            <w:r w:rsidRPr="00D44A12">
              <w:rPr>
                <w:sz w:val="20"/>
                <w:lang w:eastAsia="zh-CN"/>
              </w:rPr>
              <w:t>College</w:t>
            </w:r>
            <w:proofErr w:type="spellEnd"/>
            <w:r w:rsidRPr="00D44A12">
              <w:rPr>
                <w:sz w:val="20"/>
                <w:lang w:eastAsia="zh-CN"/>
              </w:rPr>
              <w:t xml:space="preserve"> of </w:t>
            </w:r>
            <w:proofErr w:type="spellStart"/>
            <w:r w:rsidRPr="00D44A12">
              <w:rPr>
                <w:sz w:val="20"/>
                <w:lang w:eastAsia="zh-CN"/>
              </w:rPr>
              <w:t>Bahrain</w:t>
            </w:r>
            <w:proofErr w:type="spellEnd"/>
          </w:p>
        </w:tc>
        <w:tc>
          <w:tcPr>
            <w:tcW w:w="1985" w:type="dxa"/>
            <w:tcBorders>
              <w:top w:val="single" w:sz="4" w:space="0" w:color="auto"/>
              <w:left w:val="nil"/>
              <w:bottom w:val="single" w:sz="4" w:space="0" w:color="auto"/>
              <w:right w:val="single" w:sz="4" w:space="0" w:color="auto"/>
            </w:tcBorders>
            <w:shd w:val="clear" w:color="auto" w:fill="auto"/>
            <w:noWrap/>
            <w:hideMark/>
          </w:tcPr>
          <w:p w14:paraId="55729BE3" w14:textId="77777777" w:rsidR="00FF57C3" w:rsidRPr="00D44A12" w:rsidRDefault="00FF57C3" w:rsidP="00560EE8">
            <w:pPr>
              <w:pStyle w:val="Tabletext"/>
              <w:spacing w:before="40" w:after="40"/>
              <w:rPr>
                <w:sz w:val="20"/>
                <w:lang w:eastAsia="zh-CN"/>
              </w:rPr>
            </w:pPr>
            <w:r w:rsidRPr="00D44A12">
              <w:rPr>
                <w:sz w:val="20"/>
                <w:lang w:eastAsia="zh-CN"/>
              </w:rPr>
              <w:t>2018/</w:t>
            </w:r>
            <w:r w:rsidR="00221B6E" w:rsidRPr="00D44A12">
              <w:rPr>
                <w:sz w:val="20"/>
                <w:lang w:eastAsia="zh-CN"/>
              </w:rPr>
              <w:t>É</w:t>
            </w:r>
            <w:r w:rsidRPr="00D44A12">
              <w:rPr>
                <w:sz w:val="20"/>
                <w:lang w:eastAsia="zh-CN"/>
              </w:rPr>
              <w:t>tablissements universitaires</w:t>
            </w:r>
          </w:p>
        </w:tc>
        <w:tc>
          <w:tcPr>
            <w:tcW w:w="709" w:type="dxa"/>
            <w:tcBorders>
              <w:top w:val="single" w:sz="4" w:space="0" w:color="auto"/>
              <w:left w:val="nil"/>
              <w:bottom w:val="single" w:sz="4" w:space="0" w:color="auto"/>
              <w:right w:val="single" w:sz="4" w:space="0" w:color="auto"/>
            </w:tcBorders>
            <w:vAlign w:val="center"/>
          </w:tcPr>
          <w:p w14:paraId="28D32B0F" w14:textId="77777777" w:rsidR="00FF57C3" w:rsidRPr="00D44A12" w:rsidRDefault="00FF57C3" w:rsidP="0060738E">
            <w:pPr>
              <w:pStyle w:val="Tabletext"/>
              <w:spacing w:before="40" w:after="40"/>
              <w:jc w:val="center"/>
              <w:rPr>
                <w:sz w:val="20"/>
                <w:lang w:eastAsia="zh-CN"/>
              </w:rPr>
            </w:pPr>
          </w:p>
        </w:tc>
        <w:tc>
          <w:tcPr>
            <w:tcW w:w="708" w:type="dxa"/>
            <w:tcBorders>
              <w:top w:val="single" w:sz="4" w:space="0" w:color="auto"/>
              <w:left w:val="nil"/>
              <w:bottom w:val="single" w:sz="4" w:space="0" w:color="auto"/>
              <w:right w:val="single" w:sz="4" w:space="0" w:color="auto"/>
            </w:tcBorders>
            <w:vAlign w:val="center"/>
          </w:tcPr>
          <w:p w14:paraId="48279EE3" w14:textId="77777777" w:rsidR="00FF57C3" w:rsidRPr="00D44A12" w:rsidRDefault="00FF57C3" w:rsidP="0060738E">
            <w:pPr>
              <w:pStyle w:val="Tabletext"/>
              <w:spacing w:before="40" w:after="40"/>
              <w:jc w:val="center"/>
              <w:rPr>
                <w:sz w:val="20"/>
                <w:lang w:eastAsia="zh-CN"/>
              </w:rPr>
            </w:pPr>
          </w:p>
        </w:tc>
        <w:tc>
          <w:tcPr>
            <w:tcW w:w="709" w:type="dxa"/>
            <w:tcBorders>
              <w:top w:val="single" w:sz="4" w:space="0" w:color="auto"/>
              <w:left w:val="nil"/>
              <w:bottom w:val="single" w:sz="4" w:space="0" w:color="auto"/>
              <w:right w:val="single" w:sz="4" w:space="0" w:color="auto"/>
            </w:tcBorders>
            <w:vAlign w:val="center"/>
          </w:tcPr>
          <w:p w14:paraId="33074C66" w14:textId="77777777" w:rsidR="00FF57C3" w:rsidRPr="00D44A12" w:rsidRDefault="00FF57C3" w:rsidP="0060738E">
            <w:pPr>
              <w:pStyle w:val="Tabletext"/>
              <w:spacing w:before="40" w:after="40"/>
              <w:jc w:val="center"/>
              <w:rPr>
                <w:sz w:val="20"/>
                <w:lang w:eastAsia="zh-CN"/>
              </w:rPr>
            </w:pPr>
          </w:p>
        </w:tc>
        <w:tc>
          <w:tcPr>
            <w:tcW w:w="1545" w:type="dxa"/>
            <w:tcBorders>
              <w:top w:val="single" w:sz="4" w:space="0" w:color="auto"/>
              <w:left w:val="nil"/>
              <w:bottom w:val="single" w:sz="4" w:space="0" w:color="auto"/>
              <w:right w:val="single" w:sz="4" w:space="0" w:color="auto"/>
            </w:tcBorders>
            <w:vAlign w:val="center"/>
          </w:tcPr>
          <w:p w14:paraId="3A0AA80B" w14:textId="18A0291A" w:rsidR="00FF57C3" w:rsidRPr="00D44A12" w:rsidRDefault="003E237E" w:rsidP="0060738E">
            <w:pPr>
              <w:pStyle w:val="Tabletext"/>
              <w:spacing w:before="40" w:after="40"/>
              <w:jc w:val="center"/>
              <w:rPr>
                <w:sz w:val="20"/>
                <w:lang w:eastAsia="zh-CN"/>
              </w:rPr>
            </w:pPr>
            <w:r w:rsidRPr="00D44A12">
              <w:rPr>
                <w:sz w:val="20"/>
                <w:lang w:eastAsia="zh-CN"/>
              </w:rPr>
              <w:t>1</w:t>
            </w:r>
          </w:p>
        </w:tc>
      </w:tr>
      <w:tr w:rsidR="006E0E41" w:rsidRPr="00D44A12" w14:paraId="7EF213BD"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5B2A5705" w14:textId="77777777" w:rsidR="006E0E41"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GUINÉE ÉQUATORIALE</w:t>
            </w:r>
          </w:p>
        </w:tc>
        <w:tc>
          <w:tcPr>
            <w:tcW w:w="2709" w:type="dxa"/>
            <w:tcBorders>
              <w:top w:val="single" w:sz="4" w:space="0" w:color="auto"/>
              <w:left w:val="nil"/>
              <w:bottom w:val="single" w:sz="4" w:space="0" w:color="auto"/>
              <w:right w:val="single" w:sz="4" w:space="0" w:color="auto"/>
            </w:tcBorders>
            <w:shd w:val="clear" w:color="000000" w:fill="FFFFFF"/>
          </w:tcPr>
          <w:p w14:paraId="0259503C" w14:textId="77777777" w:rsidR="006E0E41" w:rsidRPr="00EF4A1F" w:rsidRDefault="006E0E41" w:rsidP="00D44A12">
            <w:pPr>
              <w:pStyle w:val="Tabletext"/>
              <w:spacing w:before="40" w:after="40"/>
              <w:rPr>
                <w:rFonts w:cs="Calibri"/>
                <w:color w:val="000000"/>
                <w:sz w:val="20"/>
                <w:lang w:val="es-ES" w:eastAsia="zh-CN"/>
              </w:rPr>
            </w:pPr>
            <w:r w:rsidRPr="00EF4A1F">
              <w:rPr>
                <w:rFonts w:cs="Calibri"/>
                <w:color w:val="000000"/>
                <w:sz w:val="20"/>
                <w:lang w:val="es-ES" w:eastAsia="zh-CN"/>
              </w:rPr>
              <w:t xml:space="preserve">Guinea Ecuatorial de Telecomunicaciones, Sociedad </w:t>
            </w:r>
            <w:proofErr w:type="spellStart"/>
            <w:r w:rsidRPr="00EF4A1F">
              <w:rPr>
                <w:rFonts w:cs="Calibri"/>
                <w:color w:val="000000"/>
                <w:sz w:val="20"/>
                <w:lang w:val="es-ES" w:eastAsia="zh-CN"/>
              </w:rPr>
              <w:t>Anonima</w:t>
            </w:r>
            <w:proofErr w:type="spellEnd"/>
          </w:p>
        </w:tc>
        <w:tc>
          <w:tcPr>
            <w:tcW w:w="1985" w:type="dxa"/>
            <w:tcBorders>
              <w:top w:val="single" w:sz="4" w:space="0" w:color="auto"/>
              <w:left w:val="nil"/>
              <w:bottom w:val="single" w:sz="4" w:space="0" w:color="auto"/>
              <w:right w:val="single" w:sz="4" w:space="0" w:color="auto"/>
            </w:tcBorders>
            <w:shd w:val="clear" w:color="auto" w:fill="auto"/>
            <w:noWrap/>
          </w:tcPr>
          <w:p w14:paraId="3767B31D" w14:textId="77777777" w:rsidR="006E0E41" w:rsidRPr="00D44A12" w:rsidRDefault="006E0E41" w:rsidP="00560EE8">
            <w:pPr>
              <w:pStyle w:val="Tabletext"/>
              <w:spacing w:before="40" w:after="40"/>
              <w:rPr>
                <w:rFonts w:cs="Calibri"/>
                <w:color w:val="000000"/>
                <w:sz w:val="20"/>
                <w:lang w:eastAsia="zh-CN"/>
              </w:rPr>
            </w:pPr>
            <w:r w:rsidRPr="00D44A12">
              <w:rPr>
                <w:rFonts w:cs="Calibri"/>
                <w:color w:val="000000"/>
                <w:sz w:val="20"/>
                <w:lang w:eastAsia="zh-CN"/>
              </w:rPr>
              <w:t>2018/</w:t>
            </w:r>
            <w:r w:rsidR="00221B6E" w:rsidRPr="00D44A12">
              <w:rPr>
                <w:rFonts w:cs="Calibri"/>
                <w:color w:val="000000"/>
                <w:sz w:val="20"/>
                <w:lang w:eastAsia="zh-CN"/>
              </w:rPr>
              <w:t>UIT-T</w:t>
            </w:r>
          </w:p>
        </w:tc>
        <w:tc>
          <w:tcPr>
            <w:tcW w:w="709" w:type="dxa"/>
            <w:tcBorders>
              <w:top w:val="single" w:sz="4" w:space="0" w:color="auto"/>
              <w:left w:val="nil"/>
              <w:bottom w:val="single" w:sz="4" w:space="0" w:color="auto"/>
              <w:right w:val="single" w:sz="4" w:space="0" w:color="auto"/>
            </w:tcBorders>
            <w:vAlign w:val="center"/>
          </w:tcPr>
          <w:p w14:paraId="204F248C" w14:textId="77777777" w:rsidR="006E0E41" w:rsidRPr="00D44A12" w:rsidRDefault="006E0E41"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1739E481" w14:textId="77777777" w:rsidR="006E0E41" w:rsidRPr="00D44A12" w:rsidRDefault="006E0E41"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22FFF3F2" w14:textId="77777777" w:rsidR="006E0E41" w:rsidRPr="00D44A12" w:rsidRDefault="006E0E41"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503E3E8A" w14:textId="77777777" w:rsidR="006E0E41" w:rsidRPr="00D44A12" w:rsidRDefault="006E0E41" w:rsidP="0060738E">
            <w:pPr>
              <w:pStyle w:val="Tabletext"/>
              <w:spacing w:before="40" w:after="40"/>
              <w:jc w:val="center"/>
              <w:rPr>
                <w:rFonts w:cs="Calibri"/>
                <w:color w:val="000000"/>
                <w:sz w:val="20"/>
                <w:lang w:eastAsia="zh-CN"/>
              </w:rPr>
            </w:pPr>
          </w:p>
        </w:tc>
      </w:tr>
      <w:tr w:rsidR="006E0E41" w:rsidRPr="00D44A12" w14:paraId="51A684C2"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27EC312C" w14:textId="77777777" w:rsidR="006E0E41" w:rsidRPr="00D44A12" w:rsidRDefault="006E0E41" w:rsidP="00560EE8">
            <w:pPr>
              <w:pStyle w:val="Tabletext"/>
              <w:spacing w:before="40" w:after="40"/>
              <w:rPr>
                <w:rFonts w:cs="Calibri"/>
                <w:color w:val="000000"/>
                <w:sz w:val="20"/>
                <w:lang w:eastAsia="zh-CN"/>
              </w:rPr>
            </w:pPr>
            <w:r w:rsidRPr="00D44A12">
              <w:rPr>
                <w:rFonts w:cs="Calibri"/>
                <w:color w:val="000000"/>
                <w:sz w:val="20"/>
                <w:lang w:eastAsia="zh-CN"/>
              </w:rPr>
              <w:t>FRANCE</w:t>
            </w:r>
          </w:p>
        </w:tc>
        <w:tc>
          <w:tcPr>
            <w:tcW w:w="2709" w:type="dxa"/>
            <w:tcBorders>
              <w:top w:val="single" w:sz="4" w:space="0" w:color="auto"/>
              <w:left w:val="nil"/>
              <w:bottom w:val="single" w:sz="4" w:space="0" w:color="auto"/>
              <w:right w:val="single" w:sz="4" w:space="0" w:color="auto"/>
            </w:tcBorders>
            <w:shd w:val="clear" w:color="000000" w:fill="FFFFFF"/>
          </w:tcPr>
          <w:p w14:paraId="2B273409" w14:textId="77777777" w:rsidR="006E0E41" w:rsidRPr="00D44A12" w:rsidRDefault="006E0E41" w:rsidP="00560EE8">
            <w:pPr>
              <w:pStyle w:val="Tabletext"/>
              <w:spacing w:before="40" w:after="40"/>
              <w:rPr>
                <w:rFonts w:cs="Calibri"/>
                <w:color w:val="000000"/>
                <w:sz w:val="20"/>
                <w:lang w:eastAsia="zh-CN"/>
              </w:rPr>
            </w:pPr>
            <w:r w:rsidRPr="00D44A12">
              <w:rPr>
                <w:rFonts w:cs="Calibri"/>
                <w:color w:val="000000"/>
                <w:sz w:val="20"/>
                <w:lang w:eastAsia="zh-CN"/>
              </w:rPr>
              <w:t>PMI Conseil</w:t>
            </w:r>
          </w:p>
        </w:tc>
        <w:tc>
          <w:tcPr>
            <w:tcW w:w="1985" w:type="dxa"/>
            <w:tcBorders>
              <w:top w:val="single" w:sz="4" w:space="0" w:color="auto"/>
              <w:left w:val="nil"/>
              <w:bottom w:val="single" w:sz="4" w:space="0" w:color="auto"/>
              <w:right w:val="single" w:sz="4" w:space="0" w:color="auto"/>
            </w:tcBorders>
            <w:shd w:val="clear" w:color="auto" w:fill="auto"/>
            <w:noWrap/>
          </w:tcPr>
          <w:p w14:paraId="1A0408F3" w14:textId="77777777" w:rsidR="006E0E41" w:rsidRPr="00D44A12" w:rsidRDefault="006E0E41" w:rsidP="00560EE8">
            <w:pPr>
              <w:pStyle w:val="Tabletext"/>
              <w:spacing w:before="40" w:after="40"/>
              <w:rPr>
                <w:rFonts w:cs="Calibri"/>
                <w:color w:val="000000"/>
                <w:sz w:val="20"/>
                <w:lang w:eastAsia="zh-CN"/>
              </w:rPr>
            </w:pPr>
            <w:r w:rsidRPr="00D44A12">
              <w:rPr>
                <w:rFonts w:cs="Calibri"/>
                <w:color w:val="000000"/>
                <w:sz w:val="20"/>
                <w:lang w:eastAsia="zh-CN"/>
              </w:rPr>
              <w:t>2018/</w:t>
            </w:r>
            <w:r w:rsidR="00221B6E" w:rsidRPr="00D44A12">
              <w:rPr>
                <w:rFonts w:cs="Calibri"/>
                <w:color w:val="000000"/>
                <w:sz w:val="20"/>
                <w:lang w:eastAsia="zh-CN"/>
              </w:rPr>
              <w:t>UIT-D</w:t>
            </w:r>
          </w:p>
        </w:tc>
        <w:tc>
          <w:tcPr>
            <w:tcW w:w="709" w:type="dxa"/>
            <w:tcBorders>
              <w:top w:val="single" w:sz="4" w:space="0" w:color="auto"/>
              <w:left w:val="nil"/>
              <w:bottom w:val="single" w:sz="4" w:space="0" w:color="auto"/>
              <w:right w:val="single" w:sz="4" w:space="0" w:color="auto"/>
            </w:tcBorders>
            <w:vAlign w:val="center"/>
          </w:tcPr>
          <w:p w14:paraId="27D8174A" w14:textId="77777777" w:rsidR="006E0E41" w:rsidRPr="00D44A12" w:rsidRDefault="006E0E41"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28023086" w14:textId="77777777" w:rsidR="006E0E41" w:rsidRPr="00D44A12" w:rsidRDefault="006E0E41"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770C58D2" w14:textId="77777777" w:rsidR="006E0E41" w:rsidRPr="00D44A12" w:rsidRDefault="006E0E41"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1545" w:type="dxa"/>
            <w:tcBorders>
              <w:top w:val="single" w:sz="4" w:space="0" w:color="auto"/>
              <w:left w:val="nil"/>
              <w:bottom w:val="single" w:sz="4" w:space="0" w:color="auto"/>
              <w:right w:val="single" w:sz="4" w:space="0" w:color="auto"/>
            </w:tcBorders>
            <w:vAlign w:val="center"/>
          </w:tcPr>
          <w:p w14:paraId="2FB86FD1" w14:textId="77777777" w:rsidR="006E0E41" w:rsidRPr="00D44A12" w:rsidRDefault="006E0E41" w:rsidP="0060738E">
            <w:pPr>
              <w:pStyle w:val="Tabletext"/>
              <w:spacing w:before="40" w:after="40"/>
              <w:jc w:val="center"/>
              <w:rPr>
                <w:rFonts w:cs="Calibri"/>
                <w:color w:val="000000"/>
                <w:sz w:val="20"/>
                <w:lang w:eastAsia="zh-CN"/>
              </w:rPr>
            </w:pPr>
          </w:p>
        </w:tc>
      </w:tr>
      <w:tr w:rsidR="006E0E41" w:rsidRPr="00D44A12" w14:paraId="648E5A76"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7C3FEC87" w14:textId="77777777" w:rsidR="006E0E41" w:rsidRPr="00D44A12" w:rsidRDefault="006E0E41" w:rsidP="00560EE8">
            <w:pPr>
              <w:pStyle w:val="Tabletext"/>
              <w:spacing w:before="40" w:after="40"/>
              <w:rPr>
                <w:rFonts w:cs="Calibri"/>
                <w:color w:val="000000"/>
                <w:sz w:val="20"/>
                <w:lang w:eastAsia="zh-CN"/>
              </w:rPr>
            </w:pPr>
            <w:r w:rsidRPr="00D44A12">
              <w:rPr>
                <w:rFonts w:cs="Calibri"/>
                <w:color w:val="000000"/>
                <w:sz w:val="20"/>
                <w:lang w:eastAsia="zh-CN"/>
              </w:rPr>
              <w:t>IND</w:t>
            </w:r>
            <w:r w:rsidR="00221B6E" w:rsidRPr="00D44A12">
              <w:rPr>
                <w:rFonts w:cs="Calibri"/>
                <w:color w:val="000000"/>
                <w:sz w:val="20"/>
                <w:lang w:eastAsia="zh-CN"/>
              </w:rPr>
              <w:t>E</w:t>
            </w:r>
          </w:p>
        </w:tc>
        <w:tc>
          <w:tcPr>
            <w:tcW w:w="2709" w:type="dxa"/>
            <w:tcBorders>
              <w:top w:val="single" w:sz="4" w:space="0" w:color="auto"/>
              <w:left w:val="nil"/>
              <w:bottom w:val="single" w:sz="4" w:space="0" w:color="auto"/>
              <w:right w:val="single" w:sz="4" w:space="0" w:color="auto"/>
            </w:tcBorders>
            <w:shd w:val="clear" w:color="000000" w:fill="FFFFFF"/>
          </w:tcPr>
          <w:p w14:paraId="3B61E005" w14:textId="77777777" w:rsidR="006E0E41" w:rsidRPr="00EF4A1F" w:rsidRDefault="006E0E41" w:rsidP="00560EE8">
            <w:pPr>
              <w:pStyle w:val="Tabletext"/>
              <w:spacing w:before="40" w:after="40"/>
              <w:rPr>
                <w:rFonts w:cs="Calibri"/>
                <w:color w:val="000000"/>
                <w:sz w:val="20"/>
                <w:lang w:val="en-GB" w:eastAsia="zh-CN"/>
              </w:rPr>
            </w:pPr>
            <w:r w:rsidRPr="00EF4A1F">
              <w:rPr>
                <w:rFonts w:cs="Calibri"/>
                <w:color w:val="000000"/>
                <w:sz w:val="20"/>
                <w:lang w:val="en-GB" w:eastAsia="zh-CN"/>
              </w:rPr>
              <w:t>HMR Institute of Technology &amp; Management</w:t>
            </w:r>
          </w:p>
        </w:tc>
        <w:tc>
          <w:tcPr>
            <w:tcW w:w="1985" w:type="dxa"/>
            <w:tcBorders>
              <w:top w:val="single" w:sz="4" w:space="0" w:color="auto"/>
              <w:left w:val="nil"/>
              <w:bottom w:val="single" w:sz="4" w:space="0" w:color="auto"/>
              <w:right w:val="single" w:sz="4" w:space="0" w:color="auto"/>
            </w:tcBorders>
            <w:shd w:val="clear" w:color="auto" w:fill="auto"/>
            <w:noWrap/>
          </w:tcPr>
          <w:p w14:paraId="34DBE5BA" w14:textId="77777777" w:rsidR="006E0E41" w:rsidRPr="00D44A12" w:rsidRDefault="006E0E41" w:rsidP="00560EE8">
            <w:pPr>
              <w:pStyle w:val="Tabletext"/>
              <w:spacing w:before="40" w:after="40"/>
              <w:rPr>
                <w:rFonts w:cs="Calibri"/>
                <w:color w:val="000000"/>
                <w:sz w:val="20"/>
                <w:lang w:eastAsia="zh-CN"/>
              </w:rPr>
            </w:pPr>
            <w:r w:rsidRPr="00D44A12">
              <w:rPr>
                <w:rFonts w:cs="Calibri"/>
                <w:color w:val="000000"/>
                <w:sz w:val="20"/>
                <w:lang w:eastAsia="zh-CN"/>
              </w:rPr>
              <w:t>2018/</w:t>
            </w:r>
            <w:r w:rsidR="00221B6E" w:rsidRPr="00D44A12">
              <w:rPr>
                <w:sz w:val="20"/>
                <w:lang w:eastAsia="zh-CN"/>
              </w:rPr>
              <w:t>Établissements universitaires</w:t>
            </w:r>
          </w:p>
        </w:tc>
        <w:tc>
          <w:tcPr>
            <w:tcW w:w="709" w:type="dxa"/>
            <w:tcBorders>
              <w:top w:val="single" w:sz="4" w:space="0" w:color="auto"/>
              <w:left w:val="nil"/>
              <w:bottom w:val="single" w:sz="4" w:space="0" w:color="auto"/>
              <w:right w:val="single" w:sz="4" w:space="0" w:color="auto"/>
            </w:tcBorders>
            <w:vAlign w:val="center"/>
          </w:tcPr>
          <w:p w14:paraId="7308D61A" w14:textId="77777777" w:rsidR="006E0E41" w:rsidRPr="00D44A12" w:rsidRDefault="006E0E41"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350A92DD" w14:textId="77777777" w:rsidR="006E0E41" w:rsidRPr="00D44A12" w:rsidRDefault="006E0E41"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71B10605" w14:textId="77777777" w:rsidR="006E0E41" w:rsidRPr="00D44A12" w:rsidRDefault="006E0E41"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2F40D093" w14:textId="77777777" w:rsidR="006E0E41" w:rsidRPr="00D44A12" w:rsidRDefault="006E0E41"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r>
      <w:tr w:rsidR="006E0E41" w:rsidRPr="00D44A12" w14:paraId="4D6969E0"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44315083" w14:textId="77777777" w:rsidR="006E0E41" w:rsidRPr="00D44A12" w:rsidRDefault="006E0E41" w:rsidP="00560EE8">
            <w:pPr>
              <w:pStyle w:val="Tabletext"/>
              <w:spacing w:before="40" w:after="40"/>
              <w:rPr>
                <w:rFonts w:cs="Calibri"/>
                <w:color w:val="000000"/>
                <w:sz w:val="20"/>
                <w:lang w:eastAsia="zh-CN"/>
              </w:rPr>
            </w:pPr>
          </w:p>
        </w:tc>
        <w:tc>
          <w:tcPr>
            <w:tcW w:w="2709" w:type="dxa"/>
            <w:tcBorders>
              <w:top w:val="single" w:sz="4" w:space="0" w:color="auto"/>
              <w:left w:val="nil"/>
              <w:bottom w:val="single" w:sz="4" w:space="0" w:color="auto"/>
              <w:right w:val="single" w:sz="4" w:space="0" w:color="auto"/>
            </w:tcBorders>
            <w:shd w:val="clear" w:color="000000" w:fill="FFFFFF"/>
          </w:tcPr>
          <w:p w14:paraId="32EA7DCB" w14:textId="77777777" w:rsidR="006E0E41" w:rsidRPr="00D44A12" w:rsidRDefault="006E0E41" w:rsidP="00560EE8">
            <w:pPr>
              <w:pStyle w:val="Tabletext"/>
              <w:spacing w:before="40" w:after="40"/>
              <w:rPr>
                <w:rFonts w:cs="Calibri"/>
                <w:color w:val="000000"/>
                <w:sz w:val="20"/>
                <w:lang w:eastAsia="zh-CN"/>
              </w:rPr>
            </w:pPr>
            <w:r w:rsidRPr="00D44A12">
              <w:rPr>
                <w:rFonts w:cs="Calibri"/>
                <w:color w:val="000000"/>
                <w:sz w:val="20"/>
                <w:lang w:eastAsia="zh-CN"/>
              </w:rPr>
              <w:t xml:space="preserve">MIT World </w:t>
            </w:r>
            <w:proofErr w:type="spellStart"/>
            <w:r w:rsidRPr="00D44A12">
              <w:rPr>
                <w:rFonts w:cs="Calibri"/>
                <w:color w:val="000000"/>
                <w:sz w:val="20"/>
                <w:lang w:eastAsia="zh-CN"/>
              </w:rPr>
              <w:t>Peace</w:t>
            </w:r>
            <w:proofErr w:type="spellEnd"/>
            <w:r w:rsidRPr="00D44A12">
              <w:rPr>
                <w:rFonts w:cs="Calibri"/>
                <w:color w:val="000000"/>
                <w:sz w:val="20"/>
                <w:lang w:eastAsia="zh-CN"/>
              </w:rPr>
              <w:t xml:space="preserve"> </w:t>
            </w:r>
            <w:proofErr w:type="spellStart"/>
            <w:r w:rsidRPr="00D44A12">
              <w:rPr>
                <w:rFonts w:cs="Calibri"/>
                <w:color w:val="000000"/>
                <w:sz w:val="20"/>
                <w:lang w:eastAsia="zh-CN"/>
              </w:rPr>
              <w:t>University</w:t>
            </w:r>
            <w:proofErr w:type="spellEnd"/>
          </w:p>
        </w:tc>
        <w:tc>
          <w:tcPr>
            <w:tcW w:w="1985" w:type="dxa"/>
            <w:tcBorders>
              <w:top w:val="single" w:sz="4" w:space="0" w:color="auto"/>
              <w:left w:val="nil"/>
              <w:bottom w:val="single" w:sz="4" w:space="0" w:color="auto"/>
              <w:right w:val="single" w:sz="4" w:space="0" w:color="auto"/>
            </w:tcBorders>
            <w:shd w:val="clear" w:color="auto" w:fill="auto"/>
            <w:noWrap/>
          </w:tcPr>
          <w:p w14:paraId="68E8A42B" w14:textId="77777777" w:rsidR="006E0E41" w:rsidRPr="00D44A12" w:rsidRDefault="006E0E41" w:rsidP="00560EE8">
            <w:pPr>
              <w:pStyle w:val="Tabletext"/>
              <w:spacing w:before="40" w:after="40"/>
              <w:rPr>
                <w:rFonts w:cs="Calibri"/>
                <w:color w:val="000000"/>
                <w:sz w:val="20"/>
                <w:lang w:eastAsia="zh-CN"/>
              </w:rPr>
            </w:pPr>
            <w:r w:rsidRPr="00D44A12">
              <w:rPr>
                <w:rFonts w:cs="Calibri"/>
                <w:color w:val="000000"/>
                <w:sz w:val="20"/>
                <w:lang w:eastAsia="zh-CN"/>
              </w:rPr>
              <w:t>2018/</w:t>
            </w:r>
            <w:r w:rsidR="00221B6E" w:rsidRPr="00D44A12">
              <w:rPr>
                <w:sz w:val="20"/>
                <w:lang w:eastAsia="zh-CN"/>
              </w:rPr>
              <w:t>Établissements universitaires</w:t>
            </w:r>
          </w:p>
        </w:tc>
        <w:tc>
          <w:tcPr>
            <w:tcW w:w="709" w:type="dxa"/>
            <w:tcBorders>
              <w:top w:val="single" w:sz="4" w:space="0" w:color="auto"/>
              <w:left w:val="nil"/>
              <w:bottom w:val="single" w:sz="4" w:space="0" w:color="auto"/>
              <w:right w:val="single" w:sz="4" w:space="0" w:color="auto"/>
            </w:tcBorders>
            <w:vAlign w:val="center"/>
          </w:tcPr>
          <w:p w14:paraId="3FEEF424" w14:textId="77777777" w:rsidR="006E0E41" w:rsidRPr="00D44A12" w:rsidRDefault="006E0E41"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4D18DFD8" w14:textId="77777777" w:rsidR="006E0E41" w:rsidRPr="00D44A12" w:rsidRDefault="006E0E41"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4E504858" w14:textId="77777777" w:rsidR="006E0E41" w:rsidRPr="00D44A12" w:rsidRDefault="006E0E41"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78F440DD" w14:textId="77777777" w:rsidR="006E0E41" w:rsidRPr="00D44A12" w:rsidRDefault="006E0E41"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r>
      <w:tr w:rsidR="00221B6E" w:rsidRPr="00D44A12" w14:paraId="31FC311F"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600F9F7F"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ITALIE</w:t>
            </w:r>
          </w:p>
        </w:tc>
        <w:tc>
          <w:tcPr>
            <w:tcW w:w="2709" w:type="dxa"/>
            <w:tcBorders>
              <w:top w:val="single" w:sz="4" w:space="0" w:color="auto"/>
              <w:left w:val="nil"/>
              <w:bottom w:val="single" w:sz="4" w:space="0" w:color="auto"/>
              <w:right w:val="single" w:sz="4" w:space="0" w:color="auto"/>
            </w:tcBorders>
            <w:shd w:val="clear" w:color="000000" w:fill="FFFFFF"/>
          </w:tcPr>
          <w:p w14:paraId="5266C545"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CommProve</w:t>
            </w:r>
            <w:proofErr w:type="spellEnd"/>
            <w:r w:rsidRPr="00D44A12">
              <w:rPr>
                <w:rFonts w:cs="Calibri"/>
                <w:color w:val="000000"/>
                <w:sz w:val="20"/>
                <w:lang w:eastAsia="zh-CN"/>
              </w:rPr>
              <w:t xml:space="preserve"> Technologies </w:t>
            </w:r>
            <w:proofErr w:type="spellStart"/>
            <w:r w:rsidRPr="00D44A12">
              <w:rPr>
                <w:rFonts w:cs="Calibri"/>
                <w:color w:val="000000"/>
                <w:sz w:val="20"/>
                <w:lang w:eastAsia="zh-CN"/>
              </w:rPr>
              <w:t>SpA</w:t>
            </w:r>
            <w:proofErr w:type="spellEnd"/>
          </w:p>
        </w:tc>
        <w:tc>
          <w:tcPr>
            <w:tcW w:w="1985" w:type="dxa"/>
            <w:tcBorders>
              <w:top w:val="single" w:sz="4" w:space="0" w:color="auto"/>
              <w:left w:val="nil"/>
              <w:bottom w:val="single" w:sz="4" w:space="0" w:color="auto"/>
              <w:right w:val="single" w:sz="4" w:space="0" w:color="auto"/>
            </w:tcBorders>
            <w:shd w:val="clear" w:color="auto" w:fill="auto"/>
            <w:noWrap/>
          </w:tcPr>
          <w:p w14:paraId="4BAAC4C1"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2018/Assoc</w:t>
            </w:r>
            <w:r w:rsidR="00AF74F7" w:rsidRPr="00D44A12">
              <w:rPr>
                <w:rFonts w:cs="Calibri"/>
                <w:color w:val="000000"/>
                <w:sz w:val="20"/>
                <w:lang w:eastAsia="zh-CN"/>
              </w:rPr>
              <w:t>iés</w:t>
            </w:r>
            <w:r w:rsidRPr="00D44A12">
              <w:rPr>
                <w:rFonts w:cs="Calibri"/>
                <w:color w:val="000000"/>
                <w:sz w:val="20"/>
                <w:lang w:eastAsia="zh-CN"/>
              </w:rPr>
              <w:t xml:space="preserve"> UIT-T</w:t>
            </w:r>
          </w:p>
        </w:tc>
        <w:tc>
          <w:tcPr>
            <w:tcW w:w="709" w:type="dxa"/>
            <w:tcBorders>
              <w:top w:val="single" w:sz="4" w:space="0" w:color="auto"/>
              <w:left w:val="nil"/>
              <w:bottom w:val="single" w:sz="4" w:space="0" w:color="auto"/>
              <w:right w:val="single" w:sz="4" w:space="0" w:color="auto"/>
            </w:tcBorders>
            <w:vAlign w:val="center"/>
          </w:tcPr>
          <w:p w14:paraId="714AEE09"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629ACBE0"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678C2CE9"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07A3CD00"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495FA4D2"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32F54DFA"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LUXEMBOURG</w:t>
            </w:r>
          </w:p>
        </w:tc>
        <w:tc>
          <w:tcPr>
            <w:tcW w:w="2709" w:type="dxa"/>
            <w:tcBorders>
              <w:top w:val="single" w:sz="4" w:space="0" w:color="auto"/>
              <w:left w:val="nil"/>
              <w:bottom w:val="single" w:sz="4" w:space="0" w:color="auto"/>
              <w:right w:val="single" w:sz="4" w:space="0" w:color="auto"/>
            </w:tcBorders>
            <w:shd w:val="clear" w:color="000000" w:fill="FFFFFF"/>
          </w:tcPr>
          <w:p w14:paraId="07BD2FE3"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xml:space="preserve">Luxembourg </w:t>
            </w:r>
            <w:proofErr w:type="spellStart"/>
            <w:r w:rsidRPr="00D44A12">
              <w:rPr>
                <w:rFonts w:cs="Calibri"/>
                <w:color w:val="000000"/>
                <w:sz w:val="20"/>
                <w:lang w:eastAsia="zh-CN"/>
              </w:rPr>
              <w:t>Space</w:t>
            </w:r>
            <w:proofErr w:type="spellEnd"/>
            <w:r w:rsidRPr="00D44A12">
              <w:rPr>
                <w:rFonts w:cs="Calibri"/>
                <w:color w:val="000000"/>
                <w:sz w:val="20"/>
                <w:lang w:eastAsia="zh-CN"/>
              </w:rPr>
              <w:t xml:space="preserve"> </w:t>
            </w:r>
            <w:proofErr w:type="spellStart"/>
            <w:r w:rsidRPr="00D44A12">
              <w:rPr>
                <w:rFonts w:cs="Calibri"/>
                <w:color w:val="000000"/>
                <w:sz w:val="20"/>
                <w:lang w:eastAsia="zh-CN"/>
              </w:rPr>
              <w:t>Telecommunication</w:t>
            </w:r>
            <w:proofErr w:type="spellEnd"/>
            <w:r w:rsidRPr="00D44A12">
              <w:rPr>
                <w:rFonts w:cs="Calibri"/>
                <w:color w:val="000000"/>
                <w:sz w:val="20"/>
                <w:lang w:eastAsia="zh-CN"/>
              </w:rPr>
              <w:t xml:space="preserve"> S.A.</w:t>
            </w:r>
          </w:p>
        </w:tc>
        <w:tc>
          <w:tcPr>
            <w:tcW w:w="1985" w:type="dxa"/>
            <w:tcBorders>
              <w:top w:val="single" w:sz="4" w:space="0" w:color="auto"/>
              <w:left w:val="nil"/>
              <w:bottom w:val="single" w:sz="4" w:space="0" w:color="auto"/>
              <w:right w:val="single" w:sz="4" w:space="0" w:color="auto"/>
            </w:tcBorders>
            <w:shd w:val="clear" w:color="auto" w:fill="auto"/>
            <w:noWrap/>
          </w:tcPr>
          <w:p w14:paraId="7FE2D68D"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2018/UIT-R</w:t>
            </w:r>
          </w:p>
        </w:tc>
        <w:tc>
          <w:tcPr>
            <w:tcW w:w="709" w:type="dxa"/>
            <w:tcBorders>
              <w:top w:val="single" w:sz="4" w:space="0" w:color="auto"/>
              <w:left w:val="nil"/>
              <w:bottom w:val="single" w:sz="4" w:space="0" w:color="auto"/>
              <w:right w:val="single" w:sz="4" w:space="0" w:color="auto"/>
            </w:tcBorders>
            <w:vAlign w:val="center"/>
          </w:tcPr>
          <w:p w14:paraId="3C4DDD2D"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8" w:type="dxa"/>
            <w:tcBorders>
              <w:top w:val="single" w:sz="4" w:space="0" w:color="auto"/>
              <w:left w:val="nil"/>
              <w:bottom w:val="single" w:sz="4" w:space="0" w:color="auto"/>
              <w:right w:val="single" w:sz="4" w:space="0" w:color="auto"/>
            </w:tcBorders>
            <w:vAlign w:val="center"/>
          </w:tcPr>
          <w:p w14:paraId="122AEE3A" w14:textId="77777777" w:rsidR="00221B6E" w:rsidRPr="00D44A12" w:rsidRDefault="00221B6E"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1401E99C"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286BC48A"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7249B47D"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7542D916"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PANAMA</w:t>
            </w:r>
          </w:p>
        </w:tc>
        <w:tc>
          <w:tcPr>
            <w:tcW w:w="2709" w:type="dxa"/>
            <w:tcBorders>
              <w:top w:val="single" w:sz="4" w:space="0" w:color="auto"/>
              <w:left w:val="nil"/>
              <w:bottom w:val="single" w:sz="4" w:space="0" w:color="auto"/>
              <w:right w:val="single" w:sz="4" w:space="0" w:color="auto"/>
            </w:tcBorders>
            <w:shd w:val="clear" w:color="000000" w:fill="FFFFFF"/>
          </w:tcPr>
          <w:p w14:paraId="208F282A"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Cable</w:t>
            </w:r>
            <w:proofErr w:type="spellEnd"/>
            <w:r w:rsidRPr="00D44A12">
              <w:rPr>
                <w:rFonts w:cs="Calibri"/>
                <w:color w:val="000000"/>
                <w:sz w:val="20"/>
                <w:lang w:eastAsia="zh-CN"/>
              </w:rPr>
              <w:t xml:space="preserve"> &amp; Wireless Panamá S.A.</w:t>
            </w:r>
          </w:p>
        </w:tc>
        <w:tc>
          <w:tcPr>
            <w:tcW w:w="1985" w:type="dxa"/>
            <w:tcBorders>
              <w:top w:val="single" w:sz="4" w:space="0" w:color="auto"/>
              <w:left w:val="nil"/>
              <w:bottom w:val="single" w:sz="4" w:space="0" w:color="auto"/>
              <w:right w:val="single" w:sz="4" w:space="0" w:color="auto"/>
            </w:tcBorders>
            <w:shd w:val="clear" w:color="auto" w:fill="auto"/>
            <w:noWrap/>
          </w:tcPr>
          <w:p w14:paraId="2F04A0CF"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2018/UIT-D</w:t>
            </w:r>
          </w:p>
        </w:tc>
        <w:tc>
          <w:tcPr>
            <w:tcW w:w="709" w:type="dxa"/>
            <w:tcBorders>
              <w:top w:val="single" w:sz="4" w:space="0" w:color="auto"/>
              <w:left w:val="nil"/>
              <w:bottom w:val="single" w:sz="4" w:space="0" w:color="auto"/>
              <w:right w:val="single" w:sz="4" w:space="0" w:color="auto"/>
            </w:tcBorders>
            <w:vAlign w:val="center"/>
          </w:tcPr>
          <w:p w14:paraId="5F99FEF6"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31D7146F" w14:textId="77777777" w:rsidR="00221B6E" w:rsidRPr="00D44A12" w:rsidRDefault="00221B6E"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2337C3D6"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1545" w:type="dxa"/>
            <w:tcBorders>
              <w:top w:val="single" w:sz="4" w:space="0" w:color="auto"/>
              <w:left w:val="nil"/>
              <w:bottom w:val="single" w:sz="4" w:space="0" w:color="auto"/>
              <w:right w:val="single" w:sz="4" w:space="0" w:color="auto"/>
            </w:tcBorders>
            <w:vAlign w:val="center"/>
          </w:tcPr>
          <w:p w14:paraId="2D60B698"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54C1C384"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109E265C"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SÉNÉGAL</w:t>
            </w:r>
          </w:p>
        </w:tc>
        <w:tc>
          <w:tcPr>
            <w:tcW w:w="2709" w:type="dxa"/>
            <w:tcBorders>
              <w:top w:val="single" w:sz="4" w:space="0" w:color="auto"/>
              <w:left w:val="nil"/>
              <w:bottom w:val="single" w:sz="4" w:space="0" w:color="auto"/>
              <w:right w:val="single" w:sz="4" w:space="0" w:color="auto"/>
            </w:tcBorders>
            <w:shd w:val="clear" w:color="000000" w:fill="FFFFFF"/>
          </w:tcPr>
          <w:p w14:paraId="1E325025"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Expresso Telecom</w:t>
            </w:r>
          </w:p>
        </w:tc>
        <w:tc>
          <w:tcPr>
            <w:tcW w:w="1985" w:type="dxa"/>
            <w:tcBorders>
              <w:top w:val="single" w:sz="4" w:space="0" w:color="auto"/>
              <w:left w:val="nil"/>
              <w:bottom w:val="single" w:sz="4" w:space="0" w:color="auto"/>
              <w:right w:val="single" w:sz="4" w:space="0" w:color="auto"/>
            </w:tcBorders>
            <w:shd w:val="clear" w:color="auto" w:fill="auto"/>
            <w:noWrap/>
          </w:tcPr>
          <w:p w14:paraId="0B39622D"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2018/UIT-D</w:t>
            </w:r>
          </w:p>
        </w:tc>
        <w:tc>
          <w:tcPr>
            <w:tcW w:w="709" w:type="dxa"/>
            <w:tcBorders>
              <w:top w:val="single" w:sz="4" w:space="0" w:color="auto"/>
              <w:left w:val="nil"/>
              <w:bottom w:val="single" w:sz="4" w:space="0" w:color="auto"/>
              <w:right w:val="single" w:sz="4" w:space="0" w:color="auto"/>
            </w:tcBorders>
            <w:vAlign w:val="center"/>
          </w:tcPr>
          <w:p w14:paraId="33781DCF"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221C504A" w14:textId="77777777" w:rsidR="00221B6E" w:rsidRPr="00D44A12" w:rsidRDefault="00221B6E"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3340E24D"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1545" w:type="dxa"/>
            <w:tcBorders>
              <w:top w:val="single" w:sz="4" w:space="0" w:color="auto"/>
              <w:left w:val="nil"/>
              <w:bottom w:val="single" w:sz="4" w:space="0" w:color="auto"/>
              <w:right w:val="single" w:sz="4" w:space="0" w:color="auto"/>
            </w:tcBorders>
            <w:vAlign w:val="center"/>
          </w:tcPr>
          <w:p w14:paraId="5B367F62" w14:textId="77777777" w:rsidR="00221B6E" w:rsidRPr="00D44A12" w:rsidRDefault="00221B6E" w:rsidP="0060738E">
            <w:pPr>
              <w:pStyle w:val="Tabletext"/>
              <w:spacing w:before="40" w:after="40"/>
              <w:jc w:val="center"/>
              <w:rPr>
                <w:rFonts w:cs="Calibri"/>
                <w:color w:val="000000"/>
                <w:sz w:val="20"/>
                <w:lang w:eastAsia="zh-CN"/>
              </w:rPr>
            </w:pPr>
          </w:p>
        </w:tc>
      </w:tr>
      <w:tr w:rsidR="00F62A08" w:rsidRPr="00D44A12" w14:paraId="7347008C"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385D5D88" w14:textId="6F1BBF2D" w:rsidR="00F62A08" w:rsidRPr="00D44A12" w:rsidRDefault="00F62A08" w:rsidP="00560EE8">
            <w:pPr>
              <w:pStyle w:val="Tabletext"/>
              <w:spacing w:before="40" w:after="40"/>
              <w:rPr>
                <w:rFonts w:cs="Calibri"/>
                <w:color w:val="000000"/>
                <w:sz w:val="20"/>
                <w:lang w:eastAsia="zh-CN"/>
              </w:rPr>
            </w:pPr>
          </w:p>
        </w:tc>
        <w:tc>
          <w:tcPr>
            <w:tcW w:w="2709" w:type="dxa"/>
            <w:tcBorders>
              <w:top w:val="single" w:sz="4" w:space="0" w:color="auto"/>
              <w:left w:val="nil"/>
              <w:bottom w:val="single" w:sz="4" w:space="0" w:color="auto"/>
              <w:right w:val="single" w:sz="4" w:space="0" w:color="auto"/>
            </w:tcBorders>
            <w:shd w:val="clear" w:color="000000" w:fill="FFFFFF"/>
          </w:tcPr>
          <w:p w14:paraId="70D9FFAC" w14:textId="7635D0AC" w:rsidR="00F62A08" w:rsidRPr="00D44A12" w:rsidRDefault="00F62A08" w:rsidP="00560EE8">
            <w:pPr>
              <w:pStyle w:val="Tabletext"/>
              <w:spacing w:before="40" w:after="40"/>
              <w:rPr>
                <w:rFonts w:cs="Calibri"/>
                <w:color w:val="000000"/>
                <w:sz w:val="20"/>
                <w:lang w:eastAsia="zh-CN"/>
              </w:rPr>
            </w:pPr>
            <w:r w:rsidRPr="00D44A12">
              <w:rPr>
                <w:rFonts w:cs="Calibri"/>
                <w:color w:val="000000"/>
                <w:sz w:val="20"/>
                <w:lang w:eastAsia="zh-CN"/>
              </w:rPr>
              <w:t>Initiative Africaine des Technologies Avancées</w:t>
            </w:r>
          </w:p>
        </w:tc>
        <w:tc>
          <w:tcPr>
            <w:tcW w:w="1985" w:type="dxa"/>
            <w:tcBorders>
              <w:top w:val="single" w:sz="4" w:space="0" w:color="auto"/>
              <w:left w:val="nil"/>
              <w:bottom w:val="single" w:sz="4" w:space="0" w:color="auto"/>
              <w:right w:val="single" w:sz="4" w:space="0" w:color="auto"/>
            </w:tcBorders>
            <w:shd w:val="clear" w:color="auto" w:fill="auto"/>
            <w:noWrap/>
          </w:tcPr>
          <w:p w14:paraId="76325E72" w14:textId="617555C7" w:rsidR="00F62A08" w:rsidRPr="00D44A12" w:rsidRDefault="00F62A08" w:rsidP="00560EE8">
            <w:pPr>
              <w:pStyle w:val="Tabletext"/>
              <w:spacing w:before="40" w:after="40"/>
              <w:rPr>
                <w:rFonts w:cs="Calibri"/>
                <w:color w:val="000000"/>
                <w:sz w:val="20"/>
                <w:lang w:eastAsia="zh-CN"/>
              </w:rPr>
            </w:pPr>
            <w:r w:rsidRPr="00D44A12">
              <w:rPr>
                <w:rFonts w:cs="Calibri"/>
                <w:color w:val="000000"/>
                <w:sz w:val="20"/>
                <w:lang w:eastAsia="zh-CN"/>
              </w:rPr>
              <w:t>2018/UIT-D</w:t>
            </w:r>
          </w:p>
        </w:tc>
        <w:tc>
          <w:tcPr>
            <w:tcW w:w="709" w:type="dxa"/>
            <w:tcBorders>
              <w:top w:val="single" w:sz="4" w:space="0" w:color="auto"/>
              <w:left w:val="nil"/>
              <w:bottom w:val="single" w:sz="4" w:space="0" w:color="auto"/>
              <w:right w:val="single" w:sz="4" w:space="0" w:color="auto"/>
            </w:tcBorders>
            <w:vAlign w:val="center"/>
          </w:tcPr>
          <w:p w14:paraId="055E2A16" w14:textId="77777777" w:rsidR="00F62A08" w:rsidRPr="00D44A12" w:rsidRDefault="00F62A08"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08814C69" w14:textId="77777777" w:rsidR="00F62A08" w:rsidRPr="00D44A12" w:rsidRDefault="00F62A08"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635D1762" w14:textId="6B5B86B2" w:rsidR="00F62A08" w:rsidRPr="00D44A12" w:rsidRDefault="00F62A08"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1545" w:type="dxa"/>
            <w:tcBorders>
              <w:top w:val="single" w:sz="4" w:space="0" w:color="auto"/>
              <w:left w:val="nil"/>
              <w:bottom w:val="single" w:sz="4" w:space="0" w:color="auto"/>
              <w:right w:val="single" w:sz="4" w:space="0" w:color="auto"/>
            </w:tcBorders>
            <w:vAlign w:val="center"/>
          </w:tcPr>
          <w:p w14:paraId="0556F022" w14:textId="77777777" w:rsidR="00F62A08" w:rsidRPr="00D44A12" w:rsidRDefault="00F62A08" w:rsidP="0060738E">
            <w:pPr>
              <w:pStyle w:val="Tabletext"/>
              <w:spacing w:before="40" w:after="40"/>
              <w:jc w:val="center"/>
              <w:rPr>
                <w:rFonts w:cs="Calibri"/>
                <w:color w:val="000000"/>
                <w:sz w:val="20"/>
                <w:lang w:eastAsia="zh-CN"/>
              </w:rPr>
            </w:pPr>
          </w:p>
        </w:tc>
      </w:tr>
      <w:tr w:rsidR="00221B6E" w:rsidRPr="00D44A12" w14:paraId="1765093A"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287694E4"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RÉPUBLIQUE SUDAFRICAINE</w:t>
            </w:r>
          </w:p>
        </w:tc>
        <w:tc>
          <w:tcPr>
            <w:tcW w:w="2709" w:type="dxa"/>
            <w:tcBorders>
              <w:top w:val="single" w:sz="4" w:space="0" w:color="auto"/>
              <w:left w:val="nil"/>
              <w:bottom w:val="single" w:sz="4" w:space="0" w:color="auto"/>
              <w:right w:val="single" w:sz="4" w:space="0" w:color="auto"/>
            </w:tcBorders>
            <w:shd w:val="clear" w:color="000000" w:fill="FFFFFF"/>
          </w:tcPr>
          <w:p w14:paraId="683AC4EB"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Vodacom</w:t>
            </w:r>
            <w:proofErr w:type="spellEnd"/>
            <w:r w:rsidRPr="00D44A12">
              <w:rPr>
                <w:rFonts w:cs="Calibri"/>
                <w:color w:val="000000"/>
                <w:sz w:val="20"/>
                <w:lang w:eastAsia="zh-CN"/>
              </w:rPr>
              <w:t xml:space="preserve"> SA (</w:t>
            </w:r>
            <w:proofErr w:type="spellStart"/>
            <w:r w:rsidRPr="00D44A12">
              <w:rPr>
                <w:rFonts w:cs="Calibri"/>
                <w:color w:val="000000"/>
                <w:sz w:val="20"/>
                <w:lang w:eastAsia="zh-CN"/>
              </w:rPr>
              <w:t>Pty</w:t>
            </w:r>
            <w:proofErr w:type="spellEnd"/>
            <w:r w:rsidRPr="00D44A12">
              <w:rPr>
                <w:rFonts w:cs="Calibri"/>
                <w:color w:val="000000"/>
                <w:sz w:val="20"/>
                <w:lang w:eastAsia="zh-CN"/>
              </w:rPr>
              <w:t>) Limited</w:t>
            </w:r>
          </w:p>
        </w:tc>
        <w:tc>
          <w:tcPr>
            <w:tcW w:w="1985" w:type="dxa"/>
            <w:tcBorders>
              <w:top w:val="single" w:sz="4" w:space="0" w:color="auto"/>
              <w:left w:val="nil"/>
              <w:bottom w:val="single" w:sz="4" w:space="0" w:color="auto"/>
              <w:right w:val="single" w:sz="4" w:space="0" w:color="auto"/>
            </w:tcBorders>
            <w:shd w:val="clear" w:color="auto" w:fill="auto"/>
            <w:noWrap/>
          </w:tcPr>
          <w:p w14:paraId="31A16043"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2018/UIT-R &amp; UIT-T</w:t>
            </w:r>
          </w:p>
        </w:tc>
        <w:tc>
          <w:tcPr>
            <w:tcW w:w="709" w:type="dxa"/>
            <w:tcBorders>
              <w:top w:val="single" w:sz="4" w:space="0" w:color="auto"/>
              <w:left w:val="nil"/>
              <w:bottom w:val="single" w:sz="4" w:space="0" w:color="auto"/>
              <w:right w:val="single" w:sz="4" w:space="0" w:color="auto"/>
            </w:tcBorders>
            <w:vAlign w:val="center"/>
          </w:tcPr>
          <w:p w14:paraId="16F6AB9B"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8" w:type="dxa"/>
            <w:tcBorders>
              <w:top w:val="single" w:sz="4" w:space="0" w:color="auto"/>
              <w:left w:val="nil"/>
              <w:bottom w:val="single" w:sz="4" w:space="0" w:color="auto"/>
              <w:right w:val="single" w:sz="4" w:space="0" w:color="auto"/>
            </w:tcBorders>
            <w:vAlign w:val="center"/>
          </w:tcPr>
          <w:p w14:paraId="102214CE"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0684DEDB"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32663DFE"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04EAC45A"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1A1FA248"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SUISSE</w:t>
            </w:r>
          </w:p>
        </w:tc>
        <w:tc>
          <w:tcPr>
            <w:tcW w:w="2709" w:type="dxa"/>
            <w:tcBorders>
              <w:top w:val="single" w:sz="4" w:space="0" w:color="auto"/>
              <w:left w:val="nil"/>
              <w:bottom w:val="single" w:sz="4" w:space="0" w:color="auto"/>
              <w:right w:val="single" w:sz="4" w:space="0" w:color="auto"/>
            </w:tcBorders>
            <w:shd w:val="clear" w:color="000000" w:fill="FFFFFF"/>
          </w:tcPr>
          <w:p w14:paraId="4AA15E13" w14:textId="2B4BA7A6"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Ascom</w:t>
            </w:r>
            <w:proofErr w:type="spellEnd"/>
            <w:r w:rsidRPr="00D44A12">
              <w:rPr>
                <w:rFonts w:cs="Calibri"/>
                <w:color w:val="000000"/>
                <w:sz w:val="20"/>
                <w:lang w:eastAsia="zh-CN"/>
              </w:rPr>
              <w:t xml:space="preserve"> (</w:t>
            </w:r>
            <w:r w:rsidR="001D2CDD" w:rsidRPr="00D44A12">
              <w:rPr>
                <w:rFonts w:cs="Calibri"/>
                <w:color w:val="000000"/>
                <w:sz w:val="20"/>
                <w:lang w:eastAsia="zh-CN"/>
              </w:rPr>
              <w:t>Suisse</w:t>
            </w:r>
            <w:r w:rsidRPr="00D44A12">
              <w:rPr>
                <w:rFonts w:cs="Calibri"/>
                <w:color w:val="000000"/>
                <w:sz w:val="20"/>
                <w:lang w:eastAsia="zh-CN"/>
              </w:rPr>
              <w:t>) Ltd.</w:t>
            </w:r>
          </w:p>
        </w:tc>
        <w:tc>
          <w:tcPr>
            <w:tcW w:w="1985" w:type="dxa"/>
            <w:tcBorders>
              <w:top w:val="single" w:sz="4" w:space="0" w:color="auto"/>
              <w:left w:val="nil"/>
              <w:bottom w:val="single" w:sz="4" w:space="0" w:color="auto"/>
              <w:right w:val="single" w:sz="4" w:space="0" w:color="auto"/>
            </w:tcBorders>
            <w:shd w:val="clear" w:color="auto" w:fill="auto"/>
            <w:noWrap/>
          </w:tcPr>
          <w:p w14:paraId="2BA2E867" w14:textId="77777777" w:rsidR="00221B6E" w:rsidRPr="00D44A12" w:rsidRDefault="00AF74F7" w:rsidP="00560EE8">
            <w:pPr>
              <w:pStyle w:val="Tabletext"/>
              <w:spacing w:before="40" w:after="40"/>
              <w:rPr>
                <w:rFonts w:cs="Calibri"/>
                <w:color w:val="000000"/>
                <w:sz w:val="20"/>
                <w:lang w:eastAsia="zh-CN"/>
              </w:rPr>
            </w:pPr>
            <w:r w:rsidRPr="00D44A12">
              <w:rPr>
                <w:rFonts w:cs="Calibri"/>
                <w:color w:val="000000"/>
                <w:sz w:val="20"/>
                <w:lang w:eastAsia="zh-CN"/>
              </w:rPr>
              <w:t>2018/Associés</w:t>
            </w:r>
            <w:r w:rsidR="00221B6E" w:rsidRPr="00D44A12">
              <w:rPr>
                <w:rFonts w:cs="Calibri"/>
                <w:color w:val="000000"/>
                <w:sz w:val="20"/>
                <w:lang w:eastAsia="zh-CN"/>
              </w:rPr>
              <w:t xml:space="preserve"> UIT-T</w:t>
            </w:r>
          </w:p>
        </w:tc>
        <w:tc>
          <w:tcPr>
            <w:tcW w:w="709" w:type="dxa"/>
            <w:tcBorders>
              <w:top w:val="single" w:sz="4" w:space="0" w:color="auto"/>
              <w:left w:val="nil"/>
              <w:bottom w:val="single" w:sz="4" w:space="0" w:color="auto"/>
              <w:right w:val="single" w:sz="4" w:space="0" w:color="auto"/>
            </w:tcBorders>
            <w:vAlign w:val="center"/>
          </w:tcPr>
          <w:p w14:paraId="23BA87AB"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45F37334"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279761B1"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758B87EF"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3F3811A3"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3D7B7328"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TUNISIE</w:t>
            </w:r>
          </w:p>
        </w:tc>
        <w:tc>
          <w:tcPr>
            <w:tcW w:w="2709" w:type="dxa"/>
            <w:tcBorders>
              <w:top w:val="single" w:sz="4" w:space="0" w:color="auto"/>
              <w:left w:val="nil"/>
              <w:bottom w:val="single" w:sz="4" w:space="0" w:color="auto"/>
              <w:right w:val="single" w:sz="4" w:space="0" w:color="auto"/>
            </w:tcBorders>
            <w:shd w:val="clear" w:color="000000" w:fill="FFFFFF"/>
          </w:tcPr>
          <w:p w14:paraId="43FDA3CB"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Ecole supérieure des Communications de Tunis (</w:t>
            </w:r>
            <w:proofErr w:type="spellStart"/>
            <w:r w:rsidRPr="00D44A12">
              <w:rPr>
                <w:rFonts w:cs="Calibri"/>
                <w:color w:val="000000"/>
                <w:sz w:val="20"/>
                <w:lang w:eastAsia="zh-CN"/>
              </w:rPr>
              <w:t>Sup'Com</w:t>
            </w:r>
            <w:proofErr w:type="spellEnd"/>
            <w:r w:rsidRPr="00D44A12">
              <w:rPr>
                <w:rFonts w:cs="Calibri"/>
                <w:color w:val="000000"/>
                <w:sz w:val="20"/>
                <w:lang w:eastAsia="zh-CN"/>
              </w:rPr>
              <w:t>)</w:t>
            </w:r>
          </w:p>
        </w:tc>
        <w:tc>
          <w:tcPr>
            <w:tcW w:w="1985" w:type="dxa"/>
            <w:tcBorders>
              <w:top w:val="single" w:sz="4" w:space="0" w:color="auto"/>
              <w:left w:val="nil"/>
              <w:bottom w:val="single" w:sz="4" w:space="0" w:color="auto"/>
              <w:right w:val="single" w:sz="4" w:space="0" w:color="auto"/>
            </w:tcBorders>
            <w:shd w:val="clear" w:color="auto" w:fill="auto"/>
            <w:noWrap/>
          </w:tcPr>
          <w:p w14:paraId="7481698D"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w:t>
            </w:r>
            <w:r w:rsidRPr="00D44A12">
              <w:rPr>
                <w:sz w:val="20"/>
                <w:lang w:eastAsia="zh-CN"/>
              </w:rPr>
              <w:t>Établissements universitaires</w:t>
            </w:r>
          </w:p>
        </w:tc>
        <w:tc>
          <w:tcPr>
            <w:tcW w:w="709" w:type="dxa"/>
            <w:tcBorders>
              <w:top w:val="single" w:sz="4" w:space="0" w:color="auto"/>
              <w:left w:val="nil"/>
              <w:bottom w:val="single" w:sz="4" w:space="0" w:color="auto"/>
              <w:right w:val="single" w:sz="4" w:space="0" w:color="auto"/>
            </w:tcBorders>
            <w:vAlign w:val="center"/>
          </w:tcPr>
          <w:p w14:paraId="23BB3904"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60870C6B" w14:textId="77777777" w:rsidR="00221B6E" w:rsidRPr="00D44A12" w:rsidRDefault="00221B6E"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37F44707"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3155AF6F"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r>
      <w:tr w:rsidR="00221B6E" w:rsidRPr="00D44A12" w14:paraId="7CAB5D2A"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65096BA9"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w:t>
            </w:r>
          </w:p>
        </w:tc>
        <w:tc>
          <w:tcPr>
            <w:tcW w:w="2709" w:type="dxa"/>
            <w:tcBorders>
              <w:top w:val="single" w:sz="4" w:space="0" w:color="auto"/>
              <w:left w:val="nil"/>
              <w:bottom w:val="single" w:sz="4" w:space="0" w:color="auto"/>
              <w:right w:val="single" w:sz="4" w:space="0" w:color="auto"/>
            </w:tcBorders>
            <w:shd w:val="clear" w:color="000000" w:fill="FFFFFF"/>
          </w:tcPr>
          <w:p w14:paraId="35741D3E"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Prisma</w:t>
            </w:r>
          </w:p>
        </w:tc>
        <w:tc>
          <w:tcPr>
            <w:tcW w:w="1985" w:type="dxa"/>
            <w:tcBorders>
              <w:top w:val="single" w:sz="4" w:space="0" w:color="auto"/>
              <w:left w:val="nil"/>
              <w:bottom w:val="single" w:sz="4" w:space="0" w:color="auto"/>
              <w:right w:val="single" w:sz="4" w:space="0" w:color="auto"/>
            </w:tcBorders>
            <w:shd w:val="clear" w:color="auto" w:fill="auto"/>
            <w:noWrap/>
          </w:tcPr>
          <w:p w14:paraId="4292AE1D"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2018/Assoc</w:t>
            </w:r>
            <w:r w:rsidR="00AF74F7" w:rsidRPr="00D44A12">
              <w:rPr>
                <w:rFonts w:cs="Calibri"/>
                <w:color w:val="000000"/>
                <w:sz w:val="20"/>
                <w:lang w:eastAsia="zh-CN"/>
              </w:rPr>
              <w:t>iés</w:t>
            </w:r>
            <w:r w:rsidRPr="00D44A12">
              <w:rPr>
                <w:rFonts w:cs="Calibri"/>
                <w:color w:val="000000"/>
                <w:sz w:val="20"/>
                <w:lang w:eastAsia="zh-CN"/>
              </w:rPr>
              <w:t xml:space="preserve"> UIT-T</w:t>
            </w:r>
          </w:p>
        </w:tc>
        <w:tc>
          <w:tcPr>
            <w:tcW w:w="709" w:type="dxa"/>
            <w:tcBorders>
              <w:top w:val="single" w:sz="4" w:space="0" w:color="auto"/>
              <w:left w:val="nil"/>
              <w:bottom w:val="single" w:sz="4" w:space="0" w:color="auto"/>
              <w:right w:val="single" w:sz="4" w:space="0" w:color="auto"/>
            </w:tcBorders>
            <w:vAlign w:val="center"/>
          </w:tcPr>
          <w:p w14:paraId="102E592B"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5D1F76CC"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1B1D6872"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523CAC50"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33D78A29"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552207DF"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ROYAUME-UNI</w:t>
            </w:r>
          </w:p>
        </w:tc>
        <w:tc>
          <w:tcPr>
            <w:tcW w:w="2709" w:type="dxa"/>
            <w:tcBorders>
              <w:top w:val="single" w:sz="4" w:space="0" w:color="auto"/>
              <w:left w:val="nil"/>
              <w:bottom w:val="single" w:sz="4" w:space="0" w:color="auto"/>
              <w:right w:val="single" w:sz="4" w:space="0" w:color="auto"/>
            </w:tcBorders>
            <w:shd w:val="clear" w:color="000000" w:fill="FFFFFF"/>
          </w:tcPr>
          <w:p w14:paraId="1594DA58"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Tinklabs</w:t>
            </w:r>
            <w:proofErr w:type="spellEnd"/>
            <w:r w:rsidRPr="00D44A12">
              <w:rPr>
                <w:rFonts w:cs="Calibri"/>
                <w:color w:val="000000"/>
                <w:sz w:val="20"/>
                <w:lang w:eastAsia="zh-CN"/>
              </w:rPr>
              <w:t xml:space="preserve"> Limited</w:t>
            </w:r>
          </w:p>
        </w:tc>
        <w:tc>
          <w:tcPr>
            <w:tcW w:w="1985" w:type="dxa"/>
            <w:tcBorders>
              <w:top w:val="single" w:sz="4" w:space="0" w:color="auto"/>
              <w:left w:val="nil"/>
              <w:bottom w:val="single" w:sz="4" w:space="0" w:color="auto"/>
              <w:right w:val="single" w:sz="4" w:space="0" w:color="auto"/>
            </w:tcBorders>
            <w:shd w:val="clear" w:color="auto" w:fill="auto"/>
            <w:noWrap/>
          </w:tcPr>
          <w:p w14:paraId="0A891DC4"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2018/Assoc</w:t>
            </w:r>
            <w:r w:rsidR="00AF74F7" w:rsidRPr="00D44A12">
              <w:rPr>
                <w:rFonts w:cs="Calibri"/>
                <w:color w:val="000000"/>
                <w:sz w:val="20"/>
                <w:lang w:eastAsia="zh-CN"/>
              </w:rPr>
              <w:t xml:space="preserve">iés </w:t>
            </w:r>
            <w:r w:rsidRPr="00D44A12">
              <w:rPr>
                <w:rFonts w:cs="Calibri"/>
                <w:color w:val="000000"/>
                <w:sz w:val="20"/>
                <w:lang w:eastAsia="zh-CN"/>
              </w:rPr>
              <w:t>UIT-T</w:t>
            </w:r>
          </w:p>
        </w:tc>
        <w:tc>
          <w:tcPr>
            <w:tcW w:w="709" w:type="dxa"/>
            <w:tcBorders>
              <w:top w:val="single" w:sz="4" w:space="0" w:color="auto"/>
              <w:left w:val="nil"/>
              <w:bottom w:val="single" w:sz="4" w:space="0" w:color="auto"/>
              <w:right w:val="single" w:sz="4" w:space="0" w:color="auto"/>
            </w:tcBorders>
            <w:vAlign w:val="center"/>
          </w:tcPr>
          <w:p w14:paraId="494799BB"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5AE1773E"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16A87D56"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58DD10BA"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1D110459"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6EDC1185"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ÉTATS-UNIS</w:t>
            </w:r>
          </w:p>
        </w:tc>
        <w:tc>
          <w:tcPr>
            <w:tcW w:w="2709" w:type="dxa"/>
            <w:tcBorders>
              <w:top w:val="single" w:sz="4" w:space="0" w:color="auto"/>
              <w:left w:val="nil"/>
              <w:bottom w:val="single" w:sz="4" w:space="0" w:color="auto"/>
              <w:right w:val="single" w:sz="4" w:space="0" w:color="auto"/>
            </w:tcBorders>
            <w:shd w:val="clear" w:color="000000" w:fill="FFFFFF"/>
          </w:tcPr>
          <w:p w14:paraId="0B99183A"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Analog</w:t>
            </w:r>
            <w:proofErr w:type="spellEnd"/>
            <w:r w:rsidRPr="00D44A12">
              <w:rPr>
                <w:rFonts w:cs="Calibri"/>
                <w:color w:val="000000"/>
                <w:sz w:val="20"/>
                <w:lang w:eastAsia="zh-CN"/>
              </w:rPr>
              <w:t xml:space="preserve"> </w:t>
            </w:r>
            <w:proofErr w:type="spellStart"/>
            <w:r w:rsidRPr="00D44A12">
              <w:rPr>
                <w:rFonts w:cs="Calibri"/>
                <w:color w:val="000000"/>
                <w:sz w:val="20"/>
                <w:lang w:eastAsia="zh-CN"/>
              </w:rPr>
              <w:t>Devices</w:t>
            </w:r>
            <w:proofErr w:type="spellEnd"/>
            <w:r w:rsidRPr="00D44A12">
              <w:rPr>
                <w:rFonts w:cs="Calibri"/>
                <w:color w:val="000000"/>
                <w:sz w:val="20"/>
                <w:lang w:eastAsia="zh-CN"/>
              </w:rPr>
              <w:t>, Inc.</w:t>
            </w:r>
          </w:p>
        </w:tc>
        <w:tc>
          <w:tcPr>
            <w:tcW w:w="1985" w:type="dxa"/>
            <w:tcBorders>
              <w:top w:val="single" w:sz="4" w:space="0" w:color="auto"/>
              <w:left w:val="nil"/>
              <w:bottom w:val="single" w:sz="4" w:space="0" w:color="auto"/>
              <w:right w:val="single" w:sz="4" w:space="0" w:color="auto"/>
            </w:tcBorders>
            <w:shd w:val="clear" w:color="auto" w:fill="auto"/>
            <w:noWrap/>
          </w:tcPr>
          <w:p w14:paraId="0B4314C2" w14:textId="77777777" w:rsidR="00221B6E" w:rsidRPr="00D44A12" w:rsidRDefault="00AF74F7" w:rsidP="00560EE8">
            <w:pPr>
              <w:pStyle w:val="Tabletext"/>
              <w:spacing w:before="40" w:after="40"/>
              <w:rPr>
                <w:rFonts w:cs="Calibri"/>
                <w:color w:val="000000"/>
                <w:sz w:val="20"/>
                <w:lang w:eastAsia="zh-CN"/>
              </w:rPr>
            </w:pPr>
            <w:r w:rsidRPr="00D44A12">
              <w:rPr>
                <w:rFonts w:cs="Calibri"/>
                <w:color w:val="000000"/>
                <w:sz w:val="20"/>
                <w:lang w:eastAsia="zh-CN"/>
              </w:rPr>
              <w:t>2018/Associés</w:t>
            </w:r>
            <w:r w:rsidR="00221B6E" w:rsidRPr="00D44A12">
              <w:rPr>
                <w:rFonts w:cs="Calibri"/>
                <w:color w:val="000000"/>
                <w:sz w:val="20"/>
                <w:lang w:eastAsia="zh-CN"/>
              </w:rPr>
              <w:t xml:space="preserve"> UIT-T</w:t>
            </w:r>
          </w:p>
        </w:tc>
        <w:tc>
          <w:tcPr>
            <w:tcW w:w="709" w:type="dxa"/>
            <w:tcBorders>
              <w:top w:val="single" w:sz="4" w:space="0" w:color="auto"/>
              <w:left w:val="nil"/>
              <w:bottom w:val="single" w:sz="4" w:space="0" w:color="auto"/>
              <w:right w:val="single" w:sz="4" w:space="0" w:color="auto"/>
            </w:tcBorders>
            <w:vAlign w:val="center"/>
          </w:tcPr>
          <w:p w14:paraId="278005FC"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75724E2A"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3D2D953F"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18C3729F"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06FBDA3D"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30E081DB"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w:t>
            </w:r>
          </w:p>
        </w:tc>
        <w:tc>
          <w:tcPr>
            <w:tcW w:w="2709" w:type="dxa"/>
            <w:tcBorders>
              <w:top w:val="single" w:sz="4" w:space="0" w:color="auto"/>
              <w:left w:val="nil"/>
              <w:bottom w:val="single" w:sz="4" w:space="0" w:color="auto"/>
              <w:right w:val="single" w:sz="4" w:space="0" w:color="auto"/>
            </w:tcBorders>
            <w:shd w:val="clear" w:color="000000" w:fill="FFFFFF"/>
          </w:tcPr>
          <w:p w14:paraId="2FE278E4"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Deloitte Consulting LLP</w:t>
            </w:r>
          </w:p>
        </w:tc>
        <w:tc>
          <w:tcPr>
            <w:tcW w:w="1985" w:type="dxa"/>
            <w:tcBorders>
              <w:top w:val="single" w:sz="4" w:space="0" w:color="auto"/>
              <w:left w:val="nil"/>
              <w:bottom w:val="single" w:sz="4" w:space="0" w:color="auto"/>
              <w:right w:val="single" w:sz="4" w:space="0" w:color="auto"/>
            </w:tcBorders>
            <w:shd w:val="clear" w:color="auto" w:fill="auto"/>
            <w:noWrap/>
          </w:tcPr>
          <w:p w14:paraId="1E447D80"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2018/UIT-D</w:t>
            </w:r>
          </w:p>
        </w:tc>
        <w:tc>
          <w:tcPr>
            <w:tcW w:w="709" w:type="dxa"/>
            <w:tcBorders>
              <w:top w:val="single" w:sz="4" w:space="0" w:color="auto"/>
              <w:left w:val="nil"/>
              <w:bottom w:val="single" w:sz="4" w:space="0" w:color="auto"/>
              <w:right w:val="single" w:sz="4" w:space="0" w:color="auto"/>
            </w:tcBorders>
            <w:vAlign w:val="center"/>
          </w:tcPr>
          <w:p w14:paraId="448F5398"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4986BB9F" w14:textId="77777777" w:rsidR="00221B6E" w:rsidRPr="00D44A12" w:rsidRDefault="00221B6E"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50D88E97"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1545" w:type="dxa"/>
            <w:tcBorders>
              <w:top w:val="single" w:sz="4" w:space="0" w:color="auto"/>
              <w:left w:val="nil"/>
              <w:bottom w:val="single" w:sz="4" w:space="0" w:color="auto"/>
              <w:right w:val="single" w:sz="4" w:space="0" w:color="auto"/>
            </w:tcBorders>
            <w:vAlign w:val="center"/>
          </w:tcPr>
          <w:p w14:paraId="1EE309CE"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17AE1000"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06F004B2"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w:t>
            </w:r>
          </w:p>
        </w:tc>
        <w:tc>
          <w:tcPr>
            <w:tcW w:w="2709" w:type="dxa"/>
            <w:tcBorders>
              <w:top w:val="single" w:sz="4" w:space="0" w:color="auto"/>
              <w:left w:val="nil"/>
              <w:bottom w:val="single" w:sz="4" w:space="0" w:color="auto"/>
              <w:right w:val="single" w:sz="4" w:space="0" w:color="auto"/>
            </w:tcBorders>
            <w:shd w:val="clear" w:color="000000" w:fill="FFFFFF"/>
          </w:tcPr>
          <w:p w14:paraId="40F0CC6C"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Ellipsat</w:t>
            </w:r>
            <w:proofErr w:type="spellEnd"/>
            <w:r w:rsidRPr="00D44A12">
              <w:rPr>
                <w:rFonts w:cs="Calibri"/>
                <w:color w:val="000000"/>
                <w:sz w:val="20"/>
                <w:lang w:eastAsia="zh-CN"/>
              </w:rPr>
              <w:t xml:space="preserve"> </w:t>
            </w:r>
            <w:proofErr w:type="spellStart"/>
            <w:r w:rsidRPr="00D44A12">
              <w:rPr>
                <w:rFonts w:cs="Calibri"/>
                <w:color w:val="000000"/>
                <w:sz w:val="20"/>
                <w:lang w:eastAsia="zh-CN"/>
              </w:rPr>
              <w:t>Inc</w:t>
            </w:r>
            <w:proofErr w:type="spellEnd"/>
          </w:p>
        </w:tc>
        <w:tc>
          <w:tcPr>
            <w:tcW w:w="1985" w:type="dxa"/>
            <w:tcBorders>
              <w:top w:val="single" w:sz="4" w:space="0" w:color="auto"/>
              <w:left w:val="nil"/>
              <w:bottom w:val="single" w:sz="4" w:space="0" w:color="auto"/>
              <w:right w:val="single" w:sz="4" w:space="0" w:color="auto"/>
            </w:tcBorders>
            <w:shd w:val="clear" w:color="auto" w:fill="auto"/>
            <w:noWrap/>
          </w:tcPr>
          <w:p w14:paraId="70DF2811" w14:textId="77777777" w:rsidR="00221B6E" w:rsidRPr="00D44A12" w:rsidRDefault="00AF74F7" w:rsidP="00560EE8">
            <w:pPr>
              <w:pStyle w:val="Tabletext"/>
              <w:spacing w:before="40" w:after="40"/>
              <w:rPr>
                <w:rFonts w:cs="Calibri"/>
                <w:color w:val="000000"/>
                <w:sz w:val="20"/>
                <w:lang w:eastAsia="zh-CN"/>
              </w:rPr>
            </w:pPr>
            <w:r w:rsidRPr="00D44A12">
              <w:rPr>
                <w:rFonts w:cs="Calibri"/>
                <w:color w:val="000000"/>
                <w:sz w:val="20"/>
                <w:lang w:eastAsia="zh-CN"/>
              </w:rPr>
              <w:t>2018/Associés</w:t>
            </w:r>
            <w:r w:rsidR="00221B6E" w:rsidRPr="00D44A12">
              <w:rPr>
                <w:rFonts w:cs="Calibri"/>
                <w:color w:val="000000"/>
                <w:sz w:val="20"/>
                <w:lang w:eastAsia="zh-CN"/>
              </w:rPr>
              <w:t xml:space="preserve"> UIT-T</w:t>
            </w:r>
          </w:p>
        </w:tc>
        <w:tc>
          <w:tcPr>
            <w:tcW w:w="709" w:type="dxa"/>
            <w:tcBorders>
              <w:top w:val="single" w:sz="4" w:space="0" w:color="auto"/>
              <w:left w:val="nil"/>
              <w:bottom w:val="single" w:sz="4" w:space="0" w:color="auto"/>
              <w:right w:val="single" w:sz="4" w:space="0" w:color="auto"/>
            </w:tcBorders>
            <w:vAlign w:val="center"/>
          </w:tcPr>
          <w:p w14:paraId="3C111667"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76953B91"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561B14D2"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67FAB2E6"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6B7AF158"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0BA89FCD"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w:t>
            </w:r>
          </w:p>
        </w:tc>
        <w:tc>
          <w:tcPr>
            <w:tcW w:w="2709" w:type="dxa"/>
            <w:tcBorders>
              <w:top w:val="single" w:sz="4" w:space="0" w:color="auto"/>
              <w:left w:val="nil"/>
              <w:bottom w:val="single" w:sz="4" w:space="0" w:color="auto"/>
              <w:right w:val="single" w:sz="4" w:space="0" w:color="auto"/>
            </w:tcBorders>
            <w:shd w:val="clear" w:color="000000" w:fill="FFFFFF"/>
          </w:tcPr>
          <w:p w14:paraId="5F07401B"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NeuStar</w:t>
            </w:r>
            <w:proofErr w:type="spellEnd"/>
            <w:r w:rsidRPr="00D44A12">
              <w:rPr>
                <w:rFonts w:cs="Calibri"/>
                <w:color w:val="000000"/>
                <w:sz w:val="20"/>
                <w:lang w:eastAsia="zh-CN"/>
              </w:rPr>
              <w:t xml:space="preserve"> Inc.</w:t>
            </w:r>
          </w:p>
        </w:tc>
        <w:tc>
          <w:tcPr>
            <w:tcW w:w="1985" w:type="dxa"/>
            <w:tcBorders>
              <w:top w:val="single" w:sz="4" w:space="0" w:color="auto"/>
              <w:left w:val="nil"/>
              <w:bottom w:val="single" w:sz="4" w:space="0" w:color="auto"/>
              <w:right w:val="single" w:sz="4" w:space="0" w:color="auto"/>
            </w:tcBorders>
            <w:shd w:val="clear" w:color="auto" w:fill="auto"/>
            <w:noWrap/>
          </w:tcPr>
          <w:p w14:paraId="34333456"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2018/UIT-T</w:t>
            </w:r>
          </w:p>
        </w:tc>
        <w:tc>
          <w:tcPr>
            <w:tcW w:w="709" w:type="dxa"/>
            <w:tcBorders>
              <w:top w:val="single" w:sz="4" w:space="0" w:color="auto"/>
              <w:left w:val="nil"/>
              <w:bottom w:val="single" w:sz="4" w:space="0" w:color="auto"/>
              <w:right w:val="single" w:sz="4" w:space="0" w:color="auto"/>
            </w:tcBorders>
            <w:vAlign w:val="center"/>
          </w:tcPr>
          <w:p w14:paraId="2B6B89A1"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578BBCC7"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26D60F96"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7D20B98A"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061D2394"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6689B3E1"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w:t>
            </w:r>
          </w:p>
        </w:tc>
        <w:tc>
          <w:tcPr>
            <w:tcW w:w="2709" w:type="dxa"/>
            <w:tcBorders>
              <w:top w:val="single" w:sz="4" w:space="0" w:color="auto"/>
              <w:left w:val="nil"/>
              <w:bottom w:val="single" w:sz="4" w:space="0" w:color="auto"/>
              <w:right w:val="single" w:sz="4" w:space="0" w:color="auto"/>
            </w:tcBorders>
            <w:shd w:val="clear" w:color="000000" w:fill="FFFFFF"/>
          </w:tcPr>
          <w:p w14:paraId="4BC6A2C4"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nVent</w:t>
            </w:r>
            <w:proofErr w:type="spellEnd"/>
            <w:r w:rsidRPr="00D44A12">
              <w:rPr>
                <w:rFonts w:cs="Calibri"/>
                <w:color w:val="000000"/>
                <w:sz w:val="20"/>
                <w:lang w:eastAsia="zh-CN"/>
              </w:rPr>
              <w:t xml:space="preserve"> Electric</w:t>
            </w:r>
          </w:p>
        </w:tc>
        <w:tc>
          <w:tcPr>
            <w:tcW w:w="1985" w:type="dxa"/>
            <w:tcBorders>
              <w:top w:val="single" w:sz="4" w:space="0" w:color="auto"/>
              <w:left w:val="nil"/>
              <w:bottom w:val="single" w:sz="4" w:space="0" w:color="auto"/>
              <w:right w:val="single" w:sz="4" w:space="0" w:color="auto"/>
            </w:tcBorders>
            <w:shd w:val="clear" w:color="auto" w:fill="auto"/>
            <w:noWrap/>
          </w:tcPr>
          <w:p w14:paraId="1E5F25DA" w14:textId="77777777" w:rsidR="00221B6E" w:rsidRPr="00D44A12" w:rsidRDefault="00AF74F7" w:rsidP="00560EE8">
            <w:pPr>
              <w:pStyle w:val="Tabletext"/>
              <w:spacing w:before="40" w:after="40"/>
              <w:rPr>
                <w:rFonts w:cs="Calibri"/>
                <w:color w:val="000000"/>
                <w:sz w:val="20"/>
                <w:lang w:eastAsia="zh-CN"/>
              </w:rPr>
            </w:pPr>
            <w:r w:rsidRPr="00D44A12">
              <w:rPr>
                <w:rFonts w:cs="Calibri"/>
                <w:color w:val="000000"/>
                <w:sz w:val="20"/>
                <w:lang w:eastAsia="zh-CN"/>
              </w:rPr>
              <w:t>2018/Associés</w:t>
            </w:r>
            <w:r w:rsidR="00221B6E" w:rsidRPr="00D44A12">
              <w:rPr>
                <w:rFonts w:cs="Calibri"/>
                <w:color w:val="000000"/>
                <w:sz w:val="20"/>
                <w:lang w:eastAsia="zh-CN"/>
              </w:rPr>
              <w:t xml:space="preserve"> UIT-T</w:t>
            </w:r>
          </w:p>
        </w:tc>
        <w:tc>
          <w:tcPr>
            <w:tcW w:w="709" w:type="dxa"/>
            <w:tcBorders>
              <w:top w:val="single" w:sz="4" w:space="0" w:color="auto"/>
              <w:left w:val="nil"/>
              <w:bottom w:val="single" w:sz="4" w:space="0" w:color="auto"/>
              <w:right w:val="single" w:sz="4" w:space="0" w:color="auto"/>
            </w:tcBorders>
            <w:vAlign w:val="center"/>
          </w:tcPr>
          <w:p w14:paraId="433BDE35"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6AC87211"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26CCD5B6"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1B2F7160"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43D90B4F"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26EAA4FB"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w:t>
            </w:r>
          </w:p>
        </w:tc>
        <w:tc>
          <w:tcPr>
            <w:tcW w:w="2709" w:type="dxa"/>
            <w:tcBorders>
              <w:top w:val="single" w:sz="4" w:space="0" w:color="auto"/>
              <w:left w:val="nil"/>
              <w:bottom w:val="single" w:sz="4" w:space="0" w:color="auto"/>
              <w:right w:val="single" w:sz="4" w:space="0" w:color="auto"/>
            </w:tcBorders>
            <w:shd w:val="clear" w:color="000000" w:fill="FFFFFF"/>
          </w:tcPr>
          <w:p w14:paraId="12C7FE37"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xml:space="preserve">World </w:t>
            </w:r>
            <w:proofErr w:type="spellStart"/>
            <w:r w:rsidRPr="00D44A12">
              <w:rPr>
                <w:rFonts w:cs="Calibri"/>
                <w:color w:val="000000"/>
                <w:sz w:val="20"/>
                <w:lang w:eastAsia="zh-CN"/>
              </w:rPr>
              <w:t>Economic</w:t>
            </w:r>
            <w:proofErr w:type="spellEnd"/>
            <w:r w:rsidRPr="00D44A12">
              <w:rPr>
                <w:rFonts w:cs="Calibri"/>
                <w:color w:val="000000"/>
                <w:sz w:val="20"/>
                <w:lang w:eastAsia="zh-CN"/>
              </w:rPr>
              <w:t xml:space="preserve"> Forum LLC</w:t>
            </w:r>
          </w:p>
        </w:tc>
        <w:tc>
          <w:tcPr>
            <w:tcW w:w="1985" w:type="dxa"/>
            <w:tcBorders>
              <w:top w:val="single" w:sz="4" w:space="0" w:color="auto"/>
              <w:left w:val="nil"/>
              <w:bottom w:val="single" w:sz="4" w:space="0" w:color="auto"/>
              <w:right w:val="single" w:sz="4" w:space="0" w:color="auto"/>
            </w:tcBorders>
            <w:shd w:val="clear" w:color="auto" w:fill="auto"/>
            <w:noWrap/>
          </w:tcPr>
          <w:p w14:paraId="1D702CF8"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2018/UIT-D</w:t>
            </w:r>
          </w:p>
        </w:tc>
        <w:tc>
          <w:tcPr>
            <w:tcW w:w="709" w:type="dxa"/>
            <w:tcBorders>
              <w:top w:val="single" w:sz="4" w:space="0" w:color="auto"/>
              <w:left w:val="nil"/>
              <w:bottom w:val="single" w:sz="4" w:space="0" w:color="auto"/>
              <w:right w:val="single" w:sz="4" w:space="0" w:color="auto"/>
            </w:tcBorders>
            <w:vAlign w:val="center"/>
          </w:tcPr>
          <w:p w14:paraId="7379E747"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26AA900C" w14:textId="77777777" w:rsidR="00221B6E" w:rsidRPr="00D44A12" w:rsidRDefault="00221B6E"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7864DC92"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1545" w:type="dxa"/>
            <w:tcBorders>
              <w:top w:val="single" w:sz="4" w:space="0" w:color="auto"/>
              <w:left w:val="nil"/>
              <w:bottom w:val="single" w:sz="4" w:space="0" w:color="auto"/>
              <w:right w:val="single" w:sz="4" w:space="0" w:color="auto"/>
            </w:tcBorders>
            <w:vAlign w:val="center"/>
          </w:tcPr>
          <w:p w14:paraId="506EC06E"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20D40990"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7893BD3F"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ZIMBABWE</w:t>
            </w:r>
          </w:p>
        </w:tc>
        <w:tc>
          <w:tcPr>
            <w:tcW w:w="2709" w:type="dxa"/>
            <w:tcBorders>
              <w:top w:val="single" w:sz="4" w:space="0" w:color="auto"/>
              <w:left w:val="nil"/>
              <w:bottom w:val="single" w:sz="4" w:space="0" w:color="auto"/>
              <w:right w:val="single" w:sz="4" w:space="0" w:color="auto"/>
            </w:tcBorders>
            <w:shd w:val="clear" w:color="000000" w:fill="FFFFFF"/>
          </w:tcPr>
          <w:p w14:paraId="56D01B23"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Econet</w:t>
            </w:r>
            <w:proofErr w:type="spellEnd"/>
            <w:r w:rsidRPr="00D44A12">
              <w:rPr>
                <w:rFonts w:cs="Calibri"/>
                <w:color w:val="000000"/>
                <w:sz w:val="20"/>
                <w:lang w:eastAsia="zh-CN"/>
              </w:rPr>
              <w:t xml:space="preserve"> Wireless (PVT) Ltd.</w:t>
            </w:r>
          </w:p>
        </w:tc>
        <w:tc>
          <w:tcPr>
            <w:tcW w:w="1985" w:type="dxa"/>
            <w:tcBorders>
              <w:top w:val="single" w:sz="4" w:space="0" w:color="auto"/>
              <w:left w:val="nil"/>
              <w:bottom w:val="single" w:sz="4" w:space="0" w:color="auto"/>
              <w:right w:val="single" w:sz="4" w:space="0" w:color="auto"/>
            </w:tcBorders>
            <w:shd w:val="clear" w:color="auto" w:fill="auto"/>
            <w:noWrap/>
          </w:tcPr>
          <w:p w14:paraId="08ADF44C"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2018/UIT-D</w:t>
            </w:r>
          </w:p>
        </w:tc>
        <w:tc>
          <w:tcPr>
            <w:tcW w:w="709" w:type="dxa"/>
            <w:tcBorders>
              <w:top w:val="single" w:sz="4" w:space="0" w:color="auto"/>
              <w:left w:val="nil"/>
              <w:bottom w:val="single" w:sz="4" w:space="0" w:color="auto"/>
              <w:right w:val="single" w:sz="4" w:space="0" w:color="auto"/>
            </w:tcBorders>
            <w:vAlign w:val="center"/>
          </w:tcPr>
          <w:p w14:paraId="1481AE46"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4E0782C7" w14:textId="77777777" w:rsidR="00221B6E" w:rsidRPr="00D44A12" w:rsidRDefault="00221B6E"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1130F3D9"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1545" w:type="dxa"/>
            <w:tcBorders>
              <w:top w:val="single" w:sz="4" w:space="0" w:color="auto"/>
              <w:left w:val="nil"/>
              <w:bottom w:val="single" w:sz="4" w:space="0" w:color="auto"/>
              <w:right w:val="single" w:sz="4" w:space="0" w:color="auto"/>
            </w:tcBorders>
            <w:vAlign w:val="center"/>
          </w:tcPr>
          <w:p w14:paraId="1E07805C"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071FE027"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017F9F60"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w:t>
            </w:r>
          </w:p>
        </w:tc>
        <w:tc>
          <w:tcPr>
            <w:tcW w:w="2709" w:type="dxa"/>
            <w:tcBorders>
              <w:top w:val="single" w:sz="4" w:space="0" w:color="auto"/>
              <w:left w:val="nil"/>
              <w:bottom w:val="single" w:sz="4" w:space="0" w:color="auto"/>
              <w:right w:val="single" w:sz="4" w:space="0" w:color="auto"/>
            </w:tcBorders>
            <w:shd w:val="clear" w:color="000000" w:fill="FFFFFF"/>
          </w:tcPr>
          <w:p w14:paraId="1811D2FC"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TelOne</w:t>
            </w:r>
            <w:proofErr w:type="spellEnd"/>
            <w:r w:rsidRPr="00D44A12">
              <w:rPr>
                <w:rFonts w:cs="Calibri"/>
                <w:color w:val="000000"/>
                <w:sz w:val="20"/>
                <w:lang w:eastAsia="zh-CN"/>
              </w:rPr>
              <w:t xml:space="preserve"> (</w:t>
            </w:r>
            <w:proofErr w:type="spellStart"/>
            <w:r w:rsidRPr="00D44A12">
              <w:rPr>
                <w:rFonts w:cs="Calibri"/>
                <w:color w:val="000000"/>
                <w:sz w:val="20"/>
                <w:lang w:eastAsia="zh-CN"/>
              </w:rPr>
              <w:t>Pvt</w:t>
            </w:r>
            <w:proofErr w:type="spellEnd"/>
            <w:r w:rsidRPr="00D44A12">
              <w:rPr>
                <w:rFonts w:cs="Calibri"/>
                <w:color w:val="000000"/>
                <w:sz w:val="20"/>
                <w:lang w:eastAsia="zh-CN"/>
              </w:rPr>
              <w:t>) Limited</w:t>
            </w:r>
          </w:p>
        </w:tc>
        <w:tc>
          <w:tcPr>
            <w:tcW w:w="1985" w:type="dxa"/>
            <w:tcBorders>
              <w:top w:val="single" w:sz="4" w:space="0" w:color="auto"/>
              <w:left w:val="nil"/>
              <w:bottom w:val="single" w:sz="4" w:space="0" w:color="auto"/>
              <w:right w:val="single" w:sz="4" w:space="0" w:color="auto"/>
            </w:tcBorders>
            <w:shd w:val="clear" w:color="auto" w:fill="auto"/>
            <w:noWrap/>
          </w:tcPr>
          <w:p w14:paraId="7ED7CE5C"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2018/UIT-R &amp; UIT-T</w:t>
            </w:r>
          </w:p>
        </w:tc>
        <w:tc>
          <w:tcPr>
            <w:tcW w:w="709" w:type="dxa"/>
            <w:tcBorders>
              <w:top w:val="single" w:sz="4" w:space="0" w:color="auto"/>
              <w:left w:val="nil"/>
              <w:bottom w:val="single" w:sz="4" w:space="0" w:color="auto"/>
              <w:right w:val="single" w:sz="4" w:space="0" w:color="auto"/>
            </w:tcBorders>
            <w:vAlign w:val="center"/>
          </w:tcPr>
          <w:p w14:paraId="38148955"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8" w:type="dxa"/>
            <w:tcBorders>
              <w:top w:val="single" w:sz="4" w:space="0" w:color="auto"/>
              <w:left w:val="nil"/>
              <w:bottom w:val="single" w:sz="4" w:space="0" w:color="auto"/>
              <w:right w:val="single" w:sz="4" w:space="0" w:color="auto"/>
            </w:tcBorders>
            <w:vAlign w:val="center"/>
          </w:tcPr>
          <w:p w14:paraId="06E56550"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709" w:type="dxa"/>
            <w:tcBorders>
              <w:top w:val="single" w:sz="4" w:space="0" w:color="auto"/>
              <w:left w:val="nil"/>
              <w:bottom w:val="single" w:sz="4" w:space="0" w:color="auto"/>
              <w:right w:val="single" w:sz="4" w:space="0" w:color="auto"/>
            </w:tcBorders>
            <w:vAlign w:val="center"/>
          </w:tcPr>
          <w:p w14:paraId="296C62F7" w14:textId="77777777" w:rsidR="00221B6E" w:rsidRPr="00D44A12" w:rsidRDefault="00221B6E" w:rsidP="0060738E">
            <w:pPr>
              <w:pStyle w:val="Tabletext"/>
              <w:spacing w:before="40" w:after="40"/>
              <w:jc w:val="center"/>
              <w:rPr>
                <w:rFonts w:cs="Calibri"/>
                <w:color w:val="000000"/>
                <w:sz w:val="20"/>
                <w:lang w:eastAsia="zh-CN"/>
              </w:rPr>
            </w:pPr>
          </w:p>
        </w:tc>
        <w:tc>
          <w:tcPr>
            <w:tcW w:w="1545" w:type="dxa"/>
            <w:tcBorders>
              <w:top w:val="single" w:sz="4" w:space="0" w:color="auto"/>
              <w:left w:val="nil"/>
              <w:bottom w:val="single" w:sz="4" w:space="0" w:color="auto"/>
              <w:right w:val="single" w:sz="4" w:space="0" w:color="auto"/>
            </w:tcBorders>
            <w:vAlign w:val="center"/>
          </w:tcPr>
          <w:p w14:paraId="3E1D5A59"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4ADD229B"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000000" w:fill="FFFFFF"/>
          </w:tcPr>
          <w:p w14:paraId="6CE6E725" w14:textId="094B2BF3" w:rsidR="00221B6E" w:rsidRPr="008334DD" w:rsidRDefault="00221B6E" w:rsidP="00560EE8">
            <w:pPr>
              <w:pStyle w:val="Tabletext"/>
              <w:spacing w:before="40" w:after="40"/>
              <w:rPr>
                <w:rFonts w:cs="Calibri"/>
                <w:sz w:val="20"/>
                <w:lang w:eastAsia="zh-CN"/>
              </w:rPr>
            </w:pPr>
            <w:proofErr w:type="spellStart"/>
            <w:r w:rsidRPr="008334DD">
              <w:rPr>
                <w:rFonts w:cs="Calibri"/>
                <w:sz w:val="20"/>
                <w:lang w:eastAsia="zh-CN"/>
              </w:rPr>
              <w:t>R</w:t>
            </w:r>
            <w:r w:rsidR="00AF74F7" w:rsidRPr="008334DD">
              <w:rPr>
                <w:rFonts w:cs="Calibri"/>
                <w:sz w:val="20"/>
                <w:lang w:eastAsia="zh-CN"/>
              </w:rPr>
              <w:t>és</w:t>
            </w:r>
            <w:proofErr w:type="spellEnd"/>
            <w:r w:rsidRPr="008334DD">
              <w:rPr>
                <w:rFonts w:cs="Calibri"/>
                <w:sz w:val="20"/>
                <w:lang w:eastAsia="zh-CN"/>
              </w:rPr>
              <w:t>. 99 (</w:t>
            </w:r>
            <w:proofErr w:type="spellStart"/>
            <w:r w:rsidRPr="008334DD">
              <w:rPr>
                <w:rFonts w:cs="Calibri"/>
                <w:sz w:val="20"/>
                <w:lang w:eastAsia="zh-CN"/>
              </w:rPr>
              <w:t>R</w:t>
            </w:r>
            <w:r w:rsidR="00AF74F7" w:rsidRPr="008334DD">
              <w:rPr>
                <w:rFonts w:cs="Calibri"/>
                <w:sz w:val="20"/>
                <w:lang w:eastAsia="zh-CN"/>
              </w:rPr>
              <w:t>é</w:t>
            </w:r>
            <w:r w:rsidRPr="008334DD">
              <w:rPr>
                <w:rFonts w:cs="Calibri"/>
                <w:sz w:val="20"/>
                <w:lang w:eastAsia="zh-CN"/>
              </w:rPr>
              <w:t>v</w:t>
            </w:r>
            <w:proofErr w:type="spellEnd"/>
            <w:r w:rsidRPr="008334DD">
              <w:rPr>
                <w:rFonts w:cs="Calibri"/>
                <w:sz w:val="20"/>
                <w:lang w:eastAsia="zh-CN"/>
              </w:rPr>
              <w:t>.</w:t>
            </w:r>
            <w:r w:rsidR="00AF74F7" w:rsidRPr="008334DD">
              <w:rPr>
                <w:rFonts w:cs="Calibri"/>
                <w:sz w:val="20"/>
                <w:lang w:eastAsia="zh-CN"/>
              </w:rPr>
              <w:t> </w:t>
            </w:r>
            <w:r w:rsidRPr="008334DD">
              <w:rPr>
                <w:rFonts w:cs="Calibri"/>
                <w:sz w:val="20"/>
                <w:lang w:eastAsia="zh-CN"/>
              </w:rPr>
              <w:t>Duba</w:t>
            </w:r>
            <w:r w:rsidR="00AF74F7" w:rsidRPr="008334DD">
              <w:rPr>
                <w:rFonts w:cs="Calibri"/>
                <w:sz w:val="20"/>
                <w:lang w:eastAsia="zh-CN"/>
              </w:rPr>
              <w:t>ï</w:t>
            </w:r>
            <w:r w:rsidRPr="008334DD">
              <w:rPr>
                <w:rFonts w:cs="Calibri"/>
                <w:sz w:val="20"/>
                <w:lang w:eastAsia="zh-CN"/>
              </w:rPr>
              <w:t>, 2018)</w:t>
            </w:r>
          </w:p>
        </w:tc>
        <w:tc>
          <w:tcPr>
            <w:tcW w:w="2709" w:type="dxa"/>
            <w:tcBorders>
              <w:top w:val="single" w:sz="4" w:space="0" w:color="auto"/>
              <w:left w:val="nil"/>
              <w:bottom w:val="single" w:sz="4" w:space="0" w:color="auto"/>
              <w:right w:val="single" w:sz="4" w:space="0" w:color="auto"/>
            </w:tcBorders>
            <w:shd w:val="clear" w:color="000000" w:fill="FFFFFF"/>
          </w:tcPr>
          <w:p w14:paraId="713E725F" w14:textId="77777777" w:rsidR="00221B6E" w:rsidRPr="00D44A12" w:rsidRDefault="00221B6E" w:rsidP="00560EE8">
            <w:pPr>
              <w:pStyle w:val="Tabletext"/>
              <w:spacing w:before="40" w:after="40"/>
              <w:rPr>
                <w:rFonts w:cs="Calibri"/>
                <w:color w:val="000000"/>
                <w:sz w:val="20"/>
                <w:lang w:eastAsia="zh-CN"/>
              </w:rPr>
            </w:pPr>
            <w:proofErr w:type="spellStart"/>
            <w:r w:rsidRPr="00D44A12">
              <w:rPr>
                <w:rFonts w:cs="Calibri"/>
                <w:color w:val="000000"/>
                <w:sz w:val="20"/>
                <w:lang w:eastAsia="zh-CN"/>
              </w:rPr>
              <w:t>Wataniya</w:t>
            </w:r>
            <w:proofErr w:type="spellEnd"/>
            <w:r w:rsidRPr="00D44A12">
              <w:rPr>
                <w:rFonts w:cs="Calibri"/>
                <w:color w:val="000000"/>
                <w:sz w:val="20"/>
                <w:lang w:eastAsia="zh-CN"/>
              </w:rPr>
              <w:t xml:space="preserve"> Palestine Mobile </w:t>
            </w:r>
            <w:proofErr w:type="spellStart"/>
            <w:r w:rsidRPr="00D44A12">
              <w:rPr>
                <w:rFonts w:cs="Calibri"/>
                <w:color w:val="000000"/>
                <w:sz w:val="20"/>
                <w:lang w:eastAsia="zh-CN"/>
              </w:rPr>
              <w:t>Telecommunication</w:t>
            </w:r>
            <w:proofErr w:type="spellEnd"/>
            <w:r w:rsidRPr="00D44A12">
              <w:rPr>
                <w:rFonts w:cs="Calibri"/>
                <w:color w:val="000000"/>
                <w:sz w:val="20"/>
                <w:lang w:eastAsia="zh-CN"/>
              </w:rPr>
              <w:t xml:space="preserve"> </w:t>
            </w:r>
            <w:proofErr w:type="spellStart"/>
            <w:r w:rsidRPr="00D44A12">
              <w:rPr>
                <w:rFonts w:cs="Calibri"/>
                <w:color w:val="000000"/>
                <w:sz w:val="20"/>
                <w:lang w:eastAsia="zh-CN"/>
              </w:rPr>
              <w:t>Company</w:t>
            </w:r>
            <w:proofErr w:type="spellEnd"/>
          </w:p>
        </w:tc>
        <w:tc>
          <w:tcPr>
            <w:tcW w:w="1985" w:type="dxa"/>
            <w:tcBorders>
              <w:top w:val="single" w:sz="4" w:space="0" w:color="auto"/>
              <w:left w:val="nil"/>
              <w:bottom w:val="single" w:sz="4" w:space="0" w:color="auto"/>
              <w:right w:val="single" w:sz="4" w:space="0" w:color="auto"/>
            </w:tcBorders>
            <w:shd w:val="clear" w:color="auto" w:fill="auto"/>
            <w:noWrap/>
          </w:tcPr>
          <w:p w14:paraId="03B69124"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2018/UIT-D</w:t>
            </w:r>
          </w:p>
        </w:tc>
        <w:tc>
          <w:tcPr>
            <w:tcW w:w="709" w:type="dxa"/>
            <w:tcBorders>
              <w:top w:val="single" w:sz="4" w:space="0" w:color="auto"/>
              <w:left w:val="nil"/>
              <w:bottom w:val="single" w:sz="4" w:space="0" w:color="auto"/>
              <w:right w:val="single" w:sz="4" w:space="0" w:color="auto"/>
            </w:tcBorders>
            <w:vAlign w:val="center"/>
          </w:tcPr>
          <w:p w14:paraId="0DEAB17A" w14:textId="77777777" w:rsidR="00221B6E" w:rsidRPr="00D44A12" w:rsidRDefault="00221B6E" w:rsidP="0060738E">
            <w:pPr>
              <w:pStyle w:val="Tabletext"/>
              <w:spacing w:before="40" w:after="40"/>
              <w:jc w:val="center"/>
              <w:rPr>
                <w:rFonts w:cs="Calibri"/>
                <w:color w:val="000000"/>
                <w:sz w:val="20"/>
                <w:lang w:eastAsia="zh-CN"/>
              </w:rPr>
            </w:pPr>
          </w:p>
        </w:tc>
        <w:tc>
          <w:tcPr>
            <w:tcW w:w="708" w:type="dxa"/>
            <w:tcBorders>
              <w:top w:val="single" w:sz="4" w:space="0" w:color="auto"/>
              <w:left w:val="nil"/>
              <w:bottom w:val="single" w:sz="4" w:space="0" w:color="auto"/>
              <w:right w:val="single" w:sz="4" w:space="0" w:color="auto"/>
            </w:tcBorders>
            <w:vAlign w:val="center"/>
          </w:tcPr>
          <w:p w14:paraId="7FA74CEA" w14:textId="77777777" w:rsidR="00221B6E" w:rsidRPr="00D44A12" w:rsidRDefault="00221B6E" w:rsidP="0060738E">
            <w:pPr>
              <w:pStyle w:val="Tabletext"/>
              <w:spacing w:before="40" w:after="40"/>
              <w:jc w:val="center"/>
              <w:rPr>
                <w:rFonts w:cs="Calibri"/>
                <w:color w:val="000000"/>
                <w:sz w:val="20"/>
                <w:lang w:eastAsia="zh-CN"/>
              </w:rPr>
            </w:pPr>
          </w:p>
        </w:tc>
        <w:tc>
          <w:tcPr>
            <w:tcW w:w="709" w:type="dxa"/>
            <w:tcBorders>
              <w:top w:val="single" w:sz="4" w:space="0" w:color="auto"/>
              <w:left w:val="nil"/>
              <w:bottom w:val="single" w:sz="4" w:space="0" w:color="auto"/>
              <w:right w:val="single" w:sz="4" w:space="0" w:color="auto"/>
            </w:tcBorders>
            <w:vAlign w:val="center"/>
          </w:tcPr>
          <w:p w14:paraId="503EA4AB" w14:textId="77777777" w:rsidR="00221B6E" w:rsidRPr="00D44A12" w:rsidRDefault="00221B6E" w:rsidP="0060738E">
            <w:pPr>
              <w:pStyle w:val="Tabletext"/>
              <w:spacing w:before="40" w:after="40"/>
              <w:jc w:val="center"/>
              <w:rPr>
                <w:rFonts w:cs="Calibri"/>
                <w:color w:val="000000"/>
                <w:sz w:val="20"/>
                <w:lang w:eastAsia="zh-CN"/>
              </w:rPr>
            </w:pPr>
            <w:r w:rsidRPr="00D44A12">
              <w:rPr>
                <w:rFonts w:cs="Calibri"/>
                <w:color w:val="000000"/>
                <w:sz w:val="20"/>
                <w:lang w:eastAsia="zh-CN"/>
              </w:rPr>
              <w:t>1</w:t>
            </w:r>
          </w:p>
        </w:tc>
        <w:tc>
          <w:tcPr>
            <w:tcW w:w="1545" w:type="dxa"/>
            <w:tcBorders>
              <w:top w:val="single" w:sz="4" w:space="0" w:color="auto"/>
              <w:left w:val="nil"/>
              <w:bottom w:val="single" w:sz="4" w:space="0" w:color="auto"/>
              <w:right w:val="single" w:sz="4" w:space="0" w:color="auto"/>
            </w:tcBorders>
            <w:vAlign w:val="center"/>
          </w:tcPr>
          <w:p w14:paraId="0E40111C" w14:textId="77777777" w:rsidR="00221B6E" w:rsidRPr="00D44A12" w:rsidRDefault="00221B6E" w:rsidP="0060738E">
            <w:pPr>
              <w:pStyle w:val="Tabletext"/>
              <w:spacing w:before="40" w:after="40"/>
              <w:jc w:val="center"/>
              <w:rPr>
                <w:rFonts w:cs="Calibri"/>
                <w:color w:val="000000"/>
                <w:sz w:val="20"/>
                <w:lang w:eastAsia="zh-CN"/>
              </w:rPr>
            </w:pPr>
          </w:p>
        </w:tc>
      </w:tr>
      <w:tr w:rsidR="00221B6E" w:rsidRPr="00D44A12" w14:paraId="54172BCD" w14:textId="77777777" w:rsidTr="0060738E">
        <w:trPr>
          <w:trHeight w:val="300"/>
          <w:jc w:val="center"/>
        </w:trPr>
        <w:tc>
          <w:tcPr>
            <w:tcW w:w="1822" w:type="dxa"/>
            <w:tcBorders>
              <w:top w:val="single" w:sz="4" w:space="0" w:color="auto"/>
              <w:left w:val="single" w:sz="4" w:space="0" w:color="auto"/>
              <w:bottom w:val="single" w:sz="4" w:space="0" w:color="auto"/>
              <w:right w:val="single" w:sz="4" w:space="0" w:color="auto"/>
            </w:tcBorders>
            <w:shd w:val="pct10" w:color="auto" w:fill="auto"/>
          </w:tcPr>
          <w:p w14:paraId="2085806F" w14:textId="77777777" w:rsidR="00221B6E" w:rsidRPr="00D44A12" w:rsidRDefault="00221B6E" w:rsidP="00560EE8">
            <w:pPr>
              <w:pStyle w:val="Tabletext"/>
              <w:spacing w:before="40" w:after="40"/>
              <w:rPr>
                <w:rFonts w:cs="Calibri"/>
                <w:b/>
                <w:bCs/>
                <w:color w:val="000000"/>
                <w:sz w:val="20"/>
                <w:lang w:eastAsia="zh-CN"/>
              </w:rPr>
            </w:pPr>
            <w:r w:rsidRPr="00D44A12">
              <w:rPr>
                <w:rFonts w:cs="Calibri"/>
                <w:b/>
                <w:bCs/>
                <w:color w:val="000000"/>
                <w:sz w:val="20"/>
                <w:lang w:eastAsia="zh-CN"/>
              </w:rPr>
              <w:t>TOTAL</w:t>
            </w:r>
          </w:p>
        </w:tc>
        <w:tc>
          <w:tcPr>
            <w:tcW w:w="2709" w:type="dxa"/>
            <w:tcBorders>
              <w:top w:val="single" w:sz="4" w:space="0" w:color="auto"/>
              <w:left w:val="nil"/>
              <w:bottom w:val="single" w:sz="4" w:space="0" w:color="auto"/>
              <w:right w:val="single" w:sz="4" w:space="0" w:color="auto"/>
            </w:tcBorders>
            <w:shd w:val="pct10" w:color="auto" w:fill="auto"/>
          </w:tcPr>
          <w:p w14:paraId="3C9CD9EC" w14:textId="332763F5" w:rsidR="00221B6E" w:rsidRPr="00D44A12" w:rsidRDefault="00221B6E" w:rsidP="00560EE8">
            <w:pPr>
              <w:pStyle w:val="Tabletext"/>
              <w:spacing w:before="40" w:after="40"/>
              <w:rPr>
                <w:rFonts w:cs="Calibri"/>
                <w:b/>
                <w:bCs/>
                <w:color w:val="000000"/>
                <w:sz w:val="20"/>
                <w:lang w:eastAsia="zh-CN"/>
              </w:rPr>
            </w:pPr>
            <w:r w:rsidRPr="00D44A12">
              <w:rPr>
                <w:rFonts w:cs="Calibri"/>
                <w:b/>
                <w:bCs/>
                <w:color w:val="000000"/>
                <w:sz w:val="20"/>
                <w:lang w:eastAsia="zh-CN"/>
              </w:rPr>
              <w:t>24 Membres</w:t>
            </w:r>
          </w:p>
        </w:tc>
        <w:tc>
          <w:tcPr>
            <w:tcW w:w="1985" w:type="dxa"/>
            <w:tcBorders>
              <w:top w:val="single" w:sz="4" w:space="0" w:color="auto"/>
              <w:left w:val="nil"/>
              <w:bottom w:val="single" w:sz="4" w:space="0" w:color="auto"/>
              <w:right w:val="single" w:sz="4" w:space="0" w:color="auto"/>
            </w:tcBorders>
            <w:shd w:val="pct10" w:color="auto" w:fill="auto"/>
            <w:noWrap/>
          </w:tcPr>
          <w:p w14:paraId="68610408" w14:textId="77777777" w:rsidR="00221B6E" w:rsidRPr="00D44A12" w:rsidRDefault="00221B6E" w:rsidP="00560EE8">
            <w:pPr>
              <w:pStyle w:val="Tabletext"/>
              <w:spacing w:before="40" w:after="40"/>
              <w:rPr>
                <w:rFonts w:cs="Calibri"/>
                <w:color w:val="000000"/>
                <w:sz w:val="20"/>
                <w:lang w:eastAsia="zh-CN"/>
              </w:rPr>
            </w:pPr>
            <w:r w:rsidRPr="00D44A12">
              <w:rPr>
                <w:rFonts w:cs="Calibri"/>
                <w:color w:val="000000"/>
                <w:sz w:val="20"/>
                <w:lang w:eastAsia="zh-CN"/>
              </w:rPr>
              <w:t> </w:t>
            </w:r>
          </w:p>
        </w:tc>
        <w:tc>
          <w:tcPr>
            <w:tcW w:w="709" w:type="dxa"/>
            <w:tcBorders>
              <w:top w:val="single" w:sz="4" w:space="0" w:color="auto"/>
              <w:left w:val="nil"/>
              <w:bottom w:val="single" w:sz="4" w:space="0" w:color="auto"/>
              <w:right w:val="single" w:sz="4" w:space="0" w:color="auto"/>
            </w:tcBorders>
            <w:shd w:val="pct10" w:color="auto" w:fill="auto"/>
            <w:vAlign w:val="center"/>
          </w:tcPr>
          <w:p w14:paraId="6CE483D1" w14:textId="77777777" w:rsidR="00221B6E" w:rsidRPr="00D44A12" w:rsidRDefault="00221B6E" w:rsidP="0060738E">
            <w:pPr>
              <w:pStyle w:val="Tabletext"/>
              <w:spacing w:before="40" w:after="40"/>
              <w:jc w:val="center"/>
              <w:rPr>
                <w:rFonts w:cs="Calibri"/>
                <w:b/>
                <w:bCs/>
                <w:color w:val="000000"/>
                <w:sz w:val="20"/>
                <w:lang w:eastAsia="zh-CN"/>
              </w:rPr>
            </w:pPr>
            <w:r w:rsidRPr="00D44A12">
              <w:rPr>
                <w:rFonts w:cs="Calibri"/>
                <w:b/>
                <w:bCs/>
                <w:color w:val="000000"/>
                <w:sz w:val="20"/>
                <w:lang w:eastAsia="zh-CN"/>
              </w:rPr>
              <w:t>3</w:t>
            </w:r>
          </w:p>
        </w:tc>
        <w:tc>
          <w:tcPr>
            <w:tcW w:w="708" w:type="dxa"/>
            <w:tcBorders>
              <w:top w:val="single" w:sz="4" w:space="0" w:color="auto"/>
              <w:left w:val="nil"/>
              <w:bottom w:val="single" w:sz="4" w:space="0" w:color="auto"/>
              <w:right w:val="single" w:sz="4" w:space="0" w:color="auto"/>
            </w:tcBorders>
            <w:shd w:val="pct10" w:color="auto" w:fill="auto"/>
            <w:vAlign w:val="center"/>
          </w:tcPr>
          <w:p w14:paraId="15A1CBC2" w14:textId="77777777" w:rsidR="00221B6E" w:rsidRPr="00D44A12" w:rsidRDefault="00221B6E" w:rsidP="0060738E">
            <w:pPr>
              <w:pStyle w:val="Tabletext"/>
              <w:spacing w:before="40" w:after="40"/>
              <w:jc w:val="center"/>
              <w:rPr>
                <w:rFonts w:cs="Calibri"/>
                <w:b/>
                <w:bCs/>
                <w:color w:val="000000"/>
                <w:sz w:val="20"/>
                <w:lang w:eastAsia="zh-CN"/>
              </w:rPr>
            </w:pPr>
            <w:r w:rsidRPr="00D44A12">
              <w:rPr>
                <w:rFonts w:cs="Calibri"/>
                <w:b/>
                <w:bCs/>
                <w:color w:val="000000"/>
                <w:sz w:val="20"/>
                <w:lang w:eastAsia="zh-CN"/>
              </w:rPr>
              <w:t>11</w:t>
            </w:r>
          </w:p>
        </w:tc>
        <w:tc>
          <w:tcPr>
            <w:tcW w:w="709" w:type="dxa"/>
            <w:tcBorders>
              <w:top w:val="single" w:sz="4" w:space="0" w:color="auto"/>
              <w:left w:val="nil"/>
              <w:bottom w:val="single" w:sz="4" w:space="0" w:color="auto"/>
              <w:right w:val="single" w:sz="4" w:space="0" w:color="auto"/>
            </w:tcBorders>
            <w:shd w:val="pct10" w:color="auto" w:fill="auto"/>
            <w:vAlign w:val="center"/>
          </w:tcPr>
          <w:p w14:paraId="7B129B6D" w14:textId="77777777" w:rsidR="00221B6E" w:rsidRPr="00D44A12" w:rsidRDefault="00221B6E" w:rsidP="0060738E">
            <w:pPr>
              <w:pStyle w:val="Tabletext"/>
              <w:spacing w:before="40" w:after="40"/>
              <w:jc w:val="center"/>
              <w:rPr>
                <w:rFonts w:cs="Calibri"/>
                <w:b/>
                <w:bCs/>
                <w:color w:val="000000"/>
                <w:sz w:val="20"/>
                <w:lang w:eastAsia="zh-CN"/>
              </w:rPr>
            </w:pPr>
            <w:r w:rsidRPr="00D44A12">
              <w:rPr>
                <w:rFonts w:cs="Calibri"/>
                <w:b/>
                <w:bCs/>
                <w:color w:val="000000"/>
                <w:sz w:val="20"/>
                <w:lang w:eastAsia="zh-CN"/>
              </w:rPr>
              <w:t>8</w:t>
            </w:r>
          </w:p>
        </w:tc>
        <w:tc>
          <w:tcPr>
            <w:tcW w:w="1545" w:type="dxa"/>
            <w:tcBorders>
              <w:top w:val="single" w:sz="4" w:space="0" w:color="auto"/>
              <w:left w:val="nil"/>
              <w:bottom w:val="single" w:sz="4" w:space="0" w:color="auto"/>
              <w:right w:val="single" w:sz="4" w:space="0" w:color="auto"/>
            </w:tcBorders>
            <w:shd w:val="pct10" w:color="auto" w:fill="auto"/>
            <w:vAlign w:val="center"/>
          </w:tcPr>
          <w:p w14:paraId="13E1AF85" w14:textId="77777777" w:rsidR="00221B6E" w:rsidRPr="00D44A12" w:rsidRDefault="00221B6E" w:rsidP="0060738E">
            <w:pPr>
              <w:pStyle w:val="Tabletext"/>
              <w:spacing w:before="40" w:after="40"/>
              <w:jc w:val="center"/>
              <w:rPr>
                <w:rFonts w:cs="Calibri"/>
                <w:b/>
                <w:bCs/>
                <w:color w:val="000000"/>
                <w:sz w:val="20"/>
                <w:lang w:eastAsia="zh-CN"/>
              </w:rPr>
            </w:pPr>
            <w:r w:rsidRPr="00D44A12">
              <w:rPr>
                <w:rFonts w:cs="Calibri"/>
                <w:b/>
                <w:bCs/>
                <w:color w:val="000000"/>
                <w:sz w:val="20"/>
                <w:lang w:eastAsia="zh-CN"/>
              </w:rPr>
              <w:t>4</w:t>
            </w:r>
          </w:p>
        </w:tc>
      </w:tr>
    </w:tbl>
    <w:p w14:paraId="17F830F1" w14:textId="77777777" w:rsidR="006E0E41" w:rsidRPr="00D44A12" w:rsidRDefault="006E0E41" w:rsidP="00D568EA">
      <w:r w:rsidRPr="00D44A12">
        <w:br w:type="page"/>
      </w:r>
    </w:p>
    <w:p w14:paraId="277A3C62" w14:textId="77777777" w:rsidR="006841B8" w:rsidRPr="00D44A12" w:rsidRDefault="006841B8" w:rsidP="00D568EA">
      <w:pPr>
        <w:pStyle w:val="AnnexNo"/>
      </w:pPr>
      <w:bookmarkStart w:id="64" w:name="lt_pId298"/>
      <w:r w:rsidRPr="00D44A12">
        <w:lastRenderedPageBreak/>
        <w:t>ANNEXE 2</w:t>
      </w:r>
    </w:p>
    <w:p w14:paraId="176B433C" w14:textId="77777777" w:rsidR="006841B8" w:rsidRPr="00D44A12" w:rsidRDefault="006841B8" w:rsidP="00D568EA">
      <w:pPr>
        <w:jc w:val="center"/>
        <w:rPr>
          <w:rFonts w:asciiTheme="minorHAnsi" w:hAnsiTheme="minorHAnsi"/>
        </w:rPr>
      </w:pPr>
      <w:r w:rsidRPr="00D44A12">
        <w:rPr>
          <w:rFonts w:asciiTheme="minorHAnsi" w:hAnsiTheme="minorHAnsi"/>
        </w:rPr>
        <w:t xml:space="preserve">MEMBRES EXCLUS AVEC EFFET AU 30 </w:t>
      </w:r>
      <w:r w:rsidR="00AF74F7" w:rsidRPr="00D44A12">
        <w:rPr>
          <w:rFonts w:asciiTheme="minorHAnsi" w:hAnsiTheme="minorHAnsi"/>
        </w:rPr>
        <w:t>JUIN 2019</w:t>
      </w:r>
    </w:p>
    <w:p w14:paraId="08FF2127" w14:textId="0720B863" w:rsidR="006841B8" w:rsidRPr="00D44A12" w:rsidRDefault="006841B8" w:rsidP="00D568EA">
      <w:pPr>
        <w:spacing w:before="240" w:after="80"/>
        <w:jc w:val="center"/>
        <w:rPr>
          <w:rFonts w:asciiTheme="minorHAnsi" w:hAnsiTheme="minorHAnsi"/>
          <w:i/>
          <w:iCs/>
        </w:rPr>
      </w:pPr>
      <w:r w:rsidRPr="00D44A12">
        <w:rPr>
          <w:rFonts w:asciiTheme="minorHAnsi" w:hAnsiTheme="minorHAnsi"/>
          <w:i/>
          <w:iCs/>
        </w:rPr>
        <w:t>Participation "gelée" depuis janvier 201</w:t>
      </w:r>
      <w:r w:rsidR="00AF74F7" w:rsidRPr="00D44A12">
        <w:rPr>
          <w:rFonts w:asciiTheme="minorHAnsi" w:hAnsiTheme="minorHAnsi"/>
          <w:i/>
          <w:iCs/>
        </w:rPr>
        <w:t>8</w:t>
      </w:r>
      <w:r w:rsidR="00F62A08" w:rsidRPr="00D44A12">
        <w:rPr>
          <w:rFonts w:asciiTheme="minorHAnsi" w:hAnsiTheme="minorHAnsi"/>
          <w:i/>
          <w:iCs/>
        </w:rPr>
        <w:t xml:space="preserve"> et </w:t>
      </w:r>
      <w:r w:rsidR="001D2CDD" w:rsidRPr="00D44A12">
        <w:rPr>
          <w:rFonts w:asciiTheme="minorHAnsi" w:hAnsiTheme="minorHAnsi"/>
          <w:i/>
          <w:iCs/>
        </w:rPr>
        <w:t>antérieurement</w:t>
      </w:r>
      <w:r w:rsidRPr="00D44A12">
        <w:rPr>
          <w:rFonts w:asciiTheme="minorHAnsi" w:hAnsiTheme="minorHAnsi"/>
          <w:i/>
          <w:iCs/>
        </w:rPr>
        <w:t xml:space="preserve"> – Contributions </w:t>
      </w:r>
      <w:r w:rsidR="00560EE8" w:rsidRPr="00D44A12">
        <w:rPr>
          <w:rFonts w:asciiTheme="minorHAnsi" w:hAnsiTheme="minorHAnsi"/>
          <w:i/>
          <w:iCs/>
        </w:rPr>
        <w:br/>
      </w:r>
      <w:r w:rsidRPr="00D44A12">
        <w:rPr>
          <w:rFonts w:asciiTheme="minorHAnsi" w:hAnsiTheme="minorHAnsi"/>
          <w:i/>
          <w:iCs/>
        </w:rPr>
        <w:t xml:space="preserve">dues </w:t>
      </w:r>
      <w:r w:rsidR="001D2CDD" w:rsidRPr="00D44A12">
        <w:rPr>
          <w:rFonts w:asciiTheme="minorHAnsi" w:hAnsiTheme="minorHAnsi"/>
          <w:i/>
          <w:iCs/>
        </w:rPr>
        <w:t xml:space="preserve">à compter de </w:t>
      </w:r>
      <w:r w:rsidRPr="00D44A12">
        <w:rPr>
          <w:rFonts w:asciiTheme="minorHAnsi" w:hAnsiTheme="minorHAnsi"/>
          <w:i/>
          <w:iCs/>
        </w:rPr>
        <w:t>201</w:t>
      </w:r>
      <w:r w:rsidR="00AF74F7" w:rsidRPr="00D44A12">
        <w:rPr>
          <w:rFonts w:asciiTheme="minorHAnsi" w:hAnsiTheme="minorHAnsi"/>
          <w:i/>
          <w:iCs/>
        </w:rPr>
        <w:t>7</w:t>
      </w:r>
      <w:r w:rsidR="00F62A08" w:rsidRPr="00D44A12">
        <w:rPr>
          <w:rFonts w:asciiTheme="minorHAnsi" w:hAnsiTheme="minorHAnsi"/>
          <w:i/>
          <w:iCs/>
        </w:rPr>
        <w:t xml:space="preserve"> </w:t>
      </w:r>
      <w:r w:rsidR="001D2CDD" w:rsidRPr="00D44A12">
        <w:rPr>
          <w:rFonts w:asciiTheme="minorHAnsi" w:hAnsiTheme="minorHAnsi"/>
          <w:i/>
          <w:iCs/>
        </w:rPr>
        <w:t>ou antérieurement</w:t>
      </w:r>
    </w:p>
    <w:p w14:paraId="3EA78C2A" w14:textId="731F14CD" w:rsidR="006841B8" w:rsidRPr="00D44A12" w:rsidRDefault="00E54CE2" w:rsidP="00560EE8">
      <w:pPr>
        <w:spacing w:after="120"/>
        <w:jc w:val="center"/>
        <w:rPr>
          <w:rFonts w:asciiTheme="minorHAnsi" w:hAnsiTheme="minorHAnsi"/>
          <w:i/>
          <w:iCs/>
        </w:rPr>
      </w:pPr>
      <w:r w:rsidRPr="00D44A12">
        <w:rPr>
          <w:rFonts w:asciiTheme="minorHAnsi" w:hAnsiTheme="minorHAnsi"/>
          <w:i/>
          <w:iCs/>
        </w:rPr>
        <w:t>État</w:t>
      </w:r>
      <w:r w:rsidR="006841B8" w:rsidRPr="00D44A12">
        <w:rPr>
          <w:rFonts w:asciiTheme="minorHAnsi" w:hAnsiTheme="minorHAnsi"/>
          <w:i/>
          <w:iCs/>
        </w:rPr>
        <w:t xml:space="preserve"> au </w:t>
      </w:r>
      <w:r w:rsidR="00AF74F7" w:rsidRPr="00D44A12">
        <w:rPr>
          <w:rFonts w:asciiTheme="minorHAnsi" w:hAnsiTheme="minorHAnsi"/>
          <w:i/>
          <w:iCs/>
        </w:rPr>
        <w:t>5 avril 2019</w:t>
      </w:r>
    </w:p>
    <w:tbl>
      <w:tblPr>
        <w:tblW w:w="9629" w:type="dxa"/>
        <w:jc w:val="center"/>
        <w:tblLook w:val="04A0" w:firstRow="1" w:lastRow="0" w:firstColumn="1" w:lastColumn="0" w:noHBand="0" w:noVBand="1"/>
      </w:tblPr>
      <w:tblGrid>
        <w:gridCol w:w="2689"/>
        <w:gridCol w:w="3730"/>
        <w:gridCol w:w="3210"/>
      </w:tblGrid>
      <w:tr w:rsidR="006841B8" w:rsidRPr="00D44A12" w14:paraId="45BCCABF" w14:textId="77777777" w:rsidTr="0060738E">
        <w:trPr>
          <w:trHeight w:val="480"/>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DDDDDD"/>
            <w:noWrap/>
            <w:hideMark/>
          </w:tcPr>
          <w:p w14:paraId="3CB90D89" w14:textId="77777777" w:rsidR="006841B8" w:rsidRPr="00D44A12" w:rsidRDefault="006841B8" w:rsidP="00560EE8">
            <w:pPr>
              <w:pStyle w:val="Tablehead"/>
              <w:spacing w:before="40" w:after="40"/>
              <w:rPr>
                <w:sz w:val="20"/>
              </w:rPr>
            </w:pPr>
            <w:r w:rsidRPr="00D44A12">
              <w:rPr>
                <w:sz w:val="20"/>
              </w:rPr>
              <w:t>Pays</w:t>
            </w:r>
          </w:p>
        </w:tc>
        <w:tc>
          <w:tcPr>
            <w:tcW w:w="3730" w:type="dxa"/>
            <w:tcBorders>
              <w:top w:val="single" w:sz="4" w:space="0" w:color="auto"/>
              <w:left w:val="nil"/>
              <w:bottom w:val="single" w:sz="4" w:space="0" w:color="auto"/>
              <w:right w:val="single" w:sz="4" w:space="0" w:color="auto"/>
            </w:tcBorders>
            <w:shd w:val="clear" w:color="auto" w:fill="DDDDDD"/>
            <w:noWrap/>
            <w:hideMark/>
          </w:tcPr>
          <w:p w14:paraId="2249184A" w14:textId="77777777" w:rsidR="006841B8" w:rsidRPr="00D44A12" w:rsidRDefault="006841B8" w:rsidP="00560EE8">
            <w:pPr>
              <w:pStyle w:val="Tablehead"/>
              <w:spacing w:before="40" w:after="40"/>
              <w:rPr>
                <w:sz w:val="20"/>
              </w:rPr>
            </w:pPr>
            <w:r w:rsidRPr="00D44A12">
              <w:rPr>
                <w:sz w:val="20"/>
              </w:rPr>
              <w:t>Membres de Secteur, Associés ou établissements universitaires</w:t>
            </w:r>
          </w:p>
        </w:tc>
        <w:tc>
          <w:tcPr>
            <w:tcW w:w="3210" w:type="dxa"/>
            <w:tcBorders>
              <w:top w:val="single" w:sz="4" w:space="0" w:color="auto"/>
              <w:left w:val="nil"/>
              <w:bottom w:val="single" w:sz="4" w:space="0" w:color="auto"/>
              <w:right w:val="single" w:sz="4" w:space="0" w:color="auto"/>
            </w:tcBorders>
            <w:shd w:val="clear" w:color="auto" w:fill="DDDDDD"/>
            <w:hideMark/>
          </w:tcPr>
          <w:p w14:paraId="6935885A" w14:textId="77777777" w:rsidR="006841B8" w:rsidRPr="00D44A12" w:rsidRDefault="006841B8" w:rsidP="00560EE8">
            <w:pPr>
              <w:pStyle w:val="Tablehead"/>
              <w:spacing w:before="40" w:after="40"/>
              <w:rPr>
                <w:sz w:val="20"/>
              </w:rPr>
            </w:pPr>
            <w:r w:rsidRPr="00D44A12">
              <w:rPr>
                <w:sz w:val="20"/>
              </w:rPr>
              <w:t>Période/Secteur</w:t>
            </w:r>
          </w:p>
        </w:tc>
      </w:tr>
      <w:tr w:rsidR="00AF74F7" w:rsidRPr="00D44A12" w14:paraId="261E1CC5"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76BAEA5C" w14:textId="77777777" w:rsidR="00AF74F7" w:rsidRPr="00D44A12" w:rsidRDefault="00AF74F7" w:rsidP="00560EE8">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ALGÉRIE</w:t>
            </w:r>
          </w:p>
        </w:tc>
        <w:tc>
          <w:tcPr>
            <w:tcW w:w="3730" w:type="dxa"/>
            <w:tcBorders>
              <w:top w:val="nil"/>
              <w:left w:val="nil"/>
              <w:bottom w:val="single" w:sz="4" w:space="0" w:color="auto"/>
              <w:right w:val="single" w:sz="4" w:space="0" w:color="auto"/>
            </w:tcBorders>
            <w:shd w:val="clear" w:color="auto" w:fill="FFFFFF"/>
          </w:tcPr>
          <w:p w14:paraId="7BBDB79D" w14:textId="77777777" w:rsidR="00AF74F7" w:rsidRPr="00D44A12" w:rsidRDefault="00AF74F7" w:rsidP="00560EE8">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Centre de Développement des Technologies avancées</w:t>
            </w:r>
          </w:p>
        </w:tc>
        <w:tc>
          <w:tcPr>
            <w:tcW w:w="3210" w:type="dxa"/>
            <w:tcBorders>
              <w:top w:val="nil"/>
              <w:left w:val="nil"/>
              <w:bottom w:val="single" w:sz="4" w:space="0" w:color="auto"/>
              <w:right w:val="single" w:sz="4" w:space="0" w:color="auto"/>
            </w:tcBorders>
            <w:shd w:val="clear" w:color="auto" w:fill="FFFFFF"/>
            <w:noWrap/>
            <w:vAlign w:val="center"/>
          </w:tcPr>
          <w:p w14:paraId="383A0D54" w14:textId="77777777" w:rsidR="00AF74F7" w:rsidRPr="00D44A12" w:rsidRDefault="00AF74F7" w:rsidP="0060738E">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2015/</w:t>
            </w:r>
            <w:r w:rsidR="00CB3971" w:rsidRPr="00D44A12">
              <w:rPr>
                <w:rFonts w:asciiTheme="minorHAnsi" w:hAnsiTheme="minorHAnsi" w:cstheme="minorHAnsi"/>
                <w:sz w:val="20"/>
              </w:rPr>
              <w:t>É</w:t>
            </w:r>
            <w:r w:rsidRPr="00D44A12">
              <w:rPr>
                <w:rFonts w:asciiTheme="minorHAnsi" w:hAnsiTheme="minorHAnsi" w:cstheme="minorHAnsi"/>
                <w:sz w:val="20"/>
              </w:rPr>
              <w:t>tablissements universitaires</w:t>
            </w:r>
          </w:p>
        </w:tc>
      </w:tr>
      <w:tr w:rsidR="00AF74F7" w:rsidRPr="00D44A12" w14:paraId="68ED38DE"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6C426F74"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COSTA RICA</w:t>
            </w:r>
          </w:p>
        </w:tc>
        <w:tc>
          <w:tcPr>
            <w:tcW w:w="3730" w:type="dxa"/>
            <w:tcBorders>
              <w:top w:val="nil"/>
              <w:left w:val="nil"/>
              <w:bottom w:val="single" w:sz="4" w:space="0" w:color="auto"/>
              <w:right w:val="single" w:sz="4" w:space="0" w:color="auto"/>
            </w:tcBorders>
            <w:shd w:val="clear" w:color="auto" w:fill="FFFFFF"/>
          </w:tcPr>
          <w:p w14:paraId="4BBAB6B1" w14:textId="77777777" w:rsidR="00AF74F7" w:rsidRPr="00D44A12" w:rsidRDefault="00AF74F7" w:rsidP="00560EE8">
            <w:pPr>
              <w:pStyle w:val="Tabletext"/>
              <w:spacing w:before="40" w:after="40"/>
              <w:rPr>
                <w:rFonts w:asciiTheme="minorHAnsi" w:hAnsiTheme="minorHAnsi" w:cstheme="minorHAnsi"/>
                <w:color w:val="000000"/>
                <w:sz w:val="20"/>
                <w:lang w:eastAsia="zh-CN"/>
              </w:rPr>
            </w:pPr>
            <w:proofErr w:type="spellStart"/>
            <w:r w:rsidRPr="00D44A12">
              <w:rPr>
                <w:rFonts w:asciiTheme="minorHAnsi" w:hAnsiTheme="minorHAnsi" w:cstheme="minorHAnsi"/>
                <w:color w:val="000000"/>
                <w:sz w:val="20"/>
                <w:lang w:eastAsia="zh-CN"/>
              </w:rPr>
              <w:t>Universidad</w:t>
            </w:r>
            <w:proofErr w:type="spellEnd"/>
            <w:r w:rsidRPr="00D44A12">
              <w:rPr>
                <w:rFonts w:asciiTheme="minorHAnsi" w:hAnsiTheme="minorHAnsi" w:cstheme="minorHAnsi"/>
                <w:color w:val="000000"/>
                <w:sz w:val="20"/>
                <w:lang w:eastAsia="zh-CN"/>
              </w:rPr>
              <w:t xml:space="preserve"> de Costa Rica</w:t>
            </w:r>
          </w:p>
        </w:tc>
        <w:tc>
          <w:tcPr>
            <w:tcW w:w="3210" w:type="dxa"/>
            <w:tcBorders>
              <w:top w:val="nil"/>
              <w:left w:val="nil"/>
              <w:bottom w:val="single" w:sz="4" w:space="0" w:color="auto"/>
              <w:right w:val="single" w:sz="4" w:space="0" w:color="auto"/>
            </w:tcBorders>
            <w:shd w:val="clear" w:color="auto" w:fill="FFFFFF"/>
            <w:noWrap/>
            <w:vAlign w:val="center"/>
          </w:tcPr>
          <w:p w14:paraId="54FF8063"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sz w:val="20"/>
              </w:rPr>
              <w:t>É</w:t>
            </w:r>
            <w:r w:rsidRPr="00D44A12">
              <w:rPr>
                <w:rFonts w:asciiTheme="minorHAnsi" w:hAnsiTheme="minorHAnsi" w:cstheme="minorHAnsi"/>
                <w:sz w:val="20"/>
              </w:rPr>
              <w:t>tablissements universitaires</w:t>
            </w:r>
          </w:p>
        </w:tc>
      </w:tr>
      <w:tr w:rsidR="00AF74F7" w:rsidRPr="00D44A12" w14:paraId="0AFFC345"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6FAB93DB"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GAMBIE</w:t>
            </w:r>
          </w:p>
        </w:tc>
        <w:tc>
          <w:tcPr>
            <w:tcW w:w="3730" w:type="dxa"/>
            <w:tcBorders>
              <w:top w:val="nil"/>
              <w:left w:val="nil"/>
              <w:bottom w:val="single" w:sz="4" w:space="0" w:color="auto"/>
              <w:right w:val="single" w:sz="4" w:space="0" w:color="auto"/>
            </w:tcBorders>
            <w:shd w:val="clear" w:color="auto" w:fill="FFFFFF"/>
          </w:tcPr>
          <w:p w14:paraId="24543863" w14:textId="77777777" w:rsidR="00AF74F7" w:rsidRPr="00D44A12" w:rsidRDefault="00AF74F7" w:rsidP="00560EE8">
            <w:pPr>
              <w:pStyle w:val="Tabletext"/>
              <w:spacing w:before="40" w:after="40"/>
              <w:rPr>
                <w:rFonts w:asciiTheme="minorHAnsi" w:hAnsiTheme="minorHAnsi" w:cstheme="minorHAnsi"/>
                <w:color w:val="000000"/>
                <w:sz w:val="20"/>
                <w:lang w:eastAsia="zh-CN"/>
              </w:rPr>
            </w:pPr>
            <w:proofErr w:type="spellStart"/>
            <w:r w:rsidRPr="00D44A12">
              <w:rPr>
                <w:rFonts w:asciiTheme="minorHAnsi" w:hAnsiTheme="minorHAnsi" w:cstheme="minorHAnsi"/>
                <w:color w:val="000000"/>
                <w:sz w:val="20"/>
                <w:lang w:eastAsia="zh-CN"/>
              </w:rPr>
              <w:t>Africell</w:t>
            </w:r>
            <w:proofErr w:type="spellEnd"/>
            <w:r w:rsidRPr="00D44A12">
              <w:rPr>
                <w:rFonts w:asciiTheme="minorHAnsi" w:hAnsiTheme="minorHAnsi" w:cstheme="minorHAnsi"/>
                <w:color w:val="000000"/>
                <w:sz w:val="20"/>
                <w:lang w:eastAsia="zh-CN"/>
              </w:rPr>
              <w:t xml:space="preserve"> Ltd.</w:t>
            </w:r>
          </w:p>
        </w:tc>
        <w:tc>
          <w:tcPr>
            <w:tcW w:w="3210" w:type="dxa"/>
            <w:tcBorders>
              <w:top w:val="nil"/>
              <w:left w:val="nil"/>
              <w:bottom w:val="single" w:sz="4" w:space="0" w:color="auto"/>
              <w:right w:val="single" w:sz="4" w:space="0" w:color="auto"/>
            </w:tcBorders>
            <w:shd w:val="clear" w:color="auto" w:fill="FFFFFF"/>
            <w:noWrap/>
            <w:vAlign w:val="center"/>
          </w:tcPr>
          <w:p w14:paraId="4E04034F"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color w:val="000000"/>
                <w:sz w:val="20"/>
                <w:lang w:eastAsia="zh-CN"/>
              </w:rPr>
              <w:t>UIT</w:t>
            </w:r>
            <w:r w:rsidRPr="00D44A12">
              <w:rPr>
                <w:rFonts w:asciiTheme="minorHAnsi" w:hAnsiTheme="minorHAnsi" w:cstheme="minorHAnsi"/>
                <w:color w:val="000000"/>
                <w:sz w:val="20"/>
                <w:lang w:eastAsia="zh-CN"/>
              </w:rPr>
              <w:t>-D</w:t>
            </w:r>
          </w:p>
        </w:tc>
      </w:tr>
      <w:tr w:rsidR="00AF74F7" w:rsidRPr="00D44A12" w14:paraId="30DEC855"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10F2F22E"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HONGRIE</w:t>
            </w:r>
          </w:p>
        </w:tc>
        <w:tc>
          <w:tcPr>
            <w:tcW w:w="3730" w:type="dxa"/>
            <w:tcBorders>
              <w:top w:val="nil"/>
              <w:left w:val="nil"/>
              <w:bottom w:val="single" w:sz="4" w:space="0" w:color="auto"/>
              <w:right w:val="single" w:sz="4" w:space="0" w:color="auto"/>
            </w:tcBorders>
            <w:shd w:val="clear" w:color="auto" w:fill="FFFFFF"/>
          </w:tcPr>
          <w:p w14:paraId="53418675"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 xml:space="preserve">Tel2tel </w:t>
            </w:r>
            <w:proofErr w:type="spellStart"/>
            <w:r w:rsidRPr="00D44A12">
              <w:rPr>
                <w:rFonts w:asciiTheme="minorHAnsi" w:hAnsiTheme="minorHAnsi" w:cstheme="minorHAnsi"/>
                <w:color w:val="000000"/>
                <w:sz w:val="20"/>
                <w:lang w:eastAsia="zh-CN"/>
              </w:rPr>
              <w:t>Kft</w:t>
            </w:r>
            <w:proofErr w:type="spellEnd"/>
            <w:r w:rsidRPr="00D44A12">
              <w:rPr>
                <w:rFonts w:asciiTheme="minorHAnsi" w:hAnsiTheme="minorHAnsi" w:cstheme="minorHAnsi"/>
                <w:color w:val="000000"/>
                <w:sz w:val="20"/>
                <w:lang w:eastAsia="zh-CN"/>
              </w:rPr>
              <w:t>.</w:t>
            </w:r>
          </w:p>
        </w:tc>
        <w:tc>
          <w:tcPr>
            <w:tcW w:w="3210" w:type="dxa"/>
            <w:tcBorders>
              <w:top w:val="nil"/>
              <w:left w:val="nil"/>
              <w:bottom w:val="single" w:sz="4" w:space="0" w:color="auto"/>
              <w:right w:val="single" w:sz="4" w:space="0" w:color="auto"/>
            </w:tcBorders>
            <w:shd w:val="clear" w:color="auto" w:fill="FFFFFF"/>
            <w:noWrap/>
            <w:vAlign w:val="center"/>
          </w:tcPr>
          <w:p w14:paraId="13D015BE"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2017/Assoc</w:t>
            </w:r>
            <w:r w:rsidR="00CB3971" w:rsidRPr="00D44A12">
              <w:rPr>
                <w:rFonts w:asciiTheme="minorHAnsi" w:hAnsiTheme="minorHAnsi" w:cstheme="minorHAnsi"/>
                <w:color w:val="000000"/>
                <w:sz w:val="20"/>
                <w:lang w:eastAsia="zh-CN"/>
              </w:rPr>
              <w:t>iés</w:t>
            </w:r>
            <w:r w:rsidRPr="00D44A12">
              <w:rPr>
                <w:rFonts w:asciiTheme="minorHAnsi" w:hAnsiTheme="minorHAnsi" w:cstheme="minorHAnsi"/>
                <w:color w:val="000000"/>
                <w:sz w:val="20"/>
                <w:lang w:eastAsia="zh-CN"/>
              </w:rPr>
              <w:t xml:space="preserve"> ITU-T</w:t>
            </w:r>
          </w:p>
        </w:tc>
      </w:tr>
      <w:tr w:rsidR="00AF74F7" w:rsidRPr="00D44A12" w14:paraId="518E87BD"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6DB82218" w14:textId="77777777" w:rsidR="00AF74F7" w:rsidRPr="00D44A12" w:rsidRDefault="00AF74F7" w:rsidP="00560EE8">
            <w:pPr>
              <w:pStyle w:val="Tabletext"/>
              <w:spacing w:before="40" w:after="40"/>
              <w:rPr>
                <w:rFonts w:asciiTheme="minorHAnsi" w:hAnsiTheme="minorHAnsi" w:cstheme="minorHAnsi"/>
                <w:sz w:val="20"/>
              </w:rPr>
            </w:pPr>
            <w:r w:rsidRPr="00D44A12">
              <w:rPr>
                <w:rFonts w:asciiTheme="minorHAnsi" w:hAnsiTheme="minorHAnsi" w:cstheme="minorHAnsi"/>
                <w:sz w:val="20"/>
              </w:rPr>
              <w:t>INDE</w:t>
            </w:r>
          </w:p>
        </w:tc>
        <w:tc>
          <w:tcPr>
            <w:tcW w:w="3730" w:type="dxa"/>
            <w:tcBorders>
              <w:top w:val="nil"/>
              <w:left w:val="nil"/>
              <w:bottom w:val="single" w:sz="4" w:space="0" w:color="auto"/>
              <w:right w:val="single" w:sz="4" w:space="0" w:color="auto"/>
            </w:tcBorders>
            <w:shd w:val="clear" w:color="auto" w:fill="FFFFFF"/>
          </w:tcPr>
          <w:p w14:paraId="4C00DBEB" w14:textId="77777777" w:rsidR="00AF74F7" w:rsidRPr="00EF4A1F" w:rsidRDefault="00AF74F7" w:rsidP="00560EE8">
            <w:pPr>
              <w:pStyle w:val="Tabletext"/>
              <w:spacing w:before="40" w:after="40"/>
              <w:rPr>
                <w:rFonts w:asciiTheme="minorHAnsi" w:hAnsiTheme="minorHAnsi" w:cstheme="minorHAnsi"/>
                <w:color w:val="000000"/>
                <w:sz w:val="20"/>
                <w:lang w:val="en-GB" w:eastAsia="zh-CN"/>
              </w:rPr>
            </w:pPr>
            <w:r w:rsidRPr="00EF4A1F">
              <w:rPr>
                <w:rFonts w:asciiTheme="minorHAnsi" w:hAnsiTheme="minorHAnsi" w:cstheme="minorHAnsi"/>
                <w:color w:val="000000"/>
                <w:sz w:val="20"/>
                <w:lang w:val="en-GB" w:eastAsia="zh-CN"/>
              </w:rPr>
              <w:t>Amity Institute of Telecom Engineering &amp; Management, Amity University</w:t>
            </w:r>
          </w:p>
        </w:tc>
        <w:tc>
          <w:tcPr>
            <w:tcW w:w="3210" w:type="dxa"/>
            <w:tcBorders>
              <w:top w:val="nil"/>
              <w:left w:val="nil"/>
              <w:bottom w:val="single" w:sz="4" w:space="0" w:color="auto"/>
              <w:right w:val="single" w:sz="4" w:space="0" w:color="auto"/>
            </w:tcBorders>
            <w:shd w:val="clear" w:color="auto" w:fill="FFFFFF"/>
            <w:noWrap/>
            <w:vAlign w:val="center"/>
          </w:tcPr>
          <w:p w14:paraId="5801A11C"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sz w:val="20"/>
              </w:rPr>
              <w:t>É</w:t>
            </w:r>
            <w:r w:rsidRPr="00D44A12">
              <w:rPr>
                <w:rFonts w:asciiTheme="minorHAnsi" w:hAnsiTheme="minorHAnsi" w:cstheme="minorHAnsi"/>
                <w:sz w:val="20"/>
              </w:rPr>
              <w:t>tablissements universitaires</w:t>
            </w:r>
          </w:p>
        </w:tc>
      </w:tr>
      <w:tr w:rsidR="00AF74F7" w:rsidRPr="00D44A12" w14:paraId="080411E1"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63FA2BF5"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ISRAËL</w:t>
            </w:r>
          </w:p>
        </w:tc>
        <w:tc>
          <w:tcPr>
            <w:tcW w:w="3730" w:type="dxa"/>
            <w:tcBorders>
              <w:top w:val="nil"/>
              <w:left w:val="nil"/>
              <w:bottom w:val="single" w:sz="4" w:space="0" w:color="auto"/>
              <w:right w:val="single" w:sz="4" w:space="0" w:color="auto"/>
            </w:tcBorders>
            <w:shd w:val="clear" w:color="auto" w:fill="FFFFFF"/>
          </w:tcPr>
          <w:p w14:paraId="0F754F17"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IP Light</w:t>
            </w:r>
          </w:p>
        </w:tc>
        <w:tc>
          <w:tcPr>
            <w:tcW w:w="3210" w:type="dxa"/>
            <w:tcBorders>
              <w:top w:val="nil"/>
              <w:left w:val="nil"/>
              <w:bottom w:val="single" w:sz="4" w:space="0" w:color="auto"/>
              <w:right w:val="single" w:sz="4" w:space="0" w:color="auto"/>
            </w:tcBorders>
            <w:shd w:val="clear" w:color="auto" w:fill="FFFFFF"/>
            <w:noWrap/>
            <w:vAlign w:val="center"/>
          </w:tcPr>
          <w:p w14:paraId="2267ED37" w14:textId="77777777" w:rsidR="00AF74F7" w:rsidRPr="00D44A12" w:rsidRDefault="00CB3971"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AF74F7" w:rsidRPr="00D44A12">
              <w:rPr>
                <w:rFonts w:asciiTheme="minorHAnsi" w:hAnsiTheme="minorHAnsi" w:cstheme="minorHAnsi"/>
                <w:color w:val="000000"/>
                <w:sz w:val="20"/>
                <w:lang w:eastAsia="zh-CN"/>
              </w:rPr>
              <w:t>Assoc</w:t>
            </w:r>
            <w:r w:rsidRPr="00D44A12">
              <w:rPr>
                <w:rFonts w:asciiTheme="minorHAnsi" w:hAnsiTheme="minorHAnsi" w:cstheme="minorHAnsi"/>
                <w:color w:val="000000"/>
                <w:sz w:val="20"/>
                <w:lang w:eastAsia="zh-CN"/>
              </w:rPr>
              <w:t>iés</w:t>
            </w:r>
            <w:r w:rsidR="00AF74F7" w:rsidRPr="00D44A12">
              <w:rPr>
                <w:rFonts w:asciiTheme="minorHAnsi" w:hAnsiTheme="minorHAnsi" w:cstheme="minorHAnsi"/>
                <w:color w:val="000000"/>
                <w:sz w:val="20"/>
                <w:lang w:eastAsia="zh-CN"/>
              </w:rPr>
              <w:t xml:space="preserve"> ITU-T</w:t>
            </w:r>
          </w:p>
        </w:tc>
      </w:tr>
      <w:tr w:rsidR="00AF74F7" w:rsidRPr="00D44A12" w14:paraId="5D2934BF"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1F2E8F60"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QATAR</w:t>
            </w:r>
          </w:p>
        </w:tc>
        <w:tc>
          <w:tcPr>
            <w:tcW w:w="3730" w:type="dxa"/>
            <w:tcBorders>
              <w:top w:val="nil"/>
              <w:left w:val="nil"/>
              <w:bottom w:val="single" w:sz="4" w:space="0" w:color="auto"/>
              <w:right w:val="single" w:sz="4" w:space="0" w:color="auto"/>
            </w:tcBorders>
            <w:shd w:val="clear" w:color="auto" w:fill="FFFFFF"/>
          </w:tcPr>
          <w:p w14:paraId="583F16E9" w14:textId="77777777" w:rsidR="00AF74F7" w:rsidRPr="00EF4A1F" w:rsidRDefault="00AF74F7" w:rsidP="00560EE8">
            <w:pPr>
              <w:pStyle w:val="Tabletext"/>
              <w:spacing w:before="40" w:after="40"/>
              <w:rPr>
                <w:rFonts w:asciiTheme="minorHAnsi" w:hAnsiTheme="minorHAnsi" w:cstheme="minorHAnsi"/>
                <w:color w:val="000000"/>
                <w:sz w:val="20"/>
                <w:lang w:val="en-GB" w:eastAsia="zh-CN"/>
              </w:rPr>
            </w:pPr>
            <w:r w:rsidRPr="00EF4A1F">
              <w:rPr>
                <w:rFonts w:asciiTheme="minorHAnsi" w:hAnsiTheme="minorHAnsi" w:cstheme="minorHAnsi"/>
                <w:color w:val="000000"/>
                <w:sz w:val="20"/>
                <w:lang w:val="en-GB" w:eastAsia="zh-CN"/>
              </w:rPr>
              <w:t xml:space="preserve">Qatar National Broadband Network – </w:t>
            </w:r>
            <w:proofErr w:type="spellStart"/>
            <w:r w:rsidRPr="00EF4A1F">
              <w:rPr>
                <w:rFonts w:asciiTheme="minorHAnsi" w:hAnsiTheme="minorHAnsi" w:cstheme="minorHAnsi"/>
                <w:color w:val="000000"/>
                <w:sz w:val="20"/>
                <w:lang w:val="en-GB" w:eastAsia="zh-CN"/>
              </w:rPr>
              <w:t>Qnbn</w:t>
            </w:r>
            <w:proofErr w:type="spellEnd"/>
          </w:p>
        </w:tc>
        <w:tc>
          <w:tcPr>
            <w:tcW w:w="3210" w:type="dxa"/>
            <w:tcBorders>
              <w:top w:val="nil"/>
              <w:left w:val="nil"/>
              <w:bottom w:val="single" w:sz="4" w:space="0" w:color="auto"/>
              <w:right w:val="single" w:sz="4" w:space="0" w:color="auto"/>
            </w:tcBorders>
            <w:shd w:val="clear" w:color="auto" w:fill="FFFFFF"/>
            <w:noWrap/>
            <w:vAlign w:val="center"/>
          </w:tcPr>
          <w:p w14:paraId="075EDBF7"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color w:val="000000"/>
                <w:sz w:val="20"/>
                <w:lang w:eastAsia="zh-CN"/>
              </w:rPr>
              <w:t>UIT</w:t>
            </w:r>
            <w:r w:rsidRPr="00D44A12">
              <w:rPr>
                <w:rFonts w:asciiTheme="minorHAnsi" w:hAnsiTheme="minorHAnsi" w:cstheme="minorHAnsi"/>
                <w:color w:val="000000"/>
                <w:sz w:val="20"/>
                <w:lang w:eastAsia="zh-CN"/>
              </w:rPr>
              <w:t>-T</w:t>
            </w:r>
          </w:p>
        </w:tc>
      </w:tr>
      <w:tr w:rsidR="00AF74F7" w:rsidRPr="00D44A12" w14:paraId="1B01EDFF"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10D96F10"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RÉPUBLIQUE SUDAFRICAINE</w:t>
            </w:r>
          </w:p>
        </w:tc>
        <w:tc>
          <w:tcPr>
            <w:tcW w:w="3730" w:type="dxa"/>
            <w:tcBorders>
              <w:top w:val="nil"/>
              <w:left w:val="nil"/>
              <w:bottom w:val="single" w:sz="4" w:space="0" w:color="auto"/>
              <w:right w:val="single" w:sz="4" w:space="0" w:color="auto"/>
            </w:tcBorders>
            <w:shd w:val="clear" w:color="auto" w:fill="FFFFFF"/>
          </w:tcPr>
          <w:p w14:paraId="00866CF7" w14:textId="77777777" w:rsidR="00AF74F7" w:rsidRPr="00EF4A1F" w:rsidRDefault="00AF74F7" w:rsidP="00560EE8">
            <w:pPr>
              <w:pStyle w:val="Tabletext"/>
              <w:spacing w:before="40" w:after="40"/>
              <w:rPr>
                <w:rFonts w:asciiTheme="minorHAnsi" w:hAnsiTheme="minorHAnsi" w:cstheme="minorHAnsi"/>
                <w:color w:val="000000"/>
                <w:sz w:val="20"/>
                <w:lang w:val="en-GB" w:eastAsia="zh-CN"/>
              </w:rPr>
            </w:pPr>
            <w:r w:rsidRPr="00EF4A1F">
              <w:rPr>
                <w:rFonts w:asciiTheme="minorHAnsi" w:hAnsiTheme="minorHAnsi" w:cstheme="minorHAnsi"/>
                <w:sz w:val="20"/>
                <w:lang w:val="en-GB"/>
              </w:rPr>
              <w:t>Mobile Telephone Networks (Pty) Ltd.  </w:t>
            </w:r>
          </w:p>
        </w:tc>
        <w:tc>
          <w:tcPr>
            <w:tcW w:w="3210" w:type="dxa"/>
            <w:tcBorders>
              <w:top w:val="nil"/>
              <w:left w:val="nil"/>
              <w:bottom w:val="single" w:sz="4" w:space="0" w:color="auto"/>
              <w:right w:val="single" w:sz="4" w:space="0" w:color="auto"/>
            </w:tcBorders>
            <w:shd w:val="clear" w:color="auto" w:fill="FFFFFF"/>
            <w:noWrap/>
            <w:vAlign w:val="center"/>
          </w:tcPr>
          <w:p w14:paraId="400F0364"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color w:val="000000"/>
                <w:sz w:val="20"/>
                <w:lang w:eastAsia="zh-CN"/>
              </w:rPr>
              <w:t>UIT</w:t>
            </w:r>
            <w:r w:rsidRPr="00D44A12">
              <w:rPr>
                <w:rFonts w:asciiTheme="minorHAnsi" w:hAnsiTheme="minorHAnsi" w:cstheme="minorHAnsi"/>
                <w:color w:val="000000"/>
                <w:sz w:val="20"/>
                <w:lang w:eastAsia="zh-CN"/>
              </w:rPr>
              <w:t>-D</w:t>
            </w:r>
          </w:p>
        </w:tc>
      </w:tr>
      <w:tr w:rsidR="00AF74F7" w:rsidRPr="00D44A12" w14:paraId="77B86BE2"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34140656" w14:textId="77777777" w:rsidR="00AF74F7" w:rsidRPr="00D44A12" w:rsidRDefault="00AF74F7" w:rsidP="00560EE8">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SOUDAN</w:t>
            </w:r>
          </w:p>
        </w:tc>
        <w:tc>
          <w:tcPr>
            <w:tcW w:w="3730" w:type="dxa"/>
            <w:tcBorders>
              <w:top w:val="nil"/>
              <w:left w:val="nil"/>
              <w:bottom w:val="single" w:sz="4" w:space="0" w:color="auto"/>
              <w:right w:val="single" w:sz="4" w:space="0" w:color="auto"/>
            </w:tcBorders>
            <w:shd w:val="clear" w:color="auto" w:fill="FFFFFF"/>
          </w:tcPr>
          <w:p w14:paraId="7F43DBA4" w14:textId="77777777" w:rsidR="00AF74F7" w:rsidRPr="00D44A12" w:rsidRDefault="00AF74F7" w:rsidP="00560EE8">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 xml:space="preserve">Canar </w:t>
            </w:r>
            <w:proofErr w:type="spellStart"/>
            <w:r w:rsidRPr="00D44A12">
              <w:rPr>
                <w:rFonts w:asciiTheme="minorHAnsi" w:hAnsiTheme="minorHAnsi" w:cstheme="minorHAnsi"/>
                <w:sz w:val="20"/>
                <w:lang w:eastAsia="zh-CN"/>
              </w:rPr>
              <w:t>Telecommunications</w:t>
            </w:r>
            <w:proofErr w:type="spellEnd"/>
            <w:r w:rsidRPr="00D44A12">
              <w:rPr>
                <w:rFonts w:asciiTheme="minorHAnsi" w:hAnsiTheme="minorHAnsi" w:cstheme="minorHAnsi"/>
                <w:sz w:val="20"/>
                <w:lang w:eastAsia="zh-CN"/>
              </w:rPr>
              <w:t xml:space="preserve"> Corporation Limited (</w:t>
            </w:r>
            <w:proofErr w:type="spellStart"/>
            <w:r w:rsidRPr="00D44A12">
              <w:rPr>
                <w:rFonts w:asciiTheme="minorHAnsi" w:hAnsiTheme="minorHAnsi" w:cstheme="minorHAnsi"/>
                <w:sz w:val="20"/>
                <w:lang w:eastAsia="zh-CN"/>
              </w:rPr>
              <w:t>Canartel</w:t>
            </w:r>
            <w:proofErr w:type="spellEnd"/>
            <w:r w:rsidRPr="00D44A12">
              <w:rPr>
                <w:rFonts w:asciiTheme="minorHAnsi" w:hAnsiTheme="minorHAnsi" w:cstheme="minorHAnsi"/>
                <w:sz w:val="20"/>
                <w:lang w:eastAsia="zh-CN"/>
              </w:rPr>
              <w:t>)</w:t>
            </w:r>
          </w:p>
        </w:tc>
        <w:tc>
          <w:tcPr>
            <w:tcW w:w="3210" w:type="dxa"/>
            <w:tcBorders>
              <w:top w:val="nil"/>
              <w:left w:val="nil"/>
              <w:bottom w:val="single" w:sz="4" w:space="0" w:color="auto"/>
              <w:right w:val="single" w:sz="4" w:space="0" w:color="auto"/>
            </w:tcBorders>
            <w:shd w:val="clear" w:color="auto" w:fill="FFFFFF"/>
            <w:noWrap/>
            <w:vAlign w:val="center"/>
          </w:tcPr>
          <w:p w14:paraId="694E30F1" w14:textId="77777777" w:rsidR="00AF74F7" w:rsidRPr="00D44A12" w:rsidRDefault="00AF74F7" w:rsidP="0060738E">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2013/</w:t>
            </w:r>
            <w:r w:rsidR="00CB3971" w:rsidRPr="00D44A12">
              <w:rPr>
                <w:rFonts w:asciiTheme="minorHAnsi" w:hAnsiTheme="minorHAnsi" w:cstheme="minorHAnsi"/>
                <w:color w:val="000000"/>
                <w:sz w:val="20"/>
                <w:lang w:eastAsia="zh-CN"/>
              </w:rPr>
              <w:t>UIT</w:t>
            </w:r>
            <w:r w:rsidRPr="00D44A12">
              <w:rPr>
                <w:rFonts w:asciiTheme="minorHAnsi" w:hAnsiTheme="minorHAnsi" w:cstheme="minorHAnsi"/>
                <w:sz w:val="20"/>
                <w:lang w:eastAsia="zh-CN"/>
              </w:rPr>
              <w:t>-D</w:t>
            </w:r>
          </w:p>
        </w:tc>
      </w:tr>
      <w:tr w:rsidR="00AF74F7" w:rsidRPr="00D44A12" w14:paraId="783C2121"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790FB13D" w14:textId="77777777" w:rsidR="00AF74F7" w:rsidRPr="00D44A12" w:rsidRDefault="00AF74F7" w:rsidP="00560EE8">
            <w:pPr>
              <w:pStyle w:val="Tabletext"/>
              <w:spacing w:before="40" w:after="40"/>
              <w:rPr>
                <w:rFonts w:asciiTheme="minorHAnsi" w:hAnsiTheme="minorHAnsi" w:cstheme="minorHAnsi"/>
                <w:sz w:val="20"/>
                <w:lang w:eastAsia="zh-CN"/>
              </w:rPr>
            </w:pPr>
          </w:p>
        </w:tc>
        <w:tc>
          <w:tcPr>
            <w:tcW w:w="3730" w:type="dxa"/>
            <w:tcBorders>
              <w:top w:val="nil"/>
              <w:left w:val="nil"/>
              <w:bottom w:val="single" w:sz="4" w:space="0" w:color="auto"/>
              <w:right w:val="single" w:sz="4" w:space="0" w:color="auto"/>
            </w:tcBorders>
            <w:shd w:val="clear" w:color="auto" w:fill="FFFFFF"/>
          </w:tcPr>
          <w:p w14:paraId="6A0F5FFA" w14:textId="77777777" w:rsidR="00AF74F7" w:rsidRPr="00EF4A1F" w:rsidRDefault="00AF74F7" w:rsidP="00560EE8">
            <w:pPr>
              <w:pStyle w:val="Tabletext"/>
              <w:spacing w:before="40" w:after="40"/>
              <w:rPr>
                <w:rFonts w:asciiTheme="minorHAnsi" w:hAnsiTheme="minorHAnsi" w:cstheme="minorHAnsi"/>
                <w:sz w:val="20"/>
                <w:lang w:val="en-GB" w:eastAsia="zh-CN"/>
              </w:rPr>
            </w:pPr>
            <w:r w:rsidRPr="00EF4A1F">
              <w:rPr>
                <w:rFonts w:asciiTheme="minorHAnsi" w:hAnsiTheme="minorHAnsi" w:cstheme="minorHAnsi"/>
                <w:sz w:val="20"/>
                <w:lang w:val="en-GB" w:eastAsia="zh-CN"/>
              </w:rPr>
              <w:t>Garden City College for Science &amp; Technology</w:t>
            </w:r>
          </w:p>
        </w:tc>
        <w:tc>
          <w:tcPr>
            <w:tcW w:w="3210" w:type="dxa"/>
            <w:tcBorders>
              <w:top w:val="nil"/>
              <w:left w:val="nil"/>
              <w:bottom w:val="single" w:sz="4" w:space="0" w:color="auto"/>
              <w:right w:val="single" w:sz="4" w:space="0" w:color="auto"/>
            </w:tcBorders>
            <w:shd w:val="clear" w:color="auto" w:fill="FFFFFF"/>
            <w:noWrap/>
            <w:vAlign w:val="center"/>
          </w:tcPr>
          <w:p w14:paraId="6AE1EC89" w14:textId="77777777" w:rsidR="00AF74F7" w:rsidRPr="00D44A12" w:rsidRDefault="00AF74F7" w:rsidP="0060738E">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2013/</w:t>
            </w:r>
            <w:r w:rsidR="00CB3971" w:rsidRPr="00D44A12">
              <w:rPr>
                <w:rFonts w:asciiTheme="minorHAnsi" w:hAnsiTheme="minorHAnsi" w:cstheme="minorHAnsi"/>
                <w:sz w:val="20"/>
              </w:rPr>
              <w:t>É</w:t>
            </w:r>
            <w:r w:rsidRPr="00D44A12">
              <w:rPr>
                <w:rFonts w:asciiTheme="minorHAnsi" w:hAnsiTheme="minorHAnsi" w:cstheme="minorHAnsi"/>
                <w:sz w:val="20"/>
              </w:rPr>
              <w:t>tablissements universitaires</w:t>
            </w:r>
          </w:p>
        </w:tc>
      </w:tr>
      <w:tr w:rsidR="00AF74F7" w:rsidRPr="00D44A12" w14:paraId="4738D3B2"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35CFD56B" w14:textId="77777777" w:rsidR="00AF74F7" w:rsidRPr="00D44A12" w:rsidRDefault="00AF74F7" w:rsidP="00560EE8">
            <w:pPr>
              <w:pStyle w:val="Tabletext"/>
              <w:spacing w:before="40" w:after="40"/>
              <w:rPr>
                <w:rFonts w:asciiTheme="minorHAnsi" w:hAnsiTheme="minorHAnsi" w:cstheme="minorHAnsi"/>
                <w:sz w:val="20"/>
                <w:lang w:eastAsia="zh-CN"/>
              </w:rPr>
            </w:pPr>
          </w:p>
        </w:tc>
        <w:tc>
          <w:tcPr>
            <w:tcW w:w="3730" w:type="dxa"/>
            <w:tcBorders>
              <w:top w:val="nil"/>
              <w:left w:val="nil"/>
              <w:bottom w:val="single" w:sz="4" w:space="0" w:color="auto"/>
              <w:right w:val="single" w:sz="4" w:space="0" w:color="auto"/>
            </w:tcBorders>
            <w:shd w:val="clear" w:color="auto" w:fill="FFFFFF"/>
          </w:tcPr>
          <w:p w14:paraId="013B290A" w14:textId="77777777" w:rsidR="00AF74F7" w:rsidRPr="00D44A12" w:rsidRDefault="00AF74F7" w:rsidP="00560EE8">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 xml:space="preserve">Open </w:t>
            </w:r>
            <w:proofErr w:type="spellStart"/>
            <w:r w:rsidRPr="00D44A12">
              <w:rPr>
                <w:rFonts w:asciiTheme="minorHAnsi" w:hAnsiTheme="minorHAnsi" w:cstheme="minorHAnsi"/>
                <w:sz w:val="20"/>
                <w:lang w:eastAsia="zh-CN"/>
              </w:rPr>
              <w:t>University</w:t>
            </w:r>
            <w:proofErr w:type="spellEnd"/>
            <w:r w:rsidRPr="00D44A12">
              <w:rPr>
                <w:rFonts w:asciiTheme="minorHAnsi" w:hAnsiTheme="minorHAnsi" w:cstheme="minorHAnsi"/>
                <w:sz w:val="20"/>
                <w:lang w:eastAsia="zh-CN"/>
              </w:rPr>
              <w:t xml:space="preserve"> of Sudan</w:t>
            </w:r>
          </w:p>
        </w:tc>
        <w:tc>
          <w:tcPr>
            <w:tcW w:w="3210" w:type="dxa"/>
            <w:tcBorders>
              <w:top w:val="nil"/>
              <w:left w:val="nil"/>
              <w:bottom w:val="single" w:sz="4" w:space="0" w:color="auto"/>
              <w:right w:val="single" w:sz="4" w:space="0" w:color="auto"/>
            </w:tcBorders>
            <w:shd w:val="clear" w:color="auto" w:fill="FFFFFF"/>
            <w:noWrap/>
            <w:vAlign w:val="center"/>
          </w:tcPr>
          <w:p w14:paraId="55A21CD4" w14:textId="77777777" w:rsidR="00AF74F7" w:rsidRPr="00D44A12" w:rsidRDefault="00AF74F7" w:rsidP="0060738E">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2013/</w:t>
            </w:r>
            <w:r w:rsidR="00CB3971" w:rsidRPr="00D44A12">
              <w:rPr>
                <w:rFonts w:asciiTheme="minorHAnsi" w:hAnsiTheme="minorHAnsi" w:cstheme="minorHAnsi"/>
                <w:sz w:val="20"/>
              </w:rPr>
              <w:t>É</w:t>
            </w:r>
            <w:r w:rsidRPr="00D44A12">
              <w:rPr>
                <w:rFonts w:asciiTheme="minorHAnsi" w:hAnsiTheme="minorHAnsi" w:cstheme="minorHAnsi"/>
                <w:sz w:val="20"/>
              </w:rPr>
              <w:t>tablissements universitaires</w:t>
            </w:r>
          </w:p>
        </w:tc>
      </w:tr>
      <w:tr w:rsidR="00AF74F7" w:rsidRPr="00D44A12" w14:paraId="76EF3D0D"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6A1E416F" w14:textId="77777777" w:rsidR="00AF74F7" w:rsidRPr="00D44A12" w:rsidRDefault="00AF74F7" w:rsidP="00560EE8">
            <w:pPr>
              <w:pStyle w:val="Tabletext"/>
              <w:spacing w:before="40" w:after="40"/>
              <w:rPr>
                <w:rFonts w:asciiTheme="minorHAnsi" w:hAnsiTheme="minorHAnsi" w:cstheme="minorHAnsi"/>
                <w:sz w:val="20"/>
                <w:lang w:eastAsia="zh-CN"/>
              </w:rPr>
            </w:pPr>
          </w:p>
        </w:tc>
        <w:tc>
          <w:tcPr>
            <w:tcW w:w="3730" w:type="dxa"/>
            <w:tcBorders>
              <w:top w:val="nil"/>
              <w:left w:val="nil"/>
              <w:bottom w:val="single" w:sz="4" w:space="0" w:color="auto"/>
              <w:right w:val="single" w:sz="4" w:space="0" w:color="auto"/>
            </w:tcBorders>
            <w:shd w:val="clear" w:color="auto" w:fill="FFFFFF"/>
          </w:tcPr>
          <w:p w14:paraId="25C11D23" w14:textId="77777777" w:rsidR="00AF74F7" w:rsidRPr="00D44A12" w:rsidRDefault="00AF74F7" w:rsidP="00560EE8">
            <w:pPr>
              <w:pStyle w:val="Tabletext"/>
              <w:spacing w:before="40" w:after="40"/>
              <w:rPr>
                <w:rFonts w:asciiTheme="minorHAnsi" w:hAnsiTheme="minorHAnsi" w:cstheme="minorHAnsi"/>
                <w:sz w:val="20"/>
                <w:lang w:eastAsia="zh-CN"/>
              </w:rPr>
            </w:pPr>
            <w:proofErr w:type="spellStart"/>
            <w:r w:rsidRPr="00D44A12">
              <w:rPr>
                <w:rFonts w:asciiTheme="minorHAnsi" w:hAnsiTheme="minorHAnsi" w:cstheme="minorHAnsi"/>
                <w:sz w:val="20"/>
                <w:lang w:eastAsia="zh-CN"/>
              </w:rPr>
              <w:t>University</w:t>
            </w:r>
            <w:proofErr w:type="spellEnd"/>
            <w:r w:rsidRPr="00D44A12">
              <w:rPr>
                <w:rFonts w:asciiTheme="minorHAnsi" w:hAnsiTheme="minorHAnsi" w:cstheme="minorHAnsi"/>
                <w:sz w:val="20"/>
                <w:lang w:eastAsia="zh-CN"/>
              </w:rPr>
              <w:t xml:space="preserve"> of Khartoum</w:t>
            </w:r>
          </w:p>
        </w:tc>
        <w:tc>
          <w:tcPr>
            <w:tcW w:w="3210" w:type="dxa"/>
            <w:tcBorders>
              <w:top w:val="nil"/>
              <w:left w:val="nil"/>
              <w:bottom w:val="single" w:sz="4" w:space="0" w:color="auto"/>
              <w:right w:val="single" w:sz="4" w:space="0" w:color="auto"/>
            </w:tcBorders>
            <w:shd w:val="clear" w:color="auto" w:fill="FFFFFF"/>
            <w:noWrap/>
            <w:vAlign w:val="center"/>
          </w:tcPr>
          <w:p w14:paraId="7C878B12" w14:textId="77777777" w:rsidR="00AF74F7" w:rsidRPr="00D44A12" w:rsidRDefault="00AF74F7" w:rsidP="0060738E">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2013/</w:t>
            </w:r>
            <w:r w:rsidR="00CB3971" w:rsidRPr="00D44A12">
              <w:rPr>
                <w:rFonts w:asciiTheme="minorHAnsi" w:hAnsiTheme="minorHAnsi" w:cstheme="minorHAnsi"/>
                <w:sz w:val="20"/>
              </w:rPr>
              <w:t>É</w:t>
            </w:r>
            <w:r w:rsidRPr="00D44A12">
              <w:rPr>
                <w:rFonts w:asciiTheme="minorHAnsi" w:hAnsiTheme="minorHAnsi" w:cstheme="minorHAnsi"/>
                <w:sz w:val="20"/>
              </w:rPr>
              <w:t>tablissements universitaires</w:t>
            </w:r>
          </w:p>
        </w:tc>
      </w:tr>
      <w:tr w:rsidR="00AF74F7" w:rsidRPr="00D44A12" w14:paraId="3B1D6FD5"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53062451"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TOGO</w:t>
            </w:r>
          </w:p>
        </w:tc>
        <w:tc>
          <w:tcPr>
            <w:tcW w:w="3730" w:type="dxa"/>
            <w:tcBorders>
              <w:top w:val="nil"/>
              <w:left w:val="nil"/>
              <w:bottom w:val="single" w:sz="4" w:space="0" w:color="auto"/>
              <w:right w:val="single" w:sz="4" w:space="0" w:color="auto"/>
            </w:tcBorders>
            <w:shd w:val="clear" w:color="auto" w:fill="FFFFFF"/>
          </w:tcPr>
          <w:p w14:paraId="2DAC165D"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TOGO TELECOM</w:t>
            </w:r>
          </w:p>
        </w:tc>
        <w:tc>
          <w:tcPr>
            <w:tcW w:w="3210" w:type="dxa"/>
            <w:tcBorders>
              <w:top w:val="nil"/>
              <w:left w:val="nil"/>
              <w:bottom w:val="single" w:sz="4" w:space="0" w:color="auto"/>
              <w:right w:val="single" w:sz="4" w:space="0" w:color="auto"/>
            </w:tcBorders>
            <w:shd w:val="clear" w:color="auto" w:fill="FFFFFF"/>
            <w:noWrap/>
            <w:vAlign w:val="center"/>
          </w:tcPr>
          <w:p w14:paraId="3DE2A695"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color w:val="000000"/>
                <w:sz w:val="20"/>
                <w:lang w:eastAsia="zh-CN"/>
              </w:rPr>
              <w:t>UIT</w:t>
            </w:r>
            <w:r w:rsidRPr="00D44A12">
              <w:rPr>
                <w:rFonts w:asciiTheme="minorHAnsi" w:hAnsiTheme="minorHAnsi" w:cstheme="minorHAnsi"/>
                <w:color w:val="000000"/>
                <w:sz w:val="20"/>
                <w:lang w:eastAsia="zh-CN"/>
              </w:rPr>
              <w:t xml:space="preserve">-T &amp; </w:t>
            </w:r>
            <w:r w:rsidR="00CB3971" w:rsidRPr="00D44A12">
              <w:rPr>
                <w:rFonts w:asciiTheme="minorHAnsi" w:hAnsiTheme="minorHAnsi" w:cstheme="minorHAnsi"/>
                <w:color w:val="000000"/>
                <w:sz w:val="20"/>
                <w:lang w:eastAsia="zh-CN"/>
              </w:rPr>
              <w:t>UIT</w:t>
            </w:r>
            <w:r w:rsidRPr="00D44A12">
              <w:rPr>
                <w:rFonts w:asciiTheme="minorHAnsi" w:hAnsiTheme="minorHAnsi" w:cstheme="minorHAnsi"/>
                <w:color w:val="000000"/>
                <w:sz w:val="20"/>
                <w:lang w:eastAsia="zh-CN"/>
              </w:rPr>
              <w:t>-D</w:t>
            </w:r>
          </w:p>
        </w:tc>
      </w:tr>
      <w:tr w:rsidR="00AF74F7" w:rsidRPr="00D44A12" w14:paraId="4981E242"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7357FFB7"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TUNISIE</w:t>
            </w:r>
          </w:p>
        </w:tc>
        <w:tc>
          <w:tcPr>
            <w:tcW w:w="3730" w:type="dxa"/>
            <w:tcBorders>
              <w:top w:val="nil"/>
              <w:left w:val="nil"/>
              <w:bottom w:val="single" w:sz="4" w:space="0" w:color="auto"/>
              <w:right w:val="single" w:sz="4" w:space="0" w:color="auto"/>
            </w:tcBorders>
            <w:shd w:val="clear" w:color="auto" w:fill="FFFFFF"/>
          </w:tcPr>
          <w:p w14:paraId="11F9F84F"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TELNET TECHNOCENTRE</w:t>
            </w:r>
          </w:p>
        </w:tc>
        <w:tc>
          <w:tcPr>
            <w:tcW w:w="3210" w:type="dxa"/>
            <w:tcBorders>
              <w:top w:val="nil"/>
              <w:left w:val="nil"/>
              <w:bottom w:val="single" w:sz="4" w:space="0" w:color="auto"/>
              <w:right w:val="single" w:sz="4" w:space="0" w:color="auto"/>
            </w:tcBorders>
            <w:shd w:val="clear" w:color="auto" w:fill="FFFFFF"/>
            <w:noWrap/>
            <w:vAlign w:val="center"/>
          </w:tcPr>
          <w:p w14:paraId="3DB7A6AC"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color w:val="000000"/>
                <w:sz w:val="20"/>
                <w:lang w:eastAsia="zh-CN"/>
              </w:rPr>
              <w:t>UIT</w:t>
            </w:r>
            <w:r w:rsidRPr="00D44A12">
              <w:rPr>
                <w:rFonts w:asciiTheme="minorHAnsi" w:hAnsiTheme="minorHAnsi" w:cstheme="minorHAnsi"/>
                <w:color w:val="000000"/>
                <w:sz w:val="20"/>
                <w:lang w:eastAsia="zh-CN"/>
              </w:rPr>
              <w:t>-T</w:t>
            </w:r>
          </w:p>
        </w:tc>
      </w:tr>
      <w:tr w:rsidR="00AF74F7" w:rsidRPr="00D44A12" w14:paraId="7B03D30C"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16D1ECA6"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UKRAINE</w:t>
            </w:r>
          </w:p>
        </w:tc>
        <w:tc>
          <w:tcPr>
            <w:tcW w:w="3730" w:type="dxa"/>
            <w:tcBorders>
              <w:top w:val="nil"/>
              <w:left w:val="nil"/>
              <w:bottom w:val="single" w:sz="4" w:space="0" w:color="auto"/>
              <w:right w:val="single" w:sz="4" w:space="0" w:color="auto"/>
            </w:tcBorders>
            <w:shd w:val="clear" w:color="auto" w:fill="FFFFFF"/>
          </w:tcPr>
          <w:p w14:paraId="0E705AA6" w14:textId="77777777" w:rsidR="00AF74F7" w:rsidRPr="00EF4A1F" w:rsidRDefault="00AF74F7" w:rsidP="00560EE8">
            <w:pPr>
              <w:pStyle w:val="Tabletext"/>
              <w:spacing w:before="40" w:after="40"/>
              <w:rPr>
                <w:rFonts w:asciiTheme="minorHAnsi" w:hAnsiTheme="minorHAnsi" w:cstheme="minorHAnsi"/>
                <w:color w:val="000000"/>
                <w:sz w:val="20"/>
                <w:lang w:val="en-GB" w:eastAsia="zh-CN"/>
              </w:rPr>
            </w:pPr>
            <w:r w:rsidRPr="00EF4A1F">
              <w:rPr>
                <w:rFonts w:asciiTheme="minorHAnsi" w:hAnsiTheme="minorHAnsi" w:cstheme="minorHAnsi"/>
                <w:color w:val="000000"/>
                <w:sz w:val="20"/>
                <w:lang w:val="en-GB" w:eastAsia="zh-CN"/>
              </w:rPr>
              <w:t xml:space="preserve">Ukrainian Number and Address Operation </w:t>
            </w:r>
            <w:proofErr w:type="spellStart"/>
            <w:r w:rsidRPr="00EF4A1F">
              <w:rPr>
                <w:rFonts w:asciiTheme="minorHAnsi" w:hAnsiTheme="minorHAnsi" w:cstheme="minorHAnsi"/>
                <w:color w:val="000000"/>
                <w:sz w:val="20"/>
                <w:lang w:val="en-GB" w:eastAsia="zh-CN"/>
              </w:rPr>
              <w:t>Center</w:t>
            </w:r>
            <w:proofErr w:type="spellEnd"/>
            <w:r w:rsidRPr="00EF4A1F">
              <w:rPr>
                <w:rFonts w:asciiTheme="minorHAnsi" w:hAnsiTheme="minorHAnsi" w:cstheme="minorHAnsi"/>
                <w:color w:val="000000"/>
                <w:sz w:val="20"/>
                <w:lang w:val="en-GB" w:eastAsia="zh-CN"/>
              </w:rPr>
              <w:t xml:space="preserve"> Consortium (UNAOC)</w:t>
            </w:r>
          </w:p>
        </w:tc>
        <w:tc>
          <w:tcPr>
            <w:tcW w:w="3210" w:type="dxa"/>
            <w:tcBorders>
              <w:top w:val="nil"/>
              <w:left w:val="nil"/>
              <w:bottom w:val="single" w:sz="4" w:space="0" w:color="auto"/>
              <w:right w:val="single" w:sz="4" w:space="0" w:color="auto"/>
            </w:tcBorders>
            <w:shd w:val="clear" w:color="auto" w:fill="FFFFFF"/>
            <w:noWrap/>
            <w:vAlign w:val="center"/>
          </w:tcPr>
          <w:p w14:paraId="07524A94"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2017/Assoc</w:t>
            </w:r>
            <w:r w:rsidR="00CB3971" w:rsidRPr="00D44A12">
              <w:rPr>
                <w:rFonts w:asciiTheme="minorHAnsi" w:hAnsiTheme="minorHAnsi" w:cstheme="minorHAnsi"/>
                <w:color w:val="000000"/>
                <w:sz w:val="20"/>
                <w:lang w:eastAsia="zh-CN"/>
              </w:rPr>
              <w:t>iés</w:t>
            </w:r>
            <w:r w:rsidRPr="00D44A12">
              <w:rPr>
                <w:rFonts w:asciiTheme="minorHAnsi" w:hAnsiTheme="minorHAnsi" w:cstheme="minorHAnsi"/>
                <w:color w:val="000000"/>
                <w:sz w:val="20"/>
                <w:lang w:eastAsia="zh-CN"/>
              </w:rPr>
              <w:t xml:space="preserve"> ITU-D</w:t>
            </w:r>
          </w:p>
        </w:tc>
      </w:tr>
      <w:tr w:rsidR="00AF74F7" w:rsidRPr="00D44A12" w14:paraId="4D8C9310"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5CC477E8"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ÉMIRATS ARABES UNIS</w:t>
            </w:r>
          </w:p>
        </w:tc>
        <w:tc>
          <w:tcPr>
            <w:tcW w:w="3730" w:type="dxa"/>
            <w:tcBorders>
              <w:top w:val="nil"/>
              <w:left w:val="nil"/>
              <w:bottom w:val="single" w:sz="4" w:space="0" w:color="auto"/>
              <w:right w:val="single" w:sz="4" w:space="0" w:color="auto"/>
            </w:tcBorders>
            <w:shd w:val="clear" w:color="auto" w:fill="FFFFFF"/>
          </w:tcPr>
          <w:p w14:paraId="7838E58E" w14:textId="77777777" w:rsidR="00AF74F7" w:rsidRPr="00D44A12" w:rsidRDefault="00AF74F7" w:rsidP="00560EE8">
            <w:pPr>
              <w:pStyle w:val="Tabletext"/>
              <w:spacing w:before="40" w:after="40"/>
              <w:rPr>
                <w:rFonts w:asciiTheme="minorHAnsi" w:hAnsiTheme="minorHAnsi" w:cstheme="minorHAnsi"/>
                <w:color w:val="000000"/>
                <w:sz w:val="20"/>
                <w:lang w:eastAsia="zh-CN"/>
              </w:rPr>
            </w:pPr>
            <w:proofErr w:type="spellStart"/>
            <w:r w:rsidRPr="00D44A12">
              <w:rPr>
                <w:rFonts w:asciiTheme="minorHAnsi" w:hAnsiTheme="minorHAnsi" w:cstheme="minorHAnsi"/>
                <w:color w:val="000000"/>
                <w:sz w:val="20"/>
                <w:lang w:eastAsia="zh-CN"/>
              </w:rPr>
              <w:t>Higher</w:t>
            </w:r>
            <w:proofErr w:type="spellEnd"/>
            <w:r w:rsidRPr="00D44A12">
              <w:rPr>
                <w:rFonts w:asciiTheme="minorHAnsi" w:hAnsiTheme="minorHAnsi" w:cstheme="minorHAnsi"/>
                <w:color w:val="000000"/>
                <w:sz w:val="20"/>
                <w:lang w:eastAsia="zh-CN"/>
              </w:rPr>
              <w:t xml:space="preserve"> </w:t>
            </w:r>
            <w:proofErr w:type="spellStart"/>
            <w:r w:rsidRPr="00D44A12">
              <w:rPr>
                <w:rFonts w:asciiTheme="minorHAnsi" w:hAnsiTheme="minorHAnsi" w:cstheme="minorHAnsi"/>
                <w:color w:val="000000"/>
                <w:sz w:val="20"/>
                <w:lang w:eastAsia="zh-CN"/>
              </w:rPr>
              <w:t>Colleges</w:t>
            </w:r>
            <w:proofErr w:type="spellEnd"/>
            <w:r w:rsidRPr="00D44A12">
              <w:rPr>
                <w:rFonts w:asciiTheme="minorHAnsi" w:hAnsiTheme="minorHAnsi" w:cstheme="minorHAnsi"/>
                <w:color w:val="000000"/>
                <w:sz w:val="20"/>
                <w:lang w:eastAsia="zh-CN"/>
              </w:rPr>
              <w:t xml:space="preserve"> of </w:t>
            </w:r>
            <w:proofErr w:type="spellStart"/>
            <w:r w:rsidRPr="00D44A12">
              <w:rPr>
                <w:rFonts w:asciiTheme="minorHAnsi" w:hAnsiTheme="minorHAnsi" w:cstheme="minorHAnsi"/>
                <w:color w:val="000000"/>
                <w:sz w:val="20"/>
                <w:lang w:eastAsia="zh-CN"/>
              </w:rPr>
              <w:t>Technology</w:t>
            </w:r>
            <w:proofErr w:type="spellEnd"/>
          </w:p>
        </w:tc>
        <w:tc>
          <w:tcPr>
            <w:tcW w:w="3210" w:type="dxa"/>
            <w:tcBorders>
              <w:top w:val="nil"/>
              <w:left w:val="nil"/>
              <w:bottom w:val="single" w:sz="4" w:space="0" w:color="auto"/>
              <w:right w:val="single" w:sz="4" w:space="0" w:color="auto"/>
            </w:tcBorders>
            <w:shd w:val="clear" w:color="auto" w:fill="FFFFFF"/>
            <w:noWrap/>
            <w:vAlign w:val="center"/>
          </w:tcPr>
          <w:p w14:paraId="39CB7677"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sz w:val="20"/>
              </w:rPr>
              <w:t>É</w:t>
            </w:r>
            <w:r w:rsidRPr="00D44A12">
              <w:rPr>
                <w:rFonts w:asciiTheme="minorHAnsi" w:hAnsiTheme="minorHAnsi" w:cstheme="minorHAnsi"/>
                <w:sz w:val="20"/>
              </w:rPr>
              <w:t>tablissements universitaires</w:t>
            </w:r>
          </w:p>
        </w:tc>
      </w:tr>
      <w:tr w:rsidR="00AF74F7" w:rsidRPr="00D44A12" w14:paraId="6A5905E9"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24F2B2DE" w14:textId="77777777" w:rsidR="00AF74F7" w:rsidRPr="00D44A12" w:rsidRDefault="00AF74F7" w:rsidP="00560EE8">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ÉTATS-UNIS</w:t>
            </w:r>
          </w:p>
        </w:tc>
        <w:tc>
          <w:tcPr>
            <w:tcW w:w="3730" w:type="dxa"/>
            <w:tcBorders>
              <w:top w:val="nil"/>
              <w:left w:val="nil"/>
              <w:bottom w:val="single" w:sz="4" w:space="0" w:color="auto"/>
              <w:right w:val="single" w:sz="4" w:space="0" w:color="auto"/>
            </w:tcBorders>
            <w:shd w:val="clear" w:color="auto" w:fill="FFFFFF"/>
          </w:tcPr>
          <w:p w14:paraId="0DC4B143" w14:textId="77777777" w:rsidR="00AF74F7" w:rsidRPr="00D44A12" w:rsidRDefault="00AF74F7" w:rsidP="00560EE8">
            <w:pPr>
              <w:pStyle w:val="Tabletext"/>
              <w:spacing w:before="40" w:after="40"/>
              <w:rPr>
                <w:rFonts w:asciiTheme="minorHAnsi" w:hAnsiTheme="minorHAnsi" w:cstheme="minorHAnsi"/>
                <w:color w:val="000000"/>
                <w:sz w:val="20"/>
                <w:lang w:eastAsia="zh-CN"/>
              </w:rPr>
            </w:pPr>
            <w:proofErr w:type="spellStart"/>
            <w:r w:rsidRPr="00D44A12">
              <w:rPr>
                <w:rFonts w:asciiTheme="minorHAnsi" w:hAnsiTheme="minorHAnsi" w:cstheme="minorHAnsi"/>
                <w:color w:val="000000"/>
                <w:sz w:val="20"/>
                <w:lang w:eastAsia="zh-CN"/>
              </w:rPr>
              <w:t>Applied</w:t>
            </w:r>
            <w:proofErr w:type="spellEnd"/>
            <w:r w:rsidRPr="00D44A12">
              <w:rPr>
                <w:rFonts w:asciiTheme="minorHAnsi" w:hAnsiTheme="minorHAnsi" w:cstheme="minorHAnsi"/>
                <w:color w:val="000000"/>
                <w:sz w:val="20"/>
                <w:lang w:eastAsia="zh-CN"/>
              </w:rPr>
              <w:t xml:space="preserve"> Micro Circuits Corporation (AMCC)</w:t>
            </w:r>
          </w:p>
        </w:tc>
        <w:tc>
          <w:tcPr>
            <w:tcW w:w="3210" w:type="dxa"/>
            <w:tcBorders>
              <w:top w:val="nil"/>
              <w:left w:val="nil"/>
              <w:bottom w:val="single" w:sz="4" w:space="0" w:color="auto"/>
              <w:right w:val="single" w:sz="4" w:space="0" w:color="auto"/>
            </w:tcBorders>
            <w:shd w:val="clear" w:color="auto" w:fill="FFFFFF"/>
            <w:noWrap/>
            <w:vAlign w:val="center"/>
          </w:tcPr>
          <w:p w14:paraId="4DD11D2C"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color w:val="000000"/>
                <w:sz w:val="20"/>
                <w:lang w:eastAsia="zh-CN"/>
              </w:rPr>
              <w:t>UIT</w:t>
            </w:r>
            <w:r w:rsidRPr="00D44A12">
              <w:rPr>
                <w:rFonts w:asciiTheme="minorHAnsi" w:hAnsiTheme="minorHAnsi" w:cstheme="minorHAnsi"/>
                <w:color w:val="000000"/>
                <w:sz w:val="20"/>
                <w:lang w:eastAsia="zh-CN"/>
              </w:rPr>
              <w:t>-T</w:t>
            </w:r>
          </w:p>
        </w:tc>
      </w:tr>
      <w:tr w:rsidR="00AF74F7" w:rsidRPr="00D44A12" w14:paraId="20C35C72"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7444AF2E" w14:textId="77777777" w:rsidR="00AF74F7" w:rsidRPr="00D44A12" w:rsidRDefault="00AF74F7" w:rsidP="00560EE8">
            <w:pPr>
              <w:pStyle w:val="Tabletext"/>
              <w:spacing w:before="40" w:after="40"/>
              <w:rPr>
                <w:rFonts w:asciiTheme="minorHAnsi" w:hAnsiTheme="minorHAnsi" w:cstheme="minorHAnsi"/>
                <w:color w:val="000000"/>
                <w:sz w:val="20"/>
                <w:lang w:eastAsia="zh-CN"/>
              </w:rPr>
            </w:pPr>
          </w:p>
        </w:tc>
        <w:tc>
          <w:tcPr>
            <w:tcW w:w="3730" w:type="dxa"/>
            <w:tcBorders>
              <w:top w:val="nil"/>
              <w:left w:val="nil"/>
              <w:bottom w:val="single" w:sz="4" w:space="0" w:color="auto"/>
              <w:right w:val="single" w:sz="4" w:space="0" w:color="auto"/>
            </w:tcBorders>
            <w:shd w:val="clear" w:color="auto" w:fill="FFFFFF"/>
          </w:tcPr>
          <w:p w14:paraId="0A017B5D" w14:textId="77777777" w:rsidR="00AF74F7" w:rsidRPr="00EF4A1F" w:rsidRDefault="00AF74F7" w:rsidP="00560EE8">
            <w:pPr>
              <w:pStyle w:val="Tabletext"/>
              <w:spacing w:before="40" w:after="40"/>
              <w:rPr>
                <w:rFonts w:asciiTheme="minorHAnsi" w:hAnsiTheme="minorHAnsi" w:cstheme="minorHAnsi"/>
                <w:color w:val="000000"/>
                <w:sz w:val="20"/>
                <w:lang w:val="en-GB" w:eastAsia="zh-CN"/>
              </w:rPr>
            </w:pPr>
            <w:r w:rsidRPr="00EF4A1F">
              <w:rPr>
                <w:rFonts w:asciiTheme="minorHAnsi" w:hAnsiTheme="minorHAnsi" w:cstheme="minorHAnsi"/>
                <w:color w:val="000000"/>
                <w:sz w:val="20"/>
                <w:lang w:val="en-GB" w:eastAsia="zh-CN"/>
              </w:rPr>
              <w:t>Navajo Nation Telecommunication Regulatory Commission</w:t>
            </w:r>
          </w:p>
        </w:tc>
        <w:tc>
          <w:tcPr>
            <w:tcW w:w="3210" w:type="dxa"/>
            <w:tcBorders>
              <w:top w:val="nil"/>
              <w:left w:val="nil"/>
              <w:bottom w:val="single" w:sz="4" w:space="0" w:color="auto"/>
              <w:right w:val="single" w:sz="4" w:space="0" w:color="auto"/>
            </w:tcBorders>
            <w:shd w:val="clear" w:color="auto" w:fill="FFFFFF"/>
            <w:noWrap/>
            <w:vAlign w:val="center"/>
          </w:tcPr>
          <w:p w14:paraId="75E657CD" w14:textId="77777777" w:rsidR="00AF74F7" w:rsidRPr="00D44A12" w:rsidRDefault="00AF74F7" w:rsidP="0060738E">
            <w:pPr>
              <w:pStyle w:val="Tabletext"/>
              <w:spacing w:before="40" w:after="40"/>
              <w:rPr>
                <w:rFonts w:asciiTheme="minorHAnsi" w:hAnsiTheme="minorHAnsi" w:cstheme="minorHAnsi"/>
                <w:color w:val="000000"/>
                <w:sz w:val="20"/>
                <w:lang w:eastAsia="zh-CN"/>
              </w:rPr>
            </w:pPr>
            <w:r w:rsidRPr="00D44A12">
              <w:rPr>
                <w:rFonts w:asciiTheme="minorHAnsi" w:hAnsiTheme="minorHAnsi" w:cstheme="minorHAnsi"/>
                <w:color w:val="000000"/>
                <w:sz w:val="20"/>
                <w:lang w:eastAsia="zh-CN"/>
              </w:rPr>
              <w:t>2017/</w:t>
            </w:r>
            <w:r w:rsidR="00CB3971" w:rsidRPr="00D44A12">
              <w:rPr>
                <w:rFonts w:asciiTheme="minorHAnsi" w:hAnsiTheme="minorHAnsi" w:cstheme="minorHAnsi"/>
                <w:color w:val="000000"/>
                <w:sz w:val="20"/>
                <w:lang w:eastAsia="zh-CN"/>
              </w:rPr>
              <w:t>UIT</w:t>
            </w:r>
            <w:r w:rsidRPr="00D44A12">
              <w:rPr>
                <w:rFonts w:asciiTheme="minorHAnsi" w:hAnsiTheme="minorHAnsi" w:cstheme="minorHAnsi"/>
                <w:color w:val="000000"/>
                <w:sz w:val="20"/>
                <w:lang w:eastAsia="zh-CN"/>
              </w:rPr>
              <w:t>-D</w:t>
            </w:r>
          </w:p>
        </w:tc>
      </w:tr>
      <w:tr w:rsidR="00AF74F7" w:rsidRPr="00D44A12" w14:paraId="0218BF1E" w14:textId="77777777" w:rsidTr="0060738E">
        <w:trPr>
          <w:trHeight w:val="20"/>
          <w:jc w:val="center"/>
        </w:trPr>
        <w:tc>
          <w:tcPr>
            <w:tcW w:w="2689" w:type="dxa"/>
            <w:tcBorders>
              <w:top w:val="nil"/>
              <w:left w:val="single" w:sz="4" w:space="0" w:color="auto"/>
              <w:bottom w:val="single" w:sz="4" w:space="0" w:color="auto"/>
              <w:right w:val="single" w:sz="4" w:space="0" w:color="auto"/>
            </w:tcBorders>
            <w:shd w:val="clear" w:color="auto" w:fill="FFFFFF"/>
          </w:tcPr>
          <w:p w14:paraId="01BE3664" w14:textId="77777777" w:rsidR="00AF74F7" w:rsidRPr="00D44A12" w:rsidRDefault="00AF74F7" w:rsidP="00560EE8">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OUZBÉKISTAN</w:t>
            </w:r>
          </w:p>
        </w:tc>
        <w:tc>
          <w:tcPr>
            <w:tcW w:w="3730" w:type="dxa"/>
            <w:tcBorders>
              <w:top w:val="nil"/>
              <w:left w:val="nil"/>
              <w:bottom w:val="single" w:sz="4" w:space="0" w:color="auto"/>
              <w:right w:val="single" w:sz="4" w:space="0" w:color="auto"/>
            </w:tcBorders>
            <w:shd w:val="clear" w:color="auto" w:fill="FFFFFF"/>
          </w:tcPr>
          <w:p w14:paraId="79395DE9" w14:textId="77777777" w:rsidR="00AF74F7" w:rsidRPr="00D44A12" w:rsidRDefault="00AF74F7" w:rsidP="00560EE8">
            <w:pPr>
              <w:pStyle w:val="Tabletext"/>
              <w:spacing w:before="40" w:after="40"/>
              <w:rPr>
                <w:rFonts w:asciiTheme="minorHAnsi" w:hAnsiTheme="minorHAnsi" w:cstheme="minorHAnsi"/>
                <w:sz w:val="20"/>
                <w:lang w:eastAsia="zh-CN"/>
              </w:rPr>
            </w:pPr>
            <w:proofErr w:type="spellStart"/>
            <w:r w:rsidRPr="00D44A12">
              <w:rPr>
                <w:rFonts w:asciiTheme="minorHAnsi" w:hAnsiTheme="minorHAnsi" w:cstheme="minorHAnsi"/>
                <w:sz w:val="20"/>
                <w:lang w:eastAsia="zh-CN"/>
              </w:rPr>
              <w:t>Tashkent</w:t>
            </w:r>
            <w:proofErr w:type="spellEnd"/>
            <w:r w:rsidRPr="00D44A12">
              <w:rPr>
                <w:rFonts w:asciiTheme="minorHAnsi" w:hAnsiTheme="minorHAnsi" w:cstheme="minorHAnsi"/>
                <w:sz w:val="20"/>
                <w:lang w:eastAsia="zh-CN"/>
              </w:rPr>
              <w:t xml:space="preserve"> </w:t>
            </w:r>
            <w:proofErr w:type="spellStart"/>
            <w:r w:rsidRPr="00D44A12">
              <w:rPr>
                <w:rFonts w:asciiTheme="minorHAnsi" w:hAnsiTheme="minorHAnsi" w:cstheme="minorHAnsi"/>
                <w:sz w:val="20"/>
                <w:lang w:eastAsia="zh-CN"/>
              </w:rPr>
              <w:t>University</w:t>
            </w:r>
            <w:proofErr w:type="spellEnd"/>
            <w:r w:rsidRPr="00D44A12">
              <w:rPr>
                <w:rFonts w:asciiTheme="minorHAnsi" w:hAnsiTheme="minorHAnsi" w:cstheme="minorHAnsi"/>
                <w:sz w:val="20"/>
                <w:lang w:eastAsia="zh-CN"/>
              </w:rPr>
              <w:t xml:space="preserve"> of Information Technologies</w:t>
            </w:r>
          </w:p>
        </w:tc>
        <w:tc>
          <w:tcPr>
            <w:tcW w:w="3210" w:type="dxa"/>
            <w:tcBorders>
              <w:top w:val="nil"/>
              <w:left w:val="nil"/>
              <w:bottom w:val="single" w:sz="4" w:space="0" w:color="auto"/>
              <w:right w:val="single" w:sz="4" w:space="0" w:color="auto"/>
            </w:tcBorders>
            <w:shd w:val="clear" w:color="auto" w:fill="FFFFFF"/>
            <w:noWrap/>
            <w:vAlign w:val="center"/>
          </w:tcPr>
          <w:p w14:paraId="28D4ADB5" w14:textId="77777777" w:rsidR="00AF74F7" w:rsidRPr="00D44A12" w:rsidRDefault="00AF74F7" w:rsidP="0060738E">
            <w:pPr>
              <w:pStyle w:val="Tabletext"/>
              <w:spacing w:before="40" w:after="40"/>
              <w:rPr>
                <w:rFonts w:asciiTheme="minorHAnsi" w:hAnsiTheme="minorHAnsi" w:cstheme="minorHAnsi"/>
                <w:sz w:val="20"/>
                <w:lang w:eastAsia="zh-CN"/>
              </w:rPr>
            </w:pPr>
            <w:r w:rsidRPr="00D44A12">
              <w:rPr>
                <w:rFonts w:asciiTheme="minorHAnsi" w:hAnsiTheme="minorHAnsi" w:cstheme="minorHAnsi"/>
                <w:sz w:val="20"/>
                <w:lang w:eastAsia="zh-CN"/>
              </w:rPr>
              <w:t>2014/</w:t>
            </w:r>
            <w:r w:rsidR="00CB3971" w:rsidRPr="00D44A12">
              <w:rPr>
                <w:rFonts w:asciiTheme="minorHAnsi" w:hAnsiTheme="minorHAnsi" w:cstheme="minorHAnsi"/>
                <w:sz w:val="20"/>
              </w:rPr>
              <w:t>É</w:t>
            </w:r>
            <w:r w:rsidRPr="00D44A12">
              <w:rPr>
                <w:rFonts w:asciiTheme="minorHAnsi" w:hAnsiTheme="minorHAnsi" w:cstheme="minorHAnsi"/>
                <w:sz w:val="20"/>
              </w:rPr>
              <w:t>tablissements universitaires</w:t>
            </w:r>
          </w:p>
        </w:tc>
      </w:tr>
      <w:tr w:rsidR="006841B8" w:rsidRPr="00D44A12" w14:paraId="7A6AC522" w14:textId="77777777" w:rsidTr="0060738E">
        <w:trPr>
          <w:trHeight w:val="20"/>
          <w:jc w:val="center"/>
        </w:trPr>
        <w:tc>
          <w:tcPr>
            <w:tcW w:w="2689" w:type="dxa"/>
            <w:tcBorders>
              <w:top w:val="single" w:sz="4" w:space="0" w:color="auto"/>
              <w:left w:val="single" w:sz="4" w:space="0" w:color="auto"/>
              <w:bottom w:val="single" w:sz="4" w:space="0" w:color="auto"/>
              <w:right w:val="single" w:sz="4" w:space="0" w:color="auto"/>
            </w:tcBorders>
            <w:shd w:val="pct20" w:color="auto" w:fill="FFFFFF"/>
          </w:tcPr>
          <w:p w14:paraId="0A688485" w14:textId="77777777" w:rsidR="006841B8" w:rsidRPr="00D44A12" w:rsidRDefault="006841B8" w:rsidP="00560EE8">
            <w:pPr>
              <w:pStyle w:val="Tabletext"/>
              <w:spacing w:before="40" w:after="40"/>
              <w:rPr>
                <w:rFonts w:ascii="Segoe UI Symbol" w:eastAsia="Segoe UI Symbol" w:hAnsi="Segoe UI Symbol" w:cstheme="minorHAnsi"/>
                <w:sz w:val="20"/>
                <w:lang w:eastAsia="ko-KR"/>
              </w:rPr>
            </w:pPr>
          </w:p>
        </w:tc>
        <w:tc>
          <w:tcPr>
            <w:tcW w:w="3730" w:type="dxa"/>
            <w:tcBorders>
              <w:top w:val="single" w:sz="4" w:space="0" w:color="auto"/>
              <w:left w:val="nil"/>
              <w:bottom w:val="single" w:sz="4" w:space="0" w:color="auto"/>
              <w:right w:val="single" w:sz="4" w:space="0" w:color="auto"/>
            </w:tcBorders>
            <w:shd w:val="pct20" w:color="auto" w:fill="FFFFFF"/>
          </w:tcPr>
          <w:p w14:paraId="66B092A5" w14:textId="0A6DF21D" w:rsidR="006841B8" w:rsidRPr="00D44A12" w:rsidRDefault="006841B8" w:rsidP="00560EE8">
            <w:pPr>
              <w:pStyle w:val="Tabletext"/>
              <w:spacing w:before="40" w:after="40"/>
              <w:rPr>
                <w:rFonts w:asciiTheme="minorHAnsi" w:hAnsiTheme="minorHAnsi" w:cstheme="minorHAnsi"/>
                <w:b/>
                <w:bCs/>
                <w:sz w:val="20"/>
              </w:rPr>
            </w:pPr>
            <w:r w:rsidRPr="00D44A12">
              <w:rPr>
                <w:rFonts w:asciiTheme="minorHAnsi" w:hAnsiTheme="minorHAnsi" w:cstheme="minorHAnsi"/>
                <w:b/>
                <w:bCs/>
                <w:sz w:val="20"/>
              </w:rPr>
              <w:t>1</w:t>
            </w:r>
            <w:r w:rsidR="00CB3971" w:rsidRPr="00D44A12">
              <w:rPr>
                <w:rFonts w:asciiTheme="minorHAnsi" w:hAnsiTheme="minorHAnsi" w:cstheme="minorHAnsi"/>
                <w:b/>
                <w:bCs/>
                <w:sz w:val="20"/>
              </w:rPr>
              <w:t>9</w:t>
            </w:r>
            <w:r w:rsidRPr="00D44A12">
              <w:rPr>
                <w:rFonts w:asciiTheme="minorHAnsi" w:hAnsiTheme="minorHAnsi" w:cstheme="minorHAnsi"/>
                <w:b/>
                <w:bCs/>
                <w:sz w:val="20"/>
              </w:rPr>
              <w:t xml:space="preserve"> Membres</w:t>
            </w:r>
          </w:p>
        </w:tc>
        <w:tc>
          <w:tcPr>
            <w:tcW w:w="3210" w:type="dxa"/>
            <w:tcBorders>
              <w:top w:val="single" w:sz="4" w:space="0" w:color="auto"/>
              <w:left w:val="nil"/>
              <w:bottom w:val="single" w:sz="4" w:space="0" w:color="auto"/>
              <w:right w:val="single" w:sz="4" w:space="0" w:color="auto"/>
            </w:tcBorders>
            <w:shd w:val="pct20" w:color="auto" w:fill="FFFFFF"/>
            <w:noWrap/>
          </w:tcPr>
          <w:p w14:paraId="1EF6BAD8" w14:textId="77777777" w:rsidR="006841B8" w:rsidRPr="00D44A12" w:rsidRDefault="006841B8" w:rsidP="00560EE8">
            <w:pPr>
              <w:pStyle w:val="Tabletext"/>
              <w:spacing w:before="40" w:after="40"/>
              <w:rPr>
                <w:rFonts w:asciiTheme="minorHAnsi" w:hAnsiTheme="minorHAnsi" w:cstheme="minorHAnsi"/>
                <w:sz w:val="20"/>
              </w:rPr>
            </w:pPr>
            <w:r w:rsidRPr="00D44A12">
              <w:rPr>
                <w:rFonts w:asciiTheme="minorHAnsi" w:hAnsiTheme="minorHAnsi" w:cstheme="minorHAnsi"/>
                <w:sz w:val="20"/>
              </w:rPr>
              <w:t> </w:t>
            </w:r>
          </w:p>
        </w:tc>
      </w:tr>
    </w:tbl>
    <w:p w14:paraId="0E002D86" w14:textId="77777777" w:rsidR="00520F36" w:rsidRPr="00D44A12" w:rsidRDefault="006841B8" w:rsidP="00D568EA">
      <w:pPr>
        <w:spacing w:before="840"/>
        <w:jc w:val="center"/>
      </w:pPr>
      <w:r w:rsidRPr="00D44A12">
        <w:t>_____________</w:t>
      </w:r>
      <w:bookmarkEnd w:id="64"/>
    </w:p>
    <w:sectPr w:rsidR="00520F36" w:rsidRPr="00D44A12" w:rsidSect="005C3890">
      <w:headerReference w:type="even" r:id="rId27"/>
      <w:headerReference w:type="default" r:id="rId28"/>
      <w:footerReference w:type="even" r:id="rId29"/>
      <w:footerReference w:type="default" r:id="rId30"/>
      <w:footerReference w:type="first" r:id="rId3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2BF7D" w14:textId="77777777" w:rsidR="00F62A08" w:rsidRDefault="00F62A08">
      <w:r>
        <w:separator/>
      </w:r>
    </w:p>
  </w:endnote>
  <w:endnote w:type="continuationSeparator" w:id="0">
    <w:p w14:paraId="4BEEFD5B" w14:textId="77777777" w:rsidR="00F62A08" w:rsidRDefault="00F6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DF96" w14:textId="3118316A" w:rsidR="00F62A08" w:rsidRDefault="0060738E">
    <w:pPr>
      <w:pStyle w:val="Footer"/>
    </w:pPr>
    <w:fldSimple w:instr=" FILENAME \p \* MERGEFORMAT ">
      <w:r>
        <w:t>P:\FRA\SG\CONSEIL\C19\000\052F.docx</w:t>
      </w:r>
    </w:fldSimple>
    <w:r w:rsidR="00F62A08">
      <w:tab/>
    </w:r>
    <w:r w:rsidR="00F62A08">
      <w:fldChar w:fldCharType="begin"/>
    </w:r>
    <w:r w:rsidR="00F62A08">
      <w:instrText xml:space="preserve"> savedate \@ dd.MM.yy </w:instrText>
    </w:r>
    <w:r w:rsidR="00F62A08">
      <w:fldChar w:fldCharType="separate"/>
    </w:r>
    <w:r w:rsidR="00EF4A1F">
      <w:t>01.05.19</w:t>
    </w:r>
    <w:r w:rsidR="00F62A08">
      <w:fldChar w:fldCharType="end"/>
    </w:r>
    <w:r w:rsidR="00F62A08">
      <w:tab/>
    </w:r>
    <w:r w:rsidR="00F62A08">
      <w:fldChar w:fldCharType="begin"/>
    </w:r>
    <w:r w:rsidR="00F62A08">
      <w:instrText xml:space="preserve"> printdate \@ dd.MM.yy </w:instrText>
    </w:r>
    <w:r w:rsidR="00F62A08">
      <w:fldChar w:fldCharType="separate"/>
    </w:r>
    <w:r>
      <w:t>01.05.19</w:t>
    </w:r>
    <w:r w:rsidR="00F62A0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5B53" w14:textId="2E07892D" w:rsidR="00F62A08" w:rsidRPr="00EF4A1F" w:rsidRDefault="0060738E" w:rsidP="00D568EA">
    <w:pPr>
      <w:pStyle w:val="Footer"/>
      <w:rPr>
        <w:color w:val="D9D9D9" w:themeColor="background1" w:themeShade="D9"/>
      </w:rPr>
    </w:pPr>
    <w:r w:rsidRPr="00EF4A1F">
      <w:rPr>
        <w:color w:val="D9D9D9" w:themeColor="background1" w:themeShade="D9"/>
      </w:rPr>
      <w:fldChar w:fldCharType="begin"/>
    </w:r>
    <w:r w:rsidRPr="00EF4A1F">
      <w:rPr>
        <w:color w:val="D9D9D9" w:themeColor="background1" w:themeShade="D9"/>
      </w:rPr>
      <w:instrText xml:space="preserve"> FILENAME \p \* MERGEFORMAT </w:instrText>
    </w:r>
    <w:r w:rsidRPr="00EF4A1F">
      <w:rPr>
        <w:color w:val="D9D9D9" w:themeColor="background1" w:themeShade="D9"/>
      </w:rPr>
      <w:fldChar w:fldCharType="separate"/>
    </w:r>
    <w:r w:rsidRPr="00EF4A1F">
      <w:rPr>
        <w:color w:val="D9D9D9" w:themeColor="background1" w:themeShade="D9"/>
      </w:rPr>
      <w:t>P:\FRA\SG\CONSEIL\C19\000\052F.docx</w:t>
    </w:r>
    <w:r w:rsidRPr="00EF4A1F">
      <w:rPr>
        <w:color w:val="D9D9D9" w:themeColor="background1" w:themeShade="D9"/>
      </w:rPr>
      <w:fldChar w:fldCharType="end"/>
    </w:r>
    <w:r w:rsidR="00F62A08" w:rsidRPr="00EF4A1F">
      <w:rPr>
        <w:color w:val="D9D9D9" w:themeColor="background1" w:themeShade="D9"/>
      </w:rPr>
      <w:t xml:space="preserve"> (450279)</w:t>
    </w:r>
    <w:r w:rsidR="00D568EA" w:rsidRPr="00EF4A1F">
      <w:rPr>
        <w:color w:val="D9D9D9" w:themeColor="background1" w:themeShade="D9"/>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9CE90" w14:textId="77777777" w:rsidR="00F62A08" w:rsidRDefault="00F62A0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08AAC" w14:textId="77777777" w:rsidR="00F62A08" w:rsidRDefault="00F62A08">
      <w:r>
        <w:t>____________________</w:t>
      </w:r>
    </w:p>
  </w:footnote>
  <w:footnote w:type="continuationSeparator" w:id="0">
    <w:p w14:paraId="75A844CE" w14:textId="77777777" w:rsidR="00F62A08" w:rsidRDefault="00F6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1C7C" w14:textId="77777777" w:rsidR="00F62A08" w:rsidRDefault="00F62A08">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5067F50" w14:textId="77777777" w:rsidR="00F62A08" w:rsidRDefault="00F62A08">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8857" w14:textId="77777777" w:rsidR="00F62A08" w:rsidRDefault="00F62A08" w:rsidP="00475FB3">
    <w:pPr>
      <w:pStyle w:val="Header"/>
    </w:pPr>
    <w:r>
      <w:fldChar w:fldCharType="begin"/>
    </w:r>
    <w:r>
      <w:instrText>PAGE</w:instrText>
    </w:r>
    <w:r>
      <w:fldChar w:fldCharType="separate"/>
    </w:r>
    <w:r w:rsidR="00EF4A1F">
      <w:rPr>
        <w:noProof/>
      </w:rPr>
      <w:t>3</w:t>
    </w:r>
    <w:r>
      <w:rPr>
        <w:noProof/>
      </w:rPr>
      <w:fldChar w:fldCharType="end"/>
    </w:r>
  </w:p>
  <w:p w14:paraId="47B54F6A" w14:textId="77777777" w:rsidR="00F62A08" w:rsidRDefault="00F62A08" w:rsidP="00106B19">
    <w:pPr>
      <w:pStyle w:val="Header"/>
    </w:pPr>
    <w:r>
      <w:t>C19/52-F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CB"/>
    <w:rsid w:val="00026D25"/>
    <w:rsid w:val="00027C42"/>
    <w:rsid w:val="000A7EA5"/>
    <w:rsid w:val="000D0D0A"/>
    <w:rsid w:val="00103163"/>
    <w:rsid w:val="00106B19"/>
    <w:rsid w:val="0011295E"/>
    <w:rsid w:val="00115D93"/>
    <w:rsid w:val="001247A8"/>
    <w:rsid w:val="001378C0"/>
    <w:rsid w:val="001647AF"/>
    <w:rsid w:val="0018694A"/>
    <w:rsid w:val="001A3287"/>
    <w:rsid w:val="001A6508"/>
    <w:rsid w:val="001B5722"/>
    <w:rsid w:val="001B5E7F"/>
    <w:rsid w:val="001D2CDD"/>
    <w:rsid w:val="001D4C31"/>
    <w:rsid w:val="001E4D21"/>
    <w:rsid w:val="00207CD1"/>
    <w:rsid w:val="00221B6E"/>
    <w:rsid w:val="00245DF2"/>
    <w:rsid w:val="002477A2"/>
    <w:rsid w:val="002622EB"/>
    <w:rsid w:val="00263A51"/>
    <w:rsid w:val="0026446D"/>
    <w:rsid w:val="00267E02"/>
    <w:rsid w:val="002A5D44"/>
    <w:rsid w:val="002C1AC6"/>
    <w:rsid w:val="002D54A7"/>
    <w:rsid w:val="002E0BC4"/>
    <w:rsid w:val="002F1B76"/>
    <w:rsid w:val="00312376"/>
    <w:rsid w:val="0033568E"/>
    <w:rsid w:val="00355FF5"/>
    <w:rsid w:val="00361350"/>
    <w:rsid w:val="003C3FAE"/>
    <w:rsid w:val="003C4D25"/>
    <w:rsid w:val="003E237E"/>
    <w:rsid w:val="004038CB"/>
    <w:rsid w:val="0040546F"/>
    <w:rsid w:val="0041740E"/>
    <w:rsid w:val="0042404A"/>
    <w:rsid w:val="0044618F"/>
    <w:rsid w:val="0046769A"/>
    <w:rsid w:val="00475FB3"/>
    <w:rsid w:val="004C37A9"/>
    <w:rsid w:val="004F259E"/>
    <w:rsid w:val="00511F1D"/>
    <w:rsid w:val="005179C6"/>
    <w:rsid w:val="00520F36"/>
    <w:rsid w:val="00540615"/>
    <w:rsid w:val="00540A6D"/>
    <w:rsid w:val="00560EE8"/>
    <w:rsid w:val="00571EEA"/>
    <w:rsid w:val="00575417"/>
    <w:rsid w:val="005768E1"/>
    <w:rsid w:val="00577E41"/>
    <w:rsid w:val="005B1938"/>
    <w:rsid w:val="005C3890"/>
    <w:rsid w:val="005F7BFE"/>
    <w:rsid w:val="00600017"/>
    <w:rsid w:val="0060738E"/>
    <w:rsid w:val="006235CA"/>
    <w:rsid w:val="006355CB"/>
    <w:rsid w:val="00655D89"/>
    <w:rsid w:val="006643AB"/>
    <w:rsid w:val="006841B8"/>
    <w:rsid w:val="006E0E41"/>
    <w:rsid w:val="007210CD"/>
    <w:rsid w:val="00732045"/>
    <w:rsid w:val="007369DB"/>
    <w:rsid w:val="0079194B"/>
    <w:rsid w:val="007956C2"/>
    <w:rsid w:val="007A187E"/>
    <w:rsid w:val="007C72C2"/>
    <w:rsid w:val="007D4436"/>
    <w:rsid w:val="007F257A"/>
    <w:rsid w:val="007F3665"/>
    <w:rsid w:val="00800037"/>
    <w:rsid w:val="008334DD"/>
    <w:rsid w:val="00861D73"/>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D24EC"/>
    <w:rsid w:val="00AF74F7"/>
    <w:rsid w:val="00B02061"/>
    <w:rsid w:val="00B309F9"/>
    <w:rsid w:val="00B32B60"/>
    <w:rsid w:val="00B3507C"/>
    <w:rsid w:val="00B56245"/>
    <w:rsid w:val="00B61619"/>
    <w:rsid w:val="00B6709F"/>
    <w:rsid w:val="00BB4545"/>
    <w:rsid w:val="00BD5873"/>
    <w:rsid w:val="00C00B9D"/>
    <w:rsid w:val="00C04BE3"/>
    <w:rsid w:val="00C25D29"/>
    <w:rsid w:val="00C27A7C"/>
    <w:rsid w:val="00C30274"/>
    <w:rsid w:val="00C75A27"/>
    <w:rsid w:val="00C7737D"/>
    <w:rsid w:val="00C81618"/>
    <w:rsid w:val="00CA08ED"/>
    <w:rsid w:val="00CB3971"/>
    <w:rsid w:val="00CC5CDC"/>
    <w:rsid w:val="00CF183B"/>
    <w:rsid w:val="00D375CD"/>
    <w:rsid w:val="00D44A12"/>
    <w:rsid w:val="00D553A2"/>
    <w:rsid w:val="00D568EA"/>
    <w:rsid w:val="00D63998"/>
    <w:rsid w:val="00D774D3"/>
    <w:rsid w:val="00D806B4"/>
    <w:rsid w:val="00D904E8"/>
    <w:rsid w:val="00DA08C3"/>
    <w:rsid w:val="00DB5A3E"/>
    <w:rsid w:val="00DC22AA"/>
    <w:rsid w:val="00DF74DD"/>
    <w:rsid w:val="00E25AD0"/>
    <w:rsid w:val="00E54CE2"/>
    <w:rsid w:val="00E5769F"/>
    <w:rsid w:val="00EB03B9"/>
    <w:rsid w:val="00EB6350"/>
    <w:rsid w:val="00EF4A1F"/>
    <w:rsid w:val="00F15B57"/>
    <w:rsid w:val="00F427DB"/>
    <w:rsid w:val="00F62A08"/>
    <w:rsid w:val="00F6383B"/>
    <w:rsid w:val="00FA5EB1"/>
    <w:rsid w:val="00FA7439"/>
    <w:rsid w:val="00FC4EC0"/>
    <w:rsid w:val="00FD7C78"/>
    <w:rsid w:val="00FF0181"/>
    <w:rsid w:val="00FF57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3449D0"/>
  <w15:docId w15:val="{FBD48CF0-A0B3-44E8-B899-0C9F40EF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11295E"/>
    <w:rPr>
      <w:sz w:val="16"/>
      <w:szCs w:val="16"/>
    </w:rPr>
  </w:style>
  <w:style w:type="paragraph" w:styleId="CommentText">
    <w:name w:val="annotation text"/>
    <w:basedOn w:val="Normal"/>
    <w:link w:val="CommentTextChar"/>
    <w:semiHidden/>
    <w:unhideWhenUsed/>
    <w:rsid w:val="0011295E"/>
    <w:rPr>
      <w:sz w:val="20"/>
    </w:rPr>
  </w:style>
  <w:style w:type="character" w:customStyle="1" w:styleId="CommentTextChar">
    <w:name w:val="Comment Text Char"/>
    <w:basedOn w:val="DefaultParagraphFont"/>
    <w:link w:val="CommentText"/>
    <w:semiHidden/>
    <w:rsid w:val="0011295E"/>
    <w:rPr>
      <w:rFonts w:ascii="Calibri" w:hAnsi="Calibri"/>
      <w:lang w:val="fr-FR" w:eastAsia="en-US"/>
    </w:rPr>
  </w:style>
  <w:style w:type="paragraph" w:styleId="CommentSubject">
    <w:name w:val="annotation subject"/>
    <w:basedOn w:val="CommentText"/>
    <w:next w:val="CommentText"/>
    <w:link w:val="CommentSubjectChar"/>
    <w:semiHidden/>
    <w:unhideWhenUsed/>
    <w:rsid w:val="0011295E"/>
    <w:rPr>
      <w:b/>
      <w:bCs/>
    </w:rPr>
  </w:style>
  <w:style w:type="character" w:customStyle="1" w:styleId="CommentSubjectChar">
    <w:name w:val="Comment Subject Char"/>
    <w:basedOn w:val="CommentTextChar"/>
    <w:link w:val="CommentSubject"/>
    <w:semiHidden/>
    <w:rsid w:val="0011295E"/>
    <w:rPr>
      <w:rFonts w:ascii="Calibri" w:hAnsi="Calibri"/>
      <w:b/>
      <w:bCs/>
      <w:lang w:val="fr-FR" w:eastAsia="en-US"/>
    </w:rPr>
  </w:style>
  <w:style w:type="paragraph" w:styleId="Revision">
    <w:name w:val="Revision"/>
    <w:hidden/>
    <w:uiPriority w:val="99"/>
    <w:semiHidden/>
    <w:rsid w:val="0011295E"/>
    <w:rPr>
      <w:rFonts w:ascii="Calibri" w:hAnsi="Calibri"/>
      <w:sz w:val="24"/>
      <w:lang w:val="fr-FR" w:eastAsia="en-US"/>
    </w:rPr>
  </w:style>
  <w:style w:type="paragraph" w:styleId="BalloonText">
    <w:name w:val="Balloon Text"/>
    <w:basedOn w:val="Normal"/>
    <w:link w:val="BalloonTextChar"/>
    <w:semiHidden/>
    <w:unhideWhenUsed/>
    <w:rsid w:val="0011295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295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ACTF-2014" TargetMode="External"/><Relationship Id="rId13" Type="http://schemas.openxmlformats.org/officeDocument/2006/relationships/hyperlink" Target="http://www.itu.int/md/S07-CL-C-0005/en" TargetMode="External"/><Relationship Id="rId18" Type="http://schemas.openxmlformats.org/officeDocument/2006/relationships/hyperlink" Target="http://www.itu.int/md/S11-CL-C-0021/fr" TargetMode="External"/><Relationship Id="rId26" Type="http://schemas.openxmlformats.org/officeDocument/2006/relationships/hyperlink" Target="https://www.itu.int/md/S18-CL-C-0060/en" TargetMode="External"/><Relationship Id="rId3" Type="http://schemas.openxmlformats.org/officeDocument/2006/relationships/settings" Target="settings.xml"/><Relationship Id="rId21" Type="http://schemas.openxmlformats.org/officeDocument/2006/relationships/hyperlink" Target="http://www.itu.int/md/S13-CL-C-0014/fr" TargetMode="External"/><Relationship Id="rId7" Type="http://schemas.openxmlformats.org/officeDocument/2006/relationships/image" Target="media/image1.jpeg"/><Relationship Id="rId12" Type="http://schemas.openxmlformats.org/officeDocument/2006/relationships/hyperlink" Target="http://www.itu.int/md/S06-CL-C-0025/en" TargetMode="External"/><Relationship Id="rId17" Type="http://schemas.openxmlformats.org/officeDocument/2006/relationships/hyperlink" Target="http://www.itu.int/md/S10-CL-C-0096/fr" TargetMode="External"/><Relationship Id="rId25" Type="http://schemas.openxmlformats.org/officeDocument/2006/relationships/hyperlink" Target="http://www.itu.int/md/S17-CL-C-0014/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S10-CL-C-0033/fr" TargetMode="External"/><Relationship Id="rId20" Type="http://schemas.openxmlformats.org/officeDocument/2006/relationships/hyperlink" Target="http://www.itu.int/md/S12-CL-C-0010/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doc/gs/council/c01/docs/034.html" TargetMode="External"/><Relationship Id="rId24" Type="http://schemas.openxmlformats.org/officeDocument/2006/relationships/hyperlink" Target="http://www.itu.int/md/S16-CL-C-0014/f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S09-CL-C-0005/en" TargetMode="External"/><Relationship Id="rId23" Type="http://schemas.openxmlformats.org/officeDocument/2006/relationships/hyperlink" Target="http://www.itu.int/md/S15-CL-C-0014/en" TargetMode="External"/><Relationship Id="rId28" Type="http://schemas.openxmlformats.org/officeDocument/2006/relationships/header" Target="header2.xml"/><Relationship Id="rId10" Type="http://schemas.openxmlformats.org/officeDocument/2006/relationships/hyperlink" Target="http://www.itu.int/pub/S-CONF-ACTF-2014" TargetMode="External"/><Relationship Id="rId19" Type="http://schemas.openxmlformats.org/officeDocument/2006/relationships/hyperlink" Target="http://www.itu.int/md/S12-CL-C-0005/fr"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en/council/2019/Documents/basic-texts/Convention-F.pdf" TargetMode="External"/><Relationship Id="rId14" Type="http://schemas.openxmlformats.org/officeDocument/2006/relationships/hyperlink" Target="http://www.itu.int/md/S08-CL-C-0014/en" TargetMode="External"/><Relationship Id="rId22" Type="http://schemas.openxmlformats.org/officeDocument/2006/relationships/hyperlink" Target="http://www.itu.int/md/S14-CL-C-0014/en" TargetMode="External"/><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BBF0-E480-46CC-B432-23027E27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0</TotalTime>
  <Pages>7</Pages>
  <Words>2234</Words>
  <Characters>13948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16150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 de la gestion et du suivi de la contribution des Membres de Secteur, des Associés et des Établissements universitaires aux dépenses de l'UIT</dc:title>
  <dc:subject>Conseil 2019</dc:subject>
  <dc:creator>Brouard, Ricarda</dc:creator>
  <cp:keywords>C2019, C19</cp:keywords>
  <dc:description/>
  <cp:lastModifiedBy>Brouard, Ricarda</cp:lastModifiedBy>
  <cp:revision>2</cp:revision>
  <cp:lastPrinted>2019-05-01T07:00:00Z</cp:lastPrinted>
  <dcterms:created xsi:type="dcterms:W3CDTF">2019-05-01T16:10:00Z</dcterms:created>
  <dcterms:modified xsi:type="dcterms:W3CDTF">2019-05-01T16:10:00Z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