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0060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00605">
              <w:rPr>
                <w:rFonts w:cs="Times"/>
                <w:b/>
                <w:szCs w:val="24"/>
              </w:rPr>
              <w:t>Punto del orden del día: PL 1.5</w:t>
            </w:r>
          </w:p>
        </w:tc>
        <w:tc>
          <w:tcPr>
            <w:tcW w:w="3261" w:type="dxa"/>
          </w:tcPr>
          <w:p w:rsidR="00093EEB" w:rsidRPr="00093EEB" w:rsidRDefault="00093EEB" w:rsidP="007A2AF0">
            <w:pPr>
              <w:spacing w:before="0"/>
              <w:rPr>
                <w:b/>
                <w:bCs/>
                <w:szCs w:val="24"/>
              </w:rPr>
            </w:pPr>
            <w:r>
              <w:rPr>
                <w:b/>
                <w:bCs/>
                <w:szCs w:val="24"/>
              </w:rPr>
              <w:t>Documento C1</w:t>
            </w:r>
            <w:r w:rsidR="00C2727F">
              <w:rPr>
                <w:b/>
                <w:bCs/>
                <w:szCs w:val="24"/>
              </w:rPr>
              <w:t>9</w:t>
            </w:r>
            <w:r>
              <w:rPr>
                <w:b/>
                <w:bCs/>
                <w:szCs w:val="24"/>
              </w:rPr>
              <w:t>/</w:t>
            </w:r>
            <w:r w:rsidR="007A2AF0">
              <w:rPr>
                <w:b/>
                <w:bCs/>
                <w:szCs w:val="24"/>
              </w:rPr>
              <w:t>58</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00605" w:rsidP="00C2727F">
            <w:pPr>
              <w:spacing w:before="0"/>
              <w:rPr>
                <w:b/>
                <w:bCs/>
                <w:szCs w:val="24"/>
              </w:rPr>
            </w:pPr>
            <w:r w:rsidRPr="00700605">
              <w:rPr>
                <w:b/>
                <w:bCs/>
                <w:szCs w:val="24"/>
              </w:rPr>
              <w:t>6 de mayo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00605">
            <w:pPr>
              <w:pStyle w:val="Source"/>
            </w:pPr>
            <w:bookmarkStart w:id="7" w:name="dsource" w:colFirst="0" w:colLast="0"/>
            <w:bookmarkEnd w:id="1"/>
            <w:bookmarkEnd w:id="6"/>
            <w:r w:rsidRPr="00700605">
              <w:t>Informe del Secretario General</w:t>
            </w:r>
          </w:p>
        </w:tc>
      </w:tr>
      <w:tr w:rsidR="00093EEB" w:rsidRPr="000B0D00">
        <w:trPr>
          <w:cantSplit/>
        </w:trPr>
        <w:tc>
          <w:tcPr>
            <w:tcW w:w="10173" w:type="dxa"/>
            <w:gridSpan w:val="2"/>
          </w:tcPr>
          <w:p w:rsidR="00093EEB" w:rsidRPr="000B0D00" w:rsidRDefault="00C749C7" w:rsidP="00700605">
            <w:pPr>
              <w:pStyle w:val="Title1"/>
            </w:pPr>
            <w:bookmarkStart w:id="8" w:name="dtitle1" w:colFirst="0" w:colLast="0"/>
            <w:bookmarkEnd w:id="7"/>
            <w:r>
              <w:rPr>
                <w:lang w:val="es-ES"/>
              </w:rPr>
              <w:t>transmisión del informe del EX</w:t>
            </w:r>
            <w:r w:rsidR="00700605" w:rsidRPr="00700605">
              <w:rPr>
                <w:lang w:val="es-ES"/>
              </w:rPr>
              <w:t xml:space="preserve">presidente del Grupo de Expertos </w:t>
            </w:r>
            <w:r w:rsidR="00700605" w:rsidRPr="00700605">
              <w:rPr>
                <w:lang w:val="es-ES"/>
              </w:rPr>
              <w:br/>
              <w:t>de Alto nivel DE la Agenda sobre Ciberseguridad Global</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700605" w:rsidP="00C749C7">
            <w:pPr>
              <w:rPr>
                <w:lang w:val="es-ES"/>
              </w:rPr>
            </w:pPr>
            <w:r w:rsidRPr="00700605">
              <w:rPr>
                <w:lang w:val="es-ES"/>
              </w:rPr>
              <w:t xml:space="preserve">En la decimoséptima Sesión Plenaria de la PP-18, el </w:t>
            </w:r>
            <w:r w:rsidRPr="00700605">
              <w:rPr>
                <w:b/>
                <w:bCs/>
                <w:lang w:val="es-ES"/>
              </w:rPr>
              <w:t>Secretario General</w:t>
            </w:r>
            <w:r w:rsidRPr="00700605">
              <w:rPr>
                <w:lang w:val="es-ES"/>
              </w:rPr>
              <w:t xml:space="preserve"> observó con satisfacción que, durante las deliberaciones sobre el proyecto de Resolución, se había reconocido ampliamente el valor de la Agenda sobre Ciberseguridad Global (ACG). Instó a la Plenaria a que aceptara conservar el </w:t>
            </w:r>
            <w:r w:rsidRPr="00700605">
              <w:rPr>
                <w:i/>
                <w:iCs/>
                <w:lang w:val="es-ES"/>
              </w:rPr>
              <w:t>resuelve</w:t>
            </w:r>
            <w:r w:rsidRPr="00700605">
              <w:rPr>
                <w:lang w:val="es-ES"/>
              </w:rPr>
              <w:t xml:space="preserve"> 12.1, que permitirá a la UIT utilizar la ACG para orientar su labor relativa a la creación de confianza y seguridad en las TIC. A ese respecto, solicitaría el asesoramiento del C</w:t>
            </w:r>
            <w:r w:rsidR="00C749C7">
              <w:rPr>
                <w:lang w:val="es-ES"/>
              </w:rPr>
              <w:t>onsejo y del exp</w:t>
            </w:r>
            <w:r w:rsidRPr="00700605">
              <w:rPr>
                <w:lang w:val="es-ES"/>
              </w:rPr>
              <w:t>residente del Grupo de Expertos de Alto Nivel que se ocupa de la ACG, el Magistrado Stein Schjolberg.</w:t>
            </w:r>
          </w:p>
          <w:p w:rsidR="00093EEB" w:rsidRPr="000B0D00" w:rsidRDefault="00093EEB">
            <w:pPr>
              <w:pStyle w:val="Headingb"/>
              <w:rPr>
                <w:lang w:val="es-ES"/>
              </w:rPr>
            </w:pPr>
            <w:r w:rsidRPr="000B0D00">
              <w:rPr>
                <w:lang w:val="es-ES"/>
              </w:rPr>
              <w:t>Acción solicitada</w:t>
            </w:r>
          </w:p>
          <w:p w:rsidR="00093EEB" w:rsidRPr="000B0D00" w:rsidRDefault="00700605">
            <w:pPr>
              <w:rPr>
                <w:lang w:val="es-ES"/>
              </w:rPr>
            </w:pPr>
            <w:r w:rsidRPr="00700605">
              <w:rPr>
                <w:lang w:val="es-ES"/>
              </w:rPr>
              <w:t xml:space="preserve">Se invita al Consejo a que </w:t>
            </w:r>
            <w:r w:rsidRPr="00700605">
              <w:rPr>
                <w:b/>
                <w:bCs/>
                <w:lang w:val="es-ES"/>
              </w:rPr>
              <w:t>tome nota</w:t>
            </w:r>
            <w:r w:rsidRPr="00700605">
              <w:rPr>
                <w:lang w:val="es-ES"/>
              </w:rPr>
              <w:t xml:space="preserve"> del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700605">
              <w:rPr>
                <w:lang w:val="es-ES"/>
              </w:rPr>
              <w:t>s</w:t>
            </w:r>
          </w:p>
          <w:p w:rsidR="00093EEB" w:rsidRPr="000B0D00" w:rsidRDefault="007F47CF" w:rsidP="00700605">
            <w:pPr>
              <w:spacing w:after="120"/>
              <w:rPr>
                <w:i/>
                <w:iCs/>
                <w:lang w:val="es-ES"/>
              </w:rPr>
            </w:pPr>
            <w:hyperlink r:id="rId8" w:history="1">
              <w:r w:rsidR="00700605" w:rsidRPr="00700605">
                <w:rPr>
                  <w:rStyle w:val="Hyperlink"/>
                  <w:i/>
                  <w:iCs/>
                  <w:lang w:val="es-ES"/>
                </w:rPr>
                <w:t>Documento PP-18/174</w:t>
              </w:r>
            </w:hyperlink>
            <w:r w:rsidR="00700605" w:rsidRPr="00700605">
              <w:rPr>
                <w:i/>
                <w:iCs/>
                <w:lang w:val="es-ES"/>
              </w:rPr>
              <w:t xml:space="preserve">; </w:t>
            </w:r>
            <w:hyperlink r:id="rId9" w:history="1">
              <w:r w:rsidR="00700605" w:rsidRPr="00700605">
                <w:rPr>
                  <w:rStyle w:val="Hyperlink"/>
                  <w:i/>
                  <w:iCs/>
                  <w:lang w:val="es-ES"/>
                </w:rPr>
                <w:t>Documento C19/INF/9</w:t>
              </w:r>
            </w:hyperlink>
          </w:p>
        </w:tc>
      </w:tr>
    </w:tbl>
    <w:p w:rsidR="00C2727F" w:rsidRDefault="00700605" w:rsidP="00700605">
      <w:pPr>
        <w:spacing w:before="1440"/>
      </w:pPr>
      <w:r w:rsidRPr="00700605">
        <w:rPr>
          <w:b/>
          <w:bCs/>
        </w:rPr>
        <w:t>Anexo</w:t>
      </w:r>
      <w:r w:rsidRPr="00700605">
        <w:t>: 1</w:t>
      </w:r>
    </w:p>
    <w:p w:rsidR="00700605" w:rsidRDefault="00700605" w:rsidP="00700605">
      <w:r>
        <w:br w:type="page"/>
      </w:r>
    </w:p>
    <w:p w:rsidR="00700605" w:rsidRDefault="00700605" w:rsidP="00700605">
      <w:pPr>
        <w:pStyle w:val="AnnexNo"/>
      </w:pPr>
      <w:r>
        <w:lastRenderedPageBreak/>
        <w:t>ANEXO</w:t>
      </w:r>
    </w:p>
    <w:p w:rsidR="00700605" w:rsidRDefault="00700605" w:rsidP="00700605">
      <w:pPr>
        <w:pStyle w:val="Annextitle"/>
      </w:pPr>
      <w:r>
        <w:t>Informe del Presidente de 2019</w:t>
      </w:r>
    </w:p>
    <w:p w:rsidR="00700605" w:rsidRDefault="00C749C7" w:rsidP="00700605">
      <w:pPr>
        <w:pStyle w:val="Title4"/>
      </w:pPr>
      <w:r>
        <w:t>INFORME REVISADO DEL EX</w:t>
      </w:r>
      <w:r w:rsidR="00700605">
        <w:t xml:space="preserve">PRESIDENTE DEL GRUPO </w:t>
      </w:r>
      <w:r w:rsidR="00700605">
        <w:br/>
        <w:t>DE EXPERTOS DE ALTO NIVEL SOBRE LA ACG</w:t>
      </w:r>
      <w:r w:rsidR="00700605">
        <w:rPr>
          <w:rStyle w:val="FootnoteReference"/>
        </w:rPr>
        <w:footnoteReference w:id="1"/>
      </w:r>
    </w:p>
    <w:p w:rsidR="00700605" w:rsidRPr="00700605" w:rsidRDefault="00700605" w:rsidP="00700605">
      <w:pPr>
        <w:pStyle w:val="Normalaftertitle"/>
        <w:rPr>
          <w:b/>
          <w:bCs/>
        </w:rPr>
      </w:pPr>
      <w:r w:rsidRPr="00700605">
        <w:rPr>
          <w:b/>
          <w:bCs/>
        </w:rPr>
        <w:t xml:space="preserve">Stein Schjolberg, </w:t>
      </w:r>
      <w:r w:rsidRPr="00700605">
        <w:rPr>
          <w:b/>
          <w:bCs/>
        </w:rPr>
        <w:br/>
        <w:t>Magistrado (Ret.)</w:t>
      </w:r>
      <w:r w:rsidRPr="00700605">
        <w:rPr>
          <w:b/>
          <w:bCs/>
        </w:rPr>
        <w:br/>
        <w:t>Noruega</w:t>
      </w:r>
    </w:p>
    <w:p w:rsidR="00700605" w:rsidRDefault="00700605" w:rsidP="00700605">
      <w:pPr>
        <w:jc w:val="right"/>
      </w:pPr>
      <w:r>
        <w:t>30 de abril de 2019</w:t>
      </w:r>
    </w:p>
    <w:p w:rsidR="00700605" w:rsidRPr="00700605" w:rsidRDefault="00700605" w:rsidP="00700605">
      <w:pPr>
        <w:rPr>
          <w:b/>
          <w:bCs/>
        </w:rPr>
      </w:pPr>
      <w:r w:rsidRPr="00700605">
        <w:rPr>
          <w:b/>
          <w:bCs/>
        </w:rPr>
        <w:t>Al</w:t>
      </w:r>
      <w:r w:rsidRPr="00700605">
        <w:rPr>
          <w:b/>
          <w:bCs/>
        </w:rPr>
        <w:br/>
        <w:t>Secretario General de la UIT, Sr. Houlin Zhao</w:t>
      </w:r>
    </w:p>
    <w:p w:rsidR="00700605" w:rsidRDefault="00700605" w:rsidP="00700605">
      <w:pPr>
        <w:pStyle w:val="Heading1"/>
      </w:pPr>
      <w:r>
        <w:t>1</w:t>
      </w:r>
      <w:r>
        <w:tab/>
        <w:t>Introducción</w:t>
      </w:r>
    </w:p>
    <w:p w:rsidR="00700605" w:rsidRDefault="00700605" w:rsidP="0025550C">
      <w:r>
        <w:t>La Conferencia de Plenipotenciarios de la UIT de 2018, celebrada en Dubái, adoptó la Resolución</w:t>
      </w:r>
      <w:r w:rsidR="0025550C">
        <w:t> </w:t>
      </w:r>
      <w:r>
        <w:t xml:space="preserve">130, Fortalecimiento del papel de la UIT en la creación de confianza y seguridad en la utilización de las tecnologías de la información y la comunicación. La Resolución resuelve, entre otras cosas, </w:t>
      </w:r>
      <w:r w:rsidRPr="00700605">
        <w:rPr>
          <w:i/>
          <w:iCs/>
        </w:rPr>
        <w:t>que se utilice el marco del Agenda sobre Ciberseguridad Global (ACG) para seguir encauzando la labor de la Unión en sus esfuerzos por crear confianza y seguridad en la utilización de las TIC</w:t>
      </w:r>
      <w:r>
        <w:t>.</w:t>
      </w:r>
    </w:p>
    <w:p w:rsidR="00700605" w:rsidRDefault="00700605" w:rsidP="00B300A6">
      <w:r>
        <w:t>Durante las discusiones plenarias justo antes de la adopción de la Res</w:t>
      </w:r>
      <w:r w:rsidR="00B300A6">
        <w:t>olución</w:t>
      </w:r>
      <w:r>
        <w:t xml:space="preserve"> 130, el Secretario General de la UIT </w:t>
      </w:r>
      <w:r w:rsidRPr="00700605">
        <w:rPr>
          <w:i/>
          <w:iCs/>
        </w:rPr>
        <w:t xml:space="preserve">observó con satisfacción que en las deliberaciones sobre el proyecto de Resolución se había reconocido ampliamente el valor de la </w:t>
      </w:r>
      <w:r w:rsidR="00B300A6" w:rsidRPr="00700605">
        <w:rPr>
          <w:i/>
          <w:iCs/>
        </w:rPr>
        <w:t>A</w:t>
      </w:r>
      <w:r w:rsidRPr="00700605">
        <w:rPr>
          <w:i/>
          <w:iCs/>
        </w:rPr>
        <w:t>C</w:t>
      </w:r>
      <w:r w:rsidR="00B300A6" w:rsidRPr="00700605">
        <w:rPr>
          <w:i/>
          <w:iCs/>
        </w:rPr>
        <w:t>G</w:t>
      </w:r>
      <w:r w:rsidRPr="00700605">
        <w:rPr>
          <w:i/>
          <w:iCs/>
        </w:rPr>
        <w:t>. Instó a la Plenaria a que aceptara conservar el resuelve 12.1, que permitirá a la UIT utilizar la ACG para orientar su labor relativa a la creación de confianza y seguridad en las TIC. A ese respecto, solicitaría el ase</w:t>
      </w:r>
      <w:r w:rsidR="00C749C7">
        <w:rPr>
          <w:i/>
          <w:iCs/>
        </w:rPr>
        <w:t>soramiento del Consejo y del exp</w:t>
      </w:r>
      <w:r w:rsidRPr="00700605">
        <w:rPr>
          <w:i/>
          <w:iCs/>
        </w:rPr>
        <w:t>residente del Grupo de Expertos de Alto Nivel que se ocupa de la ACG, el Magistrado Stein Schjolberg</w:t>
      </w:r>
      <w:r>
        <w:t>.</w:t>
      </w:r>
      <w:r>
        <w:rPr>
          <w:rStyle w:val="FootnoteReference"/>
        </w:rPr>
        <w:footnoteReference w:id="2"/>
      </w:r>
    </w:p>
    <w:p w:rsidR="00700605" w:rsidRDefault="00700605" w:rsidP="00700605">
      <w:pPr>
        <w:pStyle w:val="Headingb"/>
      </w:pPr>
      <w:r>
        <w:t>Antecedentes</w:t>
      </w:r>
    </w:p>
    <w:p w:rsidR="00700605" w:rsidRDefault="00700605" w:rsidP="00700605">
      <w:r>
        <w:t>La ACG es un marco para la cooperación internacional en pro de mejorar la confianza y la seguridad en la sociedad de la información. La ACG se ha concebido para mejorar la cooperación y la eficiencia, fomentar la colaboración con y entre todos los asociados pertinentes y aprovechar las iniciativas existentes para evit</w:t>
      </w:r>
      <w:r w:rsidR="0025550C">
        <w:t>ar la duplicación de esfuerzos.</w:t>
      </w:r>
    </w:p>
    <w:p w:rsidR="00700605" w:rsidRDefault="00700605" w:rsidP="00700605">
      <w:pPr>
        <w:keepNext/>
        <w:keepLines/>
      </w:pPr>
      <w:r>
        <w:lastRenderedPageBreak/>
        <w:t>El Grupo de Expertos de Alto Nivel (GEAN) sobre la ACG se creó en octubre de 2007 para ayudar al Secretario General de la UIT a formular propuestas estratégicas para los Estados Miembros sobre el fomento de la ciberseguridad. Estuvo presidido por el Magistrado Stein Schjolberg, de Noruega, con más de 30 años de experiencia en el ámbito de la legislación sobre el ciberdelito. La labor del GEAN guarda relación con la función de la UIT en la Cumbre Mundial sobre la Sociedad de la Información (CMSI) de facilitador de la Línea de Acción C5, relativa al fomento de la confianza y la seguridad en la utilización de las TIC. Se basa en el Programa Mundial de Ciberseguridad de la UIT, lanzado en mayo de 2007, que consta de cinco pilares estratégicos: medidas jurídicas, medidas técnicas y de procedimiento, estructura orgánica, capacitación y cooperación internacional.</w:t>
      </w:r>
    </w:p>
    <w:p w:rsidR="00700605" w:rsidRDefault="00700605" w:rsidP="00700605">
      <w:r>
        <w:t>El GEAN está integrado por un grupo multipartito de expertos independientes de casi 100 personas de todo el mundo. En agosto de 2008, el Grupo presentó al Secretario General de la UIT sus recomendaciones sobre todos los pilares estratégicos, a través del Informe del Presidente.</w:t>
      </w:r>
      <w:r>
        <w:rPr>
          <w:rStyle w:val="FootnoteReference"/>
        </w:rPr>
        <w:footnoteReference w:id="3"/>
      </w:r>
      <w:r>
        <w:t xml:space="preserve"> En su calidad de Presidente del GEAN sobre la ACG, el Magistrado Stein Schjolberg transmitió el Informe, en cuyo preámbulo declara lo siguiente:</w:t>
      </w:r>
    </w:p>
    <w:p w:rsidR="00700605" w:rsidRPr="00700605" w:rsidRDefault="00700605" w:rsidP="00700605">
      <w:pPr>
        <w:pStyle w:val="enumlev1"/>
        <w:rPr>
          <w:i/>
          <w:iCs/>
        </w:rPr>
      </w:pPr>
      <w:r>
        <w:tab/>
      </w:r>
      <w:r w:rsidRPr="00700605">
        <w:rPr>
          <w:i/>
          <w:iCs/>
        </w:rPr>
        <w:t xml:space="preserve">Los costes asociados a los ciberataques son significativos en cuanto a pérdida de ingresos, pérdida de datos confidenciales, daños a los equipos, ataques de denegación </w:t>
      </w:r>
      <w:r>
        <w:rPr>
          <w:i/>
          <w:iCs/>
        </w:rPr>
        <w:t xml:space="preserve">de servicio y apagones de red. </w:t>
      </w:r>
      <w:r w:rsidRPr="00700605">
        <w:rPr>
          <w:i/>
          <w:iCs/>
        </w:rPr>
        <w:t>El futuro crecimiento y el potencial de la sociedad de la información en línea están en peligro debido al creciente número de ciberamenazas. Además, el ciberespacio no tiene fronteras: los ciberataques pueden causar daños inconmensurables en diferentes países en cuestión de minutos. Las ciberamenazas son un problema mundial que requiere una solución mundial en la que participen todas las partes interesadas.</w:t>
      </w:r>
    </w:p>
    <w:p w:rsidR="00700605" w:rsidRDefault="00700605" w:rsidP="00700605">
      <w:r>
        <w:t>Han pasado más de 10 años desde que se presentara el informe del GEAN. El presente informe se basa en el examen de los aspectos que han evolucionado desde 2008.</w:t>
      </w:r>
    </w:p>
    <w:p w:rsidR="00700605" w:rsidRDefault="00700605" w:rsidP="00700605">
      <w:pPr>
        <w:pStyle w:val="Heading1"/>
      </w:pPr>
      <w:r w:rsidRPr="00700605">
        <w:t>2</w:t>
      </w:r>
      <w:r w:rsidRPr="00700605">
        <w:tab/>
        <w:t>La ACG sigue siendo pertinente e importante</w:t>
      </w:r>
    </w:p>
    <w:p w:rsidR="00700605" w:rsidRDefault="00700605" w:rsidP="00FE2761">
      <w:r>
        <w:t xml:space="preserve">El marco que ofrecen los cinco pilares del ACG ha sido ampliamente apreciado por los </w:t>
      </w:r>
      <w:r w:rsidR="00FE2761">
        <w:t>m</w:t>
      </w:r>
      <w:r>
        <w:t>iembros de la UIT y, en general, ha resistido la prueba del tiempo, por lo que sigue constituyendo un marco amplio para la cooperación internacional en materia de ciberseguridad, en el que se inscriben los documentos finales de la CMSI, especialmente los principios indicados en la Línea de Acción C5. Las recomendaciones conexas incluidas en el Informe del Presidente del GEAN de 2008 son tan pertinentes hoy como lo fueron en 2008 (si bien se reconoce que algunos aspectos específicos del informe podrían considerarse anticuados o que han sido sustituidos por otros nuevos).</w:t>
      </w:r>
    </w:p>
    <w:p w:rsidR="00700605" w:rsidRDefault="00700605" w:rsidP="00274649">
      <w:r>
        <w:t xml:space="preserve">Obviamente, el panorama de las TIC ha cambiado drásticamente desde 2008, ya que ahora las TIC son motor de todos los sectores de la sociedad y prácticamente de todas las infraestructuras fundamentales de las que depende el buen funcionamiento de una nación. Estamos asistiendo a la aparición y adopción de nuevas tecnologías, por ejemplo con la mayor adopción de la Internet de </w:t>
      </w:r>
      <w:r w:rsidR="00274649">
        <w:t>las cosas</w:t>
      </w:r>
      <w:r>
        <w:t>, que interconectará decenas, si no centenares, de miles de millones de nuevos dispositivos, lo que supondrá la aparición de un número considerable de nuevas vulnerabilidades potenciales; la aparición de la inteligencia artificial como herramienta para aprovechar los datos, especialmente los macrodatos, a fin de que las personas p</w:t>
      </w:r>
      <w:bookmarkStart w:id="9" w:name="_GoBack"/>
      <w:bookmarkEnd w:id="9"/>
      <w:r>
        <w:t xml:space="preserve">uedan tomar decisiones con mayor conocimiento de causa, así como la posibilidad de que las máquinas puedan tomar decisiones </w:t>
      </w:r>
      <w:r>
        <w:lastRenderedPageBreak/>
        <w:t>autónomas y supuestamente inteligentes por sí solas, sin intervención humana, con los consecuentes problemas de privacidad, seguridad y confianza de los usuarios, así como de los algoritmos y herramientas; nuevas tecnologías y normas de comunicación como la 5G que permiten la comunicación a una velocidad exponencialmente superior a la que actualmente es viable; la computación cuántica que ofrece velocidades de computación muy superiores a las actuales, generando así grandes oportunidades pero también poniendo en peligro, entre otras cosas, los algoritmos criptográficos actuales. También hemos observado el surgimiento de nuevas tecnologías de seguridad, como las tecnologías de libro mayor distribuido (las cadenas de bloques son una de sus materializaciones más populares), que ofrecen mecanismos considerablemente más eficaces para salvaguardar los sistemas y los datos conexos. Además, son cada vez más los países de todo el mundo que avanzan hacia la adopción de sistemas de identidad digital.</w:t>
      </w:r>
    </w:p>
    <w:p w:rsidR="00700605" w:rsidRDefault="00700605" w:rsidP="00700605">
      <w:r>
        <w:t>Por otra parte, se ha producido un fenómeno determinante en el ecosistema mundial de las TIC desde 2008, a saber, la adopción mundial a gran escala de las redes sociales. Algunas empresas tienen más usuarios que la población de muchos países juntos – por ejemplo, Facebook tiene más de 2 300 millones de usuarios (al mes de marzo de 2019). Los medios sociales han desempeñado un papel fundamental en la conexión de personas de todo el mundo, difuminando las fronteras geográficas y proporcionando un acceso fácil a información y oportunidades a una escala que antes no existía. También ha suscitado importantes preocupaciones en materia de confianza, en relación con la privacidad y la seguridad de los usuarios y los datos que éstos generan, la autenticidad y la fiabilidad de la información disponible en las redes sociales, la difusión de conte</w:t>
      </w:r>
      <w:r w:rsidR="000A7428">
        <w:t>nidos que incitan al odio, etc.</w:t>
      </w:r>
    </w:p>
    <w:p w:rsidR="00700605" w:rsidRDefault="00700605" w:rsidP="00700605">
      <w:r>
        <w:t>En general, se reconoce a escala mundial que las TIC son un medio imprescindible para alcanzar los Objetivos de Desarrollo Sostenible de las Naciones Unidas, y que para ello es importante que las personas tengan fe y confia</w:t>
      </w:r>
      <w:r w:rsidR="0092410F">
        <w:t>nza en el uso de las TIC.</w:t>
      </w:r>
    </w:p>
    <w:p w:rsidR="00700605" w:rsidRDefault="00700605" w:rsidP="00700605">
      <w:r>
        <w:t>Las actividades que se están llevando a cabo en el marco de la ACG han ido evolucionando a tenor de los cambios producidos en el panorama de las TIC, incluidas las emprendidas por la UIT</w:t>
      </w:r>
      <w:r>
        <w:rPr>
          <w:rStyle w:val="FootnoteReference"/>
        </w:rPr>
        <w:footnoteReference w:id="4"/>
      </w:r>
      <w:r>
        <w:t xml:space="preserve"> en el marco de su mandato y de su función de facilitador de la</w:t>
      </w:r>
      <w:r w:rsidR="000A7428">
        <w:t xml:space="preserve"> Línea de Acción C5 de la CMSI.</w:t>
      </w:r>
    </w:p>
    <w:p w:rsidR="00700605" w:rsidRDefault="00700605" w:rsidP="00700605">
      <w:r>
        <w:t>La ACG ha sido muy útil en los esfuerzos de la UIT para fomentar la confianza y la seguridad en la utilización de las TIC. En el marco de su mandato, orientado por la aplicación de la ACG, la UIT ha procurado reunir a diferentes partes interesadas para que colaboren en una serie de iniciativas cruciales, como ayudar a los países a definir su estrategia nacional de ciberseguridad, fortalecer su infraestructura mediante la elaboración y aplicación de normas internacionales de seguridad, establecer sus equipos de intervención en caso de incidente informático, desplegar iniciativas de protección de la infancia en línea y crear la capacidad y los conocimientos humanos necesarios. En el marco de la ACG se han puesto en marcha diversas iniciativas multipartitas, como la Protección de la Infancia en Línea.</w:t>
      </w:r>
    </w:p>
    <w:p w:rsidR="00700605" w:rsidRDefault="00700605" w:rsidP="00700605">
      <w:pPr>
        <w:pStyle w:val="Heading1"/>
      </w:pPr>
      <w:r>
        <w:lastRenderedPageBreak/>
        <w:t>3</w:t>
      </w:r>
      <w:r>
        <w:tab/>
        <w:t>En busca de un denominador común en materia de ciberseguridad</w:t>
      </w:r>
    </w:p>
    <w:p w:rsidR="00700605" w:rsidRDefault="00700605" w:rsidP="00700605">
      <w:pPr>
        <w:keepNext/>
        <w:keepLines/>
      </w:pPr>
      <w:r>
        <w:t xml:space="preserve">La ciberseguridad ocupa un lugar destacado en la agenda mundial de los Jefes de Estado y los líderes mundiales, así como en la de los directores generales de empresas del sector privado y de organizaciones internacionales y de la sociedad civil de todo el mundo. Como se ha indicado anteriormente, hay varias iniciativas encomiables en curso, iniciadas por diferentes grupos de interesados. En el </w:t>
      </w:r>
      <w:hyperlink r:id="rId10" w:history="1">
        <w:r w:rsidRPr="00700605">
          <w:rPr>
            <w:rStyle w:val="Hyperlink"/>
          </w:rPr>
          <w:t>Documento INF/9</w:t>
        </w:r>
      </w:hyperlink>
      <w:r>
        <w:t xml:space="preserve"> se describen algunos cambios que se han producido desde 2008 en los planos regional y mundial.</w:t>
      </w:r>
    </w:p>
    <w:p w:rsidR="00700605" w:rsidRDefault="00700605" w:rsidP="00700605">
      <w:r>
        <w:t>No obstante, existe un creciente déficit de confianza en el ciberespacio. Se ha manifestado reiteradamente la necesidad de una mayor coherencia y cohesión de las iniciativas para que puedan tener la máxima incidencia. Este debe seguir siendo el principal objetivo de la UIT, que actúa como facilitadora de la Línea de Acción C5 de la CMSI.</w:t>
      </w:r>
    </w:p>
    <w:p w:rsidR="00700605" w:rsidRDefault="00700605" w:rsidP="00700605">
      <w:r>
        <w:t>Los pilares y recomendaciones del ACG, especialmente los relacionados con la cooperación internacional, deberían seguir utilizándose como marco de orientación para la Unión en sus esfuerzos de coordinación conexos.</w:t>
      </w:r>
    </w:p>
    <w:p w:rsidR="00700605" w:rsidRDefault="00700605" w:rsidP="00700605">
      <w:r>
        <w:t>A fin de lograr una mayor claridad y eficacia en la aplicación de las recomendaciones de la ACG, teniendo en cuenta la complejidad de las cuestiones que plantea la rápida evolución del ecosistema de las TIC, tal vez sea necesario seguir elaborando directrices adecuadas para la utilización de la ACG.</w:t>
      </w:r>
    </w:p>
    <w:p w:rsidR="00700605" w:rsidRDefault="00700605" w:rsidP="00700605">
      <w:r>
        <w:t>En mi calidad de Presidente del GEAN de 2008, quedo a su disposición para asesorar al Secretario General de la UIT en cualquier actividad conexa.</w:t>
      </w:r>
    </w:p>
    <w:p w:rsidR="00700605" w:rsidRDefault="00700605" w:rsidP="00411C49">
      <w:pPr>
        <w:pStyle w:val="Reasons"/>
      </w:pPr>
    </w:p>
    <w:p w:rsidR="00700605" w:rsidRDefault="00700605">
      <w:pPr>
        <w:jc w:val="center"/>
      </w:pPr>
      <w:r>
        <w:t>______________</w:t>
      </w:r>
    </w:p>
    <w:sectPr w:rsidR="00700605"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F0" w:rsidRDefault="007A2AF0">
      <w:r>
        <w:separator/>
      </w:r>
    </w:p>
  </w:endnote>
  <w:endnote w:type="continuationSeparator" w:id="0">
    <w:p w:rsidR="007A2AF0" w:rsidRDefault="007A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00605" w:rsidRDefault="00700605" w:rsidP="00700605">
    <w:pPr>
      <w:pStyle w:val="Footer"/>
      <w:rPr>
        <w:lang w:val="fr-CH"/>
      </w:rPr>
    </w:pPr>
    <w:r w:rsidRPr="00700605">
      <w:rPr>
        <w:lang w:val="en-US"/>
      </w:rPr>
      <w:fldChar w:fldCharType="begin"/>
    </w:r>
    <w:r w:rsidRPr="00700605">
      <w:rPr>
        <w:lang w:val="fr-CH"/>
      </w:rPr>
      <w:instrText xml:space="preserve"> FILENAME \p  \* MERGEFORMAT </w:instrText>
    </w:r>
    <w:r w:rsidRPr="00700605">
      <w:rPr>
        <w:lang w:val="en-US"/>
      </w:rPr>
      <w:fldChar w:fldCharType="separate"/>
    </w:r>
    <w:r w:rsidR="00C749C7">
      <w:rPr>
        <w:lang w:val="fr-CH"/>
      </w:rPr>
      <w:t>P:\ESP\SG\CONSEIL\C19\000\058S.docx</w:t>
    </w:r>
    <w:r w:rsidRPr="00700605">
      <w:rPr>
        <w:lang w:val="en-US"/>
      </w:rPr>
      <w:fldChar w:fldCharType="end"/>
    </w:r>
    <w:r w:rsidRPr="00700605">
      <w:rPr>
        <w:lang w:val="fr-CH"/>
      </w:rPr>
      <w:t xml:space="preserve"> (</w:t>
    </w:r>
    <w:r>
      <w:rPr>
        <w:lang w:val="fr-CH"/>
      </w:rPr>
      <w:t>454902</w:t>
    </w:r>
    <w:r w:rsidRPr="0070060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00605" w:rsidRDefault="00760F1C" w:rsidP="0070060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F0" w:rsidRDefault="007A2AF0">
      <w:r>
        <w:t>____________________</w:t>
      </w:r>
    </w:p>
  </w:footnote>
  <w:footnote w:type="continuationSeparator" w:id="0">
    <w:p w:rsidR="007A2AF0" w:rsidRDefault="007A2AF0">
      <w:r>
        <w:continuationSeparator/>
      </w:r>
    </w:p>
  </w:footnote>
  <w:footnote w:id="1">
    <w:p w:rsidR="00700605" w:rsidRPr="00700605" w:rsidRDefault="00700605" w:rsidP="00700605">
      <w:pPr>
        <w:pStyle w:val="FootnoteText"/>
        <w:rPr>
          <w:lang w:val="es-ES"/>
        </w:rPr>
      </w:pPr>
      <w:r>
        <w:rPr>
          <w:rStyle w:val="FootnoteReference"/>
        </w:rPr>
        <w:footnoteRef/>
      </w:r>
      <w:r>
        <w:tab/>
      </w:r>
      <w:r w:rsidRPr="00700605">
        <w:t>La información contenida en este Informe ha sido preparada y aportada por el Presidente del Grupo de Expertos de Alto Nivel sobre la ACG, basándose en la información pública disponible. Las opiniones expresadas en esta publicación son exclusivamente las del autor.</w:t>
      </w:r>
    </w:p>
  </w:footnote>
  <w:footnote w:id="2">
    <w:p w:rsidR="00700605" w:rsidRPr="00700605" w:rsidRDefault="00700605" w:rsidP="00700605">
      <w:pPr>
        <w:pStyle w:val="FootnoteText"/>
        <w:rPr>
          <w:lang w:val="es-ES"/>
        </w:rPr>
      </w:pPr>
      <w:r>
        <w:rPr>
          <w:rStyle w:val="FootnoteReference"/>
        </w:rPr>
        <w:footnoteRef/>
      </w:r>
      <w:r>
        <w:tab/>
      </w:r>
      <w:r w:rsidRPr="00700605">
        <w:t>Actas de la decimosexta Sesión Plenaria de la Conferencia de Plenipotenciarios, Dubái, 15 de noviembre de 2018</w:t>
      </w:r>
      <w:r>
        <w:t>.</w:t>
      </w:r>
    </w:p>
  </w:footnote>
  <w:footnote w:id="3">
    <w:p w:rsidR="00700605" w:rsidRPr="00700605" w:rsidRDefault="00700605" w:rsidP="00700605">
      <w:pPr>
        <w:pStyle w:val="FootnoteText"/>
        <w:rPr>
          <w:lang w:val="es-ES"/>
        </w:rPr>
      </w:pPr>
      <w:r>
        <w:rPr>
          <w:rStyle w:val="FootnoteReference"/>
        </w:rPr>
        <w:footnoteRef/>
      </w:r>
      <w:r>
        <w:tab/>
      </w:r>
      <w:r w:rsidRPr="00700605">
        <w:t xml:space="preserve">Véase Magistrado Stein Schjolberg, Noruega: Informe del Presidente del GEAN: </w:t>
      </w:r>
      <w:hyperlink r:id="rId1" w:history="1">
        <w:r w:rsidRPr="00462801">
          <w:rPr>
            <w:rStyle w:val="Hyperlink"/>
          </w:rPr>
          <w:t>https://www.itu.int/en/action/cybersecurity/Pages/gca.aspx</w:t>
        </w:r>
      </w:hyperlink>
      <w:r>
        <w:t>.</w:t>
      </w:r>
    </w:p>
  </w:footnote>
  <w:footnote w:id="4">
    <w:p w:rsidR="00700605" w:rsidRPr="00700605" w:rsidRDefault="00700605" w:rsidP="00700605">
      <w:pPr>
        <w:pStyle w:val="FootnoteText"/>
        <w:rPr>
          <w:lang w:val="es-ES"/>
        </w:rPr>
      </w:pPr>
      <w:r>
        <w:rPr>
          <w:rStyle w:val="FootnoteReference"/>
        </w:rPr>
        <w:footnoteRef/>
      </w:r>
      <w:r>
        <w:tab/>
      </w:r>
      <w:r w:rsidRPr="00700605">
        <w:t>Véase el informe anual de actividades de la UIT al Consejo sobre creación de confianza y seguridad en la utilización de las 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F47CF">
      <w:rPr>
        <w:noProof/>
      </w:rPr>
      <w:t>5</w:t>
    </w:r>
    <w:r>
      <w:rPr>
        <w:noProof/>
      </w:rPr>
      <w:fldChar w:fldCharType="end"/>
    </w:r>
  </w:p>
  <w:p w:rsidR="00760F1C" w:rsidRDefault="00760F1C" w:rsidP="00700605">
    <w:pPr>
      <w:pStyle w:val="Header"/>
    </w:pPr>
    <w:r>
      <w:t>C</w:t>
    </w:r>
    <w:r w:rsidR="007F350B">
      <w:t>1</w:t>
    </w:r>
    <w:r w:rsidR="00C2727F">
      <w:t>9</w:t>
    </w:r>
    <w:r>
      <w:t>/</w:t>
    </w:r>
    <w:r w:rsidR="00700605">
      <w:t>58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F0"/>
    <w:rsid w:val="00066FB2"/>
    <w:rsid w:val="00093EEB"/>
    <w:rsid w:val="000A7428"/>
    <w:rsid w:val="000B0D00"/>
    <w:rsid w:val="000B7C15"/>
    <w:rsid w:val="000D1D0F"/>
    <w:rsid w:val="000F5290"/>
    <w:rsid w:val="0010165C"/>
    <w:rsid w:val="00146BFB"/>
    <w:rsid w:val="001F14A2"/>
    <w:rsid w:val="0025550C"/>
    <w:rsid w:val="00274649"/>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00605"/>
    <w:rsid w:val="00726872"/>
    <w:rsid w:val="00760F1C"/>
    <w:rsid w:val="007657F0"/>
    <w:rsid w:val="0077252D"/>
    <w:rsid w:val="007A2AF0"/>
    <w:rsid w:val="007E5DD3"/>
    <w:rsid w:val="007F350B"/>
    <w:rsid w:val="007F47CF"/>
    <w:rsid w:val="00820BE4"/>
    <w:rsid w:val="008451E8"/>
    <w:rsid w:val="00913B9C"/>
    <w:rsid w:val="0092410F"/>
    <w:rsid w:val="00956E77"/>
    <w:rsid w:val="009F4811"/>
    <w:rsid w:val="00A95B49"/>
    <w:rsid w:val="00AA390C"/>
    <w:rsid w:val="00AA605C"/>
    <w:rsid w:val="00B0200A"/>
    <w:rsid w:val="00B300A6"/>
    <w:rsid w:val="00B574DB"/>
    <w:rsid w:val="00B826C2"/>
    <w:rsid w:val="00B8298E"/>
    <w:rsid w:val="00BD0723"/>
    <w:rsid w:val="00BD2518"/>
    <w:rsid w:val="00BF1D1C"/>
    <w:rsid w:val="00C20C59"/>
    <w:rsid w:val="00C2727F"/>
    <w:rsid w:val="00C55B1F"/>
    <w:rsid w:val="00C749C7"/>
    <w:rsid w:val="00CF1A67"/>
    <w:rsid w:val="00D2750E"/>
    <w:rsid w:val="00D62446"/>
    <w:rsid w:val="00DA4EA2"/>
    <w:rsid w:val="00DC3D3E"/>
    <w:rsid w:val="00DE2C90"/>
    <w:rsid w:val="00DE3B24"/>
    <w:rsid w:val="00E06947"/>
    <w:rsid w:val="00E3592D"/>
    <w:rsid w:val="00E7003B"/>
    <w:rsid w:val="00E92DE8"/>
    <w:rsid w:val="00EB1212"/>
    <w:rsid w:val="00ED65AB"/>
    <w:rsid w:val="00F12850"/>
    <w:rsid w:val="00F33BF4"/>
    <w:rsid w:val="00F7105E"/>
    <w:rsid w:val="00F75F57"/>
    <w:rsid w:val="00F82FEE"/>
    <w:rsid w:val="00FD57D3"/>
    <w:rsid w:val="00FE276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AD3E87-A117-46C9-B4A2-FC369DC5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74/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9-CL-INF-0009/es" TargetMode="External"/><Relationship Id="rId4" Type="http://schemas.openxmlformats.org/officeDocument/2006/relationships/webSettings" Target="webSettings.xml"/><Relationship Id="rId9" Type="http://schemas.openxmlformats.org/officeDocument/2006/relationships/hyperlink" Target="https://www.itu.int/md/S19-CL-INF-0009/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2829-6AB9-4153-82BE-DA4EB451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119</TotalTime>
  <Pages>5</Pages>
  <Words>1801</Words>
  <Characters>9563</Characters>
  <Application>Microsoft Office Word</Application>
  <DocSecurity>0</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11342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10</cp:revision>
  <cp:lastPrinted>2019-05-15T08:32:00Z</cp:lastPrinted>
  <dcterms:created xsi:type="dcterms:W3CDTF">2019-05-15T07:36:00Z</dcterms:created>
  <dcterms:modified xsi:type="dcterms:W3CDTF">2019-05-15T11:58:00Z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