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13293F">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13293F">
              <w:rPr>
                <w:b/>
              </w:rPr>
              <w:t>ADM</w:t>
            </w:r>
            <w:r w:rsidR="00B40A53">
              <w:rPr>
                <w:b/>
              </w:rPr>
              <w:t xml:space="preserve"> </w:t>
            </w:r>
            <w:r w:rsidR="0013293F">
              <w:rPr>
                <w:b/>
              </w:rPr>
              <w:t>12</w:t>
            </w:r>
          </w:p>
        </w:tc>
        <w:tc>
          <w:tcPr>
            <w:tcW w:w="3120" w:type="dxa"/>
          </w:tcPr>
          <w:p w:rsidR="00700D1F" w:rsidRPr="00700D1F" w:rsidRDefault="00700D1F" w:rsidP="0013293F">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13293F">
              <w:rPr>
                <w:b/>
                <w:bCs/>
                <w:szCs w:val="24"/>
                <w:lang w:eastAsia="zh-CN"/>
              </w:rPr>
              <w:t>59</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13293F">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13293F">
              <w:rPr>
                <w:rFonts w:asciiTheme="minorHAnsi" w:hAnsiTheme="minorHAnsi" w:cstheme="minorHAnsi"/>
                <w:b/>
                <w:bCs/>
                <w:szCs w:val="24"/>
                <w:lang w:eastAsia="zh-CN"/>
              </w:rPr>
              <w:t>5</w:t>
            </w:r>
            <w:r w:rsidRPr="00FC5386">
              <w:rPr>
                <w:rFonts w:hint="eastAsia"/>
                <w:b/>
                <w:bCs/>
                <w:szCs w:val="24"/>
                <w:lang w:eastAsia="zh-CN"/>
              </w:rPr>
              <w:t>月</w:t>
            </w:r>
            <w:r w:rsidR="0013293F">
              <w:rPr>
                <w:rFonts w:asciiTheme="minorHAnsi" w:hAnsiTheme="minorHAnsi" w:cstheme="minorHAnsi"/>
                <w:b/>
                <w:bCs/>
                <w:szCs w:val="24"/>
                <w:lang w:eastAsia="zh-CN"/>
              </w:rPr>
              <w:t>31</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sidR="0013293F">
              <w:rPr>
                <w:rFonts w:ascii="Times New Roman Bold" w:hAnsi="Times New Roman Bold" w:hint="eastAsia"/>
                <w:lang w:eastAsia="zh-CN"/>
              </w:rPr>
              <w:t>说明</w:t>
            </w:r>
          </w:p>
        </w:tc>
      </w:tr>
      <w:tr w:rsidR="0093362E">
        <w:trPr>
          <w:cantSplit/>
        </w:trPr>
        <w:tc>
          <w:tcPr>
            <w:tcW w:w="10031" w:type="dxa"/>
          </w:tcPr>
          <w:p w:rsidR="0093362E" w:rsidRDefault="00315544" w:rsidP="00315544">
            <w:pPr>
              <w:pStyle w:val="Title1"/>
              <w:rPr>
                <w:bCs/>
                <w:lang w:eastAsia="zh-CN"/>
              </w:rPr>
            </w:pPr>
            <w:r w:rsidRPr="005A5EB5">
              <w:rPr>
                <w:bCs/>
                <w:lang w:eastAsia="zh-CN"/>
              </w:rPr>
              <w:t>招标</w:t>
            </w:r>
            <w:r w:rsidR="005348E6">
              <w:rPr>
                <w:rFonts w:hint="eastAsia"/>
                <w:lang w:eastAsia="zh-CN"/>
              </w:rPr>
              <w:t>遴选</w:t>
            </w:r>
            <w:r w:rsidRPr="005A5EB5">
              <w:rPr>
                <w:bCs/>
                <w:lang w:eastAsia="zh-CN"/>
              </w:rPr>
              <w:t>外部审计员</w:t>
            </w:r>
          </w:p>
        </w:tc>
      </w:tr>
    </w:tbl>
    <w:p w:rsidR="00315544" w:rsidRDefault="00315544" w:rsidP="00315544">
      <w:pPr>
        <w:overflowPunct/>
        <w:autoSpaceDE/>
        <w:autoSpaceDN/>
        <w:adjustRightInd/>
        <w:spacing w:before="600"/>
        <w:ind w:firstLineChars="200" w:firstLine="480"/>
        <w:textAlignment w:val="auto"/>
        <w:rPr>
          <w:lang w:eastAsia="zh-CN"/>
        </w:rPr>
      </w:pPr>
      <w:r w:rsidRPr="009D3E0E">
        <w:rPr>
          <w:rFonts w:hint="eastAsia"/>
          <w:lang w:eastAsia="zh-CN"/>
        </w:rPr>
        <w:t>我荣幸地向</w:t>
      </w:r>
      <w:r>
        <w:rPr>
          <w:rFonts w:hint="eastAsia"/>
          <w:lang w:val="en-US" w:eastAsia="zh-CN"/>
        </w:rPr>
        <w:t>各</w:t>
      </w:r>
      <w:r w:rsidRPr="009D3E0E">
        <w:rPr>
          <w:rFonts w:hint="eastAsia"/>
          <w:lang w:eastAsia="zh-CN"/>
        </w:rPr>
        <w:t>理事国转呈</w:t>
      </w:r>
      <w:r w:rsidR="00407E62">
        <w:rPr>
          <w:rFonts w:hint="eastAsia"/>
          <w:lang w:eastAsia="zh-CN"/>
        </w:rPr>
        <w:t>评估委员会</w:t>
      </w:r>
      <w:r>
        <w:rPr>
          <w:rFonts w:hint="eastAsia"/>
          <w:lang w:eastAsia="zh-CN"/>
        </w:rPr>
        <w:t>的报告，以便遴选外部审计员</w:t>
      </w:r>
      <w:r w:rsidRPr="009D3E0E">
        <w:rPr>
          <w:rFonts w:hint="eastAsia"/>
          <w:lang w:eastAsia="zh-CN"/>
        </w:rPr>
        <w:t>。</w:t>
      </w:r>
    </w:p>
    <w:p w:rsidR="00315544" w:rsidRPr="00856440" w:rsidRDefault="00315544" w:rsidP="00315544">
      <w:pPr>
        <w:tabs>
          <w:tab w:val="center" w:pos="7200"/>
        </w:tabs>
        <w:spacing w:before="1320"/>
        <w:ind w:left="5954"/>
        <w:jc w:val="center"/>
        <w:rPr>
          <w:szCs w:val="24"/>
          <w:lang w:val="ru-RU" w:eastAsia="zh-CN"/>
        </w:rPr>
      </w:pPr>
      <w:r>
        <w:rPr>
          <w:rFonts w:hint="eastAsia"/>
          <w:szCs w:val="24"/>
          <w:lang w:val="ru-RU" w:eastAsia="zh-CN"/>
        </w:rPr>
        <w:t>秘书长</w:t>
      </w:r>
      <w:r w:rsidRPr="00312F65">
        <w:rPr>
          <w:szCs w:val="24"/>
          <w:lang w:val="ru-RU" w:eastAsia="zh-CN"/>
        </w:rPr>
        <w:br/>
      </w:r>
      <w:r>
        <w:rPr>
          <w:rFonts w:ascii="SimSun" w:hAnsi="SimSun" w:hint="eastAsia"/>
          <w:szCs w:val="24"/>
          <w:lang w:eastAsia="zh-CN"/>
        </w:rPr>
        <w:t>赵厚麟</w:t>
      </w:r>
    </w:p>
    <w:p w:rsidR="0013293F" w:rsidRDefault="0013293F" w:rsidP="0013293F">
      <w:pPr>
        <w:overflowPunct/>
        <w:autoSpaceDE/>
        <w:autoSpaceDN/>
        <w:adjustRightInd/>
        <w:spacing w:before="0"/>
        <w:textAlignment w:val="auto"/>
        <w:rPr>
          <w:lang w:eastAsia="zh-CN"/>
        </w:rPr>
      </w:pPr>
      <w:r>
        <w:rPr>
          <w:lang w:eastAsia="zh-CN"/>
        </w:rPr>
        <w:br w:type="page"/>
      </w:r>
    </w:p>
    <w:p w:rsidR="00043339" w:rsidRDefault="00407E62" w:rsidP="00043339">
      <w:pPr>
        <w:pStyle w:val="Heading1"/>
        <w:jc w:val="center"/>
        <w:rPr>
          <w:lang w:eastAsia="zh-CN"/>
        </w:rPr>
      </w:pPr>
      <w:r>
        <w:rPr>
          <w:rFonts w:hint="eastAsia"/>
          <w:lang w:eastAsia="zh-CN"/>
        </w:rPr>
        <w:lastRenderedPageBreak/>
        <w:t>评估委员会</w:t>
      </w:r>
      <w:r w:rsidR="00043339">
        <w:rPr>
          <w:rFonts w:hint="eastAsia"/>
          <w:lang w:eastAsia="zh-CN"/>
        </w:rPr>
        <w:t>的报告</w:t>
      </w:r>
    </w:p>
    <w:p w:rsidR="00043339" w:rsidRDefault="00043339" w:rsidP="00026F5C">
      <w:pPr>
        <w:jc w:val="center"/>
        <w:textAlignment w:val="auto"/>
        <w:rPr>
          <w:bCs/>
          <w:lang w:eastAsia="zh-CN"/>
        </w:rPr>
      </w:pPr>
      <w:r w:rsidRPr="005A5EB5">
        <w:rPr>
          <w:bCs/>
          <w:lang w:eastAsia="zh-CN"/>
        </w:rPr>
        <w:t>招标</w:t>
      </w:r>
      <w:r w:rsidR="00026F5C">
        <w:rPr>
          <w:rFonts w:hint="eastAsia"/>
          <w:lang w:val="fr-FR" w:eastAsia="zh-CN"/>
        </w:rPr>
        <w:t>遴选</w:t>
      </w:r>
      <w:r w:rsidRPr="005A5EB5">
        <w:rPr>
          <w:bCs/>
          <w:lang w:eastAsia="zh-CN"/>
        </w:rPr>
        <w:t>外部审计员</w:t>
      </w:r>
    </w:p>
    <w:p w:rsidR="00B40A53" w:rsidRPr="0013293F"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Default="00B40A53" w:rsidP="003C2E37">
            <w:pPr>
              <w:pStyle w:val="Headingb"/>
              <w:rPr>
                <w:lang w:val="fr-FR" w:eastAsia="zh-CN"/>
              </w:rPr>
            </w:pPr>
            <w:r>
              <w:rPr>
                <w:rFonts w:hint="eastAsia"/>
                <w:lang w:val="fr-FR" w:eastAsia="zh-CN"/>
              </w:rPr>
              <w:t>概</w:t>
            </w:r>
            <w:r>
              <w:rPr>
                <w:rFonts w:hint="eastAsia"/>
                <w:lang w:eastAsia="zh-CN"/>
              </w:rPr>
              <w:t>要</w:t>
            </w:r>
          </w:p>
          <w:p w:rsidR="00B40A53" w:rsidRPr="008F083F" w:rsidRDefault="00043339" w:rsidP="00026F5C">
            <w:pPr>
              <w:ind w:firstLineChars="200" w:firstLine="480"/>
              <w:rPr>
                <w:szCs w:val="24"/>
                <w:lang w:eastAsia="zh-CN"/>
              </w:rPr>
            </w:pPr>
            <w:r w:rsidRPr="008F083F">
              <w:rPr>
                <w:rFonts w:hint="eastAsia"/>
                <w:szCs w:val="24"/>
                <w:lang w:val="fr-FR" w:eastAsia="zh-CN"/>
              </w:rPr>
              <w:t>本报告包含</w:t>
            </w:r>
            <w:r w:rsidR="00407E62" w:rsidRPr="008F083F">
              <w:rPr>
                <w:rFonts w:hint="eastAsia"/>
                <w:szCs w:val="24"/>
                <w:lang w:val="fr-FR" w:eastAsia="zh-CN"/>
              </w:rPr>
              <w:t>评估委员会</w:t>
            </w:r>
            <w:r w:rsidRPr="008F083F">
              <w:rPr>
                <w:rFonts w:hint="eastAsia"/>
                <w:szCs w:val="24"/>
                <w:lang w:val="fr-FR" w:eastAsia="zh-CN"/>
              </w:rPr>
              <w:t>关于遴选国际电联外部审计员的工作成果。它概述了秘书长主持的招标过程以及由</w:t>
            </w:r>
            <w:r w:rsidR="00026F5C" w:rsidRPr="008F083F">
              <w:rPr>
                <w:rFonts w:hint="eastAsia"/>
                <w:szCs w:val="24"/>
                <w:lang w:val="fr-FR" w:eastAsia="zh-CN"/>
              </w:rPr>
              <w:t>六</w:t>
            </w:r>
            <w:r w:rsidRPr="008F083F">
              <w:rPr>
                <w:rFonts w:hint="eastAsia"/>
                <w:szCs w:val="24"/>
                <w:lang w:val="fr-FR" w:eastAsia="zh-CN"/>
              </w:rPr>
              <w:t>名成员国代表组成的</w:t>
            </w:r>
            <w:r w:rsidR="00407E62" w:rsidRPr="008F083F">
              <w:rPr>
                <w:rFonts w:hint="eastAsia"/>
                <w:szCs w:val="24"/>
                <w:lang w:val="fr-FR" w:eastAsia="zh-CN"/>
              </w:rPr>
              <w:t>评估委员会</w:t>
            </w:r>
            <w:r w:rsidR="008D28C4">
              <w:rPr>
                <w:rFonts w:hint="eastAsia"/>
                <w:szCs w:val="24"/>
                <w:lang w:val="fr-FR" w:eastAsia="zh-CN"/>
              </w:rPr>
              <w:t>就遴选国际电联外部审计员所开展的评估</w:t>
            </w:r>
            <w:r w:rsidRPr="008F083F">
              <w:rPr>
                <w:rFonts w:hint="eastAsia"/>
                <w:szCs w:val="24"/>
                <w:lang w:val="fr-FR" w:eastAsia="zh-CN"/>
              </w:rPr>
              <w:t>工作。</w:t>
            </w:r>
          </w:p>
          <w:p w:rsidR="00B40A53" w:rsidRPr="008F083F" w:rsidRDefault="00B40A53" w:rsidP="003C2E37">
            <w:pPr>
              <w:pStyle w:val="Headingb"/>
              <w:rPr>
                <w:szCs w:val="24"/>
                <w:lang w:eastAsia="zh-CN"/>
              </w:rPr>
            </w:pPr>
            <w:r w:rsidRPr="008F083F">
              <w:rPr>
                <w:rFonts w:hint="eastAsia"/>
                <w:szCs w:val="24"/>
                <w:lang w:eastAsia="zh-CN"/>
              </w:rPr>
              <w:t>需采取的行动</w:t>
            </w:r>
          </w:p>
          <w:p w:rsidR="00B40A53" w:rsidRPr="008F083F" w:rsidRDefault="00043339" w:rsidP="00026F5C">
            <w:pPr>
              <w:pStyle w:val="BodyTextIndent3"/>
              <w:spacing w:before="120"/>
              <w:ind w:firstLineChars="200" w:firstLine="480"/>
              <w:textAlignment w:val="baseline"/>
              <w:rPr>
                <w:sz w:val="24"/>
                <w:szCs w:val="24"/>
                <w:lang w:val="en-GB"/>
              </w:rPr>
            </w:pPr>
            <w:r w:rsidRPr="008F083F">
              <w:rPr>
                <w:rFonts w:hint="eastAsia"/>
                <w:sz w:val="24"/>
                <w:szCs w:val="24"/>
              </w:rPr>
              <w:t>请理事会</w:t>
            </w:r>
            <w:r w:rsidR="00026F5C" w:rsidRPr="008F083F">
              <w:rPr>
                <w:rFonts w:hint="eastAsia"/>
                <w:sz w:val="24"/>
                <w:szCs w:val="24"/>
              </w:rPr>
              <w:t>将</w:t>
            </w:r>
            <w:r w:rsidRPr="008F083F">
              <w:rPr>
                <w:rFonts w:hint="eastAsia"/>
                <w:sz w:val="24"/>
                <w:szCs w:val="24"/>
              </w:rPr>
              <w:t>本报告的内容</w:t>
            </w:r>
            <w:r w:rsidR="00026F5C" w:rsidRPr="008F083F">
              <w:rPr>
                <w:rFonts w:hint="eastAsia"/>
                <w:b/>
                <w:bCs/>
                <w:sz w:val="24"/>
                <w:szCs w:val="24"/>
              </w:rPr>
              <w:t>记录在案</w:t>
            </w:r>
            <w:r w:rsidRPr="008F083F">
              <w:rPr>
                <w:rFonts w:hint="eastAsia"/>
                <w:sz w:val="24"/>
                <w:szCs w:val="24"/>
              </w:rPr>
              <w:t>，并</w:t>
            </w:r>
            <w:r w:rsidRPr="008F083F">
              <w:rPr>
                <w:rFonts w:hint="eastAsia"/>
                <w:b/>
                <w:bCs/>
                <w:sz w:val="24"/>
                <w:szCs w:val="24"/>
              </w:rPr>
              <w:t>通过</w:t>
            </w:r>
            <w:r w:rsidRPr="008F083F">
              <w:rPr>
                <w:rFonts w:hint="eastAsia"/>
                <w:sz w:val="24"/>
                <w:szCs w:val="24"/>
              </w:rPr>
              <w:t>本报告附件</w:t>
            </w:r>
            <w:r w:rsidR="00026F5C" w:rsidRPr="008F083F">
              <w:rPr>
                <w:rFonts w:hint="eastAsia"/>
                <w:sz w:val="24"/>
                <w:szCs w:val="24"/>
              </w:rPr>
              <w:t>B</w:t>
            </w:r>
            <w:r w:rsidRPr="008F083F">
              <w:rPr>
                <w:rFonts w:hint="eastAsia"/>
                <w:sz w:val="24"/>
                <w:szCs w:val="24"/>
              </w:rPr>
              <w:t>所载的决定草案。</w:t>
            </w:r>
          </w:p>
          <w:p w:rsidR="00B40A53" w:rsidRPr="008F083F" w:rsidRDefault="00B40A53">
            <w:pPr>
              <w:jc w:val="center"/>
              <w:rPr>
                <w:szCs w:val="24"/>
                <w:lang w:eastAsia="zh-CN"/>
              </w:rPr>
            </w:pPr>
            <w:r w:rsidRPr="008F083F">
              <w:rPr>
                <w:szCs w:val="24"/>
                <w:lang w:eastAsia="zh-CN"/>
              </w:rPr>
              <w:t>______________</w:t>
            </w:r>
          </w:p>
          <w:p w:rsidR="009164A9" w:rsidRPr="008F083F"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4"/>
                <w:lang w:eastAsia="zh-CN"/>
              </w:rPr>
            </w:pPr>
          </w:p>
          <w:p w:rsidR="009164A9" w:rsidRPr="008F083F" w:rsidRDefault="009164A9" w:rsidP="003C2E37">
            <w:pPr>
              <w:pStyle w:val="Headingb"/>
              <w:rPr>
                <w:szCs w:val="24"/>
                <w:lang w:eastAsia="zh-CN"/>
              </w:rPr>
            </w:pPr>
            <w:r w:rsidRPr="008F083F">
              <w:rPr>
                <w:rFonts w:hint="eastAsia"/>
                <w:szCs w:val="24"/>
                <w:lang w:eastAsia="zh-CN"/>
              </w:rPr>
              <w:t>参考文件</w:t>
            </w:r>
          </w:p>
          <w:p w:rsidR="0013293F" w:rsidRPr="008F083F" w:rsidRDefault="005C34E5" w:rsidP="0013293F">
            <w:pPr>
              <w:rPr>
                <w:rStyle w:val="Hyperlink"/>
                <w:rFonts w:asciiTheme="minorHAnsi" w:eastAsia="STKaiti" w:hAnsiTheme="minorHAnsi" w:cstheme="minorHAnsi"/>
                <w:noProof/>
                <w:szCs w:val="24"/>
                <w:lang w:eastAsia="zh-CN"/>
              </w:rPr>
            </w:pPr>
            <w:hyperlink r:id="rId9" w:history="1">
              <w:r w:rsidR="00026F5C" w:rsidRPr="008F083F">
                <w:rPr>
                  <w:rStyle w:val="Hyperlink"/>
                  <w:rFonts w:asciiTheme="minorHAnsi" w:eastAsia="STKaiti" w:hAnsiTheme="minorHAnsi" w:cstheme="minorHAnsi"/>
                  <w:noProof/>
                  <w:szCs w:val="24"/>
                  <w:lang w:val="fr-CH" w:eastAsia="zh-CN"/>
                </w:rPr>
                <w:t>第</w:t>
              </w:r>
              <w:r w:rsidR="00026F5C" w:rsidRPr="008F083F">
                <w:rPr>
                  <w:rStyle w:val="Hyperlink"/>
                  <w:rFonts w:asciiTheme="minorHAnsi" w:eastAsia="STKaiti" w:hAnsiTheme="minorHAnsi" w:cstheme="minorHAnsi"/>
                  <w:noProof/>
                  <w:szCs w:val="24"/>
                  <w:lang w:eastAsia="zh-CN"/>
                </w:rPr>
                <w:t>94</w:t>
              </w:r>
              <w:r w:rsidR="00026F5C" w:rsidRPr="008F083F">
                <w:rPr>
                  <w:rStyle w:val="Hyperlink"/>
                  <w:rFonts w:asciiTheme="minorHAnsi" w:eastAsia="STKaiti" w:hAnsiTheme="minorHAnsi" w:cstheme="minorHAnsi"/>
                  <w:noProof/>
                  <w:szCs w:val="24"/>
                  <w:lang w:val="fr-CH" w:eastAsia="zh-CN"/>
                </w:rPr>
                <w:t>号决议</w:t>
              </w:r>
              <w:r w:rsidR="00026F5C" w:rsidRPr="008F083F">
                <w:rPr>
                  <w:rStyle w:val="Hyperlink"/>
                  <w:rFonts w:asciiTheme="minorHAnsi" w:eastAsia="STKaiti" w:hAnsiTheme="minorHAnsi" w:cstheme="minorHAnsi"/>
                  <w:noProof/>
                  <w:szCs w:val="24"/>
                  <w:lang w:eastAsia="zh-CN"/>
                </w:rPr>
                <w:t>（</w:t>
              </w:r>
              <w:r w:rsidR="00026F5C" w:rsidRPr="008F083F">
                <w:rPr>
                  <w:rStyle w:val="Hyperlink"/>
                  <w:rFonts w:asciiTheme="minorHAnsi" w:eastAsia="STKaiti" w:hAnsiTheme="minorHAnsi" w:cstheme="minorHAnsi"/>
                  <w:noProof/>
                  <w:szCs w:val="24"/>
                  <w:lang w:eastAsia="zh-CN"/>
                </w:rPr>
                <w:t>2018</w:t>
              </w:r>
              <w:r w:rsidR="00026F5C" w:rsidRPr="008F083F">
                <w:rPr>
                  <w:rStyle w:val="Hyperlink"/>
                  <w:rFonts w:asciiTheme="minorHAnsi" w:eastAsia="STKaiti" w:hAnsiTheme="minorHAnsi" w:cstheme="minorHAnsi"/>
                  <w:noProof/>
                  <w:szCs w:val="24"/>
                  <w:lang w:val="fr-CH" w:eastAsia="zh-CN"/>
                </w:rPr>
                <w:t>年</w:t>
              </w:r>
              <w:r w:rsidR="00026F5C" w:rsidRPr="008F083F">
                <w:rPr>
                  <w:rStyle w:val="Hyperlink"/>
                  <w:rFonts w:asciiTheme="minorHAnsi" w:eastAsia="STKaiti" w:hAnsiTheme="minorHAnsi" w:cstheme="minorHAnsi"/>
                  <w:noProof/>
                  <w:szCs w:val="24"/>
                  <w:lang w:eastAsia="zh-CN"/>
                </w:rPr>
                <w:t>，</w:t>
              </w:r>
              <w:r w:rsidR="00026F5C" w:rsidRPr="008F083F">
                <w:rPr>
                  <w:rStyle w:val="Hyperlink"/>
                  <w:rFonts w:asciiTheme="minorHAnsi" w:eastAsia="STKaiti" w:hAnsiTheme="minorHAnsi" w:cstheme="minorHAnsi"/>
                  <w:noProof/>
                  <w:szCs w:val="24"/>
                  <w:lang w:val="fr-CH" w:eastAsia="zh-CN"/>
                </w:rPr>
                <w:t>迪拜</w:t>
              </w:r>
              <w:r w:rsidR="00026F5C" w:rsidRPr="008F083F">
                <w:rPr>
                  <w:rStyle w:val="Hyperlink"/>
                  <w:rFonts w:asciiTheme="minorHAnsi" w:eastAsia="STKaiti" w:hAnsiTheme="minorHAnsi" w:cstheme="minorHAnsi"/>
                  <w:noProof/>
                  <w:szCs w:val="24"/>
                  <w:lang w:eastAsia="zh-CN"/>
                </w:rPr>
                <w:t>，</w:t>
              </w:r>
              <w:r w:rsidR="00026F5C" w:rsidRPr="008F083F">
                <w:rPr>
                  <w:rStyle w:val="Hyperlink"/>
                  <w:rFonts w:asciiTheme="minorHAnsi" w:eastAsia="STKaiti" w:hAnsiTheme="minorHAnsi" w:cstheme="minorHAnsi"/>
                  <w:noProof/>
                  <w:szCs w:val="24"/>
                  <w:lang w:val="fr-CH" w:eastAsia="zh-CN"/>
                </w:rPr>
                <w:t>修订版</w:t>
              </w:r>
              <w:r w:rsidR="00026F5C" w:rsidRPr="008F083F">
                <w:rPr>
                  <w:rStyle w:val="Hyperlink"/>
                  <w:rFonts w:asciiTheme="minorHAnsi" w:eastAsia="STKaiti" w:hAnsiTheme="minorHAnsi" w:cstheme="minorHAnsi"/>
                  <w:noProof/>
                  <w:szCs w:val="24"/>
                  <w:lang w:eastAsia="zh-CN"/>
                </w:rPr>
                <w:t>）</w:t>
              </w:r>
            </w:hyperlink>
            <w:bookmarkStart w:id="2" w:name="_GoBack"/>
            <w:bookmarkEnd w:id="2"/>
          </w:p>
          <w:p w:rsidR="0013293F" w:rsidRPr="008F083F" w:rsidRDefault="0013293F" w:rsidP="0013293F">
            <w:pPr>
              <w:rPr>
                <w:rFonts w:asciiTheme="minorHAnsi" w:eastAsia="STKaiti" w:hAnsiTheme="minorHAnsi" w:cstheme="minorHAnsi"/>
                <w:szCs w:val="24"/>
                <w:lang w:eastAsia="zh-CN"/>
              </w:rPr>
            </w:pPr>
            <w:r w:rsidRPr="008F083F">
              <w:rPr>
                <w:rStyle w:val="Hyperlink"/>
                <w:rFonts w:asciiTheme="minorHAnsi" w:eastAsia="STKaiti" w:hAnsiTheme="minorHAnsi" w:cstheme="minorHAnsi"/>
                <w:noProof/>
                <w:szCs w:val="24"/>
                <w:lang w:eastAsia="zh-CN"/>
              </w:rPr>
              <w:t>C18/67</w:t>
            </w:r>
            <w:r w:rsidR="00026F5C" w:rsidRPr="008F083F">
              <w:rPr>
                <w:rStyle w:val="Hyperlink"/>
                <w:rFonts w:asciiTheme="minorHAnsi" w:eastAsia="STKaiti" w:hAnsiTheme="minorHAnsi" w:cstheme="minorHAnsi"/>
                <w:noProof/>
                <w:szCs w:val="24"/>
                <w:lang w:eastAsia="zh-CN"/>
              </w:rPr>
              <w:t>号文件</w:t>
            </w:r>
          </w:p>
          <w:p w:rsidR="00B40A53" w:rsidRPr="0013293F" w:rsidRDefault="005C34E5" w:rsidP="0013293F">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hyperlink r:id="rId10" w:history="1">
              <w:r w:rsidR="00026F5C" w:rsidRPr="008F083F">
                <w:rPr>
                  <w:rStyle w:val="Hyperlink"/>
                  <w:rFonts w:asciiTheme="minorHAnsi" w:eastAsia="STKaiti" w:hAnsiTheme="minorHAnsi" w:cstheme="minorHAnsi"/>
                  <w:sz w:val="24"/>
                  <w:szCs w:val="24"/>
                  <w:lang w:eastAsia="zh-CN"/>
                </w:rPr>
                <w:t>国际电联《财务规则和财务细则》（</w:t>
              </w:r>
              <w:r w:rsidR="00026F5C" w:rsidRPr="008F083F">
                <w:rPr>
                  <w:rStyle w:val="Hyperlink"/>
                  <w:rFonts w:asciiTheme="minorHAnsi" w:eastAsia="STKaiti" w:hAnsiTheme="minorHAnsi" w:cstheme="minorHAnsi"/>
                  <w:sz w:val="24"/>
                  <w:szCs w:val="24"/>
                  <w:lang w:eastAsia="zh-CN"/>
                </w:rPr>
                <w:t>2018</w:t>
              </w:r>
              <w:r w:rsidR="00026F5C" w:rsidRPr="008F083F">
                <w:rPr>
                  <w:rStyle w:val="Hyperlink"/>
                  <w:rFonts w:asciiTheme="minorHAnsi" w:eastAsia="STKaiti" w:hAnsiTheme="minorHAnsi" w:cstheme="minorHAnsi"/>
                  <w:sz w:val="24"/>
                  <w:szCs w:val="24"/>
                  <w:lang w:eastAsia="zh-CN"/>
                </w:rPr>
                <w:t>年版）第</w:t>
              </w:r>
              <w:r w:rsidR="00026F5C" w:rsidRPr="008F083F">
                <w:rPr>
                  <w:rStyle w:val="Hyperlink"/>
                  <w:rFonts w:asciiTheme="minorHAnsi" w:eastAsia="STKaiti" w:hAnsiTheme="minorHAnsi" w:cstheme="minorHAnsi"/>
                  <w:sz w:val="24"/>
                  <w:szCs w:val="24"/>
                  <w:lang w:eastAsia="zh-CN"/>
                </w:rPr>
                <w:t>28</w:t>
              </w:r>
              <w:r w:rsidR="00026F5C" w:rsidRPr="008F083F">
                <w:rPr>
                  <w:rStyle w:val="Hyperlink"/>
                  <w:rFonts w:asciiTheme="minorHAnsi" w:eastAsia="STKaiti" w:hAnsiTheme="minorHAnsi" w:cstheme="minorHAnsi"/>
                  <w:sz w:val="24"/>
                  <w:szCs w:val="24"/>
                  <w:lang w:eastAsia="zh-CN"/>
                </w:rPr>
                <w:t>条</w:t>
              </w:r>
            </w:hyperlink>
          </w:p>
        </w:tc>
      </w:tr>
    </w:tbl>
    <w:p w:rsidR="0095140F" w:rsidRPr="008F083F" w:rsidRDefault="005A6EED" w:rsidP="00596FA5">
      <w:pPr>
        <w:pStyle w:val="Headingb"/>
        <w:spacing w:before="240"/>
        <w:rPr>
          <w:lang w:eastAsia="zh-CN"/>
        </w:rPr>
      </w:pPr>
      <w:r w:rsidRPr="008F083F">
        <w:rPr>
          <w:lang w:eastAsia="zh-CN"/>
        </w:rPr>
        <w:t>招标过程</w:t>
      </w:r>
    </w:p>
    <w:p w:rsidR="0095140F" w:rsidRPr="003D0E1D" w:rsidRDefault="007144D4" w:rsidP="007144D4">
      <w:pPr>
        <w:rPr>
          <w:lang w:eastAsia="zh-CN"/>
        </w:rPr>
      </w:pPr>
      <w:r>
        <w:rPr>
          <w:lang w:eastAsia="zh-CN"/>
        </w:rPr>
        <w:t>1</w:t>
      </w:r>
      <w:r>
        <w:rPr>
          <w:lang w:eastAsia="zh-CN"/>
        </w:rPr>
        <w:tab/>
      </w:r>
      <w:r w:rsidR="005A6EED">
        <w:rPr>
          <w:lang w:eastAsia="zh-CN"/>
        </w:rPr>
        <w:t>针对</w:t>
      </w:r>
      <w:r w:rsidR="005A6EED" w:rsidRPr="005A6EED">
        <w:rPr>
          <w:lang w:eastAsia="zh-CN"/>
        </w:rPr>
        <w:t>第</w:t>
      </w:r>
      <w:r w:rsidR="005A6EED" w:rsidRPr="005A6EED">
        <w:rPr>
          <w:lang w:eastAsia="zh-CN"/>
        </w:rPr>
        <w:t>94</w:t>
      </w:r>
      <w:r w:rsidR="005A6EED" w:rsidRPr="005A6EED">
        <w:rPr>
          <w:lang w:eastAsia="zh-CN"/>
        </w:rPr>
        <w:t>号决议（</w:t>
      </w:r>
      <w:r w:rsidR="005A6EED" w:rsidRPr="005A6EED">
        <w:rPr>
          <w:lang w:eastAsia="zh-CN"/>
        </w:rPr>
        <w:t>2018</w:t>
      </w:r>
      <w:r w:rsidR="005A6EED" w:rsidRPr="005A6EED">
        <w:rPr>
          <w:lang w:eastAsia="zh-CN"/>
        </w:rPr>
        <w:t>年，迪拜，修订版）和</w:t>
      </w:r>
      <w:r w:rsidR="008F083F">
        <w:rPr>
          <w:lang w:eastAsia="zh-CN"/>
        </w:rPr>
        <w:t>C18/67</w:t>
      </w:r>
      <w:r w:rsidR="005A6EED">
        <w:rPr>
          <w:lang w:eastAsia="zh-CN"/>
        </w:rPr>
        <w:t>号文件（遴选新外部审计员的程</w:t>
      </w:r>
      <w:r w:rsidR="005A6EED">
        <w:rPr>
          <w:rFonts w:ascii="SimSun" w:hAnsi="SimSun" w:cs="SimSun" w:hint="eastAsia"/>
          <w:lang w:eastAsia="zh-CN"/>
        </w:rPr>
        <w:t>序</w:t>
      </w:r>
      <w:r w:rsidR="005A6EED">
        <w:rPr>
          <w:lang w:eastAsia="zh-CN"/>
        </w:rPr>
        <w:t>），开展了多项工作。本报告详细阐明了促成委员会做出结论并随后提出相关建议的各项内容。</w:t>
      </w:r>
    </w:p>
    <w:p w:rsidR="0095140F" w:rsidRDefault="007144D4" w:rsidP="007144D4">
      <w:pPr>
        <w:rPr>
          <w:rFonts w:asciiTheme="minorHAnsi" w:hAnsiTheme="minorHAnsi" w:cstheme="minorHAnsi"/>
          <w:szCs w:val="24"/>
          <w:lang w:val="en-CA" w:eastAsia="zh-CN"/>
        </w:rPr>
      </w:pPr>
      <w:r>
        <w:rPr>
          <w:rFonts w:hint="eastAsia"/>
          <w:lang w:val="en-US" w:eastAsia="zh-CN"/>
        </w:rPr>
        <w:t>2</w:t>
      </w:r>
      <w:r>
        <w:rPr>
          <w:lang w:val="en-US" w:eastAsia="zh-CN"/>
        </w:rPr>
        <w:tab/>
      </w:r>
      <w:r w:rsidR="002E5E90">
        <w:rPr>
          <w:rFonts w:hint="eastAsia"/>
          <w:lang w:val="en-US" w:eastAsia="zh-CN"/>
        </w:rPr>
        <w:t>在</w:t>
      </w:r>
      <w:r w:rsidR="002E5E90">
        <w:rPr>
          <w:lang w:val="en-US" w:eastAsia="zh-CN"/>
        </w:rPr>
        <w:t>理事会财务和人力资源工作组</w:t>
      </w:r>
      <w:r w:rsidR="002E5E90">
        <w:rPr>
          <w:rFonts w:hint="eastAsia"/>
          <w:lang w:val="en-US" w:eastAsia="zh-CN"/>
        </w:rPr>
        <w:t>2018</w:t>
      </w:r>
      <w:r w:rsidR="002E5E90">
        <w:rPr>
          <w:rFonts w:hint="eastAsia"/>
          <w:lang w:val="en-US" w:eastAsia="zh-CN"/>
        </w:rPr>
        <w:t>年</w:t>
      </w:r>
      <w:r w:rsidR="002E5E90">
        <w:rPr>
          <w:rFonts w:hint="eastAsia"/>
          <w:lang w:val="en-US" w:eastAsia="zh-CN"/>
        </w:rPr>
        <w:t>1</w:t>
      </w:r>
      <w:r w:rsidR="002E5E90">
        <w:rPr>
          <w:rFonts w:hint="eastAsia"/>
          <w:lang w:val="en-US" w:eastAsia="zh-CN"/>
        </w:rPr>
        <w:t>月</w:t>
      </w:r>
      <w:r w:rsidR="002E5E90">
        <w:rPr>
          <w:lang w:val="en-US" w:eastAsia="zh-CN"/>
        </w:rPr>
        <w:t>会议上，工作组主席请大家表示意愿，是否愿意</w:t>
      </w:r>
      <w:r w:rsidR="002E5E90">
        <w:rPr>
          <w:rFonts w:hint="eastAsia"/>
          <w:lang w:val="en-US" w:eastAsia="zh-CN"/>
        </w:rPr>
        <w:t>自愿</w:t>
      </w:r>
      <w:r w:rsidR="002E5E90">
        <w:rPr>
          <w:lang w:val="en-US" w:eastAsia="zh-CN"/>
        </w:rPr>
        <w:t>担任将由理事会</w:t>
      </w:r>
      <w:r w:rsidR="002E5E90">
        <w:rPr>
          <w:rFonts w:hint="eastAsia"/>
          <w:lang w:val="en-US" w:eastAsia="zh-CN"/>
        </w:rPr>
        <w:t>2018</w:t>
      </w:r>
      <w:r w:rsidR="002E5E90">
        <w:rPr>
          <w:rFonts w:hint="eastAsia"/>
          <w:lang w:val="en-US" w:eastAsia="zh-CN"/>
        </w:rPr>
        <w:t>年</w:t>
      </w:r>
      <w:r w:rsidR="002E5E90">
        <w:rPr>
          <w:lang w:val="en-US" w:eastAsia="zh-CN"/>
        </w:rPr>
        <w:t>会议设立的评审委员会六个委员之一。</w:t>
      </w:r>
      <w:r w:rsidR="002E5E90">
        <w:rPr>
          <w:lang w:val="en-CA" w:eastAsia="zh-CN"/>
        </w:rPr>
        <w:t>2018</w:t>
      </w:r>
      <w:r w:rsidR="002E5E90">
        <w:rPr>
          <w:rFonts w:hint="eastAsia"/>
          <w:lang w:val="en-CA" w:eastAsia="zh-CN"/>
        </w:rPr>
        <w:t>年</w:t>
      </w:r>
      <w:r w:rsidR="002E5E90">
        <w:rPr>
          <w:rFonts w:hint="eastAsia"/>
          <w:lang w:val="en-CA" w:eastAsia="zh-CN"/>
        </w:rPr>
        <w:t>2</w:t>
      </w:r>
      <w:r w:rsidR="002E5E90">
        <w:rPr>
          <w:rFonts w:hint="eastAsia"/>
          <w:lang w:val="en-CA" w:eastAsia="zh-CN"/>
        </w:rPr>
        <w:t>月</w:t>
      </w:r>
      <w:r w:rsidR="002E5E90">
        <w:rPr>
          <w:rFonts w:hint="eastAsia"/>
          <w:lang w:val="en-CA" w:eastAsia="zh-CN"/>
        </w:rPr>
        <w:t>6</w:t>
      </w:r>
      <w:r w:rsidR="002E5E90">
        <w:rPr>
          <w:rFonts w:hint="eastAsia"/>
          <w:lang w:val="en-CA" w:eastAsia="zh-CN"/>
        </w:rPr>
        <w:t>日</w:t>
      </w:r>
      <w:r w:rsidR="002E5E90">
        <w:rPr>
          <w:lang w:val="en-CA" w:eastAsia="zh-CN"/>
        </w:rPr>
        <w:t>，秘书长</w:t>
      </w:r>
      <w:r w:rsidR="002C55A6">
        <w:rPr>
          <w:lang w:val="en-CA" w:eastAsia="zh-CN"/>
        </w:rPr>
        <w:t>致函</w:t>
      </w:r>
      <w:r w:rsidR="002E5E90">
        <w:rPr>
          <w:rFonts w:hint="eastAsia"/>
          <w:lang w:val="en-CA" w:eastAsia="zh-CN"/>
        </w:rPr>
        <w:t>六家</w:t>
      </w:r>
      <w:r w:rsidR="002C55A6">
        <w:rPr>
          <w:rFonts w:hint="eastAsia"/>
          <w:lang w:val="en-CA" w:eastAsia="zh-CN"/>
        </w:rPr>
        <w:t>主要</w:t>
      </w:r>
      <w:r w:rsidR="002E5E90">
        <w:rPr>
          <w:lang w:val="en-CA" w:eastAsia="zh-CN"/>
        </w:rPr>
        <w:t>区域性电信组织</w:t>
      </w:r>
      <w:r w:rsidR="002C55A6">
        <w:rPr>
          <w:lang w:val="en-CA" w:eastAsia="zh-CN"/>
        </w:rPr>
        <w:t>，征集</w:t>
      </w:r>
      <w:r w:rsidR="002E5E90">
        <w:rPr>
          <w:lang w:val="en-CA" w:eastAsia="zh-CN"/>
        </w:rPr>
        <w:t>提名</w:t>
      </w:r>
      <w:r w:rsidR="002C55A6">
        <w:rPr>
          <w:lang w:val="en-CA" w:eastAsia="zh-CN"/>
        </w:rPr>
        <w:t>人选</w:t>
      </w:r>
      <w:r w:rsidR="002E5E90">
        <w:rPr>
          <w:lang w:val="en-CA" w:eastAsia="zh-CN"/>
        </w:rPr>
        <w:t>。该</w:t>
      </w:r>
      <w:r w:rsidR="002C55A6">
        <w:rPr>
          <w:lang w:val="en-CA" w:eastAsia="zh-CN"/>
        </w:rPr>
        <w:t>项磋商结束后得出了以下人选：</w:t>
      </w:r>
    </w:p>
    <w:p w:rsidR="0090327C" w:rsidRPr="008F083F" w:rsidRDefault="007144D4" w:rsidP="007144D4">
      <w:pPr>
        <w:pStyle w:val="enumlev1"/>
        <w:rPr>
          <w:lang w:val="en-CA" w:eastAsia="zh-CN"/>
        </w:rPr>
      </w:pPr>
      <w:r>
        <w:rPr>
          <w:lang w:val="en-CA" w:eastAsia="zh-CN"/>
        </w:rPr>
        <w:tab/>
      </w:r>
      <w:r w:rsidR="0090327C">
        <w:rPr>
          <w:rFonts w:hint="eastAsia"/>
          <w:lang w:val="en-CA" w:eastAsia="zh-CN"/>
        </w:rPr>
        <w:t>非洲</w:t>
      </w:r>
      <w:bookmarkStart w:id="3" w:name="lt_pId038"/>
      <w:r w:rsidR="0090327C">
        <w:rPr>
          <w:lang w:val="en-CA" w:eastAsia="zh-CN"/>
        </w:rPr>
        <w:tab/>
      </w:r>
      <w:r w:rsidR="0090327C">
        <w:rPr>
          <w:lang w:val="en-CA" w:eastAsia="zh-CN"/>
        </w:rPr>
        <w:tab/>
      </w:r>
      <w:r w:rsidR="0090327C">
        <w:rPr>
          <w:lang w:val="en-CA" w:eastAsia="zh-CN"/>
        </w:rPr>
        <w:tab/>
      </w:r>
      <w:r w:rsidR="0090327C">
        <w:rPr>
          <w:lang w:val="en-CA" w:eastAsia="zh-CN"/>
        </w:rPr>
        <w:tab/>
      </w:r>
      <w:r w:rsidR="0090327C" w:rsidRPr="00C34F0E">
        <w:rPr>
          <w:lang w:eastAsia="zh-CN"/>
        </w:rPr>
        <w:t>R</w:t>
      </w:r>
      <w:r w:rsidR="0090327C" w:rsidRPr="008F083F">
        <w:rPr>
          <w:lang w:eastAsia="zh-CN"/>
        </w:rPr>
        <w:t>. Anago</w:t>
      </w:r>
      <w:r w:rsidR="0090327C" w:rsidRPr="008F083F">
        <w:rPr>
          <w:rFonts w:hint="eastAsia"/>
          <w:lang w:eastAsia="zh-CN"/>
        </w:rPr>
        <w:t>先生</w:t>
      </w:r>
      <w:r w:rsidR="0090327C" w:rsidRPr="008F083F">
        <w:rPr>
          <w:lang w:eastAsia="zh-CN"/>
        </w:rPr>
        <w:t>（布基纳法索）</w:t>
      </w:r>
      <w:bookmarkEnd w:id="3"/>
    </w:p>
    <w:p w:rsidR="0090327C" w:rsidRPr="008F083F" w:rsidRDefault="007144D4" w:rsidP="007144D4">
      <w:pPr>
        <w:pStyle w:val="enumlev1"/>
        <w:rPr>
          <w:lang w:val="en-CA" w:eastAsia="zh-CN"/>
        </w:rPr>
      </w:pPr>
      <w:r>
        <w:rPr>
          <w:lang w:val="en-CA" w:eastAsia="zh-CN"/>
        </w:rPr>
        <w:tab/>
      </w:r>
      <w:r w:rsidR="0090327C" w:rsidRPr="008F083F">
        <w:rPr>
          <w:rFonts w:hint="eastAsia"/>
          <w:lang w:val="en-CA" w:eastAsia="zh-CN"/>
        </w:rPr>
        <w:t>美洲</w:t>
      </w:r>
      <w:bookmarkStart w:id="4" w:name="lt_pId040"/>
      <w:r w:rsidR="0090327C" w:rsidRPr="008F083F">
        <w:rPr>
          <w:lang w:val="en-CA" w:eastAsia="zh-CN"/>
        </w:rPr>
        <w:tab/>
      </w:r>
      <w:r w:rsidR="0090327C" w:rsidRPr="008F083F">
        <w:rPr>
          <w:lang w:val="en-CA" w:eastAsia="zh-CN"/>
        </w:rPr>
        <w:tab/>
      </w:r>
      <w:r w:rsidR="0090327C" w:rsidRPr="008F083F">
        <w:rPr>
          <w:lang w:val="en-CA" w:eastAsia="zh-CN"/>
        </w:rPr>
        <w:tab/>
      </w:r>
      <w:r w:rsidR="0090327C" w:rsidRPr="008F083F">
        <w:rPr>
          <w:lang w:val="en-CA" w:eastAsia="zh-CN"/>
        </w:rPr>
        <w:tab/>
        <w:t>C.</w:t>
      </w:r>
      <w:bookmarkEnd w:id="4"/>
      <w:r w:rsidR="0090327C" w:rsidRPr="008F083F">
        <w:rPr>
          <w:lang w:val="en-CA" w:eastAsia="zh-CN"/>
        </w:rPr>
        <w:t xml:space="preserve"> </w:t>
      </w:r>
      <w:bookmarkStart w:id="5" w:name="lt_pId041"/>
      <w:r w:rsidR="0090327C" w:rsidRPr="008F083F">
        <w:rPr>
          <w:lang w:val="en-CA" w:eastAsia="zh-CN"/>
        </w:rPr>
        <w:t>Roy</w:t>
      </w:r>
      <w:r w:rsidR="0090327C" w:rsidRPr="008F083F">
        <w:rPr>
          <w:rFonts w:hint="eastAsia"/>
          <w:lang w:val="en-CA" w:eastAsia="zh-CN"/>
        </w:rPr>
        <w:t>女士</w:t>
      </w:r>
      <w:r w:rsidR="0090327C" w:rsidRPr="008F083F">
        <w:rPr>
          <w:lang w:val="en-CA" w:eastAsia="zh-CN"/>
        </w:rPr>
        <w:t>（加拿大）</w:t>
      </w:r>
      <w:bookmarkEnd w:id="5"/>
    </w:p>
    <w:p w:rsidR="0090327C" w:rsidRPr="008F083F" w:rsidRDefault="007144D4" w:rsidP="007144D4">
      <w:pPr>
        <w:pStyle w:val="enumlev1"/>
        <w:rPr>
          <w:lang w:val="en-CA" w:eastAsia="zh-CN"/>
        </w:rPr>
      </w:pPr>
      <w:r>
        <w:rPr>
          <w:lang w:val="en-CA" w:eastAsia="zh-CN"/>
        </w:rPr>
        <w:tab/>
      </w:r>
      <w:r w:rsidR="0090327C" w:rsidRPr="008F083F">
        <w:rPr>
          <w:rFonts w:hint="eastAsia"/>
          <w:lang w:val="en-CA" w:eastAsia="zh-CN"/>
        </w:rPr>
        <w:t>阿拉伯</w:t>
      </w:r>
      <w:r w:rsidR="0090327C" w:rsidRPr="008F083F">
        <w:rPr>
          <w:lang w:val="en-CA" w:eastAsia="zh-CN"/>
        </w:rPr>
        <w:t>国家</w:t>
      </w:r>
      <w:bookmarkStart w:id="6" w:name="lt_pId043"/>
      <w:r w:rsidR="0090327C" w:rsidRPr="008F083F">
        <w:rPr>
          <w:lang w:val="en-CA" w:eastAsia="zh-CN"/>
        </w:rPr>
        <w:tab/>
      </w:r>
      <w:r w:rsidR="0090327C" w:rsidRPr="008F083F">
        <w:rPr>
          <w:lang w:val="en-CA" w:eastAsia="zh-CN"/>
        </w:rPr>
        <w:tab/>
      </w:r>
      <w:bookmarkEnd w:id="6"/>
      <w:r w:rsidR="0090327C" w:rsidRPr="008F083F">
        <w:rPr>
          <w:rFonts w:asciiTheme="minorHAnsi" w:hAnsiTheme="minorHAnsi" w:cstheme="minorHAnsi"/>
          <w:szCs w:val="24"/>
          <w:lang w:val="en-CA" w:eastAsia="zh-CN"/>
        </w:rPr>
        <w:t>N. Almarzouqi</w:t>
      </w:r>
      <w:r w:rsidR="002C55A6" w:rsidRPr="008F083F">
        <w:rPr>
          <w:rFonts w:asciiTheme="minorHAnsi" w:hAnsiTheme="minorHAnsi" w:cstheme="minorHAnsi"/>
          <w:szCs w:val="24"/>
          <w:lang w:val="en-CA" w:eastAsia="zh-CN"/>
        </w:rPr>
        <w:t>先生（阿联酋）</w:t>
      </w:r>
    </w:p>
    <w:p w:rsidR="0090327C" w:rsidRPr="008F083F" w:rsidRDefault="007144D4" w:rsidP="007144D4">
      <w:pPr>
        <w:pStyle w:val="enumlev1"/>
        <w:rPr>
          <w:lang w:val="en-CA" w:eastAsia="zh-CN"/>
        </w:rPr>
      </w:pPr>
      <w:r>
        <w:rPr>
          <w:lang w:val="en-CA" w:eastAsia="zh-CN"/>
        </w:rPr>
        <w:tab/>
      </w:r>
      <w:r w:rsidR="0090327C" w:rsidRPr="008F083F">
        <w:rPr>
          <w:rFonts w:hint="eastAsia"/>
          <w:lang w:val="en-CA" w:eastAsia="zh-CN"/>
        </w:rPr>
        <w:t>亚太区域</w:t>
      </w:r>
      <w:bookmarkStart w:id="7" w:name="lt_pId045"/>
      <w:r w:rsidR="0090327C" w:rsidRPr="008F083F">
        <w:rPr>
          <w:lang w:val="en-CA" w:eastAsia="zh-CN"/>
        </w:rPr>
        <w:tab/>
      </w:r>
      <w:r w:rsidR="0090327C" w:rsidRPr="008F083F">
        <w:rPr>
          <w:lang w:val="en-CA" w:eastAsia="zh-CN"/>
        </w:rPr>
        <w:tab/>
      </w:r>
      <w:r w:rsidR="0090327C" w:rsidRPr="008F083F">
        <w:rPr>
          <w:lang w:val="en-CA" w:eastAsia="zh-CN"/>
        </w:rPr>
        <w:tab/>
        <w:t>L.</w:t>
      </w:r>
      <w:bookmarkEnd w:id="7"/>
      <w:r w:rsidR="0090327C" w:rsidRPr="008F083F">
        <w:rPr>
          <w:lang w:val="en-CA" w:eastAsia="zh-CN"/>
        </w:rPr>
        <w:t xml:space="preserve"> </w:t>
      </w:r>
      <w:bookmarkStart w:id="8" w:name="lt_pId046"/>
      <w:r w:rsidR="0090327C" w:rsidRPr="008F083F">
        <w:rPr>
          <w:lang w:val="en-CA" w:eastAsia="zh-CN"/>
        </w:rPr>
        <w:t>Rowe</w:t>
      </w:r>
      <w:r w:rsidR="0090327C" w:rsidRPr="008F083F">
        <w:rPr>
          <w:rFonts w:hint="eastAsia"/>
          <w:lang w:val="en-CA" w:eastAsia="zh-CN"/>
        </w:rPr>
        <w:t>女士</w:t>
      </w:r>
      <w:r w:rsidR="0090327C" w:rsidRPr="008F083F">
        <w:rPr>
          <w:lang w:val="en-CA" w:eastAsia="zh-CN"/>
        </w:rPr>
        <w:t>（澳大利亚）</w:t>
      </w:r>
      <w:bookmarkEnd w:id="8"/>
    </w:p>
    <w:p w:rsidR="0090327C" w:rsidRPr="008F083F" w:rsidRDefault="007144D4" w:rsidP="007144D4">
      <w:pPr>
        <w:pStyle w:val="enumlev1"/>
        <w:rPr>
          <w:lang w:val="en-CA" w:eastAsia="zh-CN"/>
        </w:rPr>
      </w:pPr>
      <w:r>
        <w:rPr>
          <w:lang w:val="en-CA" w:eastAsia="zh-CN"/>
        </w:rPr>
        <w:tab/>
      </w:r>
      <w:r w:rsidR="0090327C" w:rsidRPr="008F083F">
        <w:rPr>
          <w:rFonts w:hint="eastAsia"/>
          <w:lang w:val="en-CA" w:eastAsia="zh-CN"/>
        </w:rPr>
        <w:t>独联体</w:t>
      </w:r>
      <w:r w:rsidR="0090327C" w:rsidRPr="008F083F">
        <w:rPr>
          <w:lang w:val="en-CA" w:eastAsia="zh-CN"/>
        </w:rPr>
        <w:t>国家</w:t>
      </w:r>
      <w:r w:rsidR="0090327C" w:rsidRPr="008F083F">
        <w:rPr>
          <w:lang w:val="en-CA" w:eastAsia="zh-CN"/>
        </w:rPr>
        <w:tab/>
      </w:r>
      <w:bookmarkStart w:id="9" w:name="lt_pId048"/>
      <w:r w:rsidR="0090327C" w:rsidRPr="008F083F">
        <w:rPr>
          <w:lang w:val="en-CA" w:eastAsia="zh-CN"/>
        </w:rPr>
        <w:tab/>
      </w:r>
      <w:r w:rsidR="0090327C" w:rsidRPr="008F083F">
        <w:rPr>
          <w:rFonts w:asciiTheme="minorHAnsi" w:hAnsiTheme="minorHAnsi" w:cstheme="minorHAnsi"/>
          <w:szCs w:val="24"/>
          <w:lang w:eastAsia="zh-CN"/>
        </w:rPr>
        <w:t>H. Rustamov</w:t>
      </w:r>
      <w:r w:rsidR="0090327C" w:rsidRPr="008F083F">
        <w:rPr>
          <w:rFonts w:hint="eastAsia"/>
          <w:lang w:eastAsia="zh-CN"/>
        </w:rPr>
        <w:t>先生</w:t>
      </w:r>
      <w:r w:rsidR="0090327C" w:rsidRPr="008F083F">
        <w:rPr>
          <w:lang w:eastAsia="zh-CN"/>
        </w:rPr>
        <w:t>（</w:t>
      </w:r>
      <w:r w:rsidR="0090327C" w:rsidRPr="008F083F">
        <w:rPr>
          <w:rFonts w:cstheme="minorHAnsi"/>
          <w:szCs w:val="24"/>
          <w:lang w:eastAsia="zh-CN"/>
        </w:rPr>
        <w:t>阿塞拜疆</w:t>
      </w:r>
      <w:r w:rsidR="0090327C" w:rsidRPr="008F083F">
        <w:rPr>
          <w:lang w:eastAsia="zh-CN"/>
        </w:rPr>
        <w:t>）</w:t>
      </w:r>
      <w:bookmarkEnd w:id="9"/>
    </w:p>
    <w:p w:rsidR="0090327C" w:rsidRPr="00C34F0E" w:rsidRDefault="007144D4" w:rsidP="007144D4">
      <w:pPr>
        <w:pStyle w:val="enumlev1"/>
        <w:rPr>
          <w:lang w:val="en-CA" w:eastAsia="zh-CN"/>
        </w:rPr>
      </w:pPr>
      <w:r>
        <w:rPr>
          <w:lang w:val="en-CA" w:eastAsia="zh-CN"/>
        </w:rPr>
        <w:lastRenderedPageBreak/>
        <w:tab/>
      </w:r>
      <w:r w:rsidR="0090327C" w:rsidRPr="008F083F">
        <w:rPr>
          <w:rFonts w:hint="eastAsia"/>
          <w:lang w:val="en-CA" w:eastAsia="zh-CN"/>
        </w:rPr>
        <w:t>欧洲</w:t>
      </w:r>
      <w:bookmarkStart w:id="10" w:name="lt_pId050"/>
      <w:r w:rsidR="0090327C" w:rsidRPr="008F083F">
        <w:rPr>
          <w:lang w:val="en-CA" w:eastAsia="zh-CN"/>
        </w:rPr>
        <w:tab/>
      </w:r>
      <w:r w:rsidR="0090327C" w:rsidRPr="008F083F">
        <w:rPr>
          <w:lang w:val="en-CA" w:eastAsia="zh-CN"/>
        </w:rPr>
        <w:tab/>
      </w:r>
      <w:r w:rsidR="0090327C" w:rsidRPr="008F083F">
        <w:rPr>
          <w:lang w:val="en-CA" w:eastAsia="zh-CN"/>
        </w:rPr>
        <w:tab/>
      </w:r>
      <w:r w:rsidR="0090327C" w:rsidRPr="008F083F">
        <w:rPr>
          <w:lang w:val="en-CA" w:eastAsia="zh-CN"/>
        </w:rPr>
        <w:tab/>
      </w:r>
      <w:r w:rsidR="0090327C" w:rsidRPr="008F083F">
        <w:rPr>
          <w:lang w:eastAsia="zh-CN"/>
        </w:rPr>
        <w:t>U. Petry</w:t>
      </w:r>
      <w:r w:rsidR="0090327C" w:rsidRPr="008F083F">
        <w:rPr>
          <w:rFonts w:hint="eastAsia"/>
          <w:lang w:eastAsia="zh-CN"/>
        </w:rPr>
        <w:t>先生</w:t>
      </w:r>
      <w:r w:rsidR="0090327C" w:rsidRPr="008F083F">
        <w:rPr>
          <w:lang w:eastAsia="zh-CN"/>
        </w:rPr>
        <w:t>（德国）</w:t>
      </w:r>
      <w:bookmarkEnd w:id="10"/>
    </w:p>
    <w:p w:rsidR="0095140F" w:rsidRDefault="00407E62" w:rsidP="007144D4">
      <w:pPr>
        <w:ind w:firstLineChars="200" w:firstLine="480"/>
        <w:rPr>
          <w:lang w:eastAsia="zh-CN"/>
        </w:rPr>
      </w:pPr>
      <w:r>
        <w:rPr>
          <w:rFonts w:hint="eastAsia"/>
          <w:lang w:val="fr-FR" w:eastAsia="zh-CN"/>
        </w:rPr>
        <w:t>评估委员会</w:t>
      </w:r>
      <w:r w:rsidR="002C55A6" w:rsidRPr="002C55A6">
        <w:rPr>
          <w:rFonts w:hint="eastAsia"/>
          <w:lang w:eastAsia="zh-CN"/>
        </w:rPr>
        <w:t>通过了工作程序，以便</w:t>
      </w:r>
      <w:r w:rsidR="002C55A6" w:rsidRPr="007144D4">
        <w:rPr>
          <w:rFonts w:hint="eastAsia"/>
          <w:lang w:val="en-US" w:eastAsia="zh-CN"/>
        </w:rPr>
        <w:t>开展工作</w:t>
      </w:r>
      <w:r w:rsidR="002C55A6">
        <w:rPr>
          <w:rFonts w:hint="eastAsia"/>
          <w:lang w:eastAsia="zh-CN"/>
        </w:rPr>
        <w:t>且</w:t>
      </w:r>
      <w:r w:rsidR="002C55A6" w:rsidRPr="002C55A6">
        <w:rPr>
          <w:rFonts w:hint="eastAsia"/>
          <w:lang w:eastAsia="zh-CN"/>
        </w:rPr>
        <w:t>每个成员都签署了个人保密和利益披露声明。</w:t>
      </w:r>
    </w:p>
    <w:p w:rsidR="0095140F" w:rsidRPr="00783426" w:rsidRDefault="007144D4" w:rsidP="007144D4">
      <w:pPr>
        <w:rPr>
          <w:rFonts w:asciiTheme="minorHAnsi" w:hAnsiTheme="minorHAnsi"/>
          <w:color w:val="000000"/>
          <w:szCs w:val="24"/>
          <w:lang w:eastAsia="zh-CN"/>
        </w:rPr>
      </w:pPr>
      <w:r>
        <w:rPr>
          <w:rFonts w:hint="eastAsia"/>
          <w:color w:val="000000"/>
          <w:lang w:eastAsia="zh-CN"/>
        </w:rPr>
        <w:t>3</w:t>
      </w:r>
      <w:r>
        <w:rPr>
          <w:color w:val="000000"/>
          <w:lang w:eastAsia="zh-CN"/>
        </w:rPr>
        <w:tab/>
      </w:r>
      <w:r w:rsidR="002C55A6">
        <w:rPr>
          <w:color w:val="000000"/>
          <w:lang w:eastAsia="zh-CN"/>
        </w:rPr>
        <w:t>独立管理顾问委员会（</w:t>
      </w:r>
      <w:r w:rsidR="002C55A6">
        <w:rPr>
          <w:color w:val="000000"/>
          <w:lang w:eastAsia="zh-CN"/>
        </w:rPr>
        <w:t>IMAC</w:t>
      </w:r>
      <w:r w:rsidR="002C55A6">
        <w:rPr>
          <w:rFonts w:ascii="SimSun" w:hAnsi="SimSun" w:cs="SimSun" w:hint="eastAsia"/>
          <w:color w:val="000000"/>
          <w:lang w:eastAsia="zh-CN"/>
        </w:rPr>
        <w:t>）在其提交理事会</w:t>
      </w:r>
      <w:r w:rsidR="002C55A6" w:rsidRPr="00F5319B">
        <w:rPr>
          <w:rFonts w:hint="eastAsia"/>
          <w:color w:val="000000"/>
          <w:lang w:eastAsia="zh-CN"/>
        </w:rPr>
        <w:t>2</w:t>
      </w:r>
      <w:r w:rsidR="002C55A6" w:rsidRPr="00F5319B">
        <w:rPr>
          <w:color w:val="000000"/>
          <w:lang w:eastAsia="zh-CN"/>
        </w:rPr>
        <w:t>018</w:t>
      </w:r>
      <w:r w:rsidR="002C55A6" w:rsidRPr="00F5319B">
        <w:rPr>
          <w:color w:val="000000"/>
          <w:lang w:eastAsia="zh-CN"/>
        </w:rPr>
        <w:t>年会议</w:t>
      </w:r>
      <w:r w:rsidR="002C55A6">
        <w:rPr>
          <w:rFonts w:ascii="SimSun" w:hAnsi="SimSun" w:cs="SimSun"/>
          <w:color w:val="000000"/>
          <w:lang w:eastAsia="zh-CN"/>
        </w:rPr>
        <w:t>的报告</w:t>
      </w:r>
      <w:r w:rsidR="00F5319B">
        <w:rPr>
          <w:rFonts w:ascii="SimSun" w:hAnsi="SimSun" w:cs="SimSun"/>
          <w:color w:val="000000"/>
          <w:lang w:eastAsia="zh-CN"/>
        </w:rPr>
        <w:t>中</w:t>
      </w:r>
      <w:r w:rsidR="002C55A6">
        <w:rPr>
          <w:rFonts w:ascii="SimSun" w:hAnsi="SimSun" w:cs="SimSun"/>
          <w:color w:val="000000"/>
          <w:lang w:eastAsia="zh-CN"/>
        </w:rPr>
        <w:t>指出：</w:t>
      </w:r>
      <w:r w:rsidR="00F5319B">
        <w:rPr>
          <w:rFonts w:ascii="SimSun" w:hAnsi="SimSun" w:cs="SimSun"/>
          <w:color w:val="000000"/>
          <w:lang w:eastAsia="zh-CN"/>
        </w:rPr>
        <w:t>尽管</w:t>
      </w:r>
      <w:r w:rsidR="0090327C">
        <w:rPr>
          <w:rFonts w:eastAsiaTheme="minorEastAsia" w:hint="eastAsia"/>
          <w:lang w:eastAsia="zh-CN"/>
        </w:rPr>
        <w:t>外部</w:t>
      </w:r>
      <w:r w:rsidR="0090327C">
        <w:rPr>
          <w:rFonts w:eastAsiaTheme="minorEastAsia"/>
          <w:lang w:eastAsia="zh-CN"/>
        </w:rPr>
        <w:t>审计员的遴选和任命是理事会和成员国负责的事宜，但</w:t>
      </w:r>
      <w:r w:rsidR="0090327C">
        <w:rPr>
          <w:rFonts w:eastAsiaTheme="minorEastAsia"/>
          <w:lang w:eastAsia="zh-CN"/>
        </w:rPr>
        <w:t>IMAC</w:t>
      </w:r>
      <w:r w:rsidR="0090327C">
        <w:rPr>
          <w:rFonts w:eastAsiaTheme="minorEastAsia"/>
          <w:lang w:eastAsia="zh-CN"/>
        </w:rPr>
        <w:t>的职责范围规定，该委员会需就适当遴选程序和评估标准提出意见和</w:t>
      </w:r>
      <w:r w:rsidR="0090327C" w:rsidRPr="007144D4">
        <w:rPr>
          <w:lang w:val="en-US" w:eastAsia="zh-CN"/>
        </w:rPr>
        <w:t>建议</w:t>
      </w:r>
      <w:r w:rsidR="0090327C">
        <w:rPr>
          <w:rFonts w:eastAsiaTheme="minorEastAsia"/>
          <w:lang w:eastAsia="zh-CN"/>
        </w:rPr>
        <w:t>，包括将提供的服务的成本和范围。作为</w:t>
      </w:r>
      <w:r w:rsidR="0090327C">
        <w:rPr>
          <w:rFonts w:eastAsiaTheme="minorEastAsia" w:hint="eastAsia"/>
          <w:lang w:eastAsia="zh-CN"/>
        </w:rPr>
        <w:t>一种</w:t>
      </w:r>
      <w:r w:rsidR="0090327C">
        <w:rPr>
          <w:rFonts w:eastAsiaTheme="minorEastAsia"/>
          <w:lang w:eastAsia="zh-CN"/>
        </w:rPr>
        <w:t>最佳做法，</w:t>
      </w:r>
      <w:r w:rsidR="0090327C">
        <w:rPr>
          <w:rFonts w:eastAsiaTheme="minorEastAsia"/>
          <w:lang w:eastAsia="zh-CN"/>
        </w:rPr>
        <w:t>IMAC</w:t>
      </w:r>
      <w:r w:rsidR="0090327C">
        <w:rPr>
          <w:rFonts w:eastAsiaTheme="minorEastAsia"/>
          <w:lang w:eastAsia="zh-CN"/>
        </w:rPr>
        <w:t>请秘书处和</w:t>
      </w:r>
      <w:r w:rsidR="00407E62">
        <w:rPr>
          <w:rFonts w:hint="eastAsia"/>
          <w:lang w:val="fr-FR" w:eastAsia="zh-CN"/>
        </w:rPr>
        <w:t>评估委员会</w:t>
      </w:r>
      <w:r w:rsidR="0090327C">
        <w:rPr>
          <w:rFonts w:eastAsiaTheme="minorEastAsia"/>
          <w:lang w:eastAsia="zh-CN"/>
        </w:rPr>
        <w:t>酌情与</w:t>
      </w:r>
      <w:r w:rsidR="0090327C">
        <w:rPr>
          <w:rFonts w:eastAsiaTheme="minorEastAsia"/>
          <w:lang w:eastAsia="zh-CN"/>
        </w:rPr>
        <w:t>IMAC</w:t>
      </w:r>
      <w:r w:rsidR="0090327C">
        <w:rPr>
          <w:rFonts w:eastAsiaTheme="minorEastAsia"/>
          <w:lang w:eastAsia="zh-CN"/>
        </w:rPr>
        <w:t>进行协商。</w:t>
      </w:r>
    </w:p>
    <w:p w:rsidR="0095140F" w:rsidRPr="0065618D" w:rsidRDefault="007144D4" w:rsidP="007144D4">
      <w:pPr>
        <w:rPr>
          <w:szCs w:val="24"/>
          <w:lang w:eastAsia="zh-CN"/>
        </w:rPr>
      </w:pPr>
      <w:r>
        <w:rPr>
          <w:rFonts w:hint="eastAsia"/>
          <w:lang w:eastAsia="zh-CN"/>
        </w:rPr>
        <w:t>4</w:t>
      </w:r>
      <w:r>
        <w:rPr>
          <w:lang w:eastAsia="zh-CN"/>
        </w:rPr>
        <w:tab/>
      </w:r>
      <w:r w:rsidR="000A0FFB" w:rsidRPr="0065618D">
        <w:rPr>
          <w:szCs w:val="24"/>
          <w:lang w:eastAsia="zh-CN"/>
        </w:rPr>
        <w:t>依据</w:t>
      </w:r>
      <w:r w:rsidR="000E2536" w:rsidRPr="0065618D">
        <w:rPr>
          <w:rFonts w:hint="eastAsia"/>
          <w:szCs w:val="24"/>
          <w:lang w:eastAsia="zh-CN"/>
        </w:rPr>
        <w:t>国际电联</w:t>
      </w:r>
      <w:r w:rsidR="000A0FFB" w:rsidRPr="0065618D">
        <w:rPr>
          <w:color w:val="000000"/>
          <w:szCs w:val="24"/>
          <w:lang w:eastAsia="zh-CN"/>
        </w:rPr>
        <w:t>《财务规则和财务细则</w:t>
      </w:r>
      <w:r w:rsidR="000A0FFB" w:rsidRPr="0065618D">
        <w:rPr>
          <w:rFonts w:ascii="SimSun" w:hAnsi="SimSun" w:cs="SimSun" w:hint="eastAsia"/>
          <w:color w:val="000000"/>
          <w:szCs w:val="24"/>
          <w:lang w:eastAsia="zh-CN"/>
        </w:rPr>
        <w:t>》</w:t>
      </w:r>
      <w:r w:rsidR="000E2536" w:rsidRPr="0065618D">
        <w:rPr>
          <w:rFonts w:hint="eastAsia"/>
          <w:szCs w:val="24"/>
          <w:lang w:eastAsia="zh-CN"/>
        </w:rPr>
        <w:t>，并根据</w:t>
      </w:r>
      <w:r w:rsidR="000A0FFB" w:rsidRPr="0065618D">
        <w:rPr>
          <w:rFonts w:hint="eastAsia"/>
          <w:szCs w:val="24"/>
          <w:lang w:eastAsia="zh-CN"/>
        </w:rPr>
        <w:t>I</w:t>
      </w:r>
      <w:r w:rsidR="000A0FFB" w:rsidRPr="0065618D">
        <w:rPr>
          <w:szCs w:val="24"/>
          <w:lang w:eastAsia="zh-CN"/>
        </w:rPr>
        <w:t>MAC</w:t>
      </w:r>
      <w:r w:rsidR="000E2536" w:rsidRPr="0065618D">
        <w:rPr>
          <w:rFonts w:hint="eastAsia"/>
          <w:szCs w:val="24"/>
          <w:lang w:eastAsia="zh-CN"/>
        </w:rPr>
        <w:t>提供的咨询意见，秘书处</w:t>
      </w:r>
      <w:r w:rsidR="000A0FFB" w:rsidRPr="00DA5E5B">
        <w:rPr>
          <w:rStyle w:val="FootnoteReference"/>
          <w:rFonts w:cstheme="minorHAnsi"/>
          <w:color w:val="000000"/>
          <w:szCs w:val="18"/>
          <w:lang w:val="en-US"/>
        </w:rPr>
        <w:footnoteReference w:id="1"/>
      </w:r>
      <w:r w:rsidR="000E2536" w:rsidRPr="0065618D">
        <w:rPr>
          <w:rFonts w:hint="eastAsia"/>
          <w:szCs w:val="24"/>
          <w:lang w:eastAsia="zh-CN"/>
        </w:rPr>
        <w:t>起草了</w:t>
      </w:r>
      <w:r w:rsidR="000A0FFB" w:rsidRPr="0065618D">
        <w:rPr>
          <w:rFonts w:hint="eastAsia"/>
          <w:szCs w:val="24"/>
          <w:lang w:eastAsia="zh-CN"/>
        </w:rPr>
        <w:t>招标书</w:t>
      </w:r>
      <w:r w:rsidR="000A0FFB" w:rsidRPr="0065618D">
        <w:rPr>
          <w:color w:val="000000"/>
          <w:szCs w:val="24"/>
          <w:lang w:eastAsia="zh-CN"/>
        </w:rPr>
        <w:t>（</w:t>
      </w:r>
      <w:r w:rsidR="000A0FFB" w:rsidRPr="0065618D">
        <w:rPr>
          <w:color w:val="000000"/>
          <w:szCs w:val="24"/>
          <w:lang w:eastAsia="zh-CN"/>
        </w:rPr>
        <w:t>RFP</w:t>
      </w:r>
      <w:r w:rsidR="000A0FFB" w:rsidRPr="0065618D">
        <w:rPr>
          <w:rFonts w:ascii="SimSun" w:hAnsi="SimSun" w:cs="SimSun" w:hint="eastAsia"/>
          <w:color w:val="000000"/>
          <w:szCs w:val="24"/>
          <w:lang w:eastAsia="zh-CN"/>
        </w:rPr>
        <w:t>）</w:t>
      </w:r>
      <w:r w:rsidR="000E2536" w:rsidRPr="0065618D">
        <w:rPr>
          <w:rFonts w:hint="eastAsia"/>
          <w:szCs w:val="24"/>
          <w:lang w:eastAsia="zh-CN"/>
        </w:rPr>
        <w:t>的</w:t>
      </w:r>
      <w:r w:rsidR="000A0FFB" w:rsidRPr="0065618D">
        <w:rPr>
          <w:rFonts w:hint="eastAsia"/>
          <w:szCs w:val="24"/>
          <w:lang w:eastAsia="zh-CN"/>
        </w:rPr>
        <w:t>职责</w:t>
      </w:r>
      <w:r w:rsidR="000E2536" w:rsidRPr="0065618D">
        <w:rPr>
          <w:rFonts w:hint="eastAsia"/>
          <w:szCs w:val="24"/>
          <w:lang w:eastAsia="zh-CN"/>
        </w:rPr>
        <w:t>范围以及</w:t>
      </w:r>
      <w:r w:rsidR="000A0FFB" w:rsidRPr="0065618D">
        <w:rPr>
          <w:rFonts w:hint="eastAsia"/>
          <w:szCs w:val="24"/>
          <w:lang w:eastAsia="zh-CN"/>
        </w:rPr>
        <w:t>用于评估所</w:t>
      </w:r>
      <w:r w:rsidR="000E2536" w:rsidRPr="0065618D">
        <w:rPr>
          <w:rFonts w:hint="eastAsia"/>
          <w:szCs w:val="24"/>
          <w:lang w:eastAsia="zh-CN"/>
        </w:rPr>
        <w:t>收到</w:t>
      </w:r>
      <w:r w:rsidR="000A0FFB" w:rsidRPr="0065618D">
        <w:rPr>
          <w:rFonts w:hint="eastAsia"/>
          <w:szCs w:val="24"/>
          <w:lang w:eastAsia="zh-CN"/>
        </w:rPr>
        <w:t>标书的</w:t>
      </w:r>
      <w:r w:rsidR="000E2536" w:rsidRPr="0065618D">
        <w:rPr>
          <w:rFonts w:hint="eastAsia"/>
          <w:szCs w:val="24"/>
          <w:lang w:eastAsia="zh-CN"/>
        </w:rPr>
        <w:t>方法。评估委员会成员和</w:t>
      </w:r>
      <w:r w:rsidR="000A0FFB" w:rsidRPr="0065618D">
        <w:rPr>
          <w:rFonts w:hint="eastAsia"/>
          <w:szCs w:val="24"/>
          <w:lang w:eastAsia="zh-CN"/>
        </w:rPr>
        <w:t>I</w:t>
      </w:r>
      <w:r w:rsidR="000A0FFB" w:rsidRPr="0065618D">
        <w:rPr>
          <w:szCs w:val="24"/>
          <w:lang w:eastAsia="zh-CN"/>
        </w:rPr>
        <w:t>MAC</w:t>
      </w:r>
      <w:r w:rsidR="000E2536" w:rsidRPr="0065618D">
        <w:rPr>
          <w:rFonts w:hint="eastAsia"/>
          <w:szCs w:val="24"/>
          <w:lang w:eastAsia="zh-CN"/>
        </w:rPr>
        <w:t>提供了反馈，秘书处最终确定了</w:t>
      </w:r>
      <w:r w:rsidR="000A0FFB" w:rsidRPr="0065618D">
        <w:rPr>
          <w:rFonts w:hint="eastAsia"/>
          <w:szCs w:val="24"/>
          <w:lang w:val="en-US" w:eastAsia="zh-CN"/>
        </w:rPr>
        <w:t>招标</w:t>
      </w:r>
      <w:r w:rsidR="000A0FFB" w:rsidRPr="0065618D">
        <w:rPr>
          <w:rFonts w:hint="eastAsia"/>
          <w:szCs w:val="24"/>
          <w:lang w:eastAsia="zh-CN"/>
        </w:rPr>
        <w:t>书</w:t>
      </w:r>
      <w:r w:rsidR="000E2536" w:rsidRPr="0065618D">
        <w:rPr>
          <w:rFonts w:hint="eastAsia"/>
          <w:szCs w:val="24"/>
          <w:lang w:eastAsia="zh-CN"/>
        </w:rPr>
        <w:t>。</w:t>
      </w:r>
      <w:r w:rsidR="000E2536" w:rsidRPr="0065618D">
        <w:rPr>
          <w:rFonts w:hint="eastAsia"/>
          <w:szCs w:val="24"/>
          <w:lang w:eastAsia="zh-CN"/>
        </w:rPr>
        <w:t>2018</w:t>
      </w:r>
      <w:r w:rsidR="000E2536" w:rsidRPr="0065618D">
        <w:rPr>
          <w:rFonts w:hint="eastAsia"/>
          <w:szCs w:val="24"/>
          <w:lang w:eastAsia="zh-CN"/>
        </w:rPr>
        <w:t>年</w:t>
      </w:r>
      <w:r w:rsidR="000E2536" w:rsidRPr="0065618D">
        <w:rPr>
          <w:rFonts w:hint="eastAsia"/>
          <w:szCs w:val="24"/>
          <w:lang w:eastAsia="zh-CN"/>
        </w:rPr>
        <w:t>12</w:t>
      </w:r>
      <w:r w:rsidR="000E2536" w:rsidRPr="0065618D">
        <w:rPr>
          <w:rFonts w:hint="eastAsia"/>
          <w:szCs w:val="24"/>
          <w:lang w:eastAsia="zh-CN"/>
        </w:rPr>
        <w:t>月</w:t>
      </w:r>
      <w:r w:rsidR="000E2536" w:rsidRPr="0065618D">
        <w:rPr>
          <w:rFonts w:hint="eastAsia"/>
          <w:szCs w:val="24"/>
          <w:lang w:eastAsia="zh-CN"/>
        </w:rPr>
        <w:t>12</w:t>
      </w:r>
      <w:r w:rsidR="000E2536" w:rsidRPr="0065618D">
        <w:rPr>
          <w:rFonts w:hint="eastAsia"/>
          <w:szCs w:val="24"/>
          <w:lang w:eastAsia="zh-CN"/>
        </w:rPr>
        <w:t>日，秘书长以通函形式邀请国际电联成员国</w:t>
      </w:r>
      <w:r w:rsidR="000A0FFB" w:rsidRPr="0065618D">
        <w:rPr>
          <w:rFonts w:hint="eastAsia"/>
          <w:szCs w:val="24"/>
          <w:lang w:eastAsia="zh-CN"/>
        </w:rPr>
        <w:t>主管</w:t>
      </w:r>
      <w:r w:rsidR="000E2536" w:rsidRPr="0065618D">
        <w:rPr>
          <w:rFonts w:hint="eastAsia"/>
          <w:szCs w:val="24"/>
          <w:lang w:eastAsia="zh-CN"/>
        </w:rPr>
        <w:t>部门通知各自的最高审计机构</w:t>
      </w:r>
      <w:r w:rsidR="000A0FFB" w:rsidRPr="0065618D">
        <w:rPr>
          <w:rFonts w:hint="eastAsia"/>
          <w:szCs w:val="24"/>
          <w:lang w:eastAsia="zh-CN"/>
        </w:rPr>
        <w:t>（</w:t>
      </w:r>
      <w:r w:rsidR="000A0FFB" w:rsidRPr="0065618D">
        <w:rPr>
          <w:rFonts w:hint="eastAsia"/>
          <w:szCs w:val="24"/>
          <w:lang w:eastAsia="zh-CN"/>
        </w:rPr>
        <w:t>S</w:t>
      </w:r>
      <w:r w:rsidR="000A0FFB" w:rsidRPr="0065618D">
        <w:rPr>
          <w:szCs w:val="24"/>
          <w:lang w:eastAsia="zh-CN"/>
        </w:rPr>
        <w:t>AI</w:t>
      </w:r>
      <w:r w:rsidR="000A0FFB" w:rsidRPr="0065618D">
        <w:rPr>
          <w:rFonts w:hint="eastAsia"/>
          <w:szCs w:val="24"/>
          <w:lang w:eastAsia="zh-CN"/>
        </w:rPr>
        <w:t>）</w:t>
      </w:r>
      <w:r w:rsidR="000E2536" w:rsidRPr="0065618D">
        <w:rPr>
          <w:rFonts w:hint="eastAsia"/>
          <w:szCs w:val="24"/>
          <w:lang w:eastAsia="zh-CN"/>
        </w:rPr>
        <w:t>，招标书已在国际电联理事会网页的</w:t>
      </w:r>
      <w:r w:rsidR="000A0FFB" w:rsidRPr="0065618D">
        <w:rPr>
          <w:rFonts w:hint="eastAsia"/>
          <w:szCs w:val="24"/>
          <w:lang w:eastAsia="zh-CN"/>
        </w:rPr>
        <w:t>“</w:t>
      </w:r>
      <w:r w:rsidR="000E2536" w:rsidRPr="0065618D">
        <w:rPr>
          <w:rFonts w:hint="eastAsia"/>
          <w:szCs w:val="24"/>
          <w:lang w:eastAsia="zh-CN"/>
        </w:rPr>
        <w:t>一般文件</w:t>
      </w:r>
      <w:r w:rsidR="000A0FFB" w:rsidRPr="0065618D">
        <w:rPr>
          <w:rFonts w:hint="eastAsia"/>
          <w:szCs w:val="24"/>
          <w:lang w:eastAsia="zh-CN"/>
        </w:rPr>
        <w:t>”栏</w:t>
      </w:r>
      <w:r w:rsidR="000E2536" w:rsidRPr="0065618D">
        <w:rPr>
          <w:rFonts w:hint="eastAsia"/>
          <w:szCs w:val="24"/>
          <w:lang w:eastAsia="zh-CN"/>
        </w:rPr>
        <w:t>下</w:t>
      </w:r>
      <w:r w:rsidR="000A0FFB" w:rsidRPr="0065618D">
        <w:rPr>
          <w:rFonts w:hint="eastAsia"/>
          <w:szCs w:val="24"/>
          <w:lang w:eastAsia="zh-CN"/>
        </w:rPr>
        <w:t>（</w:t>
      </w:r>
      <w:hyperlink r:id="rId11" w:history="1">
        <w:r w:rsidR="0095140F" w:rsidRPr="0065618D">
          <w:rPr>
            <w:rStyle w:val="Hyperlink"/>
            <w:szCs w:val="24"/>
            <w:lang w:eastAsia="zh-CN"/>
          </w:rPr>
          <w:t>https://www.itu.int/en/council/Pages/documents.aspx</w:t>
        </w:r>
      </w:hyperlink>
      <w:r w:rsidR="000A0FFB" w:rsidRPr="0065618D">
        <w:rPr>
          <w:szCs w:val="24"/>
          <w:lang w:eastAsia="zh-CN"/>
        </w:rPr>
        <w:t>）</w:t>
      </w:r>
      <w:r w:rsidR="000A0FFB" w:rsidRPr="0065618D">
        <w:rPr>
          <w:rFonts w:hint="eastAsia"/>
          <w:szCs w:val="24"/>
          <w:lang w:eastAsia="zh-CN"/>
        </w:rPr>
        <w:t>发布。</w:t>
      </w:r>
    </w:p>
    <w:p w:rsidR="0095140F" w:rsidRPr="0065618D" w:rsidRDefault="007144D4" w:rsidP="00891EA0">
      <w:pPr>
        <w:rPr>
          <w:szCs w:val="24"/>
          <w:lang w:eastAsia="zh-CN"/>
        </w:rPr>
      </w:pPr>
      <w:r w:rsidRPr="0065618D">
        <w:rPr>
          <w:rFonts w:hint="eastAsia"/>
          <w:szCs w:val="24"/>
          <w:lang w:val="zh-CN" w:eastAsia="zh-CN"/>
        </w:rPr>
        <w:t>5</w:t>
      </w:r>
      <w:r w:rsidRPr="0065618D">
        <w:rPr>
          <w:szCs w:val="24"/>
          <w:lang w:val="zh-CN" w:eastAsia="zh-CN"/>
        </w:rPr>
        <w:tab/>
      </w:r>
      <w:r w:rsidR="00787216" w:rsidRPr="0065618D">
        <w:rPr>
          <w:rFonts w:hint="eastAsia"/>
          <w:szCs w:val="24"/>
          <w:lang w:val="zh-CN" w:eastAsia="zh-CN"/>
        </w:rPr>
        <w:t>详尽指示和具体时间表已在标书中列出，其中也包括感兴趣各方有机会在</w:t>
      </w:r>
      <w:r w:rsidR="00787216" w:rsidRPr="0065618D">
        <w:rPr>
          <w:szCs w:val="24"/>
          <w:lang w:val="zh-CN" w:eastAsia="zh-CN"/>
        </w:rPr>
        <w:t>2019</w:t>
      </w:r>
      <w:r w:rsidR="00787216" w:rsidRPr="0065618D">
        <w:rPr>
          <w:rFonts w:hint="eastAsia"/>
          <w:szCs w:val="24"/>
          <w:lang w:val="zh-CN" w:eastAsia="zh-CN"/>
        </w:rPr>
        <w:t>年</w:t>
      </w:r>
      <w:r w:rsidR="00787216" w:rsidRPr="0065618D">
        <w:rPr>
          <w:rFonts w:hint="eastAsia"/>
          <w:szCs w:val="24"/>
          <w:lang w:val="zh-CN" w:eastAsia="zh-CN"/>
        </w:rPr>
        <w:t>2</w:t>
      </w:r>
      <w:r w:rsidR="00787216" w:rsidRPr="0065618D">
        <w:rPr>
          <w:rFonts w:hint="eastAsia"/>
          <w:szCs w:val="24"/>
          <w:lang w:val="zh-CN" w:eastAsia="zh-CN"/>
        </w:rPr>
        <w:t>月</w:t>
      </w:r>
      <w:r w:rsidR="00787216" w:rsidRPr="0065618D">
        <w:rPr>
          <w:rFonts w:hint="eastAsia"/>
          <w:szCs w:val="24"/>
          <w:lang w:val="zh-CN" w:eastAsia="zh-CN"/>
        </w:rPr>
        <w:t>15</w:t>
      </w:r>
      <w:r w:rsidR="00787216" w:rsidRPr="0065618D">
        <w:rPr>
          <w:rFonts w:hint="eastAsia"/>
          <w:szCs w:val="24"/>
          <w:lang w:val="zh-CN" w:eastAsia="zh-CN"/>
        </w:rPr>
        <w:t>日之前，通过国际电联采购处要求获得补充资料。提交竞标资料的最后截止日期定为</w:t>
      </w:r>
      <w:r w:rsidR="00787216" w:rsidRPr="0065618D">
        <w:rPr>
          <w:szCs w:val="24"/>
          <w:lang w:val="zh-CN" w:eastAsia="zh-CN"/>
        </w:rPr>
        <w:t>2019</w:t>
      </w:r>
      <w:r w:rsidR="00787216" w:rsidRPr="0065618D">
        <w:rPr>
          <w:rFonts w:hint="eastAsia"/>
          <w:szCs w:val="24"/>
          <w:lang w:val="zh-CN" w:eastAsia="zh-CN"/>
        </w:rPr>
        <w:t>年</w:t>
      </w:r>
      <w:r w:rsidR="00787216" w:rsidRPr="0065618D">
        <w:rPr>
          <w:szCs w:val="24"/>
          <w:lang w:val="zh-CN" w:eastAsia="zh-CN"/>
        </w:rPr>
        <w:t>3</w:t>
      </w:r>
      <w:r w:rsidR="00787216" w:rsidRPr="0065618D">
        <w:rPr>
          <w:rFonts w:hint="eastAsia"/>
          <w:szCs w:val="24"/>
          <w:lang w:val="zh-CN" w:eastAsia="zh-CN"/>
        </w:rPr>
        <w:t>月</w:t>
      </w:r>
      <w:r w:rsidR="00787216" w:rsidRPr="0065618D">
        <w:rPr>
          <w:rFonts w:hint="eastAsia"/>
          <w:szCs w:val="24"/>
          <w:lang w:val="zh-CN" w:eastAsia="zh-CN"/>
        </w:rPr>
        <w:t>1</w:t>
      </w:r>
      <w:r w:rsidR="00787216" w:rsidRPr="0065618D">
        <w:rPr>
          <w:szCs w:val="24"/>
          <w:lang w:val="zh-CN" w:eastAsia="zh-CN"/>
        </w:rPr>
        <w:t>5</w:t>
      </w:r>
      <w:r w:rsidR="00787216" w:rsidRPr="0065618D">
        <w:rPr>
          <w:szCs w:val="24"/>
          <w:lang w:val="zh-CN" w:eastAsia="zh-CN"/>
        </w:rPr>
        <w:t>日</w:t>
      </w:r>
      <w:r w:rsidR="00787216" w:rsidRPr="0065618D">
        <w:rPr>
          <w:rFonts w:hint="eastAsia"/>
          <w:szCs w:val="24"/>
          <w:lang w:val="zh-CN" w:eastAsia="zh-CN"/>
        </w:rPr>
        <w:t>。</w:t>
      </w:r>
      <w:r w:rsidR="000E2536" w:rsidRPr="0065618D">
        <w:rPr>
          <w:rFonts w:hint="eastAsia"/>
          <w:szCs w:val="24"/>
          <w:lang w:eastAsia="zh-CN"/>
        </w:rPr>
        <w:t>此外，说明中还包括提交应以英文或法文起草</w:t>
      </w:r>
      <w:r w:rsidR="000A0FFB" w:rsidRPr="0065618D">
        <w:rPr>
          <w:rFonts w:hint="eastAsia"/>
          <w:szCs w:val="24"/>
          <w:lang w:eastAsia="zh-CN"/>
        </w:rPr>
        <w:t>；</w:t>
      </w:r>
      <w:r w:rsidR="000E2536" w:rsidRPr="0065618D">
        <w:rPr>
          <w:rFonts w:hint="eastAsia"/>
          <w:szCs w:val="24"/>
          <w:lang w:eastAsia="zh-CN"/>
        </w:rPr>
        <w:t>技术信息应放在技术信封中，与财务信息分开</w:t>
      </w:r>
      <w:r w:rsidR="000A0FFB" w:rsidRPr="0065618D">
        <w:rPr>
          <w:rFonts w:hint="eastAsia"/>
          <w:szCs w:val="24"/>
          <w:lang w:eastAsia="zh-CN"/>
        </w:rPr>
        <w:t>；</w:t>
      </w:r>
      <w:r w:rsidR="000E2536" w:rsidRPr="0065618D">
        <w:rPr>
          <w:rFonts w:hint="eastAsia"/>
          <w:szCs w:val="24"/>
          <w:lang w:eastAsia="zh-CN"/>
        </w:rPr>
        <w:t>财务信息应放在财务信封中</w:t>
      </w:r>
      <w:r w:rsidR="000A0FFB" w:rsidRPr="0065618D">
        <w:rPr>
          <w:rFonts w:hint="eastAsia"/>
          <w:szCs w:val="24"/>
          <w:lang w:eastAsia="zh-CN"/>
        </w:rPr>
        <w:t>等内容</w:t>
      </w:r>
      <w:r w:rsidR="000E2536" w:rsidRPr="0065618D">
        <w:rPr>
          <w:rFonts w:hint="eastAsia"/>
          <w:szCs w:val="24"/>
          <w:lang w:eastAsia="zh-CN"/>
        </w:rPr>
        <w:t>。财务和技术信息的分离是一项正式的</w:t>
      </w:r>
      <w:r w:rsidR="00F33088" w:rsidRPr="0065618D">
        <w:rPr>
          <w:rFonts w:hint="eastAsia"/>
          <w:szCs w:val="24"/>
          <w:lang w:eastAsia="zh-CN"/>
        </w:rPr>
        <w:t>投标</w:t>
      </w:r>
      <w:r w:rsidR="000E2536" w:rsidRPr="0065618D">
        <w:rPr>
          <w:rFonts w:hint="eastAsia"/>
          <w:szCs w:val="24"/>
          <w:lang w:eastAsia="zh-CN"/>
        </w:rPr>
        <w:t>要求，</w:t>
      </w:r>
      <w:r w:rsidR="00F33088" w:rsidRPr="0065618D">
        <w:rPr>
          <w:rFonts w:hint="eastAsia"/>
          <w:szCs w:val="24"/>
          <w:lang w:eastAsia="zh-CN"/>
        </w:rPr>
        <w:t>必须</w:t>
      </w:r>
      <w:r w:rsidR="000E2536" w:rsidRPr="0065618D">
        <w:rPr>
          <w:rFonts w:hint="eastAsia"/>
          <w:szCs w:val="24"/>
          <w:lang w:eastAsia="zh-CN"/>
        </w:rPr>
        <w:t>满足这一要求，</w:t>
      </w:r>
      <w:r w:rsidR="00F33088" w:rsidRPr="0065618D">
        <w:rPr>
          <w:rFonts w:hint="eastAsia"/>
          <w:szCs w:val="24"/>
          <w:lang w:eastAsia="zh-CN"/>
        </w:rPr>
        <w:t>投标</w:t>
      </w:r>
      <w:r w:rsidR="000E2536" w:rsidRPr="0065618D">
        <w:rPr>
          <w:rFonts w:hint="eastAsia"/>
          <w:szCs w:val="24"/>
          <w:lang w:eastAsia="zh-CN"/>
        </w:rPr>
        <w:t>才能视为有效。分离技术和财务信息是</w:t>
      </w:r>
      <w:r w:rsidR="00F33088" w:rsidRPr="0065618D">
        <w:rPr>
          <w:rFonts w:hint="eastAsia"/>
          <w:szCs w:val="24"/>
          <w:lang w:eastAsia="zh-CN"/>
        </w:rPr>
        <w:t>为了</w:t>
      </w:r>
      <w:r w:rsidR="000E2536" w:rsidRPr="0065618D">
        <w:rPr>
          <w:rFonts w:hint="eastAsia"/>
          <w:szCs w:val="24"/>
          <w:lang w:eastAsia="zh-CN"/>
        </w:rPr>
        <w:t>首先打开和评估技术信封，然后</w:t>
      </w:r>
      <w:r w:rsidR="00F33088" w:rsidRPr="0065618D">
        <w:rPr>
          <w:rFonts w:hint="eastAsia"/>
          <w:szCs w:val="24"/>
          <w:lang w:eastAsia="zh-CN"/>
        </w:rPr>
        <w:t>再</w:t>
      </w:r>
      <w:r w:rsidR="000E2536" w:rsidRPr="0065618D">
        <w:rPr>
          <w:rFonts w:hint="eastAsia"/>
          <w:szCs w:val="24"/>
          <w:lang w:eastAsia="zh-CN"/>
        </w:rPr>
        <w:t>打开财务信封。这</w:t>
      </w:r>
      <w:r w:rsidR="00F33088" w:rsidRPr="0065618D">
        <w:rPr>
          <w:rFonts w:hint="eastAsia"/>
          <w:szCs w:val="24"/>
          <w:lang w:eastAsia="zh-CN"/>
        </w:rPr>
        <w:t>将</w:t>
      </w:r>
      <w:r w:rsidR="000E2536" w:rsidRPr="0065618D">
        <w:rPr>
          <w:rFonts w:hint="eastAsia"/>
          <w:szCs w:val="24"/>
          <w:lang w:eastAsia="zh-CN"/>
        </w:rPr>
        <w:t>确保</w:t>
      </w:r>
      <w:r w:rsidR="00F33088" w:rsidRPr="0065618D">
        <w:rPr>
          <w:rFonts w:hint="eastAsia"/>
          <w:szCs w:val="24"/>
          <w:lang w:eastAsia="zh-CN"/>
        </w:rPr>
        <w:t>知道</w:t>
      </w:r>
      <w:r w:rsidR="000E2536" w:rsidRPr="0065618D">
        <w:rPr>
          <w:rFonts w:hint="eastAsia"/>
          <w:szCs w:val="24"/>
          <w:lang w:eastAsia="zh-CN"/>
        </w:rPr>
        <w:t>价格</w:t>
      </w:r>
      <w:r w:rsidR="00F33088" w:rsidRPr="0065618D">
        <w:rPr>
          <w:rFonts w:hint="eastAsia"/>
          <w:szCs w:val="24"/>
          <w:lang w:eastAsia="zh-CN"/>
        </w:rPr>
        <w:t>后</w:t>
      </w:r>
      <w:r w:rsidR="000E2536" w:rsidRPr="0065618D">
        <w:rPr>
          <w:rFonts w:hint="eastAsia"/>
          <w:szCs w:val="24"/>
          <w:lang w:eastAsia="zh-CN"/>
        </w:rPr>
        <w:t>不会</w:t>
      </w:r>
      <w:r w:rsidR="00F33088" w:rsidRPr="0065618D">
        <w:rPr>
          <w:rFonts w:hint="eastAsia"/>
          <w:szCs w:val="24"/>
          <w:lang w:eastAsia="zh-CN"/>
        </w:rPr>
        <w:t>为</w:t>
      </w:r>
      <w:r w:rsidR="000E2536" w:rsidRPr="0065618D">
        <w:rPr>
          <w:rFonts w:hint="eastAsia"/>
          <w:szCs w:val="24"/>
          <w:lang w:eastAsia="zh-CN"/>
        </w:rPr>
        <w:t>技术</w:t>
      </w:r>
      <w:r w:rsidR="00F33088" w:rsidRPr="0065618D">
        <w:rPr>
          <w:rFonts w:hint="eastAsia"/>
          <w:szCs w:val="24"/>
          <w:lang w:eastAsia="zh-CN"/>
        </w:rPr>
        <w:t>投标</w:t>
      </w:r>
      <w:r w:rsidR="000E2536" w:rsidRPr="0065618D">
        <w:rPr>
          <w:rFonts w:hint="eastAsia"/>
          <w:szCs w:val="24"/>
          <w:lang w:eastAsia="zh-CN"/>
        </w:rPr>
        <w:t>的评估</w:t>
      </w:r>
      <w:r w:rsidR="00F33088" w:rsidRPr="0065618D">
        <w:rPr>
          <w:rFonts w:hint="eastAsia"/>
          <w:szCs w:val="24"/>
          <w:lang w:eastAsia="zh-CN"/>
        </w:rPr>
        <w:t>带来不当影响。</w:t>
      </w:r>
    </w:p>
    <w:p w:rsidR="000E2536" w:rsidRPr="0065618D" w:rsidRDefault="00891EA0" w:rsidP="00FC53A0">
      <w:pPr>
        <w:rPr>
          <w:szCs w:val="24"/>
          <w:lang w:val="en-US" w:eastAsia="zh-CN"/>
        </w:rPr>
      </w:pPr>
      <w:r w:rsidRPr="0065618D">
        <w:rPr>
          <w:rFonts w:hint="eastAsia"/>
          <w:szCs w:val="24"/>
          <w:lang w:val="en-US" w:eastAsia="zh-CN"/>
        </w:rPr>
        <w:t>6</w:t>
      </w:r>
      <w:r w:rsidRPr="0065618D">
        <w:rPr>
          <w:szCs w:val="24"/>
          <w:lang w:val="en-US" w:eastAsia="zh-CN"/>
        </w:rPr>
        <w:tab/>
      </w:r>
      <w:r w:rsidR="000E2536" w:rsidRPr="0065618D">
        <w:rPr>
          <w:rFonts w:hint="eastAsia"/>
          <w:szCs w:val="24"/>
          <w:lang w:val="en-US" w:eastAsia="zh-CN"/>
        </w:rPr>
        <w:t>截至</w:t>
      </w:r>
      <w:r w:rsidR="00F33088" w:rsidRPr="0065618D">
        <w:rPr>
          <w:rFonts w:hint="eastAsia"/>
          <w:szCs w:val="24"/>
          <w:lang w:val="en-US" w:eastAsia="zh-CN"/>
        </w:rPr>
        <w:t>该</w:t>
      </w:r>
      <w:r w:rsidR="000E2536" w:rsidRPr="0065618D">
        <w:rPr>
          <w:rFonts w:hint="eastAsia"/>
          <w:szCs w:val="24"/>
          <w:lang w:val="en-US" w:eastAsia="zh-CN"/>
        </w:rPr>
        <w:t>截止日期，</w:t>
      </w:r>
      <w:r w:rsidR="00F33088" w:rsidRPr="0065618D">
        <w:rPr>
          <w:rFonts w:hint="eastAsia"/>
          <w:szCs w:val="24"/>
          <w:lang w:val="en-US" w:eastAsia="zh-CN"/>
        </w:rPr>
        <w:t>有</w:t>
      </w:r>
      <w:r w:rsidR="000E2536" w:rsidRPr="0065618D">
        <w:rPr>
          <w:rFonts w:hint="eastAsia"/>
          <w:szCs w:val="24"/>
          <w:lang w:val="en-US" w:eastAsia="zh-CN"/>
        </w:rPr>
        <w:t>两</w:t>
      </w:r>
      <w:r w:rsidR="00F33088" w:rsidRPr="0065618D">
        <w:rPr>
          <w:rFonts w:hint="eastAsia"/>
          <w:szCs w:val="24"/>
          <w:lang w:val="en-US" w:eastAsia="zh-CN"/>
        </w:rPr>
        <w:t>家</w:t>
      </w:r>
      <w:r w:rsidR="000E2536" w:rsidRPr="0065618D">
        <w:rPr>
          <w:rFonts w:hint="eastAsia"/>
          <w:szCs w:val="24"/>
          <w:lang w:val="en-US" w:eastAsia="zh-CN"/>
        </w:rPr>
        <w:t>最高审计</w:t>
      </w:r>
      <w:r w:rsidR="00F33088" w:rsidRPr="0065618D">
        <w:rPr>
          <w:rFonts w:hint="eastAsia"/>
          <w:szCs w:val="24"/>
          <w:lang w:val="en-US" w:eastAsia="zh-CN"/>
        </w:rPr>
        <w:t>机构</w:t>
      </w:r>
      <w:r w:rsidR="000E2536" w:rsidRPr="0065618D">
        <w:rPr>
          <w:rFonts w:hint="eastAsia"/>
          <w:szCs w:val="24"/>
          <w:lang w:val="en-US" w:eastAsia="zh-CN"/>
        </w:rPr>
        <w:t>提交了</w:t>
      </w:r>
      <w:r w:rsidR="00F33088" w:rsidRPr="0065618D">
        <w:rPr>
          <w:rFonts w:hint="eastAsia"/>
          <w:szCs w:val="24"/>
          <w:lang w:val="en-US" w:eastAsia="zh-CN"/>
        </w:rPr>
        <w:t>标书</w:t>
      </w:r>
      <w:r w:rsidR="000E2536" w:rsidRPr="0065618D">
        <w:rPr>
          <w:rFonts w:hint="eastAsia"/>
          <w:szCs w:val="24"/>
          <w:lang w:val="en-US" w:eastAsia="zh-CN"/>
        </w:rPr>
        <w:t>。国际电联采购</w:t>
      </w:r>
      <w:r w:rsidR="00F33088" w:rsidRPr="0065618D">
        <w:rPr>
          <w:rFonts w:hint="eastAsia"/>
          <w:szCs w:val="24"/>
          <w:lang w:val="en-US" w:eastAsia="zh-CN"/>
        </w:rPr>
        <w:t>处</w:t>
      </w:r>
      <w:r w:rsidR="00160A0C">
        <w:rPr>
          <w:rFonts w:hint="eastAsia"/>
          <w:szCs w:val="24"/>
          <w:lang w:val="en-US" w:eastAsia="zh-CN"/>
        </w:rPr>
        <w:t>打开技术信封后</w:t>
      </w:r>
      <w:r w:rsidR="000E2536" w:rsidRPr="0065618D">
        <w:rPr>
          <w:rFonts w:hint="eastAsia"/>
          <w:szCs w:val="24"/>
          <w:lang w:val="en-US" w:eastAsia="zh-CN"/>
        </w:rPr>
        <w:t>发现</w:t>
      </w:r>
      <w:r w:rsidR="00160A0C">
        <w:rPr>
          <w:rFonts w:hint="eastAsia"/>
          <w:szCs w:val="24"/>
          <w:lang w:val="en-US" w:eastAsia="zh-CN"/>
        </w:rPr>
        <w:t>，</w:t>
      </w:r>
      <w:r w:rsidR="000E2536" w:rsidRPr="0065618D">
        <w:rPr>
          <w:rFonts w:hint="eastAsia"/>
          <w:szCs w:val="24"/>
          <w:lang w:val="en-US" w:eastAsia="zh-CN"/>
        </w:rPr>
        <w:t>一</w:t>
      </w:r>
      <w:r w:rsidR="00F33088" w:rsidRPr="0065618D">
        <w:rPr>
          <w:rFonts w:hint="eastAsia"/>
          <w:szCs w:val="24"/>
          <w:lang w:val="en-US" w:eastAsia="zh-CN"/>
        </w:rPr>
        <w:t>家</w:t>
      </w:r>
      <w:r w:rsidR="000E2536" w:rsidRPr="0065618D">
        <w:rPr>
          <w:rFonts w:hint="eastAsia"/>
          <w:szCs w:val="24"/>
          <w:lang w:val="en-US" w:eastAsia="zh-CN"/>
        </w:rPr>
        <w:t>最高审计</w:t>
      </w:r>
      <w:r w:rsidR="00F33088" w:rsidRPr="0065618D">
        <w:rPr>
          <w:rFonts w:hint="eastAsia"/>
          <w:szCs w:val="24"/>
          <w:lang w:val="en-US" w:eastAsia="zh-CN"/>
        </w:rPr>
        <w:t>机构并未</w:t>
      </w:r>
      <w:r w:rsidR="000E2536" w:rsidRPr="0065618D">
        <w:rPr>
          <w:rFonts w:hint="eastAsia"/>
          <w:szCs w:val="24"/>
          <w:lang w:val="en-US" w:eastAsia="zh-CN"/>
        </w:rPr>
        <w:t>遵守正式</w:t>
      </w:r>
      <w:r w:rsidR="00F33088" w:rsidRPr="0065618D">
        <w:rPr>
          <w:rFonts w:hint="eastAsia"/>
          <w:szCs w:val="24"/>
          <w:lang w:val="en-US" w:eastAsia="zh-CN"/>
        </w:rPr>
        <w:t>的投标</w:t>
      </w:r>
      <w:r w:rsidR="000E2536" w:rsidRPr="0065618D">
        <w:rPr>
          <w:rFonts w:hint="eastAsia"/>
          <w:szCs w:val="24"/>
          <w:lang w:val="en-US" w:eastAsia="zh-CN"/>
        </w:rPr>
        <w:t>要求，因为它在技术信封中包含</w:t>
      </w:r>
      <w:r w:rsidR="00703F39">
        <w:rPr>
          <w:rFonts w:hint="eastAsia"/>
          <w:szCs w:val="24"/>
          <w:lang w:val="en-US" w:eastAsia="zh-CN"/>
        </w:rPr>
        <w:t>了</w:t>
      </w:r>
      <w:r w:rsidR="000E2536" w:rsidRPr="0065618D">
        <w:rPr>
          <w:rFonts w:hint="eastAsia"/>
          <w:szCs w:val="24"/>
          <w:lang w:val="en-US" w:eastAsia="zh-CN"/>
        </w:rPr>
        <w:t>财务信息。这与招标书第</w:t>
      </w:r>
      <w:r w:rsidR="000E2536" w:rsidRPr="0065618D">
        <w:rPr>
          <w:rFonts w:hint="eastAsia"/>
          <w:szCs w:val="24"/>
          <w:lang w:val="en-US" w:eastAsia="zh-CN"/>
        </w:rPr>
        <w:t>4.1.1</w:t>
      </w:r>
      <w:r w:rsidR="000E2536" w:rsidRPr="0065618D">
        <w:rPr>
          <w:rFonts w:hint="eastAsia"/>
          <w:szCs w:val="24"/>
          <w:lang w:val="en-US" w:eastAsia="zh-CN"/>
        </w:rPr>
        <w:t>节中概述的正式</w:t>
      </w:r>
      <w:r w:rsidR="00097FD0" w:rsidRPr="0065618D">
        <w:rPr>
          <w:rFonts w:hint="eastAsia"/>
          <w:szCs w:val="24"/>
          <w:lang w:val="en-US" w:eastAsia="zh-CN"/>
        </w:rPr>
        <w:t>投标</w:t>
      </w:r>
      <w:r w:rsidR="000E2536" w:rsidRPr="0065618D">
        <w:rPr>
          <w:rFonts w:hint="eastAsia"/>
          <w:szCs w:val="24"/>
          <w:lang w:val="en-US" w:eastAsia="zh-CN"/>
        </w:rPr>
        <w:t>要求相矛盾，该节规定</w:t>
      </w:r>
      <w:r w:rsidR="000E2536" w:rsidRPr="0065618D">
        <w:rPr>
          <w:rFonts w:hint="eastAsia"/>
          <w:szCs w:val="24"/>
          <w:lang w:val="en-US" w:eastAsia="zh-CN"/>
        </w:rPr>
        <w:lastRenderedPageBreak/>
        <w:t>“</w:t>
      </w:r>
      <w:r w:rsidR="000E2536" w:rsidRPr="0065618D">
        <w:rPr>
          <w:rFonts w:ascii="STKaiti" w:eastAsia="STKaiti" w:hAnsi="STKaiti" w:hint="eastAsia"/>
          <w:szCs w:val="24"/>
          <w:lang w:val="en-US" w:eastAsia="zh-CN"/>
        </w:rPr>
        <w:t>技术</w:t>
      </w:r>
      <w:r w:rsidR="00097FD0" w:rsidRPr="0065618D">
        <w:rPr>
          <w:rFonts w:ascii="STKaiti" w:eastAsia="STKaiti" w:hAnsi="STKaiti" w:hint="eastAsia"/>
          <w:szCs w:val="24"/>
          <w:lang w:val="en-US" w:eastAsia="zh-CN"/>
        </w:rPr>
        <w:t>标书</w:t>
      </w:r>
      <w:r w:rsidR="000E2536" w:rsidRPr="0065618D">
        <w:rPr>
          <w:rFonts w:ascii="STKaiti" w:eastAsia="STKaiti" w:hAnsi="STKaiti" w:hint="eastAsia"/>
          <w:szCs w:val="24"/>
          <w:lang w:val="en-US" w:eastAsia="zh-CN"/>
        </w:rPr>
        <w:t>中不得包含任何商业信息或价格。不遵守这一</w:t>
      </w:r>
      <w:r w:rsidR="00097FD0" w:rsidRPr="0065618D">
        <w:rPr>
          <w:rFonts w:ascii="STKaiti" w:eastAsia="STKaiti" w:hAnsi="STKaiti" w:hint="eastAsia"/>
          <w:szCs w:val="24"/>
          <w:lang w:val="en-US" w:eastAsia="zh-CN"/>
        </w:rPr>
        <w:t>规定</w:t>
      </w:r>
      <w:r w:rsidR="000E2536" w:rsidRPr="0065618D">
        <w:rPr>
          <w:rFonts w:ascii="STKaiti" w:eastAsia="STKaiti" w:hAnsi="STKaiti" w:hint="eastAsia"/>
          <w:szCs w:val="24"/>
          <w:lang w:val="en-US" w:eastAsia="zh-CN"/>
        </w:rPr>
        <w:t>将</w:t>
      </w:r>
      <w:r w:rsidR="00097FD0" w:rsidRPr="0065618D">
        <w:rPr>
          <w:rFonts w:ascii="STKaiti" w:eastAsia="STKaiti" w:hAnsi="STKaiti" w:hint="eastAsia"/>
          <w:szCs w:val="24"/>
          <w:lang w:val="en-US" w:eastAsia="zh-CN"/>
        </w:rPr>
        <w:t>失去投标</w:t>
      </w:r>
      <w:r w:rsidR="000E2536" w:rsidRPr="0065618D">
        <w:rPr>
          <w:rFonts w:ascii="STKaiti" w:eastAsia="STKaiti" w:hAnsi="STKaiti" w:hint="eastAsia"/>
          <w:szCs w:val="24"/>
          <w:lang w:val="en-US" w:eastAsia="zh-CN"/>
        </w:rPr>
        <w:t>资格</w:t>
      </w:r>
      <w:r w:rsidRPr="0065618D">
        <w:rPr>
          <w:rFonts w:ascii="STKaiti" w:eastAsia="STKaiti" w:hAnsi="STKaiti" w:hint="eastAsia"/>
          <w:szCs w:val="24"/>
          <w:lang w:val="en-US" w:eastAsia="zh-CN"/>
        </w:rPr>
        <w:t>。</w:t>
      </w:r>
      <w:r w:rsidR="000E2536" w:rsidRPr="0065618D">
        <w:rPr>
          <w:rFonts w:hint="eastAsia"/>
          <w:szCs w:val="24"/>
          <w:lang w:val="en-US" w:eastAsia="zh-CN"/>
        </w:rPr>
        <w:t>”另一</w:t>
      </w:r>
      <w:r w:rsidR="00097FD0" w:rsidRPr="0065618D">
        <w:rPr>
          <w:rFonts w:hint="eastAsia"/>
          <w:szCs w:val="24"/>
          <w:lang w:val="en-US" w:eastAsia="zh-CN"/>
        </w:rPr>
        <w:t>家</w:t>
      </w:r>
      <w:r w:rsidR="000E2536" w:rsidRPr="0065618D">
        <w:rPr>
          <w:rFonts w:hint="eastAsia"/>
          <w:szCs w:val="24"/>
          <w:lang w:val="en-US" w:eastAsia="zh-CN"/>
        </w:rPr>
        <w:t>最高审计</w:t>
      </w:r>
      <w:r w:rsidR="00097FD0" w:rsidRPr="0065618D">
        <w:rPr>
          <w:rFonts w:hint="eastAsia"/>
          <w:szCs w:val="24"/>
          <w:lang w:val="en-US" w:eastAsia="zh-CN"/>
        </w:rPr>
        <w:t>机构</w:t>
      </w:r>
      <w:r w:rsidR="000E2536" w:rsidRPr="0065618D">
        <w:rPr>
          <w:rFonts w:hint="eastAsia"/>
          <w:szCs w:val="24"/>
          <w:lang w:val="en-US" w:eastAsia="zh-CN"/>
        </w:rPr>
        <w:t>符合正式</w:t>
      </w:r>
      <w:r w:rsidR="00097FD0" w:rsidRPr="0065618D">
        <w:rPr>
          <w:rFonts w:hint="eastAsia"/>
          <w:szCs w:val="24"/>
          <w:lang w:val="en-US" w:eastAsia="zh-CN"/>
        </w:rPr>
        <w:t>的投标</w:t>
      </w:r>
      <w:r w:rsidR="000E2536" w:rsidRPr="0065618D">
        <w:rPr>
          <w:rFonts w:hint="eastAsia"/>
          <w:szCs w:val="24"/>
          <w:lang w:val="en-US" w:eastAsia="zh-CN"/>
        </w:rPr>
        <w:t>要求。</w:t>
      </w:r>
    </w:p>
    <w:p w:rsidR="000E2536" w:rsidRPr="0065618D" w:rsidRDefault="0006703B" w:rsidP="0006703B">
      <w:pPr>
        <w:rPr>
          <w:szCs w:val="24"/>
          <w:lang w:val="en-US" w:eastAsia="zh-CN"/>
        </w:rPr>
      </w:pPr>
      <w:r w:rsidRPr="0065618D">
        <w:rPr>
          <w:rFonts w:hint="eastAsia"/>
          <w:szCs w:val="24"/>
          <w:lang w:val="en-US" w:eastAsia="zh-CN"/>
        </w:rPr>
        <w:t>7</w:t>
      </w:r>
      <w:r w:rsidRPr="0065618D">
        <w:rPr>
          <w:szCs w:val="24"/>
          <w:lang w:val="en-US" w:eastAsia="zh-CN"/>
        </w:rPr>
        <w:tab/>
      </w:r>
      <w:r w:rsidR="000E2536" w:rsidRPr="0065618D">
        <w:rPr>
          <w:rFonts w:hint="eastAsia"/>
          <w:szCs w:val="24"/>
          <w:lang w:val="en-US" w:eastAsia="zh-CN"/>
        </w:rPr>
        <w:t>秘书处将此问题提交给评估委员会，委员会仔细审议了该问题，</w:t>
      </w:r>
      <w:r w:rsidR="000576A2" w:rsidRPr="0065618D">
        <w:rPr>
          <w:rFonts w:hint="eastAsia"/>
          <w:szCs w:val="24"/>
          <w:lang w:val="en-US" w:eastAsia="zh-CN"/>
        </w:rPr>
        <w:t>就如何解决一项投标符合正式要求而另一投标不符合这一问题的最佳方案与</w:t>
      </w:r>
      <w:r w:rsidR="000E2536" w:rsidRPr="0065618D">
        <w:rPr>
          <w:rFonts w:hint="eastAsia"/>
          <w:szCs w:val="24"/>
          <w:lang w:val="en-US" w:eastAsia="zh-CN"/>
        </w:rPr>
        <w:t>国际电联采购</w:t>
      </w:r>
      <w:r w:rsidR="000576A2" w:rsidRPr="0065618D">
        <w:rPr>
          <w:rFonts w:hint="eastAsia"/>
          <w:szCs w:val="24"/>
          <w:lang w:val="en-US" w:eastAsia="zh-CN"/>
        </w:rPr>
        <w:t>处</w:t>
      </w:r>
      <w:r w:rsidR="000E2536" w:rsidRPr="0065618D">
        <w:rPr>
          <w:rFonts w:hint="eastAsia"/>
          <w:szCs w:val="24"/>
          <w:lang w:val="en-US" w:eastAsia="zh-CN"/>
        </w:rPr>
        <w:t>及</w:t>
      </w:r>
      <w:r w:rsidR="000576A2" w:rsidRPr="0065618D">
        <w:rPr>
          <w:rFonts w:hint="eastAsia"/>
          <w:szCs w:val="24"/>
          <w:lang w:val="en-US" w:eastAsia="zh-CN"/>
        </w:rPr>
        <w:t>I</w:t>
      </w:r>
      <w:r w:rsidR="000576A2" w:rsidRPr="0065618D">
        <w:rPr>
          <w:szCs w:val="24"/>
          <w:lang w:val="en-US" w:eastAsia="zh-CN"/>
        </w:rPr>
        <w:t>MAC</w:t>
      </w:r>
      <w:r w:rsidR="000E2536" w:rsidRPr="0065618D">
        <w:rPr>
          <w:rFonts w:hint="eastAsia"/>
          <w:szCs w:val="24"/>
          <w:lang w:val="en-US" w:eastAsia="zh-CN"/>
        </w:rPr>
        <w:t>主席</w:t>
      </w:r>
      <w:r w:rsidR="000576A2" w:rsidRPr="0065618D">
        <w:rPr>
          <w:rFonts w:hint="eastAsia"/>
          <w:szCs w:val="24"/>
          <w:lang w:val="en-US" w:eastAsia="zh-CN"/>
        </w:rPr>
        <w:t>进行了</w:t>
      </w:r>
      <w:r w:rsidR="000E2536" w:rsidRPr="0065618D">
        <w:rPr>
          <w:rFonts w:hint="eastAsia"/>
          <w:szCs w:val="24"/>
          <w:lang w:val="en-US" w:eastAsia="zh-CN"/>
        </w:rPr>
        <w:t>澄清。应当指出，评估委员会从未收到技术</w:t>
      </w:r>
      <w:r w:rsidR="000576A2" w:rsidRPr="0065618D">
        <w:rPr>
          <w:rFonts w:hint="eastAsia"/>
          <w:szCs w:val="24"/>
          <w:lang w:val="en-US" w:eastAsia="zh-CN"/>
        </w:rPr>
        <w:t>标书</w:t>
      </w:r>
      <w:r w:rsidR="000E2536" w:rsidRPr="0065618D">
        <w:rPr>
          <w:rFonts w:hint="eastAsia"/>
          <w:szCs w:val="24"/>
          <w:lang w:val="en-US" w:eastAsia="zh-CN"/>
        </w:rPr>
        <w:t>，因此</w:t>
      </w:r>
      <w:r w:rsidR="000576A2" w:rsidRPr="0065618D">
        <w:rPr>
          <w:rFonts w:hint="eastAsia"/>
          <w:szCs w:val="24"/>
          <w:lang w:val="en-US" w:eastAsia="zh-CN"/>
        </w:rPr>
        <w:t>亦</w:t>
      </w:r>
      <w:r w:rsidR="000E2536" w:rsidRPr="0065618D">
        <w:rPr>
          <w:rFonts w:hint="eastAsia"/>
          <w:szCs w:val="24"/>
          <w:lang w:val="en-US" w:eastAsia="zh-CN"/>
        </w:rPr>
        <w:t>从未审查过</w:t>
      </w:r>
      <w:r w:rsidR="000576A2" w:rsidRPr="0065618D">
        <w:rPr>
          <w:rFonts w:hint="eastAsia"/>
          <w:szCs w:val="24"/>
          <w:lang w:val="en-US" w:eastAsia="zh-CN"/>
        </w:rPr>
        <w:t>标书</w:t>
      </w:r>
      <w:r w:rsidR="000E2536" w:rsidRPr="0065618D">
        <w:rPr>
          <w:rFonts w:hint="eastAsia"/>
          <w:szCs w:val="24"/>
          <w:lang w:val="en-US" w:eastAsia="zh-CN"/>
        </w:rPr>
        <w:t>的内容。</w:t>
      </w:r>
    </w:p>
    <w:p w:rsidR="0095140F" w:rsidRPr="0065618D" w:rsidRDefault="0006703B" w:rsidP="0006703B">
      <w:pPr>
        <w:rPr>
          <w:szCs w:val="24"/>
          <w:lang w:eastAsia="zh-CN"/>
        </w:rPr>
      </w:pPr>
      <w:r w:rsidRPr="0065618D">
        <w:rPr>
          <w:rFonts w:hint="eastAsia"/>
          <w:szCs w:val="24"/>
          <w:lang w:val="en-US" w:eastAsia="zh-CN"/>
        </w:rPr>
        <w:t>8</w:t>
      </w:r>
      <w:r w:rsidRPr="0065618D">
        <w:rPr>
          <w:szCs w:val="24"/>
          <w:lang w:val="en-US" w:eastAsia="zh-CN"/>
        </w:rPr>
        <w:tab/>
      </w:r>
      <w:r w:rsidR="00207732" w:rsidRPr="0065618D">
        <w:rPr>
          <w:rFonts w:hint="eastAsia"/>
          <w:szCs w:val="24"/>
          <w:lang w:val="en-US" w:eastAsia="zh-CN"/>
        </w:rPr>
        <w:t>I</w:t>
      </w:r>
      <w:r w:rsidR="00207732" w:rsidRPr="0065618D">
        <w:rPr>
          <w:szCs w:val="24"/>
          <w:lang w:val="en-US" w:eastAsia="zh-CN"/>
        </w:rPr>
        <w:t>MAC</w:t>
      </w:r>
      <w:r w:rsidR="000E2536" w:rsidRPr="0065618D">
        <w:rPr>
          <w:rFonts w:hint="eastAsia"/>
          <w:szCs w:val="24"/>
          <w:lang w:val="en-US" w:eastAsia="zh-CN"/>
        </w:rPr>
        <w:t>主席进一步考虑了</w:t>
      </w:r>
      <w:r w:rsidR="000931E1" w:rsidRPr="0065618D">
        <w:rPr>
          <w:rFonts w:hint="eastAsia"/>
          <w:szCs w:val="24"/>
          <w:lang w:val="en-US" w:eastAsia="zh-CN"/>
        </w:rPr>
        <w:t>对</w:t>
      </w:r>
      <w:r w:rsidR="000E2536" w:rsidRPr="0065618D">
        <w:rPr>
          <w:rFonts w:hint="eastAsia"/>
          <w:szCs w:val="24"/>
          <w:lang w:val="en-US" w:eastAsia="zh-CN"/>
        </w:rPr>
        <w:t>一个以上的</w:t>
      </w:r>
      <w:r w:rsidR="00207732" w:rsidRPr="0065618D">
        <w:rPr>
          <w:rFonts w:hint="eastAsia"/>
          <w:szCs w:val="24"/>
          <w:lang w:val="en-US" w:eastAsia="zh-CN"/>
        </w:rPr>
        <w:t>投标</w:t>
      </w:r>
      <w:r w:rsidR="000931E1" w:rsidRPr="0065618D">
        <w:rPr>
          <w:rFonts w:hint="eastAsia"/>
          <w:szCs w:val="24"/>
          <w:lang w:val="en-US" w:eastAsia="zh-CN"/>
        </w:rPr>
        <w:t>进行审查的</w:t>
      </w:r>
      <w:r w:rsidR="00207732" w:rsidRPr="0065618D">
        <w:rPr>
          <w:rFonts w:hint="eastAsia"/>
          <w:szCs w:val="24"/>
          <w:lang w:val="en-US" w:eastAsia="zh-CN"/>
        </w:rPr>
        <w:t>最佳做法</w:t>
      </w:r>
      <w:r w:rsidR="000E2536" w:rsidRPr="0065618D">
        <w:rPr>
          <w:rFonts w:hint="eastAsia"/>
          <w:szCs w:val="24"/>
          <w:lang w:val="en-US" w:eastAsia="zh-CN"/>
        </w:rPr>
        <w:t>，以便实现竞争，并</w:t>
      </w:r>
      <w:r w:rsidR="000931E1" w:rsidRPr="0065618D">
        <w:rPr>
          <w:rFonts w:hint="eastAsia"/>
          <w:szCs w:val="24"/>
          <w:lang w:val="en-US" w:eastAsia="zh-CN"/>
        </w:rPr>
        <w:t>降低</w:t>
      </w:r>
      <w:r w:rsidR="000E2536" w:rsidRPr="0065618D">
        <w:rPr>
          <w:rFonts w:hint="eastAsia"/>
          <w:szCs w:val="24"/>
          <w:lang w:val="en-US" w:eastAsia="zh-CN"/>
        </w:rPr>
        <w:t>在唯一的</w:t>
      </w:r>
      <w:r w:rsidR="000931E1" w:rsidRPr="0065618D">
        <w:rPr>
          <w:rFonts w:hint="eastAsia"/>
          <w:szCs w:val="24"/>
          <w:lang w:val="en-US" w:eastAsia="zh-CN"/>
        </w:rPr>
        <w:t>投标</w:t>
      </w:r>
      <w:r w:rsidR="000E2536" w:rsidRPr="0065618D">
        <w:rPr>
          <w:rFonts w:hint="eastAsia"/>
          <w:szCs w:val="24"/>
          <w:lang w:val="en-US" w:eastAsia="zh-CN"/>
        </w:rPr>
        <w:t>不符合招标要求的情况下没有可行</w:t>
      </w:r>
      <w:r w:rsidR="000931E1" w:rsidRPr="0065618D">
        <w:rPr>
          <w:rFonts w:hint="eastAsia"/>
          <w:szCs w:val="24"/>
          <w:lang w:val="en-US" w:eastAsia="zh-CN"/>
        </w:rPr>
        <w:t>投标</w:t>
      </w:r>
      <w:r w:rsidR="000E2536" w:rsidRPr="0065618D">
        <w:rPr>
          <w:rFonts w:hint="eastAsia"/>
          <w:szCs w:val="24"/>
          <w:lang w:val="en-US" w:eastAsia="zh-CN"/>
        </w:rPr>
        <w:t>的风险。</w:t>
      </w:r>
    </w:p>
    <w:p w:rsidR="0095140F" w:rsidRPr="0065618D" w:rsidRDefault="000931E1" w:rsidP="0006703B">
      <w:pPr>
        <w:pStyle w:val="Headingb"/>
        <w:rPr>
          <w:szCs w:val="24"/>
          <w:lang w:eastAsia="zh-CN"/>
        </w:rPr>
      </w:pPr>
      <w:r w:rsidRPr="0065618D">
        <w:rPr>
          <w:szCs w:val="24"/>
          <w:lang w:eastAsia="zh-CN"/>
        </w:rPr>
        <w:t>决策过程</w:t>
      </w:r>
    </w:p>
    <w:p w:rsidR="000E2536" w:rsidRPr="0065618D" w:rsidRDefault="0006703B" w:rsidP="0006703B">
      <w:pPr>
        <w:rPr>
          <w:szCs w:val="24"/>
          <w:lang w:val="en-US" w:eastAsia="zh-CN"/>
        </w:rPr>
      </w:pPr>
      <w:r w:rsidRPr="0065618D">
        <w:rPr>
          <w:rFonts w:hint="eastAsia"/>
          <w:szCs w:val="24"/>
          <w:lang w:val="en-US" w:eastAsia="zh-CN"/>
        </w:rPr>
        <w:t>9</w:t>
      </w:r>
      <w:r w:rsidRPr="0065618D">
        <w:rPr>
          <w:szCs w:val="24"/>
          <w:lang w:val="en-US" w:eastAsia="zh-CN"/>
        </w:rPr>
        <w:tab/>
      </w:r>
      <w:r w:rsidR="000E2536" w:rsidRPr="0065618D">
        <w:rPr>
          <w:rFonts w:hint="eastAsia"/>
          <w:szCs w:val="24"/>
          <w:lang w:val="en-US" w:eastAsia="zh-CN"/>
        </w:rPr>
        <w:t>评估委员会在事实上或表面上的公正性和客观性在整个过程中从未受到质疑，提交委员会通过的最后</w:t>
      </w:r>
      <w:r w:rsidR="006B6F36" w:rsidRPr="0065618D">
        <w:rPr>
          <w:rFonts w:hint="eastAsia"/>
          <w:szCs w:val="24"/>
          <w:lang w:val="en-US" w:eastAsia="zh-CN"/>
        </w:rPr>
        <w:t>方案</w:t>
      </w:r>
      <w:r w:rsidR="000E2536" w:rsidRPr="0065618D">
        <w:rPr>
          <w:rFonts w:hint="eastAsia"/>
          <w:szCs w:val="24"/>
          <w:lang w:val="en-US" w:eastAsia="zh-CN"/>
        </w:rPr>
        <w:t>如下：</w:t>
      </w:r>
    </w:p>
    <w:p w:rsidR="000E2536" w:rsidRPr="0065618D" w:rsidRDefault="0006703B" w:rsidP="0006703B">
      <w:pPr>
        <w:pStyle w:val="enumlev1"/>
        <w:rPr>
          <w:szCs w:val="24"/>
          <w:lang w:val="en-US" w:eastAsia="zh-CN"/>
        </w:rPr>
      </w:pPr>
      <w:r w:rsidRPr="0065618D">
        <w:rPr>
          <w:rFonts w:hint="eastAsia"/>
          <w:szCs w:val="24"/>
          <w:lang w:val="en-US" w:eastAsia="zh-CN"/>
        </w:rPr>
        <w:t>i</w:t>
      </w:r>
      <w:r w:rsidRPr="0065618D">
        <w:rPr>
          <w:szCs w:val="24"/>
          <w:lang w:val="en-US" w:eastAsia="zh-CN"/>
        </w:rPr>
        <w:t>)</w:t>
      </w:r>
      <w:r w:rsidRPr="0065618D">
        <w:rPr>
          <w:szCs w:val="24"/>
          <w:lang w:val="en-US" w:eastAsia="zh-CN"/>
        </w:rPr>
        <w:tab/>
      </w:r>
      <w:r w:rsidR="000E2536" w:rsidRPr="0065618D">
        <w:rPr>
          <w:rFonts w:hint="eastAsia"/>
          <w:szCs w:val="24"/>
          <w:lang w:val="en-US" w:eastAsia="zh-CN"/>
        </w:rPr>
        <w:t>着手评估提交时符合</w:t>
      </w:r>
      <w:r w:rsidR="006B6F36" w:rsidRPr="0065618D">
        <w:rPr>
          <w:rFonts w:hint="eastAsia"/>
          <w:szCs w:val="24"/>
          <w:lang w:val="en-US" w:eastAsia="zh-CN"/>
        </w:rPr>
        <w:t>要求</w:t>
      </w:r>
      <w:r w:rsidR="00BD104A">
        <w:rPr>
          <w:rFonts w:hint="eastAsia"/>
          <w:szCs w:val="24"/>
          <w:lang w:val="en-US" w:eastAsia="zh-CN"/>
        </w:rPr>
        <w:t>的</w:t>
      </w:r>
      <w:r w:rsidR="000E2536" w:rsidRPr="0065618D">
        <w:rPr>
          <w:rFonts w:hint="eastAsia"/>
          <w:szCs w:val="24"/>
          <w:lang w:val="en-US" w:eastAsia="zh-CN"/>
        </w:rPr>
        <w:t>一</w:t>
      </w:r>
      <w:r w:rsidR="006B6F36" w:rsidRPr="0065618D">
        <w:rPr>
          <w:rFonts w:hint="eastAsia"/>
          <w:szCs w:val="24"/>
          <w:lang w:val="en-US" w:eastAsia="zh-CN"/>
        </w:rPr>
        <w:t>项投标；</w:t>
      </w:r>
      <w:r w:rsidR="000E2536" w:rsidRPr="0065618D">
        <w:rPr>
          <w:rFonts w:hint="eastAsia"/>
          <w:szCs w:val="24"/>
          <w:lang w:val="en-US" w:eastAsia="zh-CN"/>
        </w:rPr>
        <w:t>或</w:t>
      </w:r>
    </w:p>
    <w:p w:rsidR="000E2536" w:rsidRPr="0065618D" w:rsidRDefault="0006703B" w:rsidP="0006703B">
      <w:pPr>
        <w:pStyle w:val="enumlev1"/>
        <w:rPr>
          <w:szCs w:val="24"/>
          <w:lang w:val="en-US" w:eastAsia="zh-CN"/>
        </w:rPr>
      </w:pPr>
      <w:r w:rsidRPr="0065618D">
        <w:rPr>
          <w:rFonts w:hint="eastAsia"/>
          <w:szCs w:val="24"/>
          <w:lang w:val="en-US" w:eastAsia="zh-CN"/>
        </w:rPr>
        <w:t>i</w:t>
      </w:r>
      <w:r w:rsidRPr="0065618D">
        <w:rPr>
          <w:szCs w:val="24"/>
          <w:lang w:val="en-US" w:eastAsia="zh-CN"/>
        </w:rPr>
        <w:t>i)</w:t>
      </w:r>
      <w:r w:rsidRPr="0065618D">
        <w:rPr>
          <w:szCs w:val="24"/>
          <w:lang w:val="en-US" w:eastAsia="zh-CN"/>
        </w:rPr>
        <w:tab/>
      </w:r>
      <w:r w:rsidR="000E2536" w:rsidRPr="0065618D">
        <w:rPr>
          <w:rFonts w:hint="eastAsia"/>
          <w:szCs w:val="24"/>
          <w:lang w:val="en-US" w:eastAsia="zh-CN"/>
        </w:rPr>
        <w:t>向理事会提出一项建议</w:t>
      </w:r>
      <w:r w:rsidR="006B6F36" w:rsidRPr="00DA5E5B">
        <w:rPr>
          <w:rStyle w:val="FootnoteReference"/>
          <w:szCs w:val="18"/>
        </w:rPr>
        <w:footnoteReference w:id="2"/>
      </w:r>
      <w:r w:rsidR="000E2536" w:rsidRPr="0065618D">
        <w:rPr>
          <w:rFonts w:hint="eastAsia"/>
          <w:szCs w:val="24"/>
          <w:lang w:val="en-US" w:eastAsia="zh-CN"/>
        </w:rPr>
        <w:t>，即在秘书处非正式接触现任</w:t>
      </w:r>
      <w:r w:rsidR="006B6F36" w:rsidRPr="0065618D">
        <w:rPr>
          <w:rFonts w:hint="eastAsia"/>
          <w:szCs w:val="24"/>
          <w:lang w:val="en-US" w:eastAsia="zh-CN"/>
        </w:rPr>
        <w:t>（</w:t>
      </w:r>
      <w:r w:rsidR="000E2536" w:rsidRPr="0065618D">
        <w:rPr>
          <w:rFonts w:hint="eastAsia"/>
          <w:szCs w:val="24"/>
          <w:lang w:val="en-US" w:eastAsia="zh-CN"/>
        </w:rPr>
        <w:t>意大利</w:t>
      </w:r>
      <w:r w:rsidR="006B6F36" w:rsidRPr="0065618D">
        <w:rPr>
          <w:rFonts w:hint="eastAsia"/>
          <w:szCs w:val="24"/>
          <w:lang w:val="en-US" w:eastAsia="zh-CN"/>
        </w:rPr>
        <w:t>）外部</w:t>
      </w:r>
      <w:r w:rsidR="000E2536" w:rsidRPr="0065618D">
        <w:rPr>
          <w:rFonts w:hint="eastAsia"/>
          <w:szCs w:val="24"/>
          <w:lang w:val="en-US" w:eastAsia="zh-CN"/>
        </w:rPr>
        <w:t>审计员</w:t>
      </w:r>
      <w:r w:rsidR="006B6F36" w:rsidRPr="0065618D">
        <w:rPr>
          <w:rFonts w:hint="eastAsia"/>
          <w:szCs w:val="24"/>
          <w:lang w:val="en-US" w:eastAsia="zh-CN"/>
        </w:rPr>
        <w:t>，</w:t>
      </w:r>
      <w:r w:rsidR="000E2536" w:rsidRPr="0065618D">
        <w:rPr>
          <w:rFonts w:hint="eastAsia"/>
          <w:szCs w:val="24"/>
          <w:lang w:val="en-US" w:eastAsia="zh-CN"/>
        </w:rPr>
        <w:t>以评估</w:t>
      </w:r>
      <w:r w:rsidR="006B6F36" w:rsidRPr="0065618D">
        <w:rPr>
          <w:rFonts w:hint="eastAsia"/>
          <w:szCs w:val="24"/>
          <w:lang w:val="en-US" w:eastAsia="zh-CN"/>
        </w:rPr>
        <w:t>它</w:t>
      </w:r>
      <w:r w:rsidR="000E2536" w:rsidRPr="0065618D">
        <w:rPr>
          <w:rFonts w:hint="eastAsia"/>
          <w:szCs w:val="24"/>
          <w:lang w:val="en-US" w:eastAsia="zh-CN"/>
        </w:rPr>
        <w:t>是否愿意接受理事会决定将</w:t>
      </w:r>
      <w:r w:rsidR="006B6F36" w:rsidRPr="0065618D">
        <w:rPr>
          <w:rFonts w:hint="eastAsia"/>
          <w:szCs w:val="24"/>
          <w:lang w:val="en-US" w:eastAsia="zh-CN"/>
        </w:rPr>
        <w:t>其</w:t>
      </w:r>
      <w:r w:rsidR="000E2536" w:rsidRPr="0065618D">
        <w:rPr>
          <w:rFonts w:hint="eastAsia"/>
          <w:szCs w:val="24"/>
          <w:lang w:val="en-US" w:eastAsia="zh-CN"/>
        </w:rPr>
        <w:t>任期再延长一段时间</w:t>
      </w:r>
      <w:r w:rsidR="006B6F36" w:rsidRPr="0065618D">
        <w:rPr>
          <w:rFonts w:hint="eastAsia"/>
          <w:szCs w:val="24"/>
          <w:lang w:val="en-US" w:eastAsia="zh-CN"/>
        </w:rPr>
        <w:t>（这一决定</w:t>
      </w:r>
      <w:r w:rsidR="000E2536" w:rsidRPr="0065618D">
        <w:rPr>
          <w:rFonts w:hint="eastAsia"/>
          <w:szCs w:val="24"/>
          <w:lang w:val="en-US" w:eastAsia="zh-CN"/>
        </w:rPr>
        <w:t>将由理事会</w:t>
      </w:r>
      <w:r w:rsidR="000E2536" w:rsidRPr="0065618D">
        <w:rPr>
          <w:rFonts w:hint="eastAsia"/>
          <w:szCs w:val="24"/>
          <w:lang w:val="en-US" w:eastAsia="zh-CN"/>
        </w:rPr>
        <w:t>2019</w:t>
      </w:r>
      <w:r w:rsidR="000E2536" w:rsidRPr="0065618D">
        <w:rPr>
          <w:rFonts w:hint="eastAsia"/>
          <w:szCs w:val="24"/>
          <w:lang w:val="en-US" w:eastAsia="zh-CN"/>
        </w:rPr>
        <w:t>年</w:t>
      </w:r>
      <w:r w:rsidR="006B6F36" w:rsidRPr="0065618D">
        <w:rPr>
          <w:rFonts w:hint="eastAsia"/>
          <w:szCs w:val="24"/>
          <w:lang w:val="en-US" w:eastAsia="zh-CN"/>
        </w:rPr>
        <w:t>会议</w:t>
      </w:r>
      <w:r w:rsidR="000E2536" w:rsidRPr="0065618D">
        <w:rPr>
          <w:rFonts w:hint="eastAsia"/>
          <w:szCs w:val="24"/>
          <w:lang w:val="en-US" w:eastAsia="zh-CN"/>
        </w:rPr>
        <w:t>通过</w:t>
      </w:r>
      <w:r w:rsidR="006B6F36" w:rsidRPr="0065618D">
        <w:rPr>
          <w:rFonts w:hint="eastAsia"/>
          <w:szCs w:val="24"/>
          <w:lang w:val="en-US" w:eastAsia="zh-CN"/>
        </w:rPr>
        <w:t>）</w:t>
      </w:r>
      <w:r w:rsidR="000E2536" w:rsidRPr="0065618D">
        <w:rPr>
          <w:rFonts w:hint="eastAsia"/>
          <w:szCs w:val="24"/>
          <w:lang w:val="en-US" w:eastAsia="zh-CN"/>
        </w:rPr>
        <w:t>的同时，重新开始这一进程，以扩大</w:t>
      </w:r>
      <w:r w:rsidR="006B6F36" w:rsidRPr="0065618D">
        <w:rPr>
          <w:rFonts w:hint="eastAsia"/>
          <w:szCs w:val="24"/>
          <w:lang w:val="en-US" w:eastAsia="zh-CN"/>
        </w:rPr>
        <w:t>邀标</w:t>
      </w:r>
      <w:r w:rsidR="000E2536" w:rsidRPr="0065618D">
        <w:rPr>
          <w:rFonts w:hint="eastAsia"/>
          <w:szCs w:val="24"/>
          <w:lang w:val="en-US" w:eastAsia="zh-CN"/>
        </w:rPr>
        <w:t>范围。</w:t>
      </w:r>
    </w:p>
    <w:p w:rsidR="000E2536" w:rsidRPr="000E2536" w:rsidRDefault="000E2536" w:rsidP="0006703B">
      <w:pPr>
        <w:ind w:firstLineChars="200" w:firstLine="480"/>
        <w:rPr>
          <w:lang w:val="en-US" w:eastAsia="zh-CN"/>
        </w:rPr>
      </w:pPr>
      <w:r w:rsidRPr="0065618D">
        <w:rPr>
          <w:rFonts w:hint="eastAsia"/>
          <w:szCs w:val="24"/>
          <w:lang w:val="en-US" w:eastAsia="zh-CN"/>
        </w:rPr>
        <w:t>评估委员会成员</w:t>
      </w:r>
      <w:r w:rsidR="006B6F36" w:rsidRPr="0065618D">
        <w:rPr>
          <w:rFonts w:hint="eastAsia"/>
          <w:szCs w:val="24"/>
          <w:lang w:val="en-US" w:eastAsia="zh-CN"/>
        </w:rPr>
        <w:t>相互磋商后，</w:t>
      </w:r>
      <w:r w:rsidRPr="0065618D">
        <w:rPr>
          <w:rFonts w:hint="eastAsia"/>
          <w:szCs w:val="24"/>
          <w:lang w:val="en-US" w:eastAsia="zh-CN"/>
        </w:rPr>
        <w:t>以协商一致</w:t>
      </w:r>
      <w:r w:rsidR="006B6F36" w:rsidRPr="0065618D">
        <w:rPr>
          <w:rFonts w:hint="eastAsia"/>
          <w:szCs w:val="24"/>
          <w:lang w:val="en-US" w:eastAsia="zh-CN"/>
        </w:rPr>
        <w:t>的</w:t>
      </w:r>
      <w:r w:rsidRPr="0065618D">
        <w:rPr>
          <w:rFonts w:hint="eastAsia"/>
          <w:szCs w:val="24"/>
          <w:lang w:val="en-US" w:eastAsia="zh-CN"/>
        </w:rPr>
        <w:t>方式</w:t>
      </w:r>
      <w:r w:rsidR="006B6F36">
        <w:rPr>
          <w:rFonts w:hint="eastAsia"/>
          <w:lang w:val="en-US" w:eastAsia="zh-CN"/>
        </w:rPr>
        <w:t>选择了方案</w:t>
      </w:r>
      <w:r w:rsidRPr="000E2536">
        <w:rPr>
          <w:rFonts w:hint="eastAsia"/>
          <w:lang w:val="en-US" w:eastAsia="zh-CN"/>
        </w:rPr>
        <w:t>二。国际电联法律顾问随后</w:t>
      </w:r>
      <w:r w:rsidR="00D36CE4" w:rsidRPr="000E2536">
        <w:rPr>
          <w:rFonts w:hint="eastAsia"/>
          <w:lang w:val="en-US" w:eastAsia="zh-CN"/>
        </w:rPr>
        <w:t>就</w:t>
      </w:r>
      <w:r w:rsidR="00D36CE4">
        <w:rPr>
          <w:rFonts w:hint="eastAsia"/>
          <w:lang w:val="en-US" w:eastAsia="zh-CN"/>
        </w:rPr>
        <w:t>应</w:t>
      </w:r>
      <w:r w:rsidRPr="000E2536">
        <w:rPr>
          <w:rFonts w:hint="eastAsia"/>
          <w:lang w:val="en-US" w:eastAsia="zh-CN"/>
        </w:rPr>
        <w:t>遵循的程序发表了意见。</w:t>
      </w:r>
    </w:p>
    <w:p w:rsidR="000E2536" w:rsidRDefault="0006703B" w:rsidP="0006703B">
      <w:pPr>
        <w:rPr>
          <w:lang w:val="en-US" w:eastAsia="zh-CN"/>
        </w:rPr>
      </w:pPr>
      <w:r>
        <w:rPr>
          <w:rFonts w:hint="eastAsia"/>
          <w:lang w:val="en-US" w:eastAsia="zh-CN"/>
        </w:rPr>
        <w:t>1</w:t>
      </w:r>
      <w:r>
        <w:rPr>
          <w:lang w:val="en-US" w:eastAsia="zh-CN"/>
        </w:rPr>
        <w:t>0</w:t>
      </w:r>
      <w:r>
        <w:rPr>
          <w:lang w:val="en-US" w:eastAsia="zh-CN"/>
        </w:rPr>
        <w:tab/>
      </w:r>
      <w:r w:rsidR="000E2536" w:rsidRPr="000E2536">
        <w:rPr>
          <w:rFonts w:hint="eastAsia"/>
          <w:lang w:val="en-US" w:eastAsia="zh-CN"/>
        </w:rPr>
        <w:t>根据评估委员会的首选方案，并以理事会</w:t>
      </w:r>
      <w:r w:rsidR="00D36CE4">
        <w:rPr>
          <w:rFonts w:hint="eastAsia"/>
          <w:lang w:val="en-US" w:eastAsia="zh-CN"/>
        </w:rPr>
        <w:t>同意</w:t>
      </w:r>
      <w:r w:rsidR="000E2536" w:rsidRPr="000E2536">
        <w:rPr>
          <w:rFonts w:hint="eastAsia"/>
          <w:lang w:val="en-US" w:eastAsia="zh-CN"/>
        </w:rPr>
        <w:t>为条件，秘书处应委员会的要求，首先非正式地接触了现任</w:t>
      </w:r>
      <w:r w:rsidR="00D36CE4">
        <w:rPr>
          <w:rFonts w:hint="eastAsia"/>
          <w:lang w:val="en-US" w:eastAsia="zh-CN"/>
        </w:rPr>
        <w:t>外部</w:t>
      </w:r>
      <w:r w:rsidR="000E2536" w:rsidRPr="000E2536">
        <w:rPr>
          <w:rFonts w:hint="eastAsia"/>
          <w:lang w:val="en-US" w:eastAsia="zh-CN"/>
        </w:rPr>
        <w:t>审计员，并在得到积极反馈后，正式确认</w:t>
      </w:r>
      <w:r w:rsidR="00D05458">
        <w:rPr>
          <w:rFonts w:hint="eastAsia"/>
          <w:lang w:val="en-US" w:eastAsia="zh-CN"/>
        </w:rPr>
        <w:t>它</w:t>
      </w:r>
      <w:r w:rsidR="000E2536" w:rsidRPr="000E2536">
        <w:rPr>
          <w:rFonts w:hint="eastAsia"/>
          <w:lang w:val="en-US" w:eastAsia="zh-CN"/>
        </w:rPr>
        <w:t>可以向国际电联提供审计服务。意大利</w:t>
      </w:r>
      <w:r w:rsidR="00D05458" w:rsidRPr="00D05458">
        <w:rPr>
          <w:lang w:eastAsia="zh-CN"/>
        </w:rPr>
        <w:t>审计院</w:t>
      </w:r>
      <w:r w:rsidR="00D05458">
        <w:rPr>
          <w:lang w:eastAsia="zh-CN"/>
        </w:rPr>
        <w:t>院长</w:t>
      </w:r>
      <w:r w:rsidR="000E2536" w:rsidRPr="000E2536">
        <w:rPr>
          <w:rFonts w:hint="eastAsia"/>
          <w:lang w:val="en-US" w:eastAsia="zh-CN"/>
        </w:rPr>
        <w:t>通知秘书长可再延长两年</w:t>
      </w:r>
      <w:r w:rsidR="00D05458" w:rsidRPr="000E2536">
        <w:rPr>
          <w:rFonts w:hint="eastAsia"/>
          <w:lang w:val="en-US" w:eastAsia="zh-CN"/>
        </w:rPr>
        <w:t>任期</w:t>
      </w:r>
      <w:r w:rsidR="000E2536" w:rsidRPr="000E2536">
        <w:rPr>
          <w:rFonts w:hint="eastAsia"/>
          <w:lang w:val="en-US" w:eastAsia="zh-CN"/>
        </w:rPr>
        <w:t>的</w:t>
      </w:r>
      <w:r w:rsidR="00D05458">
        <w:rPr>
          <w:rFonts w:hint="eastAsia"/>
          <w:lang w:val="en-US" w:eastAsia="zh-CN"/>
        </w:rPr>
        <w:t>信</w:t>
      </w:r>
      <w:r w:rsidR="00D05458">
        <w:rPr>
          <w:rFonts w:hint="eastAsia"/>
          <w:lang w:val="en-US" w:eastAsia="zh-CN"/>
        </w:rPr>
        <w:lastRenderedPageBreak/>
        <w:t>函</w:t>
      </w:r>
      <w:r w:rsidR="000E2536" w:rsidRPr="000E2536">
        <w:rPr>
          <w:rFonts w:hint="eastAsia"/>
          <w:lang w:val="en-US" w:eastAsia="zh-CN"/>
        </w:rPr>
        <w:t>载于本报告附件一。</w:t>
      </w:r>
      <w:r w:rsidR="00D05458">
        <w:rPr>
          <w:rFonts w:hint="eastAsia"/>
          <w:lang w:val="en-US" w:eastAsia="zh-CN"/>
        </w:rPr>
        <w:t>再次授予</w:t>
      </w:r>
      <w:r w:rsidR="000E2536" w:rsidRPr="000E2536">
        <w:rPr>
          <w:rFonts w:hint="eastAsia"/>
          <w:lang w:val="en-US" w:eastAsia="zh-CN"/>
        </w:rPr>
        <w:t>两年</w:t>
      </w:r>
      <w:r w:rsidR="00D05458">
        <w:rPr>
          <w:rFonts w:hint="eastAsia"/>
          <w:lang w:val="en-US" w:eastAsia="zh-CN"/>
        </w:rPr>
        <w:t>（</w:t>
      </w:r>
      <w:r w:rsidR="00D05458" w:rsidRPr="000E2536">
        <w:rPr>
          <w:rFonts w:hint="eastAsia"/>
          <w:lang w:val="en-US" w:eastAsia="zh-CN"/>
        </w:rPr>
        <w:t>审计</w:t>
      </w:r>
      <w:r w:rsidR="00D05458">
        <w:rPr>
          <w:rFonts w:hint="eastAsia"/>
          <w:lang w:val="en-US" w:eastAsia="zh-CN"/>
        </w:rPr>
        <w:t>国际电联</w:t>
      </w:r>
      <w:r w:rsidR="00D05458" w:rsidRPr="000E2536">
        <w:rPr>
          <w:rFonts w:hint="eastAsia"/>
          <w:lang w:val="en-US" w:eastAsia="zh-CN"/>
        </w:rPr>
        <w:t>2020</w:t>
      </w:r>
      <w:r w:rsidR="00D05458" w:rsidRPr="000E2536">
        <w:rPr>
          <w:rFonts w:hint="eastAsia"/>
          <w:lang w:val="en-US" w:eastAsia="zh-CN"/>
        </w:rPr>
        <w:t>年和</w:t>
      </w:r>
      <w:r w:rsidR="00D05458" w:rsidRPr="000E2536">
        <w:rPr>
          <w:rFonts w:hint="eastAsia"/>
          <w:lang w:val="en-US" w:eastAsia="zh-CN"/>
        </w:rPr>
        <w:t>2021</w:t>
      </w:r>
      <w:r w:rsidR="00D05458" w:rsidRPr="000E2536">
        <w:rPr>
          <w:rFonts w:hint="eastAsia"/>
          <w:lang w:val="en-US" w:eastAsia="zh-CN"/>
        </w:rPr>
        <w:t>年的账目</w:t>
      </w:r>
      <w:r w:rsidR="00D05458">
        <w:rPr>
          <w:rFonts w:hint="eastAsia"/>
          <w:lang w:val="en-US" w:eastAsia="zh-CN"/>
        </w:rPr>
        <w:t>），</w:t>
      </w:r>
      <w:r w:rsidR="00D05458" w:rsidRPr="000E2536">
        <w:rPr>
          <w:rFonts w:hint="eastAsia"/>
          <w:lang w:val="en-US" w:eastAsia="zh-CN"/>
        </w:rPr>
        <w:t>而不是仅仅一年</w:t>
      </w:r>
      <w:r w:rsidR="00D05458">
        <w:rPr>
          <w:rFonts w:hint="eastAsia"/>
          <w:lang w:val="en-US" w:eastAsia="zh-CN"/>
        </w:rPr>
        <w:t>的</w:t>
      </w:r>
      <w:r w:rsidR="000E2536" w:rsidRPr="000E2536">
        <w:rPr>
          <w:rFonts w:hint="eastAsia"/>
          <w:lang w:val="en-US" w:eastAsia="zh-CN"/>
        </w:rPr>
        <w:t>任期是因为</w:t>
      </w:r>
      <w:r w:rsidR="00D05458">
        <w:rPr>
          <w:rFonts w:hint="eastAsia"/>
          <w:lang w:val="en-US" w:eastAsia="zh-CN"/>
        </w:rPr>
        <w:t>这一任期</w:t>
      </w:r>
      <w:r w:rsidR="000E2536" w:rsidRPr="000E2536">
        <w:rPr>
          <w:rFonts w:hint="eastAsia"/>
          <w:lang w:val="en-US" w:eastAsia="zh-CN"/>
        </w:rPr>
        <w:t>将涵盖</w:t>
      </w:r>
      <w:r w:rsidR="000E2536" w:rsidRPr="000E2536">
        <w:rPr>
          <w:rFonts w:hint="eastAsia"/>
          <w:lang w:val="en-US" w:eastAsia="zh-CN"/>
        </w:rPr>
        <w:t>2020-21</w:t>
      </w:r>
      <w:r w:rsidR="000E2536" w:rsidRPr="000E2536">
        <w:rPr>
          <w:rFonts w:hint="eastAsia"/>
          <w:lang w:val="en-US" w:eastAsia="zh-CN"/>
        </w:rPr>
        <w:t>年</w:t>
      </w:r>
      <w:r w:rsidR="00D05458">
        <w:rPr>
          <w:rFonts w:hint="eastAsia"/>
          <w:lang w:val="en-US" w:eastAsia="zh-CN"/>
        </w:rPr>
        <w:t>的</w:t>
      </w:r>
      <w:r w:rsidR="00D05458" w:rsidRPr="000E2536">
        <w:rPr>
          <w:rFonts w:hint="eastAsia"/>
          <w:lang w:val="en-US" w:eastAsia="zh-CN"/>
        </w:rPr>
        <w:t>两年期</w:t>
      </w:r>
      <w:r w:rsidR="000E2536" w:rsidRPr="000E2536">
        <w:rPr>
          <w:rFonts w:hint="eastAsia"/>
          <w:lang w:val="en-US" w:eastAsia="zh-CN"/>
        </w:rPr>
        <w:t>。它还为秘书处以及评估委员会</w:t>
      </w:r>
      <w:r w:rsidR="00D05458">
        <w:rPr>
          <w:rFonts w:hint="eastAsia"/>
          <w:lang w:val="en-US" w:eastAsia="zh-CN"/>
        </w:rPr>
        <w:t>（</w:t>
      </w:r>
      <w:r w:rsidR="00D05458" w:rsidRPr="000E2536">
        <w:rPr>
          <w:rFonts w:hint="eastAsia"/>
          <w:lang w:val="en-US" w:eastAsia="zh-CN"/>
        </w:rPr>
        <w:t>目前</w:t>
      </w:r>
      <w:r w:rsidR="00D05458">
        <w:rPr>
          <w:rFonts w:hint="eastAsia"/>
          <w:lang w:val="en-US" w:eastAsia="zh-CN"/>
        </w:rPr>
        <w:t>的</w:t>
      </w:r>
      <w:r w:rsidR="00D05458" w:rsidRPr="000E2536">
        <w:rPr>
          <w:rFonts w:hint="eastAsia"/>
          <w:lang w:val="en-US" w:eastAsia="zh-CN"/>
        </w:rPr>
        <w:t>组成</w:t>
      </w:r>
      <w:r w:rsidR="00D05458">
        <w:rPr>
          <w:rFonts w:hint="eastAsia"/>
          <w:lang w:val="en-US" w:eastAsia="zh-CN"/>
        </w:rPr>
        <w:t>人员</w:t>
      </w:r>
      <w:r w:rsidR="00D05458" w:rsidRPr="000E2536">
        <w:rPr>
          <w:rFonts w:hint="eastAsia"/>
          <w:lang w:val="en-US" w:eastAsia="zh-CN"/>
        </w:rPr>
        <w:t>或经理事会决定</w:t>
      </w:r>
      <w:r w:rsidR="00D05458">
        <w:rPr>
          <w:rFonts w:hint="eastAsia"/>
          <w:lang w:val="en-US" w:eastAsia="zh-CN"/>
        </w:rPr>
        <w:t>后予以调整</w:t>
      </w:r>
      <w:r w:rsidR="00D05458" w:rsidRPr="000E2536">
        <w:rPr>
          <w:rFonts w:hint="eastAsia"/>
          <w:lang w:val="en-US" w:eastAsia="zh-CN"/>
        </w:rPr>
        <w:t>的</w:t>
      </w:r>
      <w:r w:rsidR="00D05458">
        <w:rPr>
          <w:rFonts w:hint="eastAsia"/>
          <w:lang w:val="en-US" w:eastAsia="zh-CN"/>
        </w:rPr>
        <w:t>组成人员）</w:t>
      </w:r>
      <w:r w:rsidR="000E2536" w:rsidRPr="000E2536">
        <w:rPr>
          <w:rFonts w:hint="eastAsia"/>
          <w:lang w:val="en-US" w:eastAsia="zh-CN"/>
        </w:rPr>
        <w:t>重新启动和完成</w:t>
      </w:r>
      <w:r w:rsidR="00D05458">
        <w:rPr>
          <w:rFonts w:hint="eastAsia"/>
          <w:lang w:val="en-US" w:eastAsia="zh-CN"/>
        </w:rPr>
        <w:t>招标流程</w:t>
      </w:r>
      <w:r w:rsidR="000E2536" w:rsidRPr="000E2536">
        <w:rPr>
          <w:rFonts w:hint="eastAsia"/>
          <w:lang w:val="en-US" w:eastAsia="zh-CN"/>
        </w:rPr>
        <w:t>留出了足够的时间。</w:t>
      </w:r>
    </w:p>
    <w:p w:rsidR="000E2536" w:rsidRPr="000E2536" w:rsidRDefault="0006703B" w:rsidP="0006703B">
      <w:pPr>
        <w:rPr>
          <w:lang w:eastAsia="zh-CN"/>
        </w:rPr>
      </w:pPr>
      <w:r>
        <w:rPr>
          <w:rFonts w:hint="eastAsia"/>
          <w:lang w:val="en-US" w:eastAsia="zh-CN"/>
        </w:rPr>
        <w:t>1</w:t>
      </w:r>
      <w:r>
        <w:rPr>
          <w:lang w:val="en-US" w:eastAsia="zh-CN"/>
        </w:rPr>
        <w:t>1</w:t>
      </w:r>
      <w:r>
        <w:rPr>
          <w:lang w:val="en-US" w:eastAsia="zh-CN"/>
        </w:rPr>
        <w:tab/>
      </w:r>
      <w:r w:rsidR="000E2536" w:rsidRPr="000E2536">
        <w:rPr>
          <w:rFonts w:hint="eastAsia"/>
          <w:lang w:val="en-US" w:eastAsia="zh-CN"/>
        </w:rPr>
        <w:t>将鼓励</w:t>
      </w:r>
      <w:r w:rsidR="00D05458">
        <w:rPr>
          <w:rFonts w:hint="eastAsia"/>
          <w:lang w:val="en-US" w:eastAsia="zh-CN"/>
        </w:rPr>
        <w:t>已投标</w:t>
      </w:r>
      <w:r w:rsidR="000E2536" w:rsidRPr="000E2536">
        <w:rPr>
          <w:rFonts w:hint="eastAsia"/>
          <w:lang w:val="en-US" w:eastAsia="zh-CN"/>
        </w:rPr>
        <w:t>的两</w:t>
      </w:r>
      <w:r w:rsidR="00D05458">
        <w:rPr>
          <w:rFonts w:hint="eastAsia"/>
          <w:lang w:val="en-US" w:eastAsia="zh-CN"/>
        </w:rPr>
        <w:t>家</w:t>
      </w:r>
      <w:r w:rsidR="000E2536" w:rsidRPr="000E2536">
        <w:rPr>
          <w:rFonts w:hint="eastAsia"/>
          <w:lang w:val="en-US" w:eastAsia="zh-CN"/>
        </w:rPr>
        <w:t>最高审计</w:t>
      </w:r>
      <w:r w:rsidR="00D05458">
        <w:rPr>
          <w:rFonts w:hint="eastAsia"/>
          <w:lang w:val="en-US" w:eastAsia="zh-CN"/>
        </w:rPr>
        <w:t>机构</w:t>
      </w:r>
      <w:r w:rsidR="000E2536" w:rsidRPr="000E2536">
        <w:rPr>
          <w:rFonts w:hint="eastAsia"/>
          <w:lang w:val="en-US" w:eastAsia="zh-CN"/>
        </w:rPr>
        <w:t>参与新的招标</w:t>
      </w:r>
      <w:r w:rsidR="00D05458">
        <w:rPr>
          <w:rFonts w:hint="eastAsia"/>
          <w:lang w:val="en-US" w:eastAsia="zh-CN"/>
        </w:rPr>
        <w:t>流程</w:t>
      </w:r>
      <w:r w:rsidR="000E2536" w:rsidRPr="000E2536">
        <w:rPr>
          <w:rFonts w:hint="eastAsia"/>
          <w:lang w:val="en-US" w:eastAsia="zh-CN"/>
        </w:rPr>
        <w:t>。</w:t>
      </w:r>
    </w:p>
    <w:p w:rsidR="0095140F" w:rsidRPr="003D0E1D" w:rsidRDefault="00C53DCA" w:rsidP="0006703B">
      <w:pPr>
        <w:pStyle w:val="Headingb"/>
        <w:rPr>
          <w:rFonts w:asciiTheme="minorHAnsi" w:hAnsiTheme="minorHAnsi"/>
          <w:b w:val="0"/>
          <w:bCs/>
          <w:color w:val="000000"/>
          <w:lang w:eastAsia="zh-CN"/>
        </w:rPr>
      </w:pPr>
      <w:r>
        <w:rPr>
          <w:rFonts w:asciiTheme="minorHAnsi" w:hAnsiTheme="minorHAnsi"/>
          <w:bCs/>
          <w:color w:val="000000"/>
          <w:lang w:eastAsia="zh-CN"/>
        </w:rPr>
        <w:t>评估委员会的建议</w:t>
      </w:r>
    </w:p>
    <w:p w:rsidR="0095140F" w:rsidRPr="00342469" w:rsidRDefault="0006703B" w:rsidP="0006703B">
      <w:pPr>
        <w:rPr>
          <w:rFonts w:asciiTheme="minorHAnsi" w:hAnsiTheme="minorHAnsi"/>
          <w:color w:val="000000"/>
          <w:szCs w:val="24"/>
          <w:lang w:eastAsia="zh-CN"/>
        </w:rPr>
      </w:pPr>
      <w:r>
        <w:rPr>
          <w:rFonts w:hint="eastAsia"/>
          <w:lang w:eastAsia="zh-CN"/>
        </w:rPr>
        <w:t>1</w:t>
      </w:r>
      <w:r>
        <w:rPr>
          <w:lang w:eastAsia="zh-CN"/>
        </w:rPr>
        <w:t>2</w:t>
      </w:r>
      <w:r>
        <w:rPr>
          <w:lang w:eastAsia="zh-CN"/>
        </w:rPr>
        <w:tab/>
      </w:r>
      <w:r w:rsidR="00043339">
        <w:rPr>
          <w:rFonts w:hint="eastAsia"/>
          <w:lang w:eastAsia="zh-CN"/>
        </w:rPr>
        <w:t>在上述过程的</w:t>
      </w:r>
      <w:r w:rsidR="00043339" w:rsidRPr="0006703B">
        <w:rPr>
          <w:rFonts w:hint="eastAsia"/>
          <w:lang w:val="en-US" w:eastAsia="zh-CN"/>
        </w:rPr>
        <w:t>基础</w:t>
      </w:r>
      <w:r w:rsidR="00043339">
        <w:rPr>
          <w:rFonts w:hint="eastAsia"/>
          <w:lang w:eastAsia="zh-CN"/>
        </w:rPr>
        <w:t>上，</w:t>
      </w:r>
      <w:r w:rsidR="00407E62">
        <w:rPr>
          <w:rFonts w:hint="eastAsia"/>
          <w:lang w:eastAsia="zh-CN"/>
        </w:rPr>
        <w:t>评估委员会</w:t>
      </w:r>
      <w:r w:rsidR="00043339">
        <w:rPr>
          <w:rFonts w:hint="eastAsia"/>
          <w:lang w:eastAsia="zh-CN"/>
        </w:rPr>
        <w:t>一致同意，建议国际电联理事会</w:t>
      </w:r>
      <w:r>
        <w:rPr>
          <w:rFonts w:hint="eastAsia"/>
          <w:lang w:eastAsia="zh-CN"/>
        </w:rPr>
        <w:t xml:space="preserve"> </w:t>
      </w:r>
      <w:r w:rsidR="0095140F">
        <w:rPr>
          <w:rFonts w:asciiTheme="minorHAnsi" w:hAnsiTheme="minorHAnsi"/>
          <w:color w:val="000000"/>
          <w:szCs w:val="24"/>
          <w:lang w:eastAsia="zh-CN"/>
        </w:rPr>
        <w:t>(i)</w:t>
      </w:r>
      <w:r>
        <w:rPr>
          <w:rFonts w:asciiTheme="minorHAnsi" w:hAnsiTheme="minorHAnsi"/>
          <w:color w:val="000000"/>
          <w:szCs w:val="24"/>
          <w:lang w:eastAsia="zh-CN"/>
        </w:rPr>
        <w:t xml:space="preserve"> </w:t>
      </w:r>
      <w:r w:rsidR="00A2155A">
        <w:rPr>
          <w:rFonts w:asciiTheme="minorHAnsi" w:hAnsiTheme="minorHAnsi"/>
          <w:color w:val="000000"/>
          <w:szCs w:val="24"/>
          <w:lang w:eastAsia="zh-CN"/>
        </w:rPr>
        <w:t>取消招标流程；</w:t>
      </w:r>
      <w:r w:rsidR="0095140F" w:rsidRPr="00A5486F">
        <w:rPr>
          <w:rFonts w:cs="Calibri"/>
          <w:szCs w:val="24"/>
          <w:lang w:eastAsia="zh-CN"/>
        </w:rPr>
        <w:t xml:space="preserve"> </w:t>
      </w:r>
      <w:r w:rsidR="0095140F">
        <w:rPr>
          <w:rFonts w:cs="Calibri"/>
          <w:szCs w:val="24"/>
          <w:lang w:eastAsia="zh-CN"/>
        </w:rPr>
        <w:t>(ii)</w:t>
      </w:r>
      <w:r>
        <w:rPr>
          <w:rFonts w:cs="Calibri"/>
          <w:szCs w:val="24"/>
          <w:lang w:eastAsia="zh-CN"/>
        </w:rPr>
        <w:t xml:space="preserve"> </w:t>
      </w:r>
      <w:r w:rsidR="00A2155A">
        <w:rPr>
          <w:rFonts w:cs="Calibri"/>
          <w:szCs w:val="24"/>
          <w:lang w:eastAsia="zh-CN"/>
        </w:rPr>
        <w:t>决定重新启动全新流程，以及</w:t>
      </w:r>
      <w:r>
        <w:rPr>
          <w:rFonts w:cs="Calibri" w:hint="eastAsia"/>
          <w:szCs w:val="24"/>
          <w:lang w:eastAsia="zh-CN"/>
        </w:rPr>
        <w:t xml:space="preserve"> </w:t>
      </w:r>
      <w:r w:rsidR="0095140F">
        <w:rPr>
          <w:rFonts w:cs="Calibri"/>
          <w:szCs w:val="24"/>
          <w:lang w:eastAsia="zh-CN"/>
        </w:rPr>
        <w:t>(iii)</w:t>
      </w:r>
      <w:r>
        <w:rPr>
          <w:rFonts w:cs="Calibri"/>
          <w:szCs w:val="24"/>
          <w:lang w:eastAsia="zh-CN"/>
        </w:rPr>
        <w:t xml:space="preserve"> </w:t>
      </w:r>
      <w:r w:rsidR="00A2155A">
        <w:rPr>
          <w:rFonts w:cs="Calibri"/>
          <w:szCs w:val="24"/>
          <w:lang w:eastAsia="zh-CN"/>
        </w:rPr>
        <w:t>将现任外部审计员的任期延长足以完成新进程的时间，即两年。</w:t>
      </w:r>
    </w:p>
    <w:p w:rsidR="0095140F" w:rsidRPr="00342469" w:rsidRDefault="0006703B" w:rsidP="0006703B">
      <w:pPr>
        <w:rPr>
          <w:rFonts w:asciiTheme="minorHAnsi" w:hAnsiTheme="minorHAnsi"/>
          <w:b/>
          <w:bCs/>
          <w:lang w:eastAsia="zh-CN"/>
        </w:rPr>
      </w:pPr>
      <w:r>
        <w:rPr>
          <w:rFonts w:hint="eastAsia"/>
          <w:lang w:eastAsia="zh-CN"/>
        </w:rPr>
        <w:t>1</w:t>
      </w:r>
      <w:r>
        <w:rPr>
          <w:lang w:eastAsia="zh-CN"/>
        </w:rPr>
        <w:t>3</w:t>
      </w:r>
      <w:r>
        <w:rPr>
          <w:lang w:eastAsia="zh-CN"/>
        </w:rPr>
        <w:tab/>
      </w:r>
      <w:r w:rsidR="00407E62">
        <w:rPr>
          <w:rFonts w:hint="eastAsia"/>
          <w:lang w:eastAsia="zh-CN"/>
        </w:rPr>
        <w:t>评估委员会</w:t>
      </w:r>
      <w:r w:rsidR="00043339">
        <w:rPr>
          <w:rFonts w:hint="eastAsia"/>
          <w:lang w:eastAsia="zh-CN"/>
        </w:rPr>
        <w:t>希望</w:t>
      </w:r>
      <w:r w:rsidR="00043339" w:rsidRPr="0006703B">
        <w:rPr>
          <w:rFonts w:hint="eastAsia"/>
          <w:lang w:val="en-US" w:eastAsia="zh-CN"/>
        </w:rPr>
        <w:t>感谢</w:t>
      </w:r>
      <w:r w:rsidR="00043339">
        <w:rPr>
          <w:rFonts w:hint="eastAsia"/>
          <w:lang w:eastAsia="zh-CN"/>
        </w:rPr>
        <w:t>国际电联秘书</w:t>
      </w:r>
      <w:r w:rsidR="00931400">
        <w:rPr>
          <w:rFonts w:hint="eastAsia"/>
          <w:lang w:eastAsia="zh-CN"/>
        </w:rPr>
        <w:t>处</w:t>
      </w:r>
      <w:r w:rsidR="00043339">
        <w:rPr>
          <w:rFonts w:hint="eastAsia"/>
          <w:lang w:eastAsia="zh-CN"/>
        </w:rPr>
        <w:t>为支持这一过程所提供的帮助。</w:t>
      </w:r>
    </w:p>
    <w:p w:rsidR="00043339" w:rsidRDefault="00043339">
      <w:pPr>
        <w:tabs>
          <w:tab w:val="clear" w:pos="794"/>
          <w:tab w:val="clear" w:pos="1191"/>
          <w:tab w:val="clear" w:pos="1588"/>
          <w:tab w:val="clear" w:pos="1985"/>
        </w:tabs>
        <w:overflowPunct/>
        <w:autoSpaceDE/>
        <w:autoSpaceDN/>
        <w:adjustRightInd/>
        <w:spacing w:before="0"/>
        <w:textAlignment w:val="auto"/>
        <w:rPr>
          <w:rFonts w:asciiTheme="minorHAnsi" w:hAnsiTheme="minorHAnsi"/>
          <w:lang w:eastAsia="zh-CN"/>
        </w:rPr>
      </w:pPr>
      <w:r>
        <w:rPr>
          <w:rFonts w:asciiTheme="minorHAnsi" w:hAnsiTheme="minorHAnsi"/>
          <w:lang w:eastAsia="zh-CN"/>
        </w:rPr>
        <w:br w:type="page"/>
      </w:r>
    </w:p>
    <w:p w:rsidR="0095140F" w:rsidRPr="004576E4" w:rsidRDefault="00A2155A" w:rsidP="00CA7207">
      <w:pPr>
        <w:pStyle w:val="AnnexNo"/>
        <w:rPr>
          <w:b/>
          <w:bCs/>
          <w:lang w:eastAsia="zh-CN"/>
        </w:rPr>
      </w:pPr>
      <w:r w:rsidRPr="004576E4">
        <w:rPr>
          <w:b/>
          <w:bCs/>
          <w:lang w:eastAsia="zh-CN"/>
        </w:rPr>
        <w:lastRenderedPageBreak/>
        <w:t>附件</w:t>
      </w:r>
      <w:r w:rsidR="0095140F" w:rsidRPr="004576E4">
        <w:rPr>
          <w:b/>
          <w:bCs/>
          <w:lang w:eastAsia="zh-CN"/>
        </w:rPr>
        <w:t>A</w:t>
      </w:r>
    </w:p>
    <w:p w:rsidR="00CA7207" w:rsidRPr="00CA7207" w:rsidRDefault="00CA7207" w:rsidP="00CA7207">
      <w:pPr>
        <w:overflowPunct/>
        <w:autoSpaceDE/>
        <w:autoSpaceDN/>
        <w:adjustRightInd/>
        <w:spacing w:before="240"/>
        <w:jc w:val="center"/>
        <w:textAlignment w:val="auto"/>
        <w:rPr>
          <w:rFonts w:asciiTheme="minorHAnsi" w:hAnsiTheme="minorHAnsi"/>
          <w:szCs w:val="24"/>
          <w:lang w:eastAsia="zh-CN"/>
        </w:rPr>
      </w:pPr>
      <w:r w:rsidRPr="00CA7207">
        <w:rPr>
          <w:rFonts w:asciiTheme="minorHAnsi" w:hAnsiTheme="minorHAnsi"/>
          <w:szCs w:val="24"/>
          <w:lang w:eastAsia="zh-CN"/>
        </w:rPr>
        <w:t>意大利审计院</w:t>
      </w:r>
      <w:r>
        <w:rPr>
          <w:rFonts w:asciiTheme="minorHAnsi" w:hAnsiTheme="minorHAnsi"/>
          <w:szCs w:val="24"/>
          <w:lang w:eastAsia="zh-CN"/>
        </w:rPr>
        <w:br/>
      </w:r>
      <w:r w:rsidRPr="00CA7207">
        <w:rPr>
          <w:rFonts w:asciiTheme="minorHAnsi" w:hAnsiTheme="minorHAnsi"/>
          <w:szCs w:val="24"/>
          <w:lang w:eastAsia="zh-CN"/>
        </w:rPr>
        <w:t>院长</w:t>
      </w:r>
    </w:p>
    <w:p w:rsidR="00CA7207" w:rsidRPr="00CA7207" w:rsidRDefault="00CA7207" w:rsidP="00CA7207">
      <w:pPr>
        <w:overflowPunct/>
        <w:autoSpaceDE/>
        <w:autoSpaceDN/>
        <w:adjustRightInd/>
        <w:spacing w:before="0"/>
        <w:textAlignment w:val="auto"/>
        <w:rPr>
          <w:rFonts w:asciiTheme="minorHAnsi" w:hAnsiTheme="minorHAnsi"/>
          <w:szCs w:val="24"/>
          <w:lang w:eastAsia="zh-CN"/>
        </w:rPr>
      </w:pPr>
      <w:r w:rsidRPr="00CA7207">
        <w:rPr>
          <w:rFonts w:asciiTheme="minorHAnsi" w:hAnsiTheme="minorHAnsi"/>
          <w:szCs w:val="24"/>
          <w:lang w:eastAsia="zh-CN"/>
        </w:rPr>
        <w:t>国际电信联盟（</w:t>
      </w:r>
      <w:r w:rsidRPr="00CA7207">
        <w:rPr>
          <w:rFonts w:asciiTheme="minorHAnsi" w:hAnsiTheme="minorHAnsi"/>
          <w:szCs w:val="24"/>
          <w:lang w:eastAsia="zh-CN"/>
        </w:rPr>
        <w:t>ITU</w:t>
      </w:r>
      <w:r w:rsidRPr="00CA7207">
        <w:rPr>
          <w:rFonts w:asciiTheme="minorHAnsi" w:hAnsiTheme="minorHAnsi"/>
          <w:szCs w:val="24"/>
          <w:lang w:eastAsia="zh-CN"/>
        </w:rPr>
        <w:t>）秘书长</w:t>
      </w:r>
      <w:r w:rsidRPr="00CA7207">
        <w:rPr>
          <w:rFonts w:asciiTheme="minorHAnsi" w:hAnsiTheme="minorHAnsi"/>
          <w:szCs w:val="24"/>
          <w:lang w:eastAsia="zh-CN"/>
        </w:rPr>
        <w:br/>
      </w:r>
      <w:r w:rsidRPr="00CA7207">
        <w:rPr>
          <w:rFonts w:asciiTheme="minorHAnsi" w:hAnsiTheme="minorHAnsi"/>
          <w:szCs w:val="24"/>
          <w:lang w:eastAsia="zh-CN"/>
        </w:rPr>
        <w:t>赵厚麟先生</w:t>
      </w:r>
      <w:r w:rsidRPr="00CA7207">
        <w:rPr>
          <w:rFonts w:asciiTheme="minorHAnsi" w:hAnsiTheme="minorHAnsi"/>
          <w:szCs w:val="24"/>
          <w:lang w:eastAsia="zh-CN"/>
        </w:rPr>
        <w:br/>
      </w:r>
      <w:r w:rsidRPr="00CA7207">
        <w:rPr>
          <w:rFonts w:asciiTheme="minorHAnsi" w:hAnsiTheme="minorHAnsi" w:hint="eastAsia"/>
          <w:szCs w:val="24"/>
          <w:lang w:eastAsia="zh-CN"/>
        </w:rPr>
        <w:t>P</w:t>
      </w:r>
      <w:r w:rsidRPr="00CA7207">
        <w:rPr>
          <w:rFonts w:asciiTheme="minorHAnsi" w:hAnsiTheme="minorHAnsi"/>
          <w:szCs w:val="24"/>
          <w:lang w:eastAsia="zh-CN"/>
        </w:rPr>
        <w:t>lace des Nations</w:t>
      </w:r>
      <w:r w:rsidRPr="00CA7207">
        <w:rPr>
          <w:rFonts w:asciiTheme="minorHAnsi" w:hAnsiTheme="minorHAnsi"/>
          <w:szCs w:val="24"/>
          <w:lang w:eastAsia="zh-CN"/>
        </w:rPr>
        <w:br/>
        <w:t>1211 GENEVE</w:t>
      </w:r>
    </w:p>
    <w:p w:rsidR="00CA7207" w:rsidRPr="00CA7207" w:rsidRDefault="00CA7207" w:rsidP="00CA7207">
      <w:pPr>
        <w:overflowPunct/>
        <w:autoSpaceDE/>
        <w:autoSpaceDN/>
        <w:adjustRightInd/>
        <w:spacing w:before="240"/>
        <w:textAlignment w:val="auto"/>
        <w:rPr>
          <w:rFonts w:asciiTheme="minorHAnsi" w:hAnsiTheme="minorHAnsi"/>
          <w:szCs w:val="24"/>
          <w:lang w:eastAsia="zh-CN"/>
        </w:rPr>
      </w:pPr>
      <w:r w:rsidRPr="00CA7207">
        <w:rPr>
          <w:rFonts w:asciiTheme="minorHAnsi" w:hAnsiTheme="minorHAnsi"/>
          <w:szCs w:val="24"/>
          <w:lang w:eastAsia="zh-CN"/>
        </w:rPr>
        <w:t>尊敬的先生：</w:t>
      </w:r>
    </w:p>
    <w:p w:rsidR="00CA7207" w:rsidRPr="00CA7207" w:rsidRDefault="00CA7207" w:rsidP="00CA7207">
      <w:pPr>
        <w:ind w:firstLineChars="200" w:firstLine="480"/>
        <w:rPr>
          <w:lang w:eastAsia="zh-CN"/>
        </w:rPr>
      </w:pPr>
      <w:r w:rsidRPr="00CA7207">
        <w:rPr>
          <w:lang w:eastAsia="zh-CN"/>
        </w:rPr>
        <w:t>感谢您有关评估委员会准备向理事会建议将我院目前担任外部审计员的任期再延长两年的信函。</w:t>
      </w:r>
    </w:p>
    <w:p w:rsidR="00CA7207" w:rsidRPr="00CA7207" w:rsidRDefault="00CA7207" w:rsidP="00CA7207">
      <w:pPr>
        <w:ind w:firstLineChars="200" w:firstLine="480"/>
        <w:rPr>
          <w:rFonts w:asciiTheme="minorHAnsi" w:hAnsiTheme="minorHAnsi"/>
          <w:szCs w:val="24"/>
          <w:lang w:eastAsia="zh-CN"/>
        </w:rPr>
      </w:pPr>
      <w:r w:rsidRPr="00CA7207">
        <w:rPr>
          <w:rFonts w:asciiTheme="minorHAnsi" w:hAnsiTheme="minorHAnsi"/>
          <w:szCs w:val="24"/>
          <w:lang w:eastAsia="zh-CN"/>
        </w:rPr>
        <w:t>衷心感谢您对我院工作</w:t>
      </w:r>
      <w:r w:rsidRPr="00CA7207">
        <w:rPr>
          <w:lang w:eastAsia="zh-CN"/>
        </w:rPr>
        <w:t>诚恳</w:t>
      </w:r>
      <w:r w:rsidRPr="00CA7207">
        <w:rPr>
          <w:rFonts w:asciiTheme="minorHAnsi" w:hAnsiTheme="minorHAnsi"/>
          <w:szCs w:val="24"/>
          <w:lang w:eastAsia="zh-CN"/>
        </w:rPr>
        <w:t>且积极的评价。</w:t>
      </w:r>
    </w:p>
    <w:p w:rsidR="00CA7207" w:rsidRPr="00CA7207" w:rsidRDefault="00CA7207" w:rsidP="00CA7207">
      <w:pPr>
        <w:ind w:firstLineChars="200" w:firstLine="480"/>
        <w:rPr>
          <w:rFonts w:asciiTheme="minorHAnsi" w:hAnsiTheme="minorHAnsi"/>
          <w:szCs w:val="24"/>
          <w:lang w:eastAsia="zh-CN"/>
        </w:rPr>
      </w:pPr>
      <w:r w:rsidRPr="00CA7207">
        <w:rPr>
          <w:rFonts w:asciiTheme="minorHAnsi" w:hAnsiTheme="minorHAnsi"/>
          <w:szCs w:val="24"/>
          <w:lang w:eastAsia="zh-CN"/>
        </w:rPr>
        <w:t>我谨荣幸地向您确认，我院有意继续承担此项重要的工作，不仅仅是分析和鉴证各项财务报表，还要通过专门报告完善国际电联的组织和管理体系。</w:t>
      </w:r>
    </w:p>
    <w:p w:rsidR="00CA7207" w:rsidRPr="00CA7207" w:rsidRDefault="00CA7207" w:rsidP="00CA7207">
      <w:pPr>
        <w:ind w:firstLineChars="200" w:firstLine="480"/>
        <w:rPr>
          <w:rFonts w:asciiTheme="minorHAnsi" w:hAnsiTheme="minorHAnsi"/>
          <w:szCs w:val="24"/>
          <w:lang w:eastAsia="zh-CN"/>
        </w:rPr>
      </w:pPr>
      <w:r w:rsidRPr="00CA7207">
        <w:rPr>
          <w:rFonts w:asciiTheme="minorHAnsi" w:hAnsiTheme="minorHAnsi"/>
          <w:szCs w:val="24"/>
          <w:lang w:eastAsia="zh-CN"/>
        </w:rPr>
        <w:t>顺致敬意！</w:t>
      </w:r>
    </w:p>
    <w:p w:rsidR="00CA7207" w:rsidRPr="00CA7207" w:rsidRDefault="00CA7207" w:rsidP="004576E4">
      <w:pPr>
        <w:overflowPunct/>
        <w:autoSpaceDE/>
        <w:autoSpaceDN/>
        <w:adjustRightInd/>
        <w:spacing w:before="720"/>
        <w:jc w:val="right"/>
        <w:textAlignment w:val="auto"/>
        <w:rPr>
          <w:rFonts w:asciiTheme="minorHAnsi" w:hAnsiTheme="minorHAnsi"/>
          <w:szCs w:val="24"/>
          <w:lang w:eastAsia="zh-CN"/>
        </w:rPr>
      </w:pPr>
      <w:r w:rsidRPr="00CA7207">
        <w:rPr>
          <w:rFonts w:asciiTheme="minorHAnsi" w:hAnsiTheme="minorHAnsi"/>
          <w:szCs w:val="24"/>
          <w:lang w:eastAsia="zh-CN"/>
        </w:rPr>
        <w:t>Angelo Buscema</w:t>
      </w:r>
    </w:p>
    <w:p w:rsidR="00CA7207" w:rsidRDefault="00CA7207">
      <w:pPr>
        <w:tabs>
          <w:tab w:val="clear" w:pos="794"/>
          <w:tab w:val="clear" w:pos="1191"/>
          <w:tab w:val="clear" w:pos="1588"/>
          <w:tab w:val="clear" w:pos="1985"/>
        </w:tabs>
        <w:overflowPunct/>
        <w:autoSpaceDE/>
        <w:autoSpaceDN/>
        <w:adjustRightInd/>
        <w:spacing w:before="0"/>
        <w:textAlignment w:val="auto"/>
        <w:rPr>
          <w:szCs w:val="24"/>
          <w:lang w:eastAsia="zh-CN"/>
        </w:rPr>
      </w:pPr>
      <w:r>
        <w:rPr>
          <w:szCs w:val="24"/>
          <w:lang w:eastAsia="zh-CN"/>
        </w:rPr>
        <w:br w:type="page"/>
      </w:r>
    </w:p>
    <w:p w:rsidR="0095140F" w:rsidRPr="0047655B" w:rsidRDefault="00254B68" w:rsidP="00254B68">
      <w:pPr>
        <w:pStyle w:val="AnnexNo"/>
        <w:rPr>
          <w:bCs/>
          <w:lang w:eastAsia="zh-CN"/>
        </w:rPr>
      </w:pPr>
      <w:r>
        <w:rPr>
          <w:b/>
          <w:lang w:eastAsia="zh-CN"/>
        </w:rPr>
        <w:lastRenderedPageBreak/>
        <w:t>附件</w:t>
      </w:r>
      <w:r w:rsidR="0095140F" w:rsidRPr="0047655B">
        <w:rPr>
          <w:lang w:eastAsia="zh-CN"/>
        </w:rPr>
        <w:t>B</w:t>
      </w:r>
    </w:p>
    <w:p w:rsidR="00043339" w:rsidRPr="0065618D" w:rsidRDefault="00043339" w:rsidP="00043339">
      <w:pPr>
        <w:pStyle w:val="ResNo"/>
        <w:rPr>
          <w:rFonts w:cs="Calibri"/>
          <w:lang w:eastAsia="zh-CN"/>
        </w:rPr>
      </w:pPr>
      <w:r w:rsidRPr="0065618D">
        <w:rPr>
          <w:rFonts w:cs="Calibri" w:hint="eastAsia"/>
          <w:lang w:eastAsia="zh-CN"/>
        </w:rPr>
        <w:t>决定草案</w:t>
      </w:r>
    </w:p>
    <w:p w:rsidR="00043339" w:rsidRPr="0065618D" w:rsidRDefault="00043339" w:rsidP="00043339">
      <w:pPr>
        <w:pStyle w:val="Restitle"/>
        <w:rPr>
          <w:rFonts w:cs="Calibri"/>
          <w:lang w:eastAsia="zh-CN"/>
        </w:rPr>
      </w:pPr>
      <w:bookmarkStart w:id="11" w:name="OLE_LINK9"/>
      <w:bookmarkStart w:id="12" w:name="OLE_LINK10"/>
      <w:r w:rsidRPr="0065618D">
        <w:rPr>
          <w:rFonts w:cs="Calibri" w:hint="eastAsia"/>
          <w:lang w:eastAsia="zh-CN"/>
        </w:rPr>
        <w:t>对国际电联帐目的审计</w:t>
      </w:r>
    </w:p>
    <w:bookmarkEnd w:id="11"/>
    <w:bookmarkEnd w:id="12"/>
    <w:p w:rsidR="00043339" w:rsidRPr="003D0E1D" w:rsidRDefault="00043339" w:rsidP="00043339">
      <w:pPr>
        <w:pStyle w:val="Normalaftertitle"/>
        <w:rPr>
          <w:rFonts w:asciiTheme="minorHAnsi" w:hAnsiTheme="minorHAnsi"/>
          <w:lang w:eastAsia="zh-CN"/>
        </w:rPr>
      </w:pPr>
      <w:r>
        <w:rPr>
          <w:rFonts w:asciiTheme="minorHAnsi" w:hAnsiTheme="minorHAnsi" w:hint="eastAsia"/>
          <w:lang w:eastAsia="zh-CN"/>
        </w:rPr>
        <w:t>理事会，</w:t>
      </w:r>
    </w:p>
    <w:p w:rsidR="00043339" w:rsidRPr="00043339" w:rsidRDefault="00043339" w:rsidP="00043339">
      <w:pPr>
        <w:pStyle w:val="Call"/>
        <w:rPr>
          <w:rFonts w:eastAsia="STKaiti"/>
          <w:lang w:eastAsia="zh-CN"/>
        </w:rPr>
      </w:pPr>
      <w:r w:rsidRPr="00043339">
        <w:rPr>
          <w:rFonts w:eastAsia="STKaiti" w:hint="eastAsia"/>
          <w:lang w:eastAsia="zh-CN"/>
        </w:rPr>
        <w:t>考虑到</w:t>
      </w:r>
    </w:p>
    <w:p w:rsidR="00043339" w:rsidRPr="007E6567" w:rsidRDefault="00043339" w:rsidP="00043339">
      <w:pPr>
        <w:rPr>
          <w:lang w:eastAsia="zh-CN"/>
        </w:rPr>
      </w:pPr>
      <w:r w:rsidRPr="001D39EC">
        <w:rPr>
          <w:rFonts w:hint="eastAsia"/>
          <w:i/>
          <w:iCs/>
          <w:lang w:eastAsia="zh-CN"/>
        </w:rPr>
        <w:t>a)</w:t>
      </w:r>
      <w:r>
        <w:rPr>
          <w:rFonts w:hint="eastAsia"/>
          <w:lang w:eastAsia="zh-CN"/>
        </w:rPr>
        <w:tab/>
      </w:r>
      <w:r>
        <w:rPr>
          <w:rFonts w:hint="eastAsia"/>
          <w:lang w:eastAsia="zh-CN"/>
        </w:rPr>
        <w:t>第</w:t>
      </w:r>
      <w:r>
        <w:rPr>
          <w:rFonts w:hint="eastAsia"/>
          <w:lang w:eastAsia="zh-CN"/>
        </w:rPr>
        <w:t>94</w:t>
      </w:r>
      <w:r>
        <w:rPr>
          <w:rFonts w:hint="eastAsia"/>
          <w:lang w:eastAsia="zh-CN"/>
        </w:rPr>
        <w:t>号决议（</w:t>
      </w:r>
      <w:r>
        <w:rPr>
          <w:rFonts w:hint="eastAsia"/>
          <w:lang w:eastAsia="zh-CN"/>
        </w:rPr>
        <w:t>201</w:t>
      </w:r>
      <w:r>
        <w:rPr>
          <w:lang w:eastAsia="zh-CN"/>
        </w:rPr>
        <w:t>8</w:t>
      </w:r>
      <w:r>
        <w:rPr>
          <w:rFonts w:hint="eastAsia"/>
          <w:lang w:eastAsia="zh-CN"/>
        </w:rPr>
        <w:t>年，迪拜，修订版）；</w:t>
      </w:r>
    </w:p>
    <w:p w:rsidR="00043339" w:rsidRDefault="00043339" w:rsidP="00043339">
      <w:pPr>
        <w:rPr>
          <w:lang w:eastAsia="zh-CN"/>
        </w:rPr>
      </w:pPr>
      <w:r w:rsidRPr="001D39EC">
        <w:rPr>
          <w:rFonts w:hint="eastAsia"/>
          <w:i/>
          <w:iCs/>
          <w:lang w:eastAsia="zh-CN"/>
        </w:rPr>
        <w:t>b)</w:t>
      </w:r>
      <w:r>
        <w:rPr>
          <w:rFonts w:hint="eastAsia"/>
          <w:lang w:eastAsia="zh-CN"/>
        </w:rPr>
        <w:tab/>
      </w:r>
      <w:r w:rsidR="00407E62">
        <w:rPr>
          <w:rFonts w:hint="eastAsia"/>
          <w:lang w:eastAsia="zh-CN"/>
        </w:rPr>
        <w:t>评估委员会</w:t>
      </w:r>
      <w:r>
        <w:rPr>
          <w:rFonts w:hint="eastAsia"/>
          <w:lang w:eastAsia="zh-CN"/>
        </w:rPr>
        <w:t>关于遴选国际电联外部审计员的报告，</w:t>
      </w:r>
    </w:p>
    <w:p w:rsidR="00043339" w:rsidRPr="001D39EC" w:rsidRDefault="00043339" w:rsidP="00043339">
      <w:pPr>
        <w:pStyle w:val="Call"/>
        <w:rPr>
          <w:lang w:eastAsia="zh-CN"/>
        </w:rPr>
      </w:pPr>
      <w:r w:rsidRPr="00043339">
        <w:rPr>
          <w:rFonts w:eastAsia="STKaiti" w:hint="eastAsia"/>
          <w:lang w:eastAsia="zh-CN"/>
        </w:rPr>
        <w:t>顾及</w:t>
      </w:r>
    </w:p>
    <w:p w:rsidR="00043339" w:rsidRPr="007E6567" w:rsidRDefault="00043339" w:rsidP="00043339">
      <w:pPr>
        <w:ind w:firstLineChars="200" w:firstLine="480"/>
        <w:rPr>
          <w:lang w:eastAsia="zh-CN"/>
        </w:rPr>
      </w:pPr>
      <w:r>
        <w:rPr>
          <w:rFonts w:hint="eastAsia"/>
          <w:lang w:eastAsia="zh-CN"/>
        </w:rPr>
        <w:t>国际电联《财务条例和财务细则》（</w:t>
      </w:r>
      <w:r>
        <w:rPr>
          <w:rFonts w:hint="eastAsia"/>
          <w:lang w:eastAsia="zh-CN"/>
        </w:rPr>
        <w:t>2018</w:t>
      </w:r>
      <w:r>
        <w:rPr>
          <w:rFonts w:hint="eastAsia"/>
          <w:lang w:eastAsia="zh-CN"/>
        </w:rPr>
        <w:t>年），</w:t>
      </w:r>
    </w:p>
    <w:p w:rsidR="00043339" w:rsidRPr="00043339" w:rsidRDefault="00043339" w:rsidP="00043339">
      <w:pPr>
        <w:pStyle w:val="Call"/>
        <w:rPr>
          <w:rFonts w:eastAsia="STKaiti"/>
          <w:lang w:eastAsia="zh-CN"/>
        </w:rPr>
      </w:pPr>
      <w:r w:rsidRPr="00043339">
        <w:rPr>
          <w:rFonts w:eastAsia="STKaiti" w:hint="eastAsia"/>
          <w:lang w:eastAsia="zh-CN"/>
        </w:rPr>
        <w:t>做出决定</w:t>
      </w:r>
    </w:p>
    <w:p w:rsidR="0095140F" w:rsidRDefault="0095140F" w:rsidP="00A2155A">
      <w:pPr>
        <w:rPr>
          <w:rFonts w:asciiTheme="minorHAnsi" w:hAnsiTheme="minorHAnsi"/>
          <w:lang w:eastAsia="zh-CN"/>
        </w:rPr>
      </w:pPr>
      <w:r>
        <w:rPr>
          <w:rFonts w:asciiTheme="minorHAnsi" w:hAnsiTheme="minorHAnsi"/>
          <w:color w:val="000000"/>
          <w:szCs w:val="24"/>
          <w:lang w:eastAsia="zh-CN"/>
        </w:rPr>
        <w:t>1</w:t>
      </w:r>
      <w:r>
        <w:rPr>
          <w:rFonts w:asciiTheme="minorHAnsi" w:hAnsiTheme="minorHAnsi"/>
          <w:color w:val="000000"/>
          <w:szCs w:val="24"/>
          <w:lang w:eastAsia="zh-CN"/>
        </w:rPr>
        <w:tab/>
      </w:r>
      <w:r w:rsidR="00A2155A">
        <w:rPr>
          <w:rFonts w:asciiTheme="minorHAnsi" w:hAnsiTheme="minorHAnsi"/>
          <w:color w:val="000000"/>
          <w:szCs w:val="24"/>
          <w:lang w:eastAsia="zh-CN"/>
        </w:rPr>
        <w:t>取消</w:t>
      </w:r>
      <w:r w:rsidR="00A2155A">
        <w:rPr>
          <w:rFonts w:asciiTheme="minorHAnsi" w:hAnsiTheme="minorHAnsi" w:hint="eastAsia"/>
          <w:color w:val="000000"/>
          <w:szCs w:val="24"/>
          <w:lang w:eastAsia="zh-CN"/>
        </w:rPr>
        <w:t>2</w:t>
      </w:r>
      <w:r w:rsidR="00A2155A">
        <w:rPr>
          <w:rFonts w:asciiTheme="minorHAnsi" w:hAnsiTheme="minorHAnsi"/>
          <w:color w:val="000000"/>
          <w:szCs w:val="24"/>
          <w:lang w:eastAsia="zh-CN"/>
        </w:rPr>
        <w:t>018</w:t>
      </w:r>
      <w:r w:rsidR="00A2155A">
        <w:rPr>
          <w:rFonts w:asciiTheme="minorHAnsi" w:hAnsiTheme="minorHAnsi"/>
          <w:color w:val="000000"/>
          <w:szCs w:val="24"/>
          <w:lang w:eastAsia="zh-CN"/>
        </w:rPr>
        <w:t>年</w:t>
      </w:r>
      <w:r w:rsidR="00A2155A">
        <w:rPr>
          <w:rFonts w:asciiTheme="minorHAnsi" w:hAnsiTheme="minorHAnsi" w:hint="eastAsia"/>
          <w:color w:val="000000"/>
          <w:szCs w:val="24"/>
          <w:lang w:eastAsia="zh-CN"/>
        </w:rPr>
        <w:t>1</w:t>
      </w:r>
      <w:r w:rsidR="00A2155A">
        <w:rPr>
          <w:rFonts w:asciiTheme="minorHAnsi" w:hAnsiTheme="minorHAnsi"/>
          <w:color w:val="000000"/>
          <w:szCs w:val="24"/>
          <w:lang w:eastAsia="zh-CN"/>
        </w:rPr>
        <w:t>2</w:t>
      </w:r>
      <w:r w:rsidR="00A2155A">
        <w:rPr>
          <w:rFonts w:asciiTheme="minorHAnsi" w:hAnsiTheme="minorHAnsi"/>
          <w:color w:val="000000"/>
          <w:szCs w:val="24"/>
          <w:lang w:eastAsia="zh-CN"/>
        </w:rPr>
        <w:t>月启动的国际电联外部审计员招标进程；</w:t>
      </w:r>
    </w:p>
    <w:p w:rsidR="0095140F" w:rsidRPr="001A18DC" w:rsidRDefault="0095140F" w:rsidP="00F37A95">
      <w:pPr>
        <w:rPr>
          <w:rFonts w:asciiTheme="minorHAnsi" w:hAnsiTheme="minorHAnsi"/>
          <w:lang w:eastAsia="zh-CN"/>
        </w:rPr>
      </w:pPr>
      <w:r>
        <w:rPr>
          <w:rFonts w:cs="Calibri"/>
          <w:szCs w:val="24"/>
          <w:lang w:eastAsia="zh-CN"/>
        </w:rPr>
        <w:t>2</w:t>
      </w:r>
      <w:r>
        <w:rPr>
          <w:rFonts w:cs="Calibri"/>
          <w:szCs w:val="24"/>
          <w:lang w:eastAsia="zh-CN"/>
        </w:rPr>
        <w:tab/>
      </w:r>
      <w:r w:rsidR="00A2155A">
        <w:rPr>
          <w:rFonts w:cs="Calibri"/>
          <w:szCs w:val="24"/>
          <w:lang w:eastAsia="zh-CN"/>
        </w:rPr>
        <w:t>在本次理事会会议之后</w:t>
      </w:r>
      <w:r w:rsidR="00F37A95">
        <w:rPr>
          <w:rFonts w:cs="Calibri"/>
          <w:szCs w:val="24"/>
          <w:lang w:eastAsia="zh-CN"/>
        </w:rPr>
        <w:t>，采用相同的方法酌情</w:t>
      </w:r>
      <w:r w:rsidR="00A2155A">
        <w:rPr>
          <w:rFonts w:cs="Calibri"/>
          <w:szCs w:val="24"/>
          <w:lang w:eastAsia="zh-CN"/>
        </w:rPr>
        <w:t>重新启动国际电联外部审计员</w:t>
      </w:r>
      <w:r w:rsidR="00F37A95">
        <w:rPr>
          <w:rFonts w:hint="eastAsia"/>
          <w:lang w:eastAsia="zh-CN"/>
        </w:rPr>
        <w:t>遴选进程，以及</w:t>
      </w:r>
    </w:p>
    <w:p w:rsidR="0095140F" w:rsidRPr="001A18DC" w:rsidRDefault="0095140F" w:rsidP="00A8234D">
      <w:pPr>
        <w:rPr>
          <w:rFonts w:asciiTheme="minorHAnsi" w:hAnsiTheme="minorHAnsi"/>
          <w:lang w:eastAsia="zh-CN"/>
        </w:rPr>
      </w:pPr>
      <w:r>
        <w:rPr>
          <w:rFonts w:cs="Calibri"/>
          <w:szCs w:val="24"/>
          <w:lang w:eastAsia="zh-CN"/>
        </w:rPr>
        <w:t>3</w:t>
      </w:r>
      <w:r>
        <w:rPr>
          <w:rFonts w:cs="Calibri"/>
          <w:szCs w:val="24"/>
          <w:lang w:eastAsia="zh-CN"/>
        </w:rPr>
        <w:tab/>
      </w:r>
      <w:r w:rsidR="00F37A95">
        <w:rPr>
          <w:rFonts w:cs="Calibri"/>
          <w:szCs w:val="24"/>
          <w:lang w:eastAsia="zh-CN"/>
        </w:rPr>
        <w:t>将现任外部审计员</w:t>
      </w:r>
      <w:r w:rsidR="00F37A95" w:rsidRPr="000E2536">
        <w:rPr>
          <w:rFonts w:hint="eastAsia"/>
          <w:lang w:val="en-US" w:eastAsia="zh-CN"/>
        </w:rPr>
        <w:t>意大利</w:t>
      </w:r>
      <w:r w:rsidR="00F37A95">
        <w:rPr>
          <w:rFonts w:hint="eastAsia"/>
          <w:lang w:val="en-US" w:eastAsia="zh-CN"/>
        </w:rPr>
        <w:t>最高审计机构</w:t>
      </w:r>
      <w:r w:rsidR="00A8234D">
        <w:rPr>
          <w:rFonts w:hint="eastAsia"/>
          <w:lang w:val="en-US" w:eastAsia="zh-CN"/>
        </w:rPr>
        <w:t xml:space="preserve"> </w:t>
      </w:r>
      <w:r w:rsidR="00A8234D" w:rsidRPr="00A8234D">
        <w:rPr>
          <w:lang w:val="en-US" w:eastAsia="zh-CN"/>
        </w:rPr>
        <w:t>–</w:t>
      </w:r>
      <w:r w:rsidR="00A8234D">
        <w:rPr>
          <w:lang w:val="en-US" w:eastAsia="zh-CN"/>
        </w:rPr>
        <w:t xml:space="preserve"> </w:t>
      </w:r>
      <w:r w:rsidR="00F37A95">
        <w:rPr>
          <w:rFonts w:hint="eastAsia"/>
          <w:lang w:val="en-US" w:eastAsia="zh-CN"/>
        </w:rPr>
        <w:t>意大利</w:t>
      </w:r>
      <w:r w:rsidR="00F37A95" w:rsidRPr="00D05458">
        <w:rPr>
          <w:lang w:eastAsia="zh-CN"/>
        </w:rPr>
        <w:t>审计院</w:t>
      </w:r>
      <w:r w:rsidR="00F37A95">
        <w:rPr>
          <w:lang w:eastAsia="zh-CN"/>
        </w:rPr>
        <w:t>的任期</w:t>
      </w:r>
      <w:r w:rsidR="00DE5A80">
        <w:rPr>
          <w:lang w:eastAsia="zh-CN"/>
        </w:rPr>
        <w:t>再</w:t>
      </w:r>
      <w:r w:rsidR="00F37A95">
        <w:rPr>
          <w:rFonts w:hint="eastAsia"/>
          <w:lang w:eastAsia="zh-CN"/>
        </w:rPr>
        <w:t>延长两年</w:t>
      </w:r>
      <w:r w:rsidR="00DE5A80">
        <w:rPr>
          <w:rFonts w:hint="eastAsia"/>
          <w:lang w:eastAsia="zh-CN"/>
        </w:rPr>
        <w:t>，以审计国际电联</w:t>
      </w:r>
      <w:r w:rsidR="00DE5A80">
        <w:rPr>
          <w:rFonts w:hint="eastAsia"/>
          <w:lang w:eastAsia="zh-CN"/>
        </w:rPr>
        <w:t>2</w:t>
      </w:r>
      <w:r w:rsidR="00DE5A80">
        <w:rPr>
          <w:lang w:eastAsia="zh-CN"/>
        </w:rPr>
        <w:t>020</w:t>
      </w:r>
      <w:r w:rsidR="00DE5A80">
        <w:rPr>
          <w:lang w:eastAsia="zh-CN"/>
        </w:rPr>
        <w:t>和</w:t>
      </w:r>
      <w:r w:rsidR="00DE5A80">
        <w:rPr>
          <w:rFonts w:hint="eastAsia"/>
          <w:lang w:eastAsia="zh-CN"/>
        </w:rPr>
        <w:t>2</w:t>
      </w:r>
      <w:r w:rsidR="00DE5A80">
        <w:rPr>
          <w:lang w:eastAsia="zh-CN"/>
        </w:rPr>
        <w:t>021</w:t>
      </w:r>
      <w:r w:rsidR="00DE5A80">
        <w:rPr>
          <w:lang w:eastAsia="zh-CN"/>
        </w:rPr>
        <w:t>年财务报表，</w:t>
      </w:r>
    </w:p>
    <w:p w:rsidR="00043339" w:rsidRPr="00043339" w:rsidRDefault="00043339" w:rsidP="00043339">
      <w:pPr>
        <w:pStyle w:val="Call"/>
        <w:rPr>
          <w:rFonts w:eastAsia="STKaiti"/>
          <w:lang w:eastAsia="zh-CN"/>
        </w:rPr>
      </w:pPr>
      <w:r w:rsidRPr="00043339">
        <w:rPr>
          <w:rFonts w:eastAsia="STKaiti" w:hint="eastAsia"/>
          <w:lang w:eastAsia="zh-CN"/>
        </w:rPr>
        <w:t>责成秘书长</w:t>
      </w:r>
    </w:p>
    <w:p w:rsidR="0095140F" w:rsidRPr="00996384" w:rsidRDefault="0095140F" w:rsidP="00DE5A80">
      <w:pPr>
        <w:rPr>
          <w:lang w:eastAsia="zh-CN"/>
        </w:rPr>
      </w:pPr>
      <w:r>
        <w:rPr>
          <w:lang w:eastAsia="zh-CN"/>
        </w:rPr>
        <w:t>1</w:t>
      </w:r>
      <w:r>
        <w:rPr>
          <w:lang w:eastAsia="zh-CN"/>
        </w:rPr>
        <w:tab/>
      </w:r>
      <w:r w:rsidR="00043339">
        <w:rPr>
          <w:rFonts w:hint="eastAsia"/>
          <w:lang w:eastAsia="zh-CN"/>
        </w:rPr>
        <w:t>请意大利最高审计机构</w:t>
      </w:r>
      <w:r w:rsidR="00DE5A80">
        <w:rPr>
          <w:rFonts w:hint="eastAsia"/>
          <w:lang w:eastAsia="zh-CN"/>
        </w:rPr>
        <w:t>负责人</w:t>
      </w:r>
      <w:r w:rsidR="00043339">
        <w:rPr>
          <w:rFonts w:hint="eastAsia"/>
          <w:lang w:eastAsia="zh-CN"/>
        </w:rPr>
        <w:t>注意本决定，并酌情</w:t>
      </w:r>
      <w:r w:rsidR="00DE5A80">
        <w:rPr>
          <w:rFonts w:hint="eastAsia"/>
          <w:lang w:eastAsia="zh-CN"/>
        </w:rPr>
        <w:t>修订目前</w:t>
      </w:r>
      <w:r w:rsidR="00043339">
        <w:rPr>
          <w:rFonts w:hint="eastAsia"/>
          <w:lang w:eastAsia="zh-CN"/>
        </w:rPr>
        <w:t>与其签署</w:t>
      </w:r>
      <w:r w:rsidR="00DE5A80">
        <w:rPr>
          <w:rFonts w:hint="eastAsia"/>
          <w:lang w:eastAsia="zh-CN"/>
        </w:rPr>
        <w:t>的</w:t>
      </w:r>
      <w:r w:rsidR="00043339">
        <w:rPr>
          <w:rFonts w:hint="eastAsia"/>
          <w:lang w:eastAsia="zh-CN"/>
        </w:rPr>
        <w:t>协议；</w:t>
      </w:r>
    </w:p>
    <w:p w:rsidR="0095140F" w:rsidRDefault="0095140F" w:rsidP="00450BFF">
      <w:pPr>
        <w:rPr>
          <w:lang w:eastAsia="zh-CN"/>
        </w:rPr>
      </w:pPr>
      <w:r>
        <w:rPr>
          <w:lang w:eastAsia="zh-CN"/>
        </w:rPr>
        <w:t>2</w:t>
      </w:r>
      <w:r>
        <w:rPr>
          <w:lang w:eastAsia="zh-CN"/>
        </w:rPr>
        <w:tab/>
      </w:r>
      <w:r w:rsidR="00DE5A80">
        <w:rPr>
          <w:lang w:eastAsia="zh-CN"/>
        </w:rPr>
        <w:t>向</w:t>
      </w:r>
      <w:r w:rsidR="000E2536" w:rsidRPr="000E2536">
        <w:rPr>
          <w:rFonts w:hint="eastAsia"/>
          <w:lang w:val="en-US" w:eastAsia="zh-CN"/>
        </w:rPr>
        <w:t>六个主要区域电信组织</w:t>
      </w:r>
      <w:r w:rsidR="00DE5A80">
        <w:rPr>
          <w:rFonts w:hint="eastAsia"/>
          <w:lang w:val="en-US" w:eastAsia="zh-CN"/>
        </w:rPr>
        <w:t>发出通函</w:t>
      </w:r>
      <w:r w:rsidR="000E2536" w:rsidRPr="000E2536">
        <w:rPr>
          <w:rFonts w:hint="eastAsia"/>
          <w:lang w:val="en-US" w:eastAsia="zh-CN"/>
        </w:rPr>
        <w:t>，要求</w:t>
      </w:r>
      <w:r w:rsidR="00DE5A80">
        <w:rPr>
          <w:rFonts w:hint="eastAsia"/>
          <w:lang w:val="en-US" w:eastAsia="zh-CN"/>
        </w:rPr>
        <w:t>它们提名进入</w:t>
      </w:r>
      <w:r w:rsidR="00450BFF">
        <w:rPr>
          <w:rFonts w:hint="eastAsia"/>
          <w:lang w:val="en-US" w:eastAsia="zh-CN"/>
        </w:rPr>
        <w:t>新遴选进程的</w:t>
      </w:r>
      <w:r w:rsidR="000E2536" w:rsidRPr="000E2536">
        <w:rPr>
          <w:rFonts w:hint="eastAsia"/>
          <w:lang w:val="en-US" w:eastAsia="zh-CN"/>
        </w:rPr>
        <w:t>评估委员会</w:t>
      </w:r>
      <w:r w:rsidR="00450BFF">
        <w:rPr>
          <w:rFonts w:hint="eastAsia"/>
          <w:lang w:val="en-US" w:eastAsia="zh-CN"/>
        </w:rPr>
        <w:t>的人选；</w:t>
      </w:r>
    </w:p>
    <w:p w:rsidR="0095140F" w:rsidRDefault="0095140F" w:rsidP="00C4787E">
      <w:pPr>
        <w:rPr>
          <w:lang w:eastAsia="zh-CN"/>
        </w:rPr>
      </w:pPr>
      <w:r>
        <w:rPr>
          <w:lang w:eastAsia="zh-CN"/>
        </w:rPr>
        <w:t>3</w:t>
      </w:r>
      <w:r>
        <w:rPr>
          <w:lang w:eastAsia="zh-CN"/>
        </w:rPr>
        <w:tab/>
      </w:r>
      <w:r w:rsidR="000E2536" w:rsidRPr="000E2536">
        <w:rPr>
          <w:rFonts w:hint="eastAsia"/>
          <w:lang w:val="en-US" w:eastAsia="zh-CN"/>
        </w:rPr>
        <w:t>向评估委员会提供秘书支持，以便其能够向理事会提交建议，在</w:t>
      </w:r>
      <w:r w:rsidR="00450BFF">
        <w:rPr>
          <w:rFonts w:hint="eastAsia"/>
          <w:lang w:val="en-US" w:eastAsia="zh-CN"/>
        </w:rPr>
        <w:t>理事会</w:t>
      </w:r>
      <w:r w:rsidR="000E2536" w:rsidRPr="000E2536">
        <w:rPr>
          <w:rFonts w:hint="eastAsia"/>
          <w:lang w:val="en-US" w:eastAsia="zh-CN"/>
        </w:rPr>
        <w:t>2020</w:t>
      </w:r>
      <w:r w:rsidR="000E2536" w:rsidRPr="000E2536">
        <w:rPr>
          <w:rFonts w:hint="eastAsia"/>
          <w:lang w:val="en-US" w:eastAsia="zh-CN"/>
        </w:rPr>
        <w:t>年</w:t>
      </w:r>
      <w:r w:rsidR="00450BFF">
        <w:rPr>
          <w:rFonts w:hint="eastAsia"/>
          <w:lang w:val="en-US" w:eastAsia="zh-CN"/>
        </w:rPr>
        <w:t>会议</w:t>
      </w:r>
      <w:r w:rsidR="000E2536" w:rsidRPr="000E2536">
        <w:rPr>
          <w:rFonts w:hint="eastAsia"/>
          <w:lang w:val="en-US" w:eastAsia="zh-CN"/>
        </w:rPr>
        <w:t>上任命新的</w:t>
      </w:r>
      <w:r w:rsidR="00450BFF">
        <w:rPr>
          <w:rFonts w:hint="eastAsia"/>
          <w:lang w:val="en-US" w:eastAsia="zh-CN"/>
        </w:rPr>
        <w:t>外部</w:t>
      </w:r>
      <w:r w:rsidR="000E2536" w:rsidRPr="000E2536">
        <w:rPr>
          <w:rFonts w:hint="eastAsia"/>
          <w:lang w:val="en-US" w:eastAsia="zh-CN"/>
        </w:rPr>
        <w:t>审计员</w:t>
      </w:r>
      <w:r w:rsidR="00450BFF">
        <w:rPr>
          <w:rFonts w:hint="eastAsia"/>
          <w:lang w:val="en-US" w:eastAsia="zh-CN"/>
        </w:rPr>
        <w:t>。</w:t>
      </w:r>
    </w:p>
    <w:p w:rsidR="00E378D8" w:rsidRPr="0013293F" w:rsidRDefault="00E378D8" w:rsidP="00C4787E">
      <w:pPr>
        <w:pStyle w:val="Reasons"/>
        <w:rPr>
          <w:lang w:eastAsia="zh-CN"/>
        </w:rPr>
      </w:pPr>
    </w:p>
    <w:p w:rsidR="00195FED" w:rsidRDefault="00B40A53" w:rsidP="00B45365">
      <w:pPr>
        <w:pStyle w:val="ListParagraph"/>
        <w:jc w:val="center"/>
        <w:rPr>
          <w:lang w:eastAsia="zh-CN"/>
        </w:rPr>
      </w:pPr>
      <w:r w:rsidRPr="00280EB8">
        <w:rPr>
          <w:lang w:val="en-US" w:eastAsia="zh-CN"/>
        </w:rPr>
        <w:t>________________</w:t>
      </w:r>
    </w:p>
    <w:sectPr w:rsidR="00195FED" w:rsidSect="006C36CD">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4C0" w:rsidRDefault="00D954C0">
      <w:r>
        <w:separator/>
      </w:r>
    </w:p>
  </w:endnote>
  <w:endnote w:type="continuationSeparator" w:id="0">
    <w:p w:rsidR="00D954C0" w:rsidRDefault="00D95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4E4BFF" w:rsidRDefault="005C34E5" w:rsidP="00C06C08">
    <w:pPr>
      <w:pStyle w:val="Footer"/>
    </w:pPr>
    <w:r>
      <w:fldChar w:fldCharType="begin"/>
    </w:r>
    <w:r>
      <w:instrText xml:space="preserve"> FILENAME \p  \* MERGEFORMAT </w:instrText>
    </w:r>
    <w:r>
      <w:fldChar w:fldCharType="separate"/>
    </w:r>
    <w:r w:rsidR="00D273DE">
      <w:t>P:\CHI\SG\CONSEIL\C19\000\059C.docx</w:t>
    </w:r>
    <w:r>
      <w:fldChar w:fldCharType="end"/>
    </w:r>
    <w:r w:rsidR="004E4BFF">
      <w:t xml:space="preserve"> (</w:t>
    </w:r>
    <w:r w:rsidR="00C06C08">
      <w:t>454910</w:t>
    </w:r>
    <w:r w:rsidR="004E4BFF">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4C0" w:rsidRDefault="00D954C0">
      <w:r>
        <w:t>____________________</w:t>
      </w:r>
    </w:p>
  </w:footnote>
  <w:footnote w:type="continuationSeparator" w:id="0">
    <w:p w:rsidR="00D954C0" w:rsidRDefault="00D954C0">
      <w:r>
        <w:continuationSeparator/>
      </w:r>
    </w:p>
  </w:footnote>
  <w:footnote w:id="1">
    <w:p w:rsidR="000A0FFB" w:rsidRPr="00D3443D" w:rsidRDefault="000A0FFB" w:rsidP="00D36CE4">
      <w:pPr>
        <w:pStyle w:val="FootnoteText"/>
        <w:rPr>
          <w:lang w:val="en-US" w:eastAsia="zh-CN"/>
        </w:rPr>
      </w:pPr>
      <w:r>
        <w:rPr>
          <w:rStyle w:val="FootnoteReference"/>
        </w:rPr>
        <w:footnoteRef/>
      </w:r>
      <w:r>
        <w:rPr>
          <w:lang w:eastAsia="zh-CN"/>
        </w:rPr>
        <w:t xml:space="preserve"> </w:t>
      </w:r>
      <w:r w:rsidR="00D36CE4" w:rsidRPr="00D36CE4">
        <w:rPr>
          <w:rFonts w:hint="eastAsia"/>
          <w:sz w:val="20"/>
          <w:lang w:eastAsia="zh-CN"/>
        </w:rPr>
        <w:t>在整个过程中，秘书处的</w:t>
      </w:r>
      <w:r w:rsidR="00D36CE4">
        <w:rPr>
          <w:rFonts w:hint="eastAsia"/>
          <w:sz w:val="20"/>
          <w:lang w:eastAsia="zh-CN"/>
        </w:rPr>
        <w:t>职责</w:t>
      </w:r>
      <w:r w:rsidR="00D36CE4" w:rsidRPr="00D36CE4">
        <w:rPr>
          <w:rFonts w:hint="eastAsia"/>
          <w:sz w:val="20"/>
          <w:lang w:eastAsia="zh-CN"/>
        </w:rPr>
        <w:t>由国际电联内部审计</w:t>
      </w:r>
      <w:r w:rsidR="00D36CE4">
        <w:rPr>
          <w:rFonts w:hint="eastAsia"/>
          <w:sz w:val="20"/>
          <w:lang w:eastAsia="zh-CN"/>
        </w:rPr>
        <w:t>处</w:t>
      </w:r>
      <w:r w:rsidR="00D36CE4" w:rsidRPr="00D36CE4">
        <w:rPr>
          <w:rFonts w:hint="eastAsia"/>
          <w:sz w:val="20"/>
          <w:lang w:eastAsia="zh-CN"/>
        </w:rPr>
        <w:t>承担</w:t>
      </w:r>
      <w:r w:rsidR="00D36CE4">
        <w:rPr>
          <w:rFonts w:hint="eastAsia"/>
          <w:sz w:val="20"/>
          <w:lang w:eastAsia="zh-CN"/>
        </w:rPr>
        <w:t>。该处</w:t>
      </w:r>
      <w:r w:rsidR="00D36CE4" w:rsidRPr="00D36CE4">
        <w:rPr>
          <w:rFonts w:hint="eastAsia"/>
          <w:sz w:val="20"/>
          <w:lang w:eastAsia="zh-CN"/>
        </w:rPr>
        <w:t>与国际电联采购</w:t>
      </w:r>
      <w:r w:rsidR="00D36CE4">
        <w:rPr>
          <w:rFonts w:hint="eastAsia"/>
          <w:sz w:val="20"/>
          <w:lang w:eastAsia="zh-CN"/>
        </w:rPr>
        <w:t>处</w:t>
      </w:r>
      <w:r w:rsidR="00D36CE4" w:rsidRPr="00D36CE4">
        <w:rPr>
          <w:rFonts w:hint="eastAsia"/>
          <w:sz w:val="20"/>
          <w:lang w:eastAsia="zh-CN"/>
        </w:rPr>
        <w:t>密切合作，国际电联法律顾问</w:t>
      </w:r>
      <w:r w:rsidR="00D36CE4">
        <w:rPr>
          <w:rFonts w:hint="eastAsia"/>
          <w:sz w:val="20"/>
          <w:lang w:eastAsia="zh-CN"/>
        </w:rPr>
        <w:t>亦提供了输入意见。</w:t>
      </w:r>
    </w:p>
  </w:footnote>
  <w:footnote w:id="2">
    <w:p w:rsidR="006B6F36" w:rsidRPr="00996384" w:rsidRDefault="006B6F36" w:rsidP="00D36CE4">
      <w:pPr>
        <w:pStyle w:val="FootnoteText"/>
        <w:spacing w:before="80"/>
        <w:rPr>
          <w:lang w:val="en-US" w:eastAsia="zh-CN"/>
        </w:rPr>
      </w:pPr>
      <w:r>
        <w:rPr>
          <w:rStyle w:val="FootnoteReference"/>
        </w:rPr>
        <w:footnoteRef/>
      </w:r>
      <w:r>
        <w:rPr>
          <w:lang w:eastAsia="zh-CN"/>
        </w:rPr>
        <w:t xml:space="preserve"> </w:t>
      </w:r>
      <w:r>
        <w:rPr>
          <w:lang w:eastAsia="zh-CN"/>
        </w:rPr>
        <w:tab/>
      </w:r>
      <w:r w:rsidR="00D36CE4" w:rsidRPr="00D36CE4">
        <w:rPr>
          <w:rFonts w:hint="eastAsia"/>
          <w:sz w:val="20"/>
          <w:lang w:eastAsia="zh-CN"/>
        </w:rPr>
        <w:t>根据</w:t>
      </w:r>
      <w:r w:rsidR="00D36CE4">
        <w:rPr>
          <w:rFonts w:hint="eastAsia"/>
          <w:sz w:val="20"/>
          <w:lang w:eastAsia="zh-CN"/>
        </w:rPr>
        <w:t>《组织法》第</w:t>
      </w:r>
      <w:r w:rsidR="00D36CE4" w:rsidRPr="00D36CE4">
        <w:rPr>
          <w:rFonts w:hint="eastAsia"/>
          <w:sz w:val="20"/>
          <w:lang w:eastAsia="zh-CN"/>
        </w:rPr>
        <w:t>41</w:t>
      </w:r>
      <w:r w:rsidR="00D36CE4">
        <w:rPr>
          <w:rFonts w:hint="eastAsia"/>
          <w:sz w:val="20"/>
          <w:lang w:eastAsia="zh-CN"/>
        </w:rPr>
        <w:t>款</w:t>
      </w:r>
      <w:r w:rsidR="00D36CE4" w:rsidRPr="00D36CE4">
        <w:rPr>
          <w:rFonts w:hint="eastAsia"/>
          <w:sz w:val="20"/>
          <w:lang w:eastAsia="zh-CN"/>
        </w:rPr>
        <w:t>，理事会</w:t>
      </w:r>
      <w:r w:rsidR="00D36CE4">
        <w:rPr>
          <w:rFonts w:hint="eastAsia"/>
          <w:sz w:val="20"/>
          <w:lang w:eastAsia="zh-CN"/>
        </w:rPr>
        <w:t>须</w:t>
      </w:r>
      <w:r w:rsidR="00D36CE4" w:rsidRPr="00D36CE4">
        <w:rPr>
          <w:rFonts w:hint="eastAsia"/>
          <w:sz w:val="20"/>
          <w:lang w:eastAsia="zh-CN"/>
        </w:rPr>
        <w:t>代表全权代表</w:t>
      </w:r>
      <w:r w:rsidR="00FA4924">
        <w:rPr>
          <w:rFonts w:hint="eastAsia"/>
          <w:sz w:val="20"/>
          <w:lang w:eastAsia="zh-CN"/>
        </w:rPr>
        <w:t>大会</w:t>
      </w:r>
      <w:r w:rsidR="00D36CE4">
        <w:rPr>
          <w:rFonts w:hint="eastAsia"/>
          <w:sz w:val="20"/>
          <w:lang w:eastAsia="zh-CN"/>
        </w:rPr>
        <w:t>行事</w:t>
      </w:r>
      <w:r w:rsidR="00D36CE4" w:rsidRPr="00D36CE4">
        <w:rPr>
          <w:rFonts w:hint="eastAsia"/>
          <w:sz w:val="20"/>
          <w:lang w:eastAsia="zh-CN"/>
        </w:rPr>
        <w:t>，</w:t>
      </w:r>
      <w:r w:rsidR="00D36CE4">
        <w:rPr>
          <w:rFonts w:hint="eastAsia"/>
          <w:sz w:val="20"/>
          <w:lang w:eastAsia="zh-CN"/>
        </w:rPr>
        <w:t>且</w:t>
      </w:r>
      <w:r w:rsidR="00D36CE4" w:rsidRPr="00D36CE4">
        <w:rPr>
          <w:rFonts w:hint="eastAsia"/>
          <w:sz w:val="20"/>
          <w:lang w:eastAsia="zh-CN"/>
        </w:rPr>
        <w:t>根据第</w:t>
      </w:r>
      <w:r w:rsidR="00D36CE4" w:rsidRPr="00D36CE4">
        <w:rPr>
          <w:rFonts w:hint="eastAsia"/>
          <w:sz w:val="20"/>
          <w:lang w:eastAsia="zh-CN"/>
        </w:rPr>
        <w:t>94</w:t>
      </w:r>
      <w:r w:rsidR="00D36CE4" w:rsidRPr="00D36CE4">
        <w:rPr>
          <w:rFonts w:hint="eastAsia"/>
          <w:sz w:val="20"/>
          <w:lang w:eastAsia="zh-CN"/>
        </w:rPr>
        <w:t>号决议</w:t>
      </w:r>
      <w:r w:rsidR="00D36CE4">
        <w:rPr>
          <w:rFonts w:hint="eastAsia"/>
          <w:sz w:val="20"/>
          <w:lang w:eastAsia="zh-CN"/>
        </w:rPr>
        <w:t>（</w:t>
      </w:r>
      <w:r w:rsidR="00D36CE4" w:rsidRPr="00D36CE4">
        <w:rPr>
          <w:rFonts w:hint="eastAsia"/>
          <w:sz w:val="20"/>
          <w:lang w:eastAsia="zh-CN"/>
        </w:rPr>
        <w:t>2018</w:t>
      </w:r>
      <w:r w:rsidR="00D36CE4" w:rsidRPr="00D36CE4">
        <w:rPr>
          <w:rFonts w:hint="eastAsia"/>
          <w:sz w:val="20"/>
          <w:lang w:eastAsia="zh-CN"/>
        </w:rPr>
        <w:t>年</w:t>
      </w:r>
      <w:r w:rsidR="00D36CE4">
        <w:rPr>
          <w:rFonts w:hint="eastAsia"/>
          <w:sz w:val="20"/>
          <w:lang w:eastAsia="zh-CN"/>
        </w:rPr>
        <w:t>，</w:t>
      </w:r>
      <w:r w:rsidR="00D36CE4" w:rsidRPr="00D36CE4">
        <w:rPr>
          <w:rFonts w:hint="eastAsia"/>
          <w:sz w:val="20"/>
          <w:lang w:eastAsia="zh-CN"/>
        </w:rPr>
        <w:t>迪拜</w:t>
      </w:r>
      <w:r w:rsidR="00D36CE4">
        <w:rPr>
          <w:rFonts w:hint="eastAsia"/>
          <w:sz w:val="20"/>
          <w:lang w:eastAsia="zh-CN"/>
        </w:rPr>
        <w:t>，</w:t>
      </w:r>
      <w:r w:rsidR="00D36CE4" w:rsidRPr="00D36CE4">
        <w:rPr>
          <w:rFonts w:hint="eastAsia"/>
          <w:sz w:val="20"/>
          <w:lang w:eastAsia="zh-CN"/>
        </w:rPr>
        <w:t>修订版</w:t>
      </w:r>
      <w:r w:rsidR="00D36CE4">
        <w:rPr>
          <w:rFonts w:hint="eastAsia"/>
          <w:sz w:val="20"/>
          <w:lang w:eastAsia="zh-CN"/>
        </w:rPr>
        <w:t>）</w:t>
      </w:r>
      <w:r w:rsidR="00D36CE4" w:rsidRPr="00D36CE4">
        <w:rPr>
          <w:rFonts w:hint="eastAsia"/>
          <w:sz w:val="20"/>
          <w:lang w:eastAsia="zh-CN"/>
        </w:rPr>
        <w:t>和《国际电联财务</w:t>
      </w:r>
      <w:r w:rsidR="00D36CE4">
        <w:rPr>
          <w:rFonts w:hint="eastAsia"/>
          <w:sz w:val="20"/>
          <w:lang w:eastAsia="zh-CN"/>
        </w:rPr>
        <w:t>规则</w:t>
      </w:r>
      <w:r w:rsidR="00D36CE4" w:rsidRPr="00D36CE4">
        <w:rPr>
          <w:rFonts w:hint="eastAsia"/>
          <w:sz w:val="20"/>
          <w:lang w:eastAsia="zh-CN"/>
        </w:rPr>
        <w:t>》第</w:t>
      </w:r>
      <w:r w:rsidR="00D36CE4" w:rsidRPr="00D36CE4">
        <w:rPr>
          <w:rFonts w:hint="eastAsia"/>
          <w:sz w:val="20"/>
          <w:lang w:eastAsia="zh-CN"/>
        </w:rPr>
        <w:t>28</w:t>
      </w:r>
      <w:r w:rsidR="00D36CE4" w:rsidRPr="00D36CE4">
        <w:rPr>
          <w:rFonts w:hint="eastAsia"/>
          <w:sz w:val="20"/>
          <w:lang w:eastAsia="zh-CN"/>
        </w:rPr>
        <w:t>条，理事会有权在</w:t>
      </w:r>
      <w:r w:rsidR="00D36CE4">
        <w:rPr>
          <w:rFonts w:hint="eastAsia"/>
          <w:sz w:val="20"/>
          <w:lang w:eastAsia="zh-CN"/>
        </w:rPr>
        <w:t>两届</w:t>
      </w:r>
      <w:r w:rsidR="00D36CE4" w:rsidRPr="00D36CE4">
        <w:rPr>
          <w:rFonts w:hint="eastAsia"/>
          <w:sz w:val="20"/>
          <w:lang w:eastAsia="zh-CN"/>
        </w:rPr>
        <w:t>全权代表会议之间为任命</w:t>
      </w:r>
      <w:r w:rsidR="00D36CE4">
        <w:rPr>
          <w:rFonts w:hint="eastAsia"/>
          <w:sz w:val="20"/>
          <w:lang w:eastAsia="zh-CN"/>
        </w:rPr>
        <w:t>外部</w:t>
      </w:r>
      <w:r w:rsidR="00D36CE4" w:rsidRPr="00D36CE4">
        <w:rPr>
          <w:rFonts w:hint="eastAsia"/>
          <w:sz w:val="20"/>
          <w:lang w:eastAsia="zh-CN"/>
        </w:rPr>
        <w:t>审计员做出必要安排，</w:t>
      </w:r>
      <w:r w:rsidR="00D36CE4">
        <w:rPr>
          <w:rFonts w:hint="eastAsia"/>
          <w:sz w:val="20"/>
          <w:lang w:eastAsia="zh-CN"/>
        </w:rPr>
        <w:t>并</w:t>
      </w:r>
      <w:r w:rsidR="00D36CE4" w:rsidRPr="00D36CE4">
        <w:rPr>
          <w:rFonts w:hint="eastAsia"/>
          <w:sz w:val="20"/>
          <w:lang w:eastAsia="zh-CN"/>
        </w:rPr>
        <w:t>在特殊情况下延长</w:t>
      </w:r>
      <w:r w:rsidR="00D36CE4">
        <w:rPr>
          <w:rFonts w:hint="eastAsia"/>
          <w:sz w:val="20"/>
          <w:lang w:eastAsia="zh-CN"/>
        </w:rPr>
        <w:t>外部审计员的</w:t>
      </w:r>
      <w:r w:rsidR="00D36CE4" w:rsidRPr="00D36CE4">
        <w:rPr>
          <w:rFonts w:hint="eastAsia"/>
          <w:sz w:val="20"/>
          <w:lang w:eastAsia="zh-CN"/>
        </w:rPr>
        <w:t>任期</w:t>
      </w:r>
      <w:r w:rsidR="00D36CE4">
        <w:rPr>
          <w:rFonts w:hint="eastAsia"/>
          <w:sz w:val="20"/>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5C34E5">
      <w:rPr>
        <w:noProof/>
      </w:rPr>
      <w:t>2</w:t>
    </w:r>
    <w:r>
      <w:rPr>
        <w:noProof/>
      </w:rPr>
      <w:fldChar w:fldCharType="end"/>
    </w:r>
  </w:p>
  <w:p w:rsidR="00AC516F" w:rsidRDefault="0098459B" w:rsidP="00D453EE">
    <w:pPr>
      <w:pStyle w:val="Header"/>
      <w:rPr>
        <w:lang w:eastAsia="zh-CN"/>
      </w:rPr>
    </w:pPr>
    <w:r>
      <w:t>C1</w:t>
    </w:r>
    <w:r w:rsidR="00D453EE">
      <w:rPr>
        <w:lang w:eastAsia="zh-CN"/>
      </w:rPr>
      <w:t>9</w:t>
    </w:r>
    <w:r w:rsidR="004672E6">
      <w:t>/</w:t>
    </w:r>
    <w:r w:rsidR="0013293F">
      <w:rPr>
        <w:lang w:eastAsia="zh-CN"/>
      </w:rPr>
      <w:t>59</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5D6D671"/>
    <w:multiLevelType w:val="hybridMultilevel"/>
    <w:tmpl w:val="9D0EACD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908E323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0BA0CA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7AEB00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8EC0E6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7225AD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1E47F5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9B6C46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63089B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CEAA1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D92A5F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AF6F26"/>
    <w:multiLevelType w:val="hybridMultilevel"/>
    <w:tmpl w:val="AA3EB27C"/>
    <w:lvl w:ilvl="0" w:tplc="685E43BA">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14C0A5F"/>
    <w:multiLevelType w:val="hybridMultilevel"/>
    <w:tmpl w:val="BC14DDA6"/>
    <w:lvl w:ilvl="0" w:tplc="685E43BA">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4404684"/>
    <w:multiLevelType w:val="hybridMultilevel"/>
    <w:tmpl w:val="FA9A8DCC"/>
    <w:lvl w:ilvl="0" w:tplc="685E43BA">
      <w:start w:val="1"/>
      <w:numFmt w:val="lowerRoman"/>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E832AFD"/>
    <w:multiLevelType w:val="hybridMultilevel"/>
    <w:tmpl w:val="0678640E"/>
    <w:lvl w:ilvl="0" w:tplc="685E43BA">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14"/>
  </w:num>
  <w:num w:numId="4">
    <w:abstractNumId w:val="17"/>
  </w:num>
  <w:num w:numId="5">
    <w:abstractNumId w:val="19"/>
  </w:num>
  <w:num w:numId="6">
    <w:abstractNumId w:val="18"/>
  </w:num>
  <w:num w:numId="7">
    <w:abstractNumId w:val="12"/>
  </w:num>
  <w:num w:numId="8">
    <w:abstractNumId w:val="0"/>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0"/>
  </w:num>
  <w:num w:numId="12">
    <w:abstractNumId w:val="11"/>
  </w:num>
  <w:num w:numId="13">
    <w:abstractNumId w:val="16"/>
  </w:num>
  <w:num w:numId="14">
    <w:abstractNumId w:val="8"/>
  </w:num>
  <w:num w:numId="15">
    <w:abstractNumId w:val="7"/>
  </w:num>
  <w:num w:numId="16">
    <w:abstractNumId w:val="6"/>
  </w:num>
  <w:num w:numId="17">
    <w:abstractNumId w:val="5"/>
  </w:num>
  <w:num w:numId="18">
    <w:abstractNumId w:val="9"/>
  </w:num>
  <w:num w:numId="19">
    <w:abstractNumId w:val="4"/>
  </w:num>
  <w:num w:numId="20">
    <w:abstractNumId w:val="3"/>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4C0"/>
    <w:rsid w:val="00001B77"/>
    <w:rsid w:val="0000517A"/>
    <w:rsid w:val="00026F5C"/>
    <w:rsid w:val="00031E72"/>
    <w:rsid w:val="000404D2"/>
    <w:rsid w:val="00043339"/>
    <w:rsid w:val="000576A2"/>
    <w:rsid w:val="0006703B"/>
    <w:rsid w:val="000853C0"/>
    <w:rsid w:val="000931E1"/>
    <w:rsid w:val="00097FD0"/>
    <w:rsid w:val="000A0FFB"/>
    <w:rsid w:val="000A1C21"/>
    <w:rsid w:val="000D15EA"/>
    <w:rsid w:val="000E2536"/>
    <w:rsid w:val="00100D84"/>
    <w:rsid w:val="00124C9D"/>
    <w:rsid w:val="0013293F"/>
    <w:rsid w:val="00157773"/>
    <w:rsid w:val="00160A0C"/>
    <w:rsid w:val="001771DE"/>
    <w:rsid w:val="0018251A"/>
    <w:rsid w:val="00190272"/>
    <w:rsid w:val="00193244"/>
    <w:rsid w:val="00195C6C"/>
    <w:rsid w:val="00195FED"/>
    <w:rsid w:val="001A4BD6"/>
    <w:rsid w:val="001D5A18"/>
    <w:rsid w:val="00207732"/>
    <w:rsid w:val="00254B68"/>
    <w:rsid w:val="00280EB8"/>
    <w:rsid w:val="002A6670"/>
    <w:rsid w:val="002C55A6"/>
    <w:rsid w:val="002E5E90"/>
    <w:rsid w:val="00303502"/>
    <w:rsid w:val="00315544"/>
    <w:rsid w:val="00325C25"/>
    <w:rsid w:val="00372C8F"/>
    <w:rsid w:val="00380ECE"/>
    <w:rsid w:val="00393DDF"/>
    <w:rsid w:val="00397F55"/>
    <w:rsid w:val="003B4454"/>
    <w:rsid w:val="003C2E37"/>
    <w:rsid w:val="003F1415"/>
    <w:rsid w:val="0040144C"/>
    <w:rsid w:val="00403EB7"/>
    <w:rsid w:val="00407E62"/>
    <w:rsid w:val="00430BF0"/>
    <w:rsid w:val="00450BFF"/>
    <w:rsid w:val="004576E4"/>
    <w:rsid w:val="004672E6"/>
    <w:rsid w:val="00474ED1"/>
    <w:rsid w:val="00493085"/>
    <w:rsid w:val="004A36EC"/>
    <w:rsid w:val="004D163F"/>
    <w:rsid w:val="004E4BFF"/>
    <w:rsid w:val="004F2598"/>
    <w:rsid w:val="00526B00"/>
    <w:rsid w:val="005348E6"/>
    <w:rsid w:val="005403F7"/>
    <w:rsid w:val="00540632"/>
    <w:rsid w:val="00541CF4"/>
    <w:rsid w:val="005451E8"/>
    <w:rsid w:val="005507F2"/>
    <w:rsid w:val="005759CC"/>
    <w:rsid w:val="00596FA5"/>
    <w:rsid w:val="005A6EED"/>
    <w:rsid w:val="005A72E1"/>
    <w:rsid w:val="005C34E5"/>
    <w:rsid w:val="005C6632"/>
    <w:rsid w:val="005D1C9E"/>
    <w:rsid w:val="00654257"/>
    <w:rsid w:val="0065435A"/>
    <w:rsid w:val="0065618D"/>
    <w:rsid w:val="006A2DD3"/>
    <w:rsid w:val="006A5AF8"/>
    <w:rsid w:val="006B6F36"/>
    <w:rsid w:val="006C36CD"/>
    <w:rsid w:val="00700D1F"/>
    <w:rsid w:val="00703F39"/>
    <w:rsid w:val="007144D4"/>
    <w:rsid w:val="007205CB"/>
    <w:rsid w:val="00726073"/>
    <w:rsid w:val="00734FE8"/>
    <w:rsid w:val="007360CE"/>
    <w:rsid w:val="00772315"/>
    <w:rsid w:val="00775157"/>
    <w:rsid w:val="007813AE"/>
    <w:rsid w:val="00787216"/>
    <w:rsid w:val="007A37DB"/>
    <w:rsid w:val="007E189D"/>
    <w:rsid w:val="00811259"/>
    <w:rsid w:val="00813AA2"/>
    <w:rsid w:val="008173A3"/>
    <w:rsid w:val="0086059C"/>
    <w:rsid w:val="00864589"/>
    <w:rsid w:val="00890AFB"/>
    <w:rsid w:val="00890FC4"/>
    <w:rsid w:val="00891EA0"/>
    <w:rsid w:val="00895905"/>
    <w:rsid w:val="008D28C4"/>
    <w:rsid w:val="008F083F"/>
    <w:rsid w:val="009001C3"/>
    <w:rsid w:val="0090327C"/>
    <w:rsid w:val="009164A9"/>
    <w:rsid w:val="009258CB"/>
    <w:rsid w:val="00931400"/>
    <w:rsid w:val="0093362E"/>
    <w:rsid w:val="00944563"/>
    <w:rsid w:val="0095140F"/>
    <w:rsid w:val="00953160"/>
    <w:rsid w:val="009625D8"/>
    <w:rsid w:val="0098459B"/>
    <w:rsid w:val="00997185"/>
    <w:rsid w:val="009C2458"/>
    <w:rsid w:val="009C4A7B"/>
    <w:rsid w:val="009C6123"/>
    <w:rsid w:val="009F1E3E"/>
    <w:rsid w:val="00A1213C"/>
    <w:rsid w:val="00A2155A"/>
    <w:rsid w:val="00A272FF"/>
    <w:rsid w:val="00A5354B"/>
    <w:rsid w:val="00A71B57"/>
    <w:rsid w:val="00A8234D"/>
    <w:rsid w:val="00AB42C1"/>
    <w:rsid w:val="00AC516F"/>
    <w:rsid w:val="00AE2926"/>
    <w:rsid w:val="00B0184B"/>
    <w:rsid w:val="00B035CD"/>
    <w:rsid w:val="00B0769D"/>
    <w:rsid w:val="00B217F8"/>
    <w:rsid w:val="00B332EA"/>
    <w:rsid w:val="00B40A53"/>
    <w:rsid w:val="00B45365"/>
    <w:rsid w:val="00B46A65"/>
    <w:rsid w:val="00B60184"/>
    <w:rsid w:val="00B62D20"/>
    <w:rsid w:val="00B73FC7"/>
    <w:rsid w:val="00B81E75"/>
    <w:rsid w:val="00BD104A"/>
    <w:rsid w:val="00BD1A5A"/>
    <w:rsid w:val="00BD7A9B"/>
    <w:rsid w:val="00BD7BE1"/>
    <w:rsid w:val="00BF416B"/>
    <w:rsid w:val="00C06C08"/>
    <w:rsid w:val="00C4787E"/>
    <w:rsid w:val="00C53DCA"/>
    <w:rsid w:val="00C64E4E"/>
    <w:rsid w:val="00C66E64"/>
    <w:rsid w:val="00C761A0"/>
    <w:rsid w:val="00C85F7E"/>
    <w:rsid w:val="00C90D53"/>
    <w:rsid w:val="00CA7207"/>
    <w:rsid w:val="00CD47F0"/>
    <w:rsid w:val="00CD5566"/>
    <w:rsid w:val="00CD64D7"/>
    <w:rsid w:val="00CE6F22"/>
    <w:rsid w:val="00CF41F6"/>
    <w:rsid w:val="00CF7D3E"/>
    <w:rsid w:val="00D02B4E"/>
    <w:rsid w:val="00D05458"/>
    <w:rsid w:val="00D21F11"/>
    <w:rsid w:val="00D273DE"/>
    <w:rsid w:val="00D36817"/>
    <w:rsid w:val="00D36CE4"/>
    <w:rsid w:val="00D453EE"/>
    <w:rsid w:val="00D5666C"/>
    <w:rsid w:val="00D666BC"/>
    <w:rsid w:val="00D83542"/>
    <w:rsid w:val="00D92F45"/>
    <w:rsid w:val="00D94637"/>
    <w:rsid w:val="00D954C0"/>
    <w:rsid w:val="00D9725C"/>
    <w:rsid w:val="00DA5E5B"/>
    <w:rsid w:val="00DA7006"/>
    <w:rsid w:val="00DC6427"/>
    <w:rsid w:val="00DD66A1"/>
    <w:rsid w:val="00DE196D"/>
    <w:rsid w:val="00DE5A80"/>
    <w:rsid w:val="00DF6B49"/>
    <w:rsid w:val="00E067C5"/>
    <w:rsid w:val="00E265BF"/>
    <w:rsid w:val="00E378D8"/>
    <w:rsid w:val="00E43A12"/>
    <w:rsid w:val="00E67C67"/>
    <w:rsid w:val="00E77476"/>
    <w:rsid w:val="00E8228B"/>
    <w:rsid w:val="00EE5706"/>
    <w:rsid w:val="00EF03A9"/>
    <w:rsid w:val="00EF373D"/>
    <w:rsid w:val="00EF6CF4"/>
    <w:rsid w:val="00F11595"/>
    <w:rsid w:val="00F13BC9"/>
    <w:rsid w:val="00F33088"/>
    <w:rsid w:val="00F357B2"/>
    <w:rsid w:val="00F36556"/>
    <w:rsid w:val="00F37A95"/>
    <w:rsid w:val="00F5319B"/>
    <w:rsid w:val="00F705DF"/>
    <w:rsid w:val="00F70622"/>
    <w:rsid w:val="00F85624"/>
    <w:rsid w:val="00F87C05"/>
    <w:rsid w:val="00F93191"/>
    <w:rsid w:val="00F93A17"/>
    <w:rsid w:val="00FA2AF6"/>
    <w:rsid w:val="00FA4924"/>
    <w:rsid w:val="00FB073D"/>
    <w:rsid w:val="00FB771F"/>
    <w:rsid w:val="00FC5386"/>
    <w:rsid w:val="00FC53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36F6EE8-2FB3-41F3-82D3-549F3FFA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styleId="HTMLPreformatted">
    <w:name w:val="HTML Preformatted"/>
    <w:basedOn w:val="Normal"/>
    <w:link w:val="HTMLPreformattedChar"/>
    <w:semiHidden/>
    <w:unhideWhenUsed/>
    <w:rsid w:val="000E2536"/>
    <w:pPr>
      <w:spacing w:before="0"/>
    </w:pPr>
    <w:rPr>
      <w:rFonts w:ascii="Consolas" w:hAnsi="Consolas"/>
      <w:sz w:val="20"/>
    </w:rPr>
  </w:style>
  <w:style w:type="character" w:customStyle="1" w:styleId="HTMLPreformattedChar">
    <w:name w:val="HTML Preformatted Char"/>
    <w:basedOn w:val="DefaultParagraphFont"/>
    <w:link w:val="HTMLPreformatted"/>
    <w:semiHidden/>
    <w:rsid w:val="000E2536"/>
    <w:rPr>
      <w:rFonts w:ascii="Consolas" w:hAnsi="Consola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147601810">
      <w:bodyDiv w:val="1"/>
      <w:marLeft w:val="0"/>
      <w:marRight w:val="0"/>
      <w:marTop w:val="0"/>
      <w:marBottom w:val="0"/>
      <w:divBdr>
        <w:top w:val="none" w:sz="0" w:space="0" w:color="auto"/>
        <w:left w:val="none" w:sz="0" w:space="0" w:color="auto"/>
        <w:bottom w:val="none" w:sz="0" w:space="0" w:color="auto"/>
        <w:right w:val="none" w:sz="0" w:space="0" w:color="auto"/>
      </w:divBdr>
      <w:divsChild>
        <w:div w:id="1626808956">
          <w:marLeft w:val="0"/>
          <w:marRight w:val="0"/>
          <w:marTop w:val="0"/>
          <w:marBottom w:val="1200"/>
          <w:divBdr>
            <w:top w:val="none" w:sz="0" w:space="0" w:color="auto"/>
            <w:left w:val="none" w:sz="0" w:space="0" w:color="auto"/>
            <w:bottom w:val="none" w:sz="0" w:space="0" w:color="auto"/>
            <w:right w:val="none" w:sz="0" w:space="0" w:color="auto"/>
          </w:divBdr>
          <w:divsChild>
            <w:div w:id="1441144139">
              <w:marLeft w:val="0"/>
              <w:marRight w:val="0"/>
              <w:marTop w:val="525"/>
              <w:marBottom w:val="0"/>
              <w:divBdr>
                <w:top w:val="none" w:sz="0" w:space="0" w:color="auto"/>
                <w:left w:val="none" w:sz="0" w:space="0" w:color="auto"/>
                <w:bottom w:val="none" w:sz="0" w:space="0" w:color="auto"/>
                <w:right w:val="none" w:sz="0" w:space="0" w:color="auto"/>
              </w:divBdr>
              <w:divsChild>
                <w:div w:id="1916670713">
                  <w:marLeft w:val="0"/>
                  <w:marRight w:val="0"/>
                  <w:marTop w:val="0"/>
                  <w:marBottom w:val="0"/>
                  <w:divBdr>
                    <w:top w:val="none" w:sz="0" w:space="0" w:color="auto"/>
                    <w:left w:val="none" w:sz="0" w:space="0" w:color="auto"/>
                    <w:bottom w:val="none" w:sz="0" w:space="0" w:color="auto"/>
                    <w:right w:val="none" w:sz="0" w:space="0" w:color="auto"/>
                  </w:divBdr>
                  <w:divsChild>
                    <w:div w:id="1922249427">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28790519">
      <w:bodyDiv w:val="1"/>
      <w:marLeft w:val="0"/>
      <w:marRight w:val="0"/>
      <w:marTop w:val="0"/>
      <w:marBottom w:val="0"/>
      <w:divBdr>
        <w:top w:val="none" w:sz="0" w:space="0" w:color="auto"/>
        <w:left w:val="none" w:sz="0" w:space="0" w:color="auto"/>
        <w:bottom w:val="none" w:sz="0" w:space="0" w:color="auto"/>
        <w:right w:val="none" w:sz="0" w:space="0" w:color="auto"/>
      </w:divBdr>
      <w:divsChild>
        <w:div w:id="689573760">
          <w:marLeft w:val="0"/>
          <w:marRight w:val="0"/>
          <w:marTop w:val="0"/>
          <w:marBottom w:val="1200"/>
          <w:divBdr>
            <w:top w:val="none" w:sz="0" w:space="0" w:color="auto"/>
            <w:left w:val="none" w:sz="0" w:space="0" w:color="auto"/>
            <w:bottom w:val="none" w:sz="0" w:space="0" w:color="auto"/>
            <w:right w:val="none" w:sz="0" w:space="0" w:color="auto"/>
          </w:divBdr>
          <w:divsChild>
            <w:div w:id="449512616">
              <w:marLeft w:val="0"/>
              <w:marRight w:val="0"/>
              <w:marTop w:val="525"/>
              <w:marBottom w:val="0"/>
              <w:divBdr>
                <w:top w:val="none" w:sz="0" w:space="0" w:color="auto"/>
                <w:left w:val="none" w:sz="0" w:space="0" w:color="auto"/>
                <w:bottom w:val="none" w:sz="0" w:space="0" w:color="auto"/>
                <w:right w:val="none" w:sz="0" w:space="0" w:color="auto"/>
              </w:divBdr>
              <w:divsChild>
                <w:div w:id="550189">
                  <w:marLeft w:val="0"/>
                  <w:marRight w:val="0"/>
                  <w:marTop w:val="0"/>
                  <w:marBottom w:val="0"/>
                  <w:divBdr>
                    <w:top w:val="none" w:sz="0" w:space="0" w:color="auto"/>
                    <w:left w:val="none" w:sz="0" w:space="0" w:color="auto"/>
                    <w:bottom w:val="none" w:sz="0" w:space="0" w:color="auto"/>
                    <w:right w:val="none" w:sz="0" w:space="0" w:color="auto"/>
                  </w:divBdr>
                  <w:divsChild>
                    <w:div w:id="2050522331">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421830556">
      <w:bodyDiv w:val="1"/>
      <w:marLeft w:val="0"/>
      <w:marRight w:val="0"/>
      <w:marTop w:val="0"/>
      <w:marBottom w:val="0"/>
      <w:divBdr>
        <w:top w:val="none" w:sz="0" w:space="0" w:color="auto"/>
        <w:left w:val="none" w:sz="0" w:space="0" w:color="auto"/>
        <w:bottom w:val="none" w:sz="0" w:space="0" w:color="auto"/>
        <w:right w:val="none" w:sz="0" w:space="0" w:color="auto"/>
      </w:divBdr>
      <w:divsChild>
        <w:div w:id="1350644582">
          <w:marLeft w:val="0"/>
          <w:marRight w:val="0"/>
          <w:marTop w:val="0"/>
          <w:marBottom w:val="1200"/>
          <w:divBdr>
            <w:top w:val="none" w:sz="0" w:space="0" w:color="auto"/>
            <w:left w:val="none" w:sz="0" w:space="0" w:color="auto"/>
            <w:bottom w:val="none" w:sz="0" w:space="0" w:color="auto"/>
            <w:right w:val="none" w:sz="0" w:space="0" w:color="auto"/>
          </w:divBdr>
          <w:divsChild>
            <w:div w:id="259149121">
              <w:marLeft w:val="0"/>
              <w:marRight w:val="0"/>
              <w:marTop w:val="525"/>
              <w:marBottom w:val="0"/>
              <w:divBdr>
                <w:top w:val="none" w:sz="0" w:space="0" w:color="auto"/>
                <w:left w:val="none" w:sz="0" w:space="0" w:color="auto"/>
                <w:bottom w:val="none" w:sz="0" w:space="0" w:color="auto"/>
                <w:right w:val="none" w:sz="0" w:space="0" w:color="auto"/>
              </w:divBdr>
              <w:divsChild>
                <w:div w:id="1983459689">
                  <w:marLeft w:val="0"/>
                  <w:marRight w:val="0"/>
                  <w:marTop w:val="0"/>
                  <w:marBottom w:val="0"/>
                  <w:divBdr>
                    <w:top w:val="none" w:sz="0" w:space="0" w:color="auto"/>
                    <w:left w:val="none" w:sz="0" w:space="0" w:color="auto"/>
                    <w:bottom w:val="none" w:sz="0" w:space="0" w:color="auto"/>
                    <w:right w:val="none" w:sz="0" w:space="0" w:color="auto"/>
                  </w:divBdr>
                  <w:divsChild>
                    <w:div w:id="908345161">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873104283">
      <w:bodyDiv w:val="1"/>
      <w:marLeft w:val="0"/>
      <w:marRight w:val="0"/>
      <w:marTop w:val="0"/>
      <w:marBottom w:val="0"/>
      <w:divBdr>
        <w:top w:val="none" w:sz="0" w:space="0" w:color="auto"/>
        <w:left w:val="none" w:sz="0" w:space="0" w:color="auto"/>
        <w:bottom w:val="none" w:sz="0" w:space="0" w:color="auto"/>
        <w:right w:val="none" w:sz="0" w:space="0" w:color="auto"/>
      </w:divBdr>
      <w:divsChild>
        <w:div w:id="1123421391">
          <w:marLeft w:val="0"/>
          <w:marRight w:val="0"/>
          <w:marTop w:val="0"/>
          <w:marBottom w:val="1200"/>
          <w:divBdr>
            <w:top w:val="none" w:sz="0" w:space="0" w:color="auto"/>
            <w:left w:val="none" w:sz="0" w:space="0" w:color="auto"/>
            <w:bottom w:val="none" w:sz="0" w:space="0" w:color="auto"/>
            <w:right w:val="none" w:sz="0" w:space="0" w:color="auto"/>
          </w:divBdr>
          <w:divsChild>
            <w:div w:id="843474209">
              <w:marLeft w:val="0"/>
              <w:marRight w:val="0"/>
              <w:marTop w:val="525"/>
              <w:marBottom w:val="0"/>
              <w:divBdr>
                <w:top w:val="none" w:sz="0" w:space="0" w:color="auto"/>
                <w:left w:val="none" w:sz="0" w:space="0" w:color="auto"/>
                <w:bottom w:val="none" w:sz="0" w:space="0" w:color="auto"/>
                <w:right w:val="none" w:sz="0" w:space="0" w:color="auto"/>
              </w:divBdr>
              <w:divsChild>
                <w:div w:id="1667319561">
                  <w:marLeft w:val="0"/>
                  <w:marRight w:val="0"/>
                  <w:marTop w:val="0"/>
                  <w:marBottom w:val="0"/>
                  <w:divBdr>
                    <w:top w:val="none" w:sz="0" w:space="0" w:color="auto"/>
                    <w:left w:val="none" w:sz="0" w:space="0" w:color="auto"/>
                    <w:bottom w:val="none" w:sz="0" w:space="0" w:color="auto"/>
                    <w:right w:val="none" w:sz="0" w:space="0" w:color="auto"/>
                  </w:divBdr>
                  <w:divsChild>
                    <w:div w:id="1566909362">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040467679">
      <w:bodyDiv w:val="1"/>
      <w:marLeft w:val="0"/>
      <w:marRight w:val="0"/>
      <w:marTop w:val="0"/>
      <w:marBottom w:val="0"/>
      <w:divBdr>
        <w:top w:val="none" w:sz="0" w:space="0" w:color="auto"/>
        <w:left w:val="none" w:sz="0" w:space="0" w:color="auto"/>
        <w:bottom w:val="none" w:sz="0" w:space="0" w:color="auto"/>
        <w:right w:val="none" w:sz="0" w:space="0" w:color="auto"/>
      </w:divBdr>
      <w:divsChild>
        <w:div w:id="1312061001">
          <w:marLeft w:val="0"/>
          <w:marRight w:val="0"/>
          <w:marTop w:val="0"/>
          <w:marBottom w:val="1200"/>
          <w:divBdr>
            <w:top w:val="none" w:sz="0" w:space="0" w:color="auto"/>
            <w:left w:val="none" w:sz="0" w:space="0" w:color="auto"/>
            <w:bottom w:val="none" w:sz="0" w:space="0" w:color="auto"/>
            <w:right w:val="none" w:sz="0" w:space="0" w:color="auto"/>
          </w:divBdr>
          <w:divsChild>
            <w:div w:id="1478495215">
              <w:marLeft w:val="0"/>
              <w:marRight w:val="0"/>
              <w:marTop w:val="525"/>
              <w:marBottom w:val="0"/>
              <w:divBdr>
                <w:top w:val="none" w:sz="0" w:space="0" w:color="auto"/>
                <w:left w:val="none" w:sz="0" w:space="0" w:color="auto"/>
                <w:bottom w:val="none" w:sz="0" w:space="0" w:color="auto"/>
                <w:right w:val="none" w:sz="0" w:space="0" w:color="auto"/>
              </w:divBdr>
              <w:divsChild>
                <w:div w:id="564146175">
                  <w:marLeft w:val="0"/>
                  <w:marRight w:val="0"/>
                  <w:marTop w:val="0"/>
                  <w:marBottom w:val="0"/>
                  <w:divBdr>
                    <w:top w:val="none" w:sz="0" w:space="0" w:color="auto"/>
                    <w:left w:val="none" w:sz="0" w:space="0" w:color="auto"/>
                    <w:bottom w:val="none" w:sz="0" w:space="0" w:color="auto"/>
                    <w:right w:val="none" w:sz="0" w:space="0" w:color="auto"/>
                  </w:divBdr>
                  <w:divsChild>
                    <w:div w:id="1116409454">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2104377892">
      <w:bodyDiv w:val="1"/>
      <w:marLeft w:val="0"/>
      <w:marRight w:val="0"/>
      <w:marTop w:val="0"/>
      <w:marBottom w:val="0"/>
      <w:divBdr>
        <w:top w:val="none" w:sz="0" w:space="0" w:color="auto"/>
        <w:left w:val="none" w:sz="0" w:space="0" w:color="auto"/>
        <w:bottom w:val="none" w:sz="0" w:space="0" w:color="auto"/>
        <w:right w:val="none" w:sz="0" w:space="0" w:color="auto"/>
      </w:divBdr>
      <w:divsChild>
        <w:div w:id="2031954873">
          <w:marLeft w:val="0"/>
          <w:marRight w:val="0"/>
          <w:marTop w:val="0"/>
          <w:marBottom w:val="1200"/>
          <w:divBdr>
            <w:top w:val="none" w:sz="0" w:space="0" w:color="auto"/>
            <w:left w:val="none" w:sz="0" w:space="0" w:color="auto"/>
            <w:bottom w:val="none" w:sz="0" w:space="0" w:color="auto"/>
            <w:right w:val="none" w:sz="0" w:space="0" w:color="auto"/>
          </w:divBdr>
          <w:divsChild>
            <w:div w:id="1308972701">
              <w:marLeft w:val="0"/>
              <w:marRight w:val="0"/>
              <w:marTop w:val="525"/>
              <w:marBottom w:val="0"/>
              <w:divBdr>
                <w:top w:val="none" w:sz="0" w:space="0" w:color="auto"/>
                <w:left w:val="none" w:sz="0" w:space="0" w:color="auto"/>
                <w:bottom w:val="none" w:sz="0" w:space="0" w:color="auto"/>
                <w:right w:val="none" w:sz="0" w:space="0" w:color="auto"/>
              </w:divBdr>
              <w:divsChild>
                <w:div w:id="1061290089">
                  <w:marLeft w:val="0"/>
                  <w:marRight w:val="0"/>
                  <w:marTop w:val="0"/>
                  <w:marBottom w:val="0"/>
                  <w:divBdr>
                    <w:top w:val="none" w:sz="0" w:space="0" w:color="auto"/>
                    <w:left w:val="none" w:sz="0" w:space="0" w:color="auto"/>
                    <w:bottom w:val="none" w:sz="0" w:space="0" w:color="auto"/>
                    <w:right w:val="none" w:sz="0" w:space="0" w:color="auto"/>
                  </w:divBdr>
                  <w:divsChild>
                    <w:div w:id="1296719346">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Pages/documents.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council/ties/Documents/cwg-fhr/Regl-fin-2010-E.pdf" TargetMode="External"/><Relationship Id="rId4" Type="http://schemas.openxmlformats.org/officeDocument/2006/relationships/settings" Target="settings.xml"/><Relationship Id="rId9" Type="http://schemas.openxmlformats.org/officeDocument/2006/relationships/hyperlink" Target="https://www.itu.int/en/council/Documents/basic-texts/RES-094-C.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9F331-D004-41AC-8F16-CF7F5E7F9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Template>
  <TotalTime>0</TotalTime>
  <Pages>6</Pages>
  <Words>2559</Words>
  <Characters>718</Characters>
  <Application>Microsoft Office Word</Application>
  <DocSecurity>4</DocSecurity>
  <Lines>5</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3271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Zhang, Lin</dc:creator>
  <cp:keywords>C2018, C18</cp:keywords>
  <dc:description/>
  <cp:lastModifiedBy>Janin, Patricia</cp:lastModifiedBy>
  <cp:revision>2</cp:revision>
  <cp:lastPrinted>2015-02-24T13:23:00Z</cp:lastPrinted>
  <dcterms:created xsi:type="dcterms:W3CDTF">2019-06-12T06:03:00Z</dcterms:created>
  <dcterms:modified xsi:type="dcterms:W3CDTF">2019-06-12T06:03:00Z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