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0403B6">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403B6">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rsidP="000403B6">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rsidP="000403B6">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0B0D00" w:rsidRDefault="00093EEB" w:rsidP="000403B6">
            <w:pPr>
              <w:spacing w:before="0"/>
              <w:rPr>
                <w:b/>
                <w:bCs/>
                <w:szCs w:val="24"/>
              </w:rPr>
            </w:pPr>
          </w:p>
        </w:tc>
      </w:tr>
      <w:tr w:rsidR="00093EEB" w:rsidRPr="000B0D00">
        <w:trPr>
          <w:cantSplit/>
          <w:trHeight w:val="20"/>
        </w:trPr>
        <w:tc>
          <w:tcPr>
            <w:tcW w:w="6912" w:type="dxa"/>
            <w:shd w:val="clear" w:color="auto" w:fill="auto"/>
          </w:tcPr>
          <w:p w:rsidR="00093EEB" w:rsidRPr="00093EEB" w:rsidRDefault="00AF3CA7" w:rsidP="000403B6">
            <w:pPr>
              <w:tabs>
                <w:tab w:val="left" w:pos="1560"/>
                <w:tab w:val="left" w:pos="3544"/>
                <w:tab w:val="left" w:pos="3969"/>
              </w:tabs>
              <w:spacing w:before="0"/>
              <w:rPr>
                <w:rFonts w:cs="Times"/>
                <w:b/>
                <w:szCs w:val="24"/>
              </w:rPr>
            </w:pPr>
            <w:bookmarkStart w:id="3" w:name="dnum" w:colFirst="1" w:colLast="1"/>
            <w:bookmarkStart w:id="4" w:name="dmeeting" w:colFirst="0" w:colLast="0"/>
            <w:r>
              <w:rPr>
                <w:rFonts w:cs="Calibri"/>
                <w:b/>
                <w:szCs w:val="24"/>
              </w:rPr>
              <w:t>Punto del orden del día: ADM 12</w:t>
            </w:r>
          </w:p>
        </w:tc>
        <w:tc>
          <w:tcPr>
            <w:tcW w:w="3261" w:type="dxa"/>
          </w:tcPr>
          <w:p w:rsidR="00093EEB" w:rsidRPr="00093EEB" w:rsidRDefault="00093EEB" w:rsidP="000403B6">
            <w:pPr>
              <w:spacing w:before="0"/>
              <w:rPr>
                <w:b/>
                <w:bCs/>
                <w:szCs w:val="24"/>
              </w:rPr>
            </w:pPr>
            <w:r>
              <w:rPr>
                <w:b/>
                <w:bCs/>
                <w:szCs w:val="24"/>
              </w:rPr>
              <w:t>Documento C1</w:t>
            </w:r>
            <w:r w:rsidR="00C2727F">
              <w:rPr>
                <w:b/>
                <w:bCs/>
                <w:szCs w:val="24"/>
              </w:rPr>
              <w:t>9</w:t>
            </w:r>
            <w:r>
              <w:rPr>
                <w:b/>
                <w:bCs/>
                <w:szCs w:val="24"/>
              </w:rPr>
              <w:t>/</w:t>
            </w:r>
            <w:r w:rsidR="00AF3CA7">
              <w:rPr>
                <w:b/>
                <w:bCs/>
                <w:szCs w:val="24"/>
              </w:rPr>
              <w:t>59</w:t>
            </w:r>
            <w:r>
              <w:rPr>
                <w:b/>
                <w:bCs/>
                <w:szCs w:val="24"/>
              </w:rPr>
              <w:t>-S</w:t>
            </w:r>
          </w:p>
        </w:tc>
      </w:tr>
      <w:tr w:rsidR="00093EEB" w:rsidRPr="000B0D00">
        <w:trPr>
          <w:cantSplit/>
          <w:trHeight w:val="20"/>
        </w:trPr>
        <w:tc>
          <w:tcPr>
            <w:tcW w:w="6912" w:type="dxa"/>
            <w:shd w:val="clear" w:color="auto" w:fill="auto"/>
          </w:tcPr>
          <w:p w:rsidR="00093EEB" w:rsidRPr="000B0D00" w:rsidRDefault="00093EEB" w:rsidP="000403B6">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AF3CA7" w:rsidP="000403B6">
            <w:pPr>
              <w:spacing w:before="0"/>
              <w:rPr>
                <w:b/>
                <w:bCs/>
                <w:szCs w:val="24"/>
              </w:rPr>
            </w:pPr>
            <w:r>
              <w:rPr>
                <w:b/>
                <w:bCs/>
                <w:szCs w:val="24"/>
              </w:rPr>
              <w:t>31 de mayo</w:t>
            </w:r>
            <w:r w:rsidR="00093EEB">
              <w:rPr>
                <w:b/>
                <w:bCs/>
                <w:szCs w:val="24"/>
              </w:rPr>
              <w:t xml:space="preserve"> de 201</w:t>
            </w:r>
            <w:r w:rsidR="00C2727F">
              <w:rPr>
                <w:b/>
                <w:bCs/>
                <w:szCs w:val="24"/>
              </w:rPr>
              <w:t>9</w:t>
            </w:r>
          </w:p>
        </w:tc>
      </w:tr>
      <w:tr w:rsidR="00093EEB" w:rsidRPr="000B0D00">
        <w:trPr>
          <w:cantSplit/>
          <w:trHeight w:val="20"/>
        </w:trPr>
        <w:tc>
          <w:tcPr>
            <w:tcW w:w="6912" w:type="dxa"/>
            <w:shd w:val="clear" w:color="auto" w:fill="auto"/>
          </w:tcPr>
          <w:p w:rsidR="00093EEB" w:rsidRPr="000B0D00" w:rsidRDefault="00093EEB" w:rsidP="000403B6">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403B6">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AF3CA7" w:rsidP="000403B6">
            <w:pPr>
              <w:pStyle w:val="Source"/>
            </w:pPr>
            <w:bookmarkStart w:id="7" w:name="dsource" w:colFirst="0" w:colLast="0"/>
            <w:bookmarkEnd w:id="1"/>
            <w:bookmarkEnd w:id="6"/>
            <w:r>
              <w:t>Nota del Secretario General</w:t>
            </w:r>
          </w:p>
        </w:tc>
      </w:tr>
      <w:tr w:rsidR="00093EEB" w:rsidRPr="000B0D00">
        <w:trPr>
          <w:cantSplit/>
        </w:trPr>
        <w:tc>
          <w:tcPr>
            <w:tcW w:w="10173" w:type="dxa"/>
            <w:gridSpan w:val="2"/>
          </w:tcPr>
          <w:p w:rsidR="00093EEB" w:rsidRPr="000B0D00" w:rsidRDefault="00AF3CA7" w:rsidP="000403B6">
            <w:pPr>
              <w:pStyle w:val="Title1"/>
            </w:pPr>
            <w:bookmarkStart w:id="8" w:name="dtitle1" w:colFirst="0" w:colLast="0"/>
            <w:bookmarkEnd w:id="7"/>
            <w:r w:rsidRPr="00152238">
              <w:rPr>
                <w:rFonts w:cs="Calibri"/>
              </w:rPr>
              <w:t>Licitación para seleccionar al auditor externo</w:t>
            </w:r>
          </w:p>
        </w:tc>
      </w:tr>
    </w:tbl>
    <w:bookmarkEnd w:id="8"/>
    <w:p w:rsidR="00AF3CA7" w:rsidRDefault="00AF3CA7" w:rsidP="000403B6">
      <w:pPr>
        <w:pStyle w:val="Normalaftertitle"/>
      </w:pPr>
      <w:r w:rsidRPr="00152238">
        <w:t>Tengo el honor de transmitir a los Estados Miembros del Consejo el Informe del Comité de Evaluación para la selección del Auditor externo</w:t>
      </w:r>
      <w:r w:rsidRPr="00152238">
        <w:rPr>
          <w:rFonts w:cs="Calibri"/>
        </w:rPr>
        <w:t>.</w:t>
      </w:r>
    </w:p>
    <w:p w:rsidR="00AF3CA7" w:rsidRPr="00E10E61" w:rsidRDefault="00AF3CA7" w:rsidP="000403B6">
      <w:pPr>
        <w:tabs>
          <w:tab w:val="clear" w:pos="567"/>
          <w:tab w:val="clear" w:pos="1134"/>
          <w:tab w:val="clear" w:pos="1701"/>
          <w:tab w:val="clear" w:pos="2268"/>
          <w:tab w:val="clear" w:pos="2835"/>
          <w:tab w:val="center" w:pos="6521"/>
        </w:tabs>
        <w:spacing w:before="1080"/>
        <w:rPr>
          <w:rFonts w:asciiTheme="minorHAnsi" w:hAnsiTheme="minorHAnsi"/>
        </w:rPr>
      </w:pPr>
      <w:r w:rsidRPr="00E10E61">
        <w:rPr>
          <w:rFonts w:asciiTheme="minorHAnsi" w:hAnsiTheme="minorHAnsi"/>
        </w:rPr>
        <w:tab/>
      </w:r>
      <w:r w:rsidRPr="00AF3CA7">
        <w:rPr>
          <w:rFonts w:asciiTheme="minorHAnsi" w:hAnsiTheme="minorHAnsi"/>
        </w:rPr>
        <w:t>Houlin ZHAO</w:t>
      </w:r>
      <w:r w:rsidRPr="00E10E61">
        <w:rPr>
          <w:rFonts w:asciiTheme="minorHAnsi" w:hAnsiTheme="minorHAnsi"/>
        </w:rPr>
        <w:br/>
      </w:r>
      <w:r w:rsidRPr="00E10E61">
        <w:rPr>
          <w:rFonts w:asciiTheme="minorHAnsi" w:hAnsiTheme="minorHAnsi"/>
        </w:rPr>
        <w:tab/>
        <w:t>Secretario General</w:t>
      </w:r>
    </w:p>
    <w:p w:rsidR="00AF3CA7" w:rsidRDefault="00AF3CA7" w:rsidP="000403B6">
      <w:r>
        <w:br w:type="page"/>
      </w:r>
    </w:p>
    <w:p w:rsidR="007808B8" w:rsidRPr="00152238" w:rsidRDefault="007808B8" w:rsidP="000403B6">
      <w:pPr>
        <w:pStyle w:val="Title4"/>
      </w:pPr>
      <w:r w:rsidRPr="00152238">
        <w:lastRenderedPageBreak/>
        <w:t>Informe del Comité de Evaluación</w:t>
      </w:r>
    </w:p>
    <w:p w:rsidR="007808B8" w:rsidRPr="00152238" w:rsidRDefault="007808B8" w:rsidP="000A0BDD">
      <w:pPr>
        <w:pStyle w:val="Title1"/>
        <w:spacing w:after="240"/>
      </w:pPr>
      <w:r w:rsidRPr="00152238">
        <w:t>Licitación para seleccionar al auditor externo</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rsidP="000403B6">
            <w:pPr>
              <w:pStyle w:val="Headingb"/>
              <w:rPr>
                <w:lang w:val="es-ES"/>
              </w:rPr>
            </w:pPr>
            <w:r w:rsidRPr="000B0D00">
              <w:rPr>
                <w:lang w:val="es-ES"/>
              </w:rPr>
              <w:t>Resumen</w:t>
            </w:r>
          </w:p>
          <w:p w:rsidR="00093EEB" w:rsidRPr="000B0D00" w:rsidRDefault="007808B8" w:rsidP="000403B6">
            <w:pPr>
              <w:rPr>
                <w:lang w:val="es-ES"/>
              </w:rPr>
            </w:pPr>
            <w:bookmarkStart w:id="9" w:name="_GoBack"/>
            <w:r w:rsidRPr="007808B8">
              <w:rPr>
                <w:lang w:val="es-ES"/>
              </w:rPr>
              <w:t xml:space="preserve">El presente Informe contiene los resultados de los trabajos del Comité de Evaluación para la selección del Auditor </w:t>
            </w:r>
            <w:r w:rsidR="00F214DA" w:rsidRPr="007808B8">
              <w:rPr>
                <w:lang w:val="es-ES"/>
              </w:rPr>
              <w:t xml:space="preserve">Externo </w:t>
            </w:r>
            <w:r w:rsidRPr="007808B8">
              <w:rPr>
                <w:lang w:val="es-ES"/>
              </w:rPr>
              <w:t>de la UIT. Contiene una perspectiva general del proceso de licitación dirigido por el Secretario General y del trabajo de evaluación del Comité, integrado por cinco delegados de Estados Miembros, para la selección del Auditor externo de la UIT</w:t>
            </w:r>
            <w:bookmarkEnd w:id="9"/>
            <w:r w:rsidRPr="007808B8">
              <w:rPr>
                <w:lang w:val="es-ES"/>
              </w:rPr>
              <w:t>.</w:t>
            </w:r>
          </w:p>
          <w:p w:rsidR="00093EEB" w:rsidRPr="000B0D00" w:rsidRDefault="00093EEB" w:rsidP="000403B6">
            <w:pPr>
              <w:pStyle w:val="Headingb"/>
              <w:rPr>
                <w:lang w:val="es-ES"/>
              </w:rPr>
            </w:pPr>
            <w:r w:rsidRPr="000B0D00">
              <w:rPr>
                <w:lang w:val="es-ES"/>
              </w:rPr>
              <w:t>Acción solicitada</w:t>
            </w:r>
          </w:p>
          <w:p w:rsidR="00093EEB" w:rsidRPr="000B0D00" w:rsidRDefault="007808B8" w:rsidP="000403B6">
            <w:pPr>
              <w:rPr>
                <w:lang w:val="es-ES"/>
              </w:rPr>
            </w:pPr>
            <w:r w:rsidRPr="00152238">
              <w:rPr>
                <w:rFonts w:cs="Calibri"/>
              </w:rPr>
              <w:t xml:space="preserve">Se invita al Consejo a </w:t>
            </w:r>
            <w:r w:rsidRPr="00A90697">
              <w:rPr>
                <w:rFonts w:cs="Calibri"/>
                <w:b/>
                <w:bCs/>
              </w:rPr>
              <w:t>tomar nota</w:t>
            </w:r>
            <w:r w:rsidRPr="00152238">
              <w:rPr>
                <w:rFonts w:cs="Calibri"/>
              </w:rPr>
              <w:t xml:space="preserve"> del contenido del presente Informe y a </w:t>
            </w:r>
            <w:r w:rsidRPr="00A90697">
              <w:rPr>
                <w:rFonts w:cs="Calibri"/>
                <w:b/>
                <w:bCs/>
              </w:rPr>
              <w:t>adoptar</w:t>
            </w:r>
            <w:r w:rsidRPr="00152238">
              <w:rPr>
                <w:rFonts w:cs="Calibri"/>
              </w:rPr>
              <w:t xml:space="preserve"> el proyecto de Acuerdo que figura en el Anexo </w:t>
            </w:r>
            <w:r>
              <w:rPr>
                <w:rFonts w:cs="Calibri"/>
              </w:rPr>
              <w:t>B</w:t>
            </w:r>
            <w:r w:rsidRPr="00152238">
              <w:rPr>
                <w:rFonts w:cs="Calibri"/>
              </w:rPr>
              <w:t>.</w:t>
            </w:r>
          </w:p>
          <w:p w:rsidR="00093EEB" w:rsidRPr="000B0D00" w:rsidRDefault="00093EEB" w:rsidP="000403B6">
            <w:pPr>
              <w:pStyle w:val="Table"/>
              <w:keepNext w:val="0"/>
              <w:spacing w:before="0" w:after="0"/>
              <w:rPr>
                <w:caps w:val="0"/>
                <w:sz w:val="22"/>
                <w:lang w:val="es-ES"/>
              </w:rPr>
            </w:pPr>
            <w:r w:rsidRPr="000B0D00">
              <w:rPr>
                <w:caps w:val="0"/>
                <w:sz w:val="22"/>
                <w:lang w:val="es-ES"/>
              </w:rPr>
              <w:t>____________</w:t>
            </w:r>
          </w:p>
          <w:p w:rsidR="00093EEB" w:rsidRPr="000B0D00" w:rsidRDefault="00093EEB" w:rsidP="000403B6">
            <w:pPr>
              <w:pStyle w:val="Headingb"/>
              <w:rPr>
                <w:lang w:val="es-ES"/>
              </w:rPr>
            </w:pPr>
            <w:r w:rsidRPr="000B0D00">
              <w:rPr>
                <w:lang w:val="es-ES"/>
              </w:rPr>
              <w:t>Referencia</w:t>
            </w:r>
            <w:r w:rsidR="007808B8">
              <w:rPr>
                <w:lang w:val="es-ES"/>
              </w:rPr>
              <w:t>s</w:t>
            </w:r>
          </w:p>
          <w:p w:rsidR="00B25350" w:rsidRPr="009160FA" w:rsidRDefault="0038572D" w:rsidP="000403B6">
            <w:hyperlink r:id="rId8" w:history="1">
              <w:r w:rsidR="009160FA">
                <w:rPr>
                  <w:rStyle w:val="Hyperlink"/>
                  <w:rFonts w:asciiTheme="minorHAnsi" w:hAnsiTheme="minorHAnsi" w:cstheme="minorHAnsi"/>
                  <w:i/>
                  <w:iCs/>
                  <w:noProof/>
                  <w:szCs w:val="24"/>
                  <w:lang w:eastAsia="zh-CN"/>
                </w:rPr>
                <w:t>Resolución 94 (Rev. Dubá</w:t>
              </w:r>
              <w:r w:rsidR="00B25350">
                <w:rPr>
                  <w:rStyle w:val="Hyperlink"/>
                  <w:rFonts w:asciiTheme="minorHAnsi" w:hAnsiTheme="minorHAnsi" w:cstheme="minorHAnsi"/>
                  <w:i/>
                  <w:iCs/>
                  <w:noProof/>
                  <w:szCs w:val="24"/>
                  <w:lang w:eastAsia="zh-CN"/>
                </w:rPr>
                <w:t>i</w:t>
              </w:r>
              <w:r w:rsidR="00B25350" w:rsidRPr="001C13F7">
                <w:rPr>
                  <w:rStyle w:val="Hyperlink"/>
                  <w:rFonts w:asciiTheme="minorHAnsi" w:hAnsiTheme="minorHAnsi" w:cstheme="minorHAnsi"/>
                  <w:i/>
                  <w:iCs/>
                  <w:noProof/>
                  <w:szCs w:val="24"/>
                  <w:lang w:eastAsia="zh-CN"/>
                </w:rPr>
                <w:t>, 201</w:t>
              </w:r>
              <w:r w:rsidR="00B25350">
                <w:rPr>
                  <w:rStyle w:val="Hyperlink"/>
                  <w:rFonts w:asciiTheme="minorHAnsi" w:hAnsiTheme="minorHAnsi" w:cstheme="minorHAnsi"/>
                  <w:i/>
                  <w:iCs/>
                  <w:noProof/>
                  <w:szCs w:val="24"/>
                  <w:lang w:eastAsia="zh-CN"/>
                </w:rPr>
                <w:t>8</w:t>
              </w:r>
              <w:r w:rsidR="00B25350" w:rsidRPr="001C13F7">
                <w:rPr>
                  <w:rStyle w:val="Hyperlink"/>
                  <w:rFonts w:asciiTheme="minorHAnsi" w:hAnsiTheme="minorHAnsi" w:cstheme="minorHAnsi"/>
                  <w:i/>
                  <w:iCs/>
                  <w:noProof/>
                  <w:szCs w:val="24"/>
                  <w:lang w:eastAsia="zh-CN"/>
                </w:rPr>
                <w:t>)</w:t>
              </w:r>
            </w:hyperlink>
          </w:p>
          <w:p w:rsidR="00B25350" w:rsidRPr="00E34B68" w:rsidRDefault="0038572D" w:rsidP="000403B6">
            <w:pPr>
              <w:rPr>
                <w:i/>
                <w:iCs/>
                <w:szCs w:val="24"/>
              </w:rPr>
            </w:pPr>
            <w:hyperlink r:id="rId9" w:history="1">
              <w:r w:rsidR="00B25350" w:rsidRPr="009160FA">
                <w:rPr>
                  <w:rStyle w:val="Hyperlink"/>
                  <w:rFonts w:asciiTheme="minorHAnsi" w:hAnsiTheme="minorHAnsi" w:cstheme="minorHAnsi"/>
                  <w:i/>
                  <w:noProof/>
                  <w:lang w:eastAsia="zh-CN"/>
                </w:rPr>
                <w:t>Document</w:t>
              </w:r>
              <w:r w:rsidR="009160FA" w:rsidRPr="009160FA">
                <w:rPr>
                  <w:rStyle w:val="Hyperlink"/>
                  <w:rFonts w:asciiTheme="minorHAnsi" w:hAnsiTheme="minorHAnsi" w:cstheme="minorHAnsi"/>
                  <w:i/>
                  <w:noProof/>
                  <w:lang w:eastAsia="zh-CN"/>
                </w:rPr>
                <w:t>o</w:t>
              </w:r>
              <w:r w:rsidR="00B25350" w:rsidRPr="009160FA">
                <w:rPr>
                  <w:rStyle w:val="Hyperlink"/>
                  <w:rFonts w:asciiTheme="minorHAnsi" w:hAnsiTheme="minorHAnsi" w:cstheme="minorHAnsi"/>
                  <w:i/>
                  <w:noProof/>
                  <w:lang w:eastAsia="zh-CN"/>
                </w:rPr>
                <w:t xml:space="preserve"> C18/67</w:t>
              </w:r>
            </w:hyperlink>
          </w:p>
          <w:p w:rsidR="00093EEB" w:rsidRPr="000B0D00" w:rsidRDefault="0038572D" w:rsidP="000403B6">
            <w:pPr>
              <w:spacing w:after="120"/>
              <w:rPr>
                <w:i/>
                <w:iCs/>
                <w:lang w:val="es-ES"/>
              </w:rPr>
            </w:pPr>
            <w:hyperlink r:id="rId10" w:history="1">
              <w:r w:rsidR="00E84A28" w:rsidRPr="00E84A28">
                <w:rPr>
                  <w:rStyle w:val="Hyperlink"/>
                  <w:i/>
                  <w:iCs/>
                  <w:szCs w:val="24"/>
                </w:rPr>
                <w:t xml:space="preserve">Reglamento Financiero y Reglas Financieras </w:t>
              </w:r>
              <w:r w:rsidR="00E84A28">
                <w:rPr>
                  <w:rStyle w:val="Hyperlink"/>
                  <w:i/>
                  <w:iCs/>
                  <w:szCs w:val="24"/>
                </w:rPr>
                <w:t>de la UIT (2018), Artí</w:t>
              </w:r>
              <w:r w:rsidR="00E84A28" w:rsidRPr="001C13F7">
                <w:rPr>
                  <w:rStyle w:val="Hyperlink"/>
                  <w:i/>
                  <w:iCs/>
                  <w:szCs w:val="24"/>
                </w:rPr>
                <w:t>c</w:t>
              </w:r>
              <w:r w:rsidR="00E84A28">
                <w:rPr>
                  <w:rStyle w:val="Hyperlink"/>
                  <w:i/>
                  <w:iCs/>
                  <w:szCs w:val="24"/>
                </w:rPr>
                <w:t>u</w:t>
              </w:r>
              <w:r w:rsidR="00E84A28" w:rsidRPr="001C13F7">
                <w:rPr>
                  <w:rStyle w:val="Hyperlink"/>
                  <w:i/>
                  <w:iCs/>
                  <w:szCs w:val="24"/>
                </w:rPr>
                <w:t>l</w:t>
              </w:r>
              <w:r w:rsidR="00E84A28">
                <w:rPr>
                  <w:rStyle w:val="Hyperlink"/>
                  <w:i/>
                  <w:iCs/>
                  <w:szCs w:val="24"/>
                </w:rPr>
                <w:t>o</w:t>
              </w:r>
              <w:r w:rsidR="00E84A28" w:rsidRPr="001C13F7">
                <w:rPr>
                  <w:rStyle w:val="Hyperlink"/>
                  <w:i/>
                  <w:iCs/>
                  <w:szCs w:val="24"/>
                </w:rPr>
                <w:t xml:space="preserve"> 28</w:t>
              </w:r>
            </w:hyperlink>
          </w:p>
        </w:tc>
      </w:tr>
    </w:tbl>
    <w:p w:rsidR="002F5B8A" w:rsidRPr="001E67A1" w:rsidRDefault="00E22CE3" w:rsidP="000A0BDD">
      <w:pPr>
        <w:pStyle w:val="Headingb"/>
        <w:tabs>
          <w:tab w:val="left" w:pos="142"/>
        </w:tabs>
        <w:spacing w:before="240"/>
        <w:rPr>
          <w:lang w:val="es-ES"/>
        </w:rPr>
      </w:pPr>
      <w:r w:rsidRPr="001E67A1">
        <w:rPr>
          <w:lang w:val="es-ES"/>
        </w:rPr>
        <w:t>EL</w:t>
      </w:r>
      <w:r w:rsidR="002F5B8A" w:rsidRPr="001E67A1">
        <w:rPr>
          <w:lang w:val="es-ES"/>
        </w:rPr>
        <w:t xml:space="preserve"> </w:t>
      </w:r>
      <w:r w:rsidRPr="001E67A1">
        <w:rPr>
          <w:lang w:val="es-ES"/>
        </w:rPr>
        <w:t>PROCESO DE LICITACIÓN</w:t>
      </w:r>
    </w:p>
    <w:p w:rsidR="002F5B8A" w:rsidRPr="00E22CE3" w:rsidRDefault="002F5B8A" w:rsidP="000403B6">
      <w:pPr>
        <w:rPr>
          <w:lang w:val="es-ES"/>
        </w:rPr>
      </w:pPr>
      <w:r w:rsidRPr="00E22CE3">
        <w:rPr>
          <w:lang w:val="es-ES"/>
        </w:rPr>
        <w:t>1</w:t>
      </w:r>
      <w:r w:rsidRPr="00E22CE3">
        <w:rPr>
          <w:lang w:val="es-ES"/>
        </w:rPr>
        <w:tab/>
      </w:r>
      <w:r w:rsidR="00E22CE3">
        <w:rPr>
          <w:lang w:val="es-ES"/>
        </w:rPr>
        <w:t xml:space="preserve">Se han llevado a cabo varias tareas señaladas en </w:t>
      </w:r>
      <w:r w:rsidR="00E22CE3" w:rsidRPr="00E22CE3">
        <w:rPr>
          <w:lang w:val="es-ES"/>
        </w:rPr>
        <w:t xml:space="preserve">la Resolución </w:t>
      </w:r>
      <w:r w:rsidRPr="00E22CE3">
        <w:rPr>
          <w:lang w:val="es-ES"/>
        </w:rPr>
        <w:t>94 (Rev. Dub</w:t>
      </w:r>
      <w:r w:rsidR="00E22CE3" w:rsidRPr="00E22CE3">
        <w:rPr>
          <w:lang w:val="es-ES"/>
        </w:rPr>
        <w:t>á</w:t>
      </w:r>
      <w:r w:rsidRPr="00E22CE3">
        <w:rPr>
          <w:lang w:val="es-ES"/>
        </w:rPr>
        <w:t xml:space="preserve">i, 2018) </w:t>
      </w:r>
      <w:r w:rsidR="00E22CE3" w:rsidRPr="00E22CE3">
        <w:rPr>
          <w:lang w:val="es-ES"/>
        </w:rPr>
        <w:t xml:space="preserve">y el </w:t>
      </w:r>
      <w:r w:rsidR="001543EA" w:rsidRPr="00E22CE3">
        <w:rPr>
          <w:lang w:val="es-ES"/>
        </w:rPr>
        <w:t xml:space="preserve">Documento </w:t>
      </w:r>
      <w:r w:rsidRPr="00E22CE3">
        <w:rPr>
          <w:lang w:val="es-ES"/>
        </w:rPr>
        <w:t>C18/67 (Proces</w:t>
      </w:r>
      <w:r w:rsidR="00E22CE3" w:rsidRPr="00E22CE3">
        <w:rPr>
          <w:lang w:val="es-ES"/>
        </w:rPr>
        <w:t xml:space="preserve">o de selección de un </w:t>
      </w:r>
      <w:r w:rsidR="00E22CE3">
        <w:rPr>
          <w:lang w:val="es-ES"/>
        </w:rPr>
        <w:t>n</w:t>
      </w:r>
      <w:r w:rsidR="00E22CE3" w:rsidRPr="00E22CE3">
        <w:rPr>
          <w:lang w:val="es-ES"/>
        </w:rPr>
        <w:t xml:space="preserve">uevo </w:t>
      </w:r>
      <w:r w:rsidR="00E22CE3">
        <w:rPr>
          <w:lang w:val="es-ES"/>
        </w:rPr>
        <w:t>auditor externo</w:t>
      </w:r>
      <w:r w:rsidRPr="00E22CE3">
        <w:rPr>
          <w:lang w:val="es-ES"/>
        </w:rPr>
        <w:t xml:space="preserve">). </w:t>
      </w:r>
      <w:r w:rsidR="00E22CE3" w:rsidRPr="00E22CE3">
        <w:rPr>
          <w:lang w:val="es-ES"/>
        </w:rPr>
        <w:t>El presente Informe contiene una explicación detallada de todos los elementos que llevaron al Comité a adoptar su conclusi</w:t>
      </w:r>
      <w:r w:rsidR="00E22CE3">
        <w:rPr>
          <w:lang w:val="es-ES"/>
        </w:rPr>
        <w:t>ón y las consiguientes recomendaciones</w:t>
      </w:r>
      <w:r w:rsidRPr="00E22CE3">
        <w:rPr>
          <w:lang w:val="es-ES"/>
        </w:rPr>
        <w:t>.</w:t>
      </w:r>
    </w:p>
    <w:p w:rsidR="002F5B8A" w:rsidRDefault="002F5B8A" w:rsidP="000403B6">
      <w:r>
        <w:t>2</w:t>
      </w:r>
      <w:r>
        <w:tab/>
      </w:r>
      <w:r w:rsidRPr="002F5B8A">
        <w:t>En la reunión del Grupo de Trabajo del Consejo sobre Recursos Humanos y Financieros celebrada en enero de 2018, su Presidente hizo un llamamiento para que seis personas se ofrecieran voluntarias para formar parte de un Comité de Evaluación que establecería el Consejo en su reunión de 2018</w:t>
      </w:r>
      <w:r>
        <w:t xml:space="preserve">. </w:t>
      </w:r>
      <w:r w:rsidRPr="002F5B8A">
        <w:t>El 6 de febrero de 2018, el Secretario General envió a las seis organizaciones regionales de telecomunicaciones</w:t>
      </w:r>
      <w:r w:rsidR="00E22CE3">
        <w:t xml:space="preserve"> principales</w:t>
      </w:r>
      <w:r w:rsidRPr="002F5B8A">
        <w:t xml:space="preserve"> una carta en la que solicitaba c</w:t>
      </w:r>
      <w:r w:rsidR="00A90832">
        <w:t>andidaturas.</w:t>
      </w:r>
      <w:r>
        <w:t xml:space="preserve"> </w:t>
      </w:r>
      <w:r w:rsidR="006B5D03" w:rsidRPr="006B5D03">
        <w:t xml:space="preserve">El resultado de la consulta dio lugar a la siguiente </w:t>
      </w:r>
      <w:r w:rsidR="00E22CE3">
        <w:t>composición</w:t>
      </w:r>
      <w:r>
        <w:t>:</w:t>
      </w:r>
    </w:p>
    <w:p w:rsidR="00285672" w:rsidRPr="007D2EFA" w:rsidRDefault="00285672" w:rsidP="000403B6">
      <w:pPr>
        <w:tabs>
          <w:tab w:val="clear" w:pos="567"/>
          <w:tab w:val="clear" w:pos="1134"/>
          <w:tab w:val="clear" w:pos="1701"/>
          <w:tab w:val="clear" w:pos="2268"/>
          <w:tab w:val="clear" w:pos="2835"/>
          <w:tab w:val="left" w:pos="4678"/>
        </w:tabs>
        <w:rPr>
          <w:lang w:val="es-ES"/>
        </w:rPr>
      </w:pPr>
      <w:r w:rsidRPr="007D2EFA">
        <w:rPr>
          <w:lang w:val="es-ES"/>
        </w:rPr>
        <w:t>África</w:t>
      </w:r>
      <w:r w:rsidRPr="007D2EFA">
        <w:rPr>
          <w:lang w:val="es-ES"/>
        </w:rPr>
        <w:tab/>
        <w:t>Sr. R. Anago (Burkina Faso)</w:t>
      </w:r>
    </w:p>
    <w:p w:rsidR="00285672" w:rsidRPr="007D2EFA" w:rsidRDefault="00285672" w:rsidP="000403B6">
      <w:pPr>
        <w:tabs>
          <w:tab w:val="clear" w:pos="567"/>
          <w:tab w:val="clear" w:pos="1134"/>
          <w:tab w:val="clear" w:pos="1701"/>
          <w:tab w:val="clear" w:pos="2268"/>
          <w:tab w:val="clear" w:pos="2835"/>
          <w:tab w:val="left" w:pos="4678"/>
        </w:tabs>
        <w:rPr>
          <w:lang w:val="es-ES"/>
        </w:rPr>
      </w:pPr>
      <w:r w:rsidRPr="007D2EFA">
        <w:rPr>
          <w:lang w:val="es-ES"/>
        </w:rPr>
        <w:t>América</w:t>
      </w:r>
      <w:r w:rsidRPr="007D2EFA">
        <w:rPr>
          <w:lang w:val="es-ES"/>
        </w:rPr>
        <w:tab/>
        <w:t>Sra. C. Roy (Canadá)</w:t>
      </w:r>
    </w:p>
    <w:p w:rsidR="00285672" w:rsidRPr="007D2EFA" w:rsidRDefault="00285672" w:rsidP="000403B6">
      <w:pPr>
        <w:tabs>
          <w:tab w:val="clear" w:pos="567"/>
          <w:tab w:val="clear" w:pos="1134"/>
          <w:tab w:val="clear" w:pos="1701"/>
          <w:tab w:val="clear" w:pos="2268"/>
          <w:tab w:val="clear" w:pos="2835"/>
          <w:tab w:val="left" w:pos="4678"/>
        </w:tabs>
        <w:rPr>
          <w:lang w:val="es-ES"/>
        </w:rPr>
      </w:pPr>
      <w:r>
        <w:rPr>
          <w:lang w:val="es-ES"/>
        </w:rPr>
        <w:t>Estados Árabes</w:t>
      </w:r>
      <w:r>
        <w:rPr>
          <w:lang w:val="es-ES"/>
        </w:rPr>
        <w:tab/>
      </w:r>
      <w:r w:rsidRPr="007D2EFA">
        <w:rPr>
          <w:lang w:val="es-ES"/>
        </w:rPr>
        <w:t xml:space="preserve">Sr. </w:t>
      </w:r>
      <w:r w:rsidRPr="00285672">
        <w:rPr>
          <w:lang w:val="es-ES"/>
        </w:rPr>
        <w:t>N. Almarzouqi (</w:t>
      </w:r>
      <w:r w:rsidR="00E22CE3">
        <w:rPr>
          <w:lang w:val="es-ES"/>
        </w:rPr>
        <w:t>EA</w:t>
      </w:r>
      <w:r w:rsidRPr="00285672">
        <w:rPr>
          <w:lang w:val="es-ES"/>
        </w:rPr>
        <w:t>U)</w:t>
      </w:r>
    </w:p>
    <w:p w:rsidR="00285672" w:rsidRPr="007D2EFA" w:rsidRDefault="00285672" w:rsidP="000403B6">
      <w:pPr>
        <w:tabs>
          <w:tab w:val="clear" w:pos="567"/>
          <w:tab w:val="clear" w:pos="1134"/>
          <w:tab w:val="clear" w:pos="1701"/>
          <w:tab w:val="clear" w:pos="2268"/>
          <w:tab w:val="clear" w:pos="2835"/>
          <w:tab w:val="left" w:pos="4678"/>
        </w:tabs>
        <w:rPr>
          <w:lang w:val="es-ES"/>
        </w:rPr>
      </w:pPr>
      <w:r w:rsidRPr="007D2EFA">
        <w:rPr>
          <w:lang w:val="es-ES"/>
        </w:rPr>
        <w:lastRenderedPageBreak/>
        <w:t>Asia</w:t>
      </w:r>
      <w:r>
        <w:rPr>
          <w:lang w:val="es-ES"/>
        </w:rPr>
        <w:t>-</w:t>
      </w:r>
      <w:r w:rsidRPr="007D2EFA">
        <w:rPr>
          <w:lang w:val="es-ES"/>
        </w:rPr>
        <w:t>Pacífico</w:t>
      </w:r>
      <w:r w:rsidRPr="007D2EFA">
        <w:rPr>
          <w:lang w:val="es-ES"/>
        </w:rPr>
        <w:tab/>
        <w:t>Sra. L. Rowe (Australia)</w:t>
      </w:r>
    </w:p>
    <w:p w:rsidR="00285672" w:rsidRPr="007D2EFA" w:rsidRDefault="00285672" w:rsidP="000403B6">
      <w:pPr>
        <w:tabs>
          <w:tab w:val="clear" w:pos="567"/>
          <w:tab w:val="clear" w:pos="1134"/>
          <w:tab w:val="clear" w:pos="1701"/>
          <w:tab w:val="clear" w:pos="2268"/>
          <w:tab w:val="clear" w:pos="2835"/>
          <w:tab w:val="left" w:pos="4678"/>
        </w:tabs>
        <w:rPr>
          <w:lang w:val="es-ES"/>
        </w:rPr>
      </w:pPr>
      <w:r w:rsidRPr="007D2EFA">
        <w:rPr>
          <w:lang w:val="es-ES"/>
        </w:rPr>
        <w:t>Comunidad de Estados Independientes</w:t>
      </w:r>
      <w:r w:rsidRPr="007D2EFA">
        <w:rPr>
          <w:lang w:val="es-ES"/>
        </w:rPr>
        <w:tab/>
        <w:t xml:space="preserve">Sr. </w:t>
      </w:r>
      <w:r>
        <w:rPr>
          <w:lang w:val="es-ES"/>
        </w:rPr>
        <w:t>H. Rustamov</w:t>
      </w:r>
      <w:r w:rsidRPr="007D2EFA">
        <w:rPr>
          <w:lang w:val="es-ES"/>
        </w:rPr>
        <w:t xml:space="preserve"> (</w:t>
      </w:r>
      <w:r w:rsidRPr="00BE25CD">
        <w:rPr>
          <w:lang w:val="es-ES"/>
        </w:rPr>
        <w:t>Azerbaiyán</w:t>
      </w:r>
      <w:r w:rsidRPr="007D2EFA">
        <w:rPr>
          <w:lang w:val="es-ES"/>
        </w:rPr>
        <w:t>)</w:t>
      </w:r>
    </w:p>
    <w:p w:rsidR="00285672" w:rsidRPr="003F3BC7" w:rsidRDefault="00285672" w:rsidP="000403B6">
      <w:pPr>
        <w:tabs>
          <w:tab w:val="clear" w:pos="567"/>
          <w:tab w:val="clear" w:pos="1134"/>
          <w:tab w:val="clear" w:pos="1701"/>
          <w:tab w:val="clear" w:pos="2268"/>
          <w:tab w:val="clear" w:pos="2835"/>
          <w:tab w:val="left" w:pos="4678"/>
        </w:tabs>
        <w:rPr>
          <w:lang w:val="es-ES"/>
        </w:rPr>
      </w:pPr>
      <w:r w:rsidRPr="007D2EFA">
        <w:rPr>
          <w:lang w:val="es-ES"/>
        </w:rPr>
        <w:t>Europa</w:t>
      </w:r>
      <w:r w:rsidRPr="007D2EFA">
        <w:rPr>
          <w:lang w:val="es-ES"/>
        </w:rPr>
        <w:tab/>
        <w:t>Sr. U. Petry (Alemania</w:t>
      </w:r>
      <w:r w:rsidRPr="003F3BC7">
        <w:rPr>
          <w:lang w:val="es-ES"/>
        </w:rPr>
        <w:t>)</w:t>
      </w:r>
    </w:p>
    <w:p w:rsidR="002F5B8A" w:rsidRPr="00930757" w:rsidRDefault="00930757" w:rsidP="000403B6">
      <w:pPr>
        <w:rPr>
          <w:lang w:val="es-ES"/>
        </w:rPr>
      </w:pPr>
      <w:r w:rsidRPr="00930757">
        <w:rPr>
          <w:lang w:val="es-ES"/>
        </w:rPr>
        <w:t>El</w:t>
      </w:r>
      <w:r w:rsidR="002F5B8A" w:rsidRPr="00930757">
        <w:rPr>
          <w:lang w:val="es-ES"/>
        </w:rPr>
        <w:t xml:space="preserve"> </w:t>
      </w:r>
      <w:r w:rsidR="00E22CE3" w:rsidRPr="00930757">
        <w:rPr>
          <w:lang w:val="es-ES"/>
        </w:rPr>
        <w:t>Comité de Evaluación</w:t>
      </w:r>
      <w:r w:rsidR="002F5B8A" w:rsidRPr="00930757">
        <w:rPr>
          <w:lang w:val="es-ES"/>
        </w:rPr>
        <w:t xml:space="preserve"> </w:t>
      </w:r>
      <w:r w:rsidRPr="00930757">
        <w:rPr>
          <w:lang w:val="es-ES"/>
        </w:rPr>
        <w:t xml:space="preserve">adoptó procedimientos de trabajo para realizar su labor y cada Miembro firmó una declaración de confidencialidad y </w:t>
      </w:r>
      <w:r>
        <w:rPr>
          <w:lang w:val="es-ES"/>
        </w:rPr>
        <w:t>de divulgación de interés.</w:t>
      </w:r>
      <w:r w:rsidR="002F5B8A" w:rsidRPr="00930757">
        <w:rPr>
          <w:lang w:val="es-ES"/>
        </w:rPr>
        <w:t xml:space="preserve"> </w:t>
      </w:r>
    </w:p>
    <w:p w:rsidR="002F5B8A" w:rsidRDefault="001A3530" w:rsidP="000403B6">
      <w:r>
        <w:t>3</w:t>
      </w:r>
      <w:r w:rsidR="002F5B8A">
        <w:tab/>
      </w:r>
      <w:r w:rsidR="00930757">
        <w:t>En su informe a la reunión de 2018 del Consejo</w:t>
      </w:r>
      <w:r w:rsidR="002F5B8A">
        <w:t xml:space="preserve">, </w:t>
      </w:r>
      <w:r w:rsidR="00930757">
        <w:t>el</w:t>
      </w:r>
      <w:r w:rsidR="002F5B8A">
        <w:t xml:space="preserve"> </w:t>
      </w:r>
      <w:r w:rsidR="00930757" w:rsidRPr="00930757">
        <w:t xml:space="preserve">Comité Asesor Independiente sobre la Gestión </w:t>
      </w:r>
      <w:r w:rsidR="002F5B8A">
        <w:t>(</w:t>
      </w:r>
      <w:r w:rsidR="00930757">
        <w:t>CAIG) menc</w:t>
      </w:r>
      <w:r w:rsidR="002F5B8A">
        <w:t>ion</w:t>
      </w:r>
      <w:r w:rsidR="00930757">
        <w:t xml:space="preserve">ó que </w:t>
      </w:r>
      <w:r w:rsidR="0065150B" w:rsidRPr="0065150B">
        <w:t>aunque la selección y el nombramiento de los auditores externos corresponda al Consejo y a los Estados Miembros, el mandato del CAIG estipula que el Comité asesore sobre los criterios de evaluación y el proceso de selección adecuados, incluidos los costos y el alcance de los servicios que deben proporcionarse. Con miras a aplicar p</w:t>
      </w:r>
      <w:r w:rsidR="00A90832">
        <w:t>rácticas idóneas, el </w:t>
      </w:r>
      <w:r w:rsidR="00930757">
        <w:t>CAIG invitó</w:t>
      </w:r>
      <w:r w:rsidR="0065150B" w:rsidRPr="0065150B">
        <w:t xml:space="preserve"> a la Secretaría y al </w:t>
      </w:r>
      <w:r w:rsidR="00930757" w:rsidRPr="0065150B">
        <w:t xml:space="preserve">Comité </w:t>
      </w:r>
      <w:r w:rsidR="0065150B" w:rsidRPr="0065150B">
        <w:t xml:space="preserve">de </w:t>
      </w:r>
      <w:r w:rsidR="00930757" w:rsidRPr="0065150B">
        <w:t xml:space="preserve">Evaluación </w:t>
      </w:r>
      <w:r w:rsidR="0065150B" w:rsidRPr="0065150B">
        <w:t>a consultarle según correspond</w:t>
      </w:r>
      <w:r w:rsidR="00930757">
        <w:t>ier</w:t>
      </w:r>
      <w:r w:rsidR="0065150B" w:rsidRPr="0065150B">
        <w:t>a</w:t>
      </w:r>
      <w:r w:rsidR="002F5B8A">
        <w:t>.</w:t>
      </w:r>
    </w:p>
    <w:p w:rsidR="002F5B8A" w:rsidRPr="00AD0D1C" w:rsidRDefault="0065150B" w:rsidP="00A90832">
      <w:r w:rsidRPr="00AD0D1C">
        <w:t>4</w:t>
      </w:r>
      <w:r w:rsidR="002F5B8A" w:rsidRPr="00AD0D1C">
        <w:tab/>
      </w:r>
      <w:r w:rsidR="00AD0D1C" w:rsidRPr="00AD0D1C">
        <w:t xml:space="preserve">Sobre la base del </w:t>
      </w:r>
      <w:r w:rsidR="00930757" w:rsidRPr="00AD0D1C">
        <w:t xml:space="preserve">Reglamento Financiero y </w:t>
      </w:r>
      <w:r w:rsidR="00AD0D1C" w:rsidRPr="00AD0D1C">
        <w:t xml:space="preserve">las </w:t>
      </w:r>
      <w:r w:rsidR="00930757" w:rsidRPr="00AD0D1C">
        <w:t xml:space="preserve">Reglas Financieras de la UIT </w:t>
      </w:r>
      <w:r w:rsidR="00AD0D1C" w:rsidRPr="00AD0D1C">
        <w:t>y con el asesoramiento obtenido del</w:t>
      </w:r>
      <w:r w:rsidR="00930757" w:rsidRPr="00AD0D1C">
        <w:t xml:space="preserve"> CAIG</w:t>
      </w:r>
      <w:r w:rsidR="002F5B8A" w:rsidRPr="00AD0D1C">
        <w:t xml:space="preserve">, </w:t>
      </w:r>
      <w:r w:rsidR="00AD0D1C" w:rsidRPr="00AD0D1C">
        <w:t>la Secretaría</w:t>
      </w:r>
      <w:r w:rsidR="00A90832">
        <w:rPr>
          <w:rStyle w:val="FootnoteReference"/>
        </w:rPr>
        <w:footnoteReference w:id="1"/>
      </w:r>
      <w:r w:rsidR="002F5B8A" w:rsidRPr="00AD0D1C">
        <w:t xml:space="preserve"> </w:t>
      </w:r>
      <w:r w:rsidR="00AD0D1C" w:rsidRPr="00AD0D1C">
        <w:t>elabor</w:t>
      </w:r>
      <w:r w:rsidR="00AD0D1C">
        <w:t xml:space="preserve">ó las bases de las peticiones de propuestas </w:t>
      </w:r>
      <w:r w:rsidR="002F5B8A" w:rsidRPr="00AD0D1C">
        <w:t>(RFP) as</w:t>
      </w:r>
      <w:r w:rsidR="00AD0D1C">
        <w:t>í como la metodología de evaluación que debía aplicarse a las propuestas recibidas</w:t>
      </w:r>
      <w:r w:rsidR="002F5B8A" w:rsidRPr="00AD0D1C">
        <w:t xml:space="preserve">. </w:t>
      </w:r>
      <w:r w:rsidR="00AD0D1C" w:rsidRPr="00AD0D1C">
        <w:t>Los miembros del Comité de Evaluación y del CAIG formularon observaciones, y la Secretar</w:t>
      </w:r>
      <w:r w:rsidR="00AD0D1C">
        <w:t xml:space="preserve">ía concluyó las </w:t>
      </w:r>
      <w:r w:rsidR="002F5B8A" w:rsidRPr="00AD0D1C">
        <w:t xml:space="preserve">RFP. </w:t>
      </w:r>
      <w:r w:rsidR="00AD0D1C" w:rsidRPr="00AD0D1C">
        <w:t>El</w:t>
      </w:r>
      <w:r w:rsidR="002F5B8A" w:rsidRPr="00AD0D1C">
        <w:t xml:space="preserve"> 12 </w:t>
      </w:r>
      <w:r w:rsidR="00AD0D1C" w:rsidRPr="00AD0D1C">
        <w:t xml:space="preserve">de diciembre de </w:t>
      </w:r>
      <w:r w:rsidR="002F5B8A" w:rsidRPr="00AD0D1C">
        <w:t xml:space="preserve">2018, </w:t>
      </w:r>
      <w:r w:rsidR="00AD0D1C" w:rsidRPr="00AD0D1C">
        <w:t xml:space="preserve">el </w:t>
      </w:r>
      <w:r w:rsidR="002F5B8A" w:rsidRPr="00AD0D1C">
        <w:t>Secretar</w:t>
      </w:r>
      <w:r w:rsidR="00AD0D1C" w:rsidRPr="00AD0D1C">
        <w:t xml:space="preserve">io </w:t>
      </w:r>
      <w:r w:rsidR="002F5B8A" w:rsidRPr="00AD0D1C">
        <w:t xml:space="preserve">General </w:t>
      </w:r>
      <w:r w:rsidR="00AD0D1C" w:rsidRPr="00AD0D1C">
        <w:t xml:space="preserve">invitó por Carta Circular a las Administraciones de los Estados Miembros de la </w:t>
      </w:r>
      <w:r w:rsidR="00AD0D1C">
        <w:t xml:space="preserve">UIT a que informaran a sus respectivas </w:t>
      </w:r>
      <w:r w:rsidR="00B8246E">
        <w:t>entidades fiscalizadoras superiores</w:t>
      </w:r>
      <w:r w:rsidR="00AD0D1C">
        <w:t xml:space="preserve"> de que se habían publicado las</w:t>
      </w:r>
      <w:r w:rsidR="002F5B8A" w:rsidRPr="00AD0D1C">
        <w:t xml:space="preserve"> RFP </w:t>
      </w:r>
      <w:r w:rsidR="00A51A86">
        <w:t>en la página web del Consejo</w:t>
      </w:r>
      <w:r w:rsidR="00A51A86" w:rsidRPr="00AD0D1C">
        <w:t xml:space="preserve"> </w:t>
      </w:r>
      <w:r w:rsidR="00A51A86">
        <w:t xml:space="preserve">bajo el título </w:t>
      </w:r>
      <w:r w:rsidR="000A0BDD">
        <w:t>"</w:t>
      </w:r>
      <w:r w:rsidR="00A51A86">
        <w:t>Documentación general</w:t>
      </w:r>
      <w:r w:rsidR="000A0BDD">
        <w:t>"</w:t>
      </w:r>
      <w:r w:rsidR="00A51A86">
        <w:t xml:space="preserve"> </w:t>
      </w:r>
      <w:r w:rsidR="002F5B8A" w:rsidRPr="00AD0D1C">
        <w:t>(</w:t>
      </w:r>
      <w:hyperlink r:id="rId11" w:history="1">
        <w:r w:rsidR="000A0BDD">
          <w:rPr>
            <w:rStyle w:val="Hyperlink"/>
          </w:rPr>
          <w:t>https://www.itu.int/es/council/Pages/documents.aspx</w:t>
        </w:r>
      </w:hyperlink>
      <w:r w:rsidRPr="00AD0D1C">
        <w:t>).</w:t>
      </w:r>
    </w:p>
    <w:p w:rsidR="00A404D3" w:rsidRPr="00B8246E" w:rsidRDefault="00A404D3" w:rsidP="000403B6">
      <w:pPr>
        <w:rPr>
          <w:lang w:val="es-ES"/>
        </w:rPr>
      </w:pPr>
      <w:r>
        <w:lastRenderedPageBreak/>
        <w:t>5</w:t>
      </w:r>
      <w:r w:rsidR="002F5B8A">
        <w:tab/>
      </w:r>
      <w:r w:rsidR="00DC6725" w:rsidRPr="00DC6725">
        <w:t>En la</w:t>
      </w:r>
      <w:r w:rsidR="00EA2E6C">
        <w:t>s</w:t>
      </w:r>
      <w:r w:rsidR="00DC6725" w:rsidRPr="00DC6725">
        <w:t xml:space="preserve"> R</w:t>
      </w:r>
      <w:r w:rsidR="00EA2E6C">
        <w:t>F</w:t>
      </w:r>
      <w:r w:rsidR="00DC6725" w:rsidRPr="00DC6725">
        <w:t>P figuran las instrucciones detalladas y los plazos específicos, incluida la posibilidad de que las partes interesadas soliciten información adicional, a través de la División de Compras de la UIT, hasta el 15 de febrero de 2019. El plazo límite para la present</w:t>
      </w:r>
      <w:r w:rsidR="000A0BDD">
        <w:t>ación de propuestas finaliza el </w:t>
      </w:r>
      <w:r w:rsidR="00DC6725" w:rsidRPr="00DC6725">
        <w:t>15 de marzo de 2019</w:t>
      </w:r>
      <w:r w:rsidR="002F5B8A">
        <w:t xml:space="preserve">. </w:t>
      </w:r>
      <w:r w:rsidR="00A51A86" w:rsidRPr="00A51A86">
        <w:t xml:space="preserve">Además, en las instrucciones se </w:t>
      </w:r>
      <w:r w:rsidR="00A51A86">
        <w:t>indica</w:t>
      </w:r>
      <w:r w:rsidR="00A51A86" w:rsidRPr="00A51A86">
        <w:t xml:space="preserve"> que las presentaciones deben redactarse en inglés o en francés, y que la información técnica debe figurar en </w:t>
      </w:r>
      <w:r w:rsidR="00A51A86">
        <w:t>el</w:t>
      </w:r>
      <w:r w:rsidR="00A51A86" w:rsidRPr="00A51A86">
        <w:t xml:space="preserve"> sobre </w:t>
      </w:r>
      <w:r w:rsidR="00A51A86">
        <w:t xml:space="preserve">técnico, </w:t>
      </w:r>
      <w:r w:rsidR="00A51A86" w:rsidRPr="00A51A86">
        <w:t xml:space="preserve">aparte de la información </w:t>
      </w:r>
      <w:r w:rsidR="00A51A86">
        <w:t>financiera, que debe incluirse en el sobre financiero.</w:t>
      </w:r>
      <w:r w:rsidR="002F5B8A" w:rsidRPr="00A51A86">
        <w:t xml:space="preserve"> </w:t>
      </w:r>
      <w:r w:rsidR="00B2053B" w:rsidRPr="00B2053B">
        <w:t xml:space="preserve">La separación de la información financiera de la técnica es un </w:t>
      </w:r>
      <w:r w:rsidR="00B2053B">
        <w:t>requisito</w:t>
      </w:r>
      <w:r w:rsidR="00B2053B" w:rsidRPr="00B2053B">
        <w:t xml:space="preserve"> de presentación que debe cumplirse para </w:t>
      </w:r>
      <w:r w:rsidR="00B2053B">
        <w:t xml:space="preserve">dar por válida </w:t>
      </w:r>
      <w:r w:rsidR="00B2053B" w:rsidRPr="00B2053B">
        <w:t xml:space="preserve">la </w:t>
      </w:r>
      <w:r w:rsidR="00B2053B">
        <w:t>presentación</w:t>
      </w:r>
      <w:r w:rsidR="002F5B8A" w:rsidRPr="00B2053B">
        <w:t xml:space="preserve">. </w:t>
      </w:r>
      <w:r w:rsidR="00B2053B" w:rsidRPr="00B2053B">
        <w:t xml:space="preserve">El </w:t>
      </w:r>
      <w:r w:rsidR="00B8246E">
        <w:t>motivo</w:t>
      </w:r>
      <w:r w:rsidR="00B2053B" w:rsidRPr="00B2053B">
        <w:t xml:space="preserve"> por el que estas informaciones deben presentarse por separado es porque primeramente se abren y evalúan los sobres técnicos y, a </w:t>
      </w:r>
      <w:r w:rsidR="00B2053B">
        <w:t>continuación, se abren los financieros</w:t>
      </w:r>
      <w:r w:rsidR="002F5B8A" w:rsidRPr="00B2053B">
        <w:t xml:space="preserve">. </w:t>
      </w:r>
      <w:r w:rsidR="00B8246E">
        <w:t>D</w:t>
      </w:r>
      <w:r w:rsidR="00B2053B">
        <w:t>e esta forma se vela por que el conocimiento de los precios no influya indebidamente en la evaluación de las propuestas técnicas.</w:t>
      </w:r>
    </w:p>
    <w:p w:rsidR="002F5B8A" w:rsidRPr="00B8246E" w:rsidRDefault="00DC6725" w:rsidP="000403B6">
      <w:pPr>
        <w:rPr>
          <w:lang w:val="es-ES"/>
        </w:rPr>
      </w:pPr>
      <w:r w:rsidRPr="00B8246E">
        <w:rPr>
          <w:lang w:val="es-ES"/>
        </w:rPr>
        <w:t>6</w:t>
      </w:r>
      <w:r w:rsidR="002F5B8A" w:rsidRPr="00B8246E">
        <w:rPr>
          <w:lang w:val="es-ES"/>
        </w:rPr>
        <w:tab/>
      </w:r>
      <w:r w:rsidR="00B8246E" w:rsidRPr="00B8246E">
        <w:rPr>
          <w:lang w:val="es-ES"/>
        </w:rPr>
        <w:t>Para el plazo fijado, dos entidades fiscalizadoras superiores habían presentado propuestas</w:t>
      </w:r>
      <w:r w:rsidR="002F5B8A" w:rsidRPr="00B8246E">
        <w:rPr>
          <w:lang w:val="es-ES"/>
        </w:rPr>
        <w:t xml:space="preserve">. </w:t>
      </w:r>
      <w:r w:rsidR="00B8246E" w:rsidRPr="00B8246E">
        <w:rPr>
          <w:lang w:val="es-ES"/>
        </w:rPr>
        <w:t xml:space="preserve">Cuando la División de Compras de la UIT abrió los sobres técnicos, se comprobó que una entidad fiscalizadora superior </w:t>
      </w:r>
      <w:r w:rsidR="00B8246E">
        <w:rPr>
          <w:lang w:val="es-ES"/>
        </w:rPr>
        <w:t>no cumplía un requisito formal de presentación, al haber incluido información financiera en el sobre técnico</w:t>
      </w:r>
      <w:r w:rsidR="002F5B8A" w:rsidRPr="00B8246E">
        <w:rPr>
          <w:lang w:val="es-ES"/>
        </w:rPr>
        <w:t xml:space="preserve">. </w:t>
      </w:r>
      <w:r w:rsidR="00B8246E" w:rsidRPr="00B8246E">
        <w:rPr>
          <w:lang w:val="es-ES"/>
        </w:rPr>
        <w:t xml:space="preserve">Esta práctica es contraria al requisito formal estipulado en la sección </w:t>
      </w:r>
      <w:r w:rsidR="002F5B8A" w:rsidRPr="00B8246E">
        <w:rPr>
          <w:lang w:val="es-ES"/>
        </w:rPr>
        <w:t xml:space="preserve">4.1.1 </w:t>
      </w:r>
      <w:r w:rsidR="00B8246E">
        <w:rPr>
          <w:lang w:val="es-ES"/>
        </w:rPr>
        <w:t xml:space="preserve">de </w:t>
      </w:r>
      <w:r w:rsidR="00EA2E6C" w:rsidRPr="00B8246E">
        <w:rPr>
          <w:lang w:val="es-ES"/>
        </w:rPr>
        <w:t>las</w:t>
      </w:r>
      <w:r w:rsidR="002F5B8A" w:rsidRPr="00B8246E">
        <w:rPr>
          <w:lang w:val="es-ES"/>
        </w:rPr>
        <w:t xml:space="preserve"> RFP</w:t>
      </w:r>
      <w:r w:rsidR="00B8246E">
        <w:rPr>
          <w:lang w:val="es-ES"/>
        </w:rPr>
        <w:t>, donde se establece que no se incluirá ninguna información comercial ni precios en la propuesta técnica, y el incumplimiento de esta norma da lugar a quedar descalificado</w:t>
      </w:r>
      <w:r w:rsidR="002F5B8A" w:rsidRPr="00B8246E">
        <w:rPr>
          <w:lang w:val="es-ES"/>
        </w:rPr>
        <w:t xml:space="preserve">. </w:t>
      </w:r>
      <w:r w:rsidR="00B8246E">
        <w:rPr>
          <w:lang w:val="es-ES"/>
        </w:rPr>
        <w:t>La otra</w:t>
      </w:r>
      <w:r w:rsidR="002F5B8A" w:rsidRPr="00B8246E">
        <w:rPr>
          <w:lang w:val="es-ES"/>
        </w:rPr>
        <w:t xml:space="preserve"> </w:t>
      </w:r>
      <w:r w:rsidR="00B8246E" w:rsidRPr="00B8246E">
        <w:rPr>
          <w:lang w:val="es-ES"/>
        </w:rPr>
        <w:t>entidad fiscalizadora superior</w:t>
      </w:r>
      <w:r w:rsidR="00AD0D1C" w:rsidRPr="00B8246E">
        <w:rPr>
          <w:lang w:val="es-ES"/>
        </w:rPr>
        <w:t xml:space="preserve"> </w:t>
      </w:r>
      <w:r w:rsidR="00B8246E">
        <w:rPr>
          <w:lang w:val="es-ES"/>
        </w:rPr>
        <w:t>cumplía los requisitos de presentación formales</w:t>
      </w:r>
      <w:r w:rsidRPr="00B8246E">
        <w:rPr>
          <w:lang w:val="es-ES"/>
        </w:rPr>
        <w:t>.</w:t>
      </w:r>
    </w:p>
    <w:p w:rsidR="002F5B8A" w:rsidRPr="00B72814" w:rsidRDefault="00DC6725" w:rsidP="000403B6">
      <w:pPr>
        <w:rPr>
          <w:lang w:val="es-ES"/>
        </w:rPr>
      </w:pPr>
      <w:r w:rsidRPr="00B72814">
        <w:rPr>
          <w:lang w:val="es-ES"/>
        </w:rPr>
        <w:t>7</w:t>
      </w:r>
      <w:r w:rsidR="002F5B8A" w:rsidRPr="00B72814">
        <w:rPr>
          <w:lang w:val="es-ES"/>
        </w:rPr>
        <w:tab/>
      </w:r>
      <w:r w:rsidR="00B8246E" w:rsidRPr="00B72814">
        <w:rPr>
          <w:lang w:val="es-ES"/>
        </w:rPr>
        <w:t>La</w:t>
      </w:r>
      <w:r w:rsidR="002F5B8A" w:rsidRPr="00B72814">
        <w:rPr>
          <w:lang w:val="es-ES"/>
        </w:rPr>
        <w:t xml:space="preserve"> Secretar</w:t>
      </w:r>
      <w:r w:rsidR="00B8246E" w:rsidRPr="00B72814">
        <w:rPr>
          <w:lang w:val="es-ES"/>
        </w:rPr>
        <w:t>ía</w:t>
      </w:r>
      <w:r w:rsidR="002F5B8A" w:rsidRPr="00B72814">
        <w:rPr>
          <w:lang w:val="es-ES"/>
        </w:rPr>
        <w:t xml:space="preserve"> re</w:t>
      </w:r>
      <w:r w:rsidR="00B72814" w:rsidRPr="00B72814">
        <w:rPr>
          <w:lang w:val="es-ES"/>
        </w:rPr>
        <w:t xml:space="preserve">mitió este caso al </w:t>
      </w:r>
      <w:r w:rsidR="00E22CE3" w:rsidRPr="00B72814">
        <w:rPr>
          <w:lang w:val="es-ES"/>
        </w:rPr>
        <w:t>Comité de Evaluación</w:t>
      </w:r>
      <w:r w:rsidR="002F5B8A" w:rsidRPr="00B72814">
        <w:rPr>
          <w:lang w:val="es-ES"/>
        </w:rPr>
        <w:t xml:space="preserve">, </w:t>
      </w:r>
      <w:r w:rsidR="00B72814" w:rsidRPr="00B72814">
        <w:rPr>
          <w:lang w:val="es-ES"/>
        </w:rPr>
        <w:t xml:space="preserve">que lo examinó con detenimiento tras obtener aclaraciones de la </w:t>
      </w:r>
      <w:r w:rsidR="00B8246E" w:rsidRPr="00B72814">
        <w:rPr>
          <w:lang w:val="es-ES"/>
        </w:rPr>
        <w:t>División de Compras de la UIT</w:t>
      </w:r>
      <w:r w:rsidR="002F5B8A" w:rsidRPr="00B72814">
        <w:rPr>
          <w:lang w:val="es-ES"/>
        </w:rPr>
        <w:t xml:space="preserve"> </w:t>
      </w:r>
      <w:r w:rsidR="00B72814">
        <w:rPr>
          <w:lang w:val="es-ES"/>
        </w:rPr>
        <w:t xml:space="preserve">y del Presidente del </w:t>
      </w:r>
      <w:r w:rsidR="00930757" w:rsidRPr="00B72814">
        <w:rPr>
          <w:lang w:val="es-ES"/>
        </w:rPr>
        <w:t>CAIG</w:t>
      </w:r>
      <w:r w:rsidR="002F5B8A" w:rsidRPr="00B72814">
        <w:rPr>
          <w:lang w:val="es-ES"/>
        </w:rPr>
        <w:t xml:space="preserve"> </w:t>
      </w:r>
      <w:r w:rsidR="00B72814">
        <w:rPr>
          <w:lang w:val="es-ES"/>
        </w:rPr>
        <w:t>sobre la mejor manera de proceder en el caso en que una propuesta cumpliera formalmente los requisitos y la otra no</w:t>
      </w:r>
      <w:r w:rsidR="002F5B8A" w:rsidRPr="00B72814">
        <w:rPr>
          <w:lang w:val="es-ES"/>
        </w:rPr>
        <w:t xml:space="preserve">. </w:t>
      </w:r>
      <w:r w:rsidR="00B72814" w:rsidRPr="00B72814">
        <w:rPr>
          <w:lang w:val="es-ES"/>
        </w:rPr>
        <w:t xml:space="preserve">Cabe señalar que el </w:t>
      </w:r>
      <w:r w:rsidR="00E22CE3" w:rsidRPr="00B72814">
        <w:rPr>
          <w:lang w:val="es-ES"/>
        </w:rPr>
        <w:t>Comité de Evaluación</w:t>
      </w:r>
      <w:r w:rsidR="002F5B8A" w:rsidRPr="00B72814">
        <w:rPr>
          <w:lang w:val="es-ES"/>
        </w:rPr>
        <w:t xml:space="preserve"> </w:t>
      </w:r>
      <w:r w:rsidR="00B72814" w:rsidRPr="00B72814">
        <w:rPr>
          <w:lang w:val="es-ES"/>
        </w:rPr>
        <w:t>nunca llegó a recibir las propuestas t</w:t>
      </w:r>
      <w:r w:rsidR="00B72814">
        <w:rPr>
          <w:lang w:val="es-ES"/>
        </w:rPr>
        <w:t>écnicas y, como tal, nunca examinó el contenido de las presentaciones.</w:t>
      </w:r>
    </w:p>
    <w:p w:rsidR="002F5B8A" w:rsidRPr="00A15D86" w:rsidRDefault="000C4055" w:rsidP="000403B6">
      <w:pPr>
        <w:rPr>
          <w:lang w:val="es-ES"/>
        </w:rPr>
      </w:pPr>
      <w:r w:rsidRPr="00A15D86">
        <w:rPr>
          <w:lang w:val="es-ES"/>
        </w:rPr>
        <w:t>8</w:t>
      </w:r>
      <w:r w:rsidR="002F5B8A" w:rsidRPr="00A15D86">
        <w:rPr>
          <w:lang w:val="es-ES"/>
        </w:rPr>
        <w:tab/>
      </w:r>
      <w:r w:rsidR="00A15D86" w:rsidRPr="00A15D86">
        <w:rPr>
          <w:lang w:val="es-ES"/>
        </w:rPr>
        <w:t>El Presidente del</w:t>
      </w:r>
      <w:r w:rsidR="00930757" w:rsidRPr="00A15D86">
        <w:rPr>
          <w:lang w:val="es-ES"/>
        </w:rPr>
        <w:t xml:space="preserve"> CAIG</w:t>
      </w:r>
      <w:r w:rsidR="002F5B8A" w:rsidRPr="00A15D86">
        <w:rPr>
          <w:lang w:val="es-ES"/>
        </w:rPr>
        <w:t xml:space="preserve"> pro</w:t>
      </w:r>
      <w:r w:rsidR="00A15D86" w:rsidRPr="00A15D86">
        <w:rPr>
          <w:lang w:val="es-ES"/>
        </w:rPr>
        <w:t>porcionó consideraciones adicionales sobre mejores prácticas con el fin de recibir para examen más de una propuesta</w:t>
      </w:r>
      <w:r w:rsidR="00A15D86">
        <w:rPr>
          <w:lang w:val="es-ES"/>
        </w:rPr>
        <w:t>, lograr competencia y reducir</w:t>
      </w:r>
      <w:r w:rsidR="00A15D86" w:rsidRPr="00A15D86">
        <w:rPr>
          <w:lang w:val="es-ES"/>
        </w:rPr>
        <w:t xml:space="preserve"> el riesgo de </w:t>
      </w:r>
      <w:r w:rsidR="00A15D86">
        <w:rPr>
          <w:lang w:val="es-ES"/>
        </w:rPr>
        <w:t xml:space="preserve">no contar con </w:t>
      </w:r>
      <w:r w:rsidR="00A15D86">
        <w:rPr>
          <w:lang w:val="es-ES"/>
        </w:rPr>
        <w:lastRenderedPageBreak/>
        <w:t xml:space="preserve">una propuesta viable en el caso de que la única propuesta no cumpliera los requisitos de </w:t>
      </w:r>
      <w:r w:rsidR="00EA2E6C" w:rsidRPr="00A15D86">
        <w:rPr>
          <w:lang w:val="es-ES"/>
        </w:rPr>
        <w:t>las</w:t>
      </w:r>
      <w:r w:rsidRPr="00A15D86">
        <w:rPr>
          <w:lang w:val="es-ES"/>
        </w:rPr>
        <w:t xml:space="preserve"> RFP.</w:t>
      </w:r>
    </w:p>
    <w:p w:rsidR="002F5B8A" w:rsidRPr="00A15D86" w:rsidRDefault="00A15D86" w:rsidP="000403B6">
      <w:pPr>
        <w:pStyle w:val="Headingb"/>
        <w:rPr>
          <w:lang w:val="es-ES"/>
        </w:rPr>
      </w:pPr>
      <w:r w:rsidRPr="00A15D86">
        <w:rPr>
          <w:lang w:val="es-ES"/>
        </w:rPr>
        <w:t>EL PROCESO DE TOMA DE DECISIONES</w:t>
      </w:r>
      <w:r w:rsidR="002F5B8A" w:rsidRPr="00A15D86">
        <w:rPr>
          <w:lang w:val="es-ES"/>
        </w:rPr>
        <w:t xml:space="preserve"> </w:t>
      </w:r>
    </w:p>
    <w:p w:rsidR="002F5B8A" w:rsidRPr="00A15D86" w:rsidRDefault="00797833" w:rsidP="000403B6">
      <w:pPr>
        <w:rPr>
          <w:lang w:val="es-ES"/>
        </w:rPr>
      </w:pPr>
      <w:r w:rsidRPr="00A15D86">
        <w:rPr>
          <w:lang w:val="es-ES"/>
        </w:rPr>
        <w:t>9</w:t>
      </w:r>
      <w:r w:rsidR="002F5B8A" w:rsidRPr="00A15D86">
        <w:rPr>
          <w:lang w:val="es-ES"/>
        </w:rPr>
        <w:tab/>
      </w:r>
      <w:r w:rsidR="00A15D86" w:rsidRPr="00A15D86">
        <w:rPr>
          <w:lang w:val="es-ES"/>
        </w:rPr>
        <w:t xml:space="preserve">En ningún momento del proceso </w:t>
      </w:r>
      <w:r w:rsidR="00A15D86">
        <w:rPr>
          <w:lang w:val="es-ES"/>
        </w:rPr>
        <w:t>se puso en tela de juicio l</w:t>
      </w:r>
      <w:r w:rsidR="00A15D86" w:rsidRPr="00A15D86">
        <w:rPr>
          <w:lang w:val="es-ES"/>
        </w:rPr>
        <w:t xml:space="preserve">a imparcialidad y objetividad del </w:t>
      </w:r>
      <w:r w:rsidR="00E22CE3" w:rsidRPr="00A15D86">
        <w:rPr>
          <w:lang w:val="es-ES"/>
        </w:rPr>
        <w:t>Comité de Evaluación</w:t>
      </w:r>
      <w:r w:rsidR="002F5B8A" w:rsidRPr="00A15D86">
        <w:rPr>
          <w:lang w:val="es-ES"/>
        </w:rPr>
        <w:t xml:space="preserve">, </w:t>
      </w:r>
      <w:r w:rsidR="00A15D86" w:rsidRPr="00A15D86">
        <w:rPr>
          <w:lang w:val="es-ES"/>
        </w:rPr>
        <w:t>de hecho o en apariencia</w:t>
      </w:r>
      <w:r w:rsidR="002F5B8A" w:rsidRPr="00A15D86">
        <w:rPr>
          <w:lang w:val="es-ES"/>
        </w:rPr>
        <w:t xml:space="preserve">, </w:t>
      </w:r>
      <w:r w:rsidR="00A15D86">
        <w:rPr>
          <w:lang w:val="es-ES"/>
        </w:rPr>
        <w:t>y las opciones que se presentaron definitivamente al Comité para su aprobación fueron las siguientes</w:t>
      </w:r>
      <w:r w:rsidR="002F5B8A" w:rsidRPr="00A15D86">
        <w:rPr>
          <w:lang w:val="es-ES"/>
        </w:rPr>
        <w:t>:</w:t>
      </w:r>
    </w:p>
    <w:p w:rsidR="002F5B8A" w:rsidRPr="00316BC3" w:rsidRDefault="002F5B8A" w:rsidP="000403B6">
      <w:pPr>
        <w:pStyle w:val="enumlev1"/>
        <w:rPr>
          <w:lang w:val="es-ES"/>
        </w:rPr>
      </w:pPr>
      <w:r w:rsidRPr="00316BC3">
        <w:rPr>
          <w:lang w:val="es-ES"/>
        </w:rPr>
        <w:t>i)</w:t>
      </w:r>
      <w:r w:rsidRPr="00316BC3">
        <w:rPr>
          <w:lang w:val="es-ES"/>
        </w:rPr>
        <w:tab/>
      </w:r>
      <w:r w:rsidR="00316BC3" w:rsidRPr="00316BC3">
        <w:rPr>
          <w:lang w:val="es-ES"/>
        </w:rPr>
        <w:t>seguir adelante con la evaluación de la oferta que cumplía los requisitos de forma cuando se prese</w:t>
      </w:r>
      <w:r w:rsidR="00316BC3">
        <w:rPr>
          <w:lang w:val="es-ES"/>
        </w:rPr>
        <w:t>n</w:t>
      </w:r>
      <w:r w:rsidR="00316BC3" w:rsidRPr="00316BC3">
        <w:rPr>
          <w:lang w:val="es-ES"/>
        </w:rPr>
        <w:t>t</w:t>
      </w:r>
      <w:r w:rsidR="00316BC3">
        <w:rPr>
          <w:lang w:val="es-ES"/>
        </w:rPr>
        <w:t>ó</w:t>
      </w:r>
      <w:r w:rsidRPr="00316BC3">
        <w:rPr>
          <w:lang w:val="es-ES"/>
        </w:rPr>
        <w:t>; o</w:t>
      </w:r>
    </w:p>
    <w:p w:rsidR="002F5B8A" w:rsidRPr="0037172B" w:rsidRDefault="002F5B8A" w:rsidP="000403B6">
      <w:pPr>
        <w:pStyle w:val="enumlev1"/>
        <w:rPr>
          <w:lang w:val="es-ES"/>
        </w:rPr>
      </w:pPr>
      <w:r w:rsidRPr="0037172B">
        <w:rPr>
          <w:lang w:val="es-ES"/>
        </w:rPr>
        <w:t>ii)</w:t>
      </w:r>
      <w:r w:rsidRPr="0037172B">
        <w:rPr>
          <w:lang w:val="es-ES"/>
        </w:rPr>
        <w:tab/>
      </w:r>
      <w:r w:rsidR="0037172B" w:rsidRPr="0037172B">
        <w:rPr>
          <w:lang w:val="es-ES"/>
        </w:rPr>
        <w:t xml:space="preserve">preparar </w:t>
      </w:r>
      <w:r w:rsidR="00316BC3" w:rsidRPr="0037172B">
        <w:rPr>
          <w:lang w:val="es-ES"/>
        </w:rPr>
        <w:t>una recomendación para el Consejo</w:t>
      </w:r>
      <w:r w:rsidR="00F1453C">
        <w:rPr>
          <w:rStyle w:val="FootnoteReference"/>
        </w:rPr>
        <w:footnoteReference w:id="2"/>
      </w:r>
      <w:r w:rsidRPr="0037172B">
        <w:rPr>
          <w:lang w:val="es-ES"/>
        </w:rPr>
        <w:t xml:space="preserve"> </w:t>
      </w:r>
      <w:r w:rsidR="00316BC3" w:rsidRPr="0037172B">
        <w:rPr>
          <w:lang w:val="es-ES"/>
        </w:rPr>
        <w:t xml:space="preserve">en el sentido de que se inicie nuevamente el proceso con el fin de contar con un </w:t>
      </w:r>
      <w:r w:rsidR="0037172B" w:rsidRPr="0037172B">
        <w:rPr>
          <w:lang w:val="es-ES"/>
        </w:rPr>
        <w:t xml:space="preserve">abanico </w:t>
      </w:r>
      <w:r w:rsidR="0037172B">
        <w:rPr>
          <w:lang w:val="es-ES"/>
        </w:rPr>
        <w:t>más amplio</w:t>
      </w:r>
      <w:r w:rsidR="00316BC3" w:rsidRPr="0037172B">
        <w:rPr>
          <w:lang w:val="es-ES"/>
        </w:rPr>
        <w:t xml:space="preserve"> de ofertas, mientras que la </w:t>
      </w:r>
      <w:r w:rsidR="00B8246E" w:rsidRPr="0037172B">
        <w:rPr>
          <w:lang w:val="es-ES"/>
        </w:rPr>
        <w:t>Secretaría</w:t>
      </w:r>
      <w:r w:rsidRPr="0037172B">
        <w:rPr>
          <w:lang w:val="es-ES"/>
        </w:rPr>
        <w:t xml:space="preserve"> </w:t>
      </w:r>
      <w:r w:rsidR="0037172B" w:rsidRPr="0037172B">
        <w:rPr>
          <w:lang w:val="es-ES"/>
        </w:rPr>
        <w:t>se dirigi</w:t>
      </w:r>
      <w:r w:rsidR="0037172B">
        <w:rPr>
          <w:lang w:val="es-ES"/>
        </w:rPr>
        <w:t xml:space="preserve">ó oficiosamente al actual auditor externo </w:t>
      </w:r>
      <w:r w:rsidRPr="0037172B">
        <w:rPr>
          <w:lang w:val="es-ES"/>
        </w:rPr>
        <w:t>(</w:t>
      </w:r>
      <w:r w:rsidR="0037172B">
        <w:rPr>
          <w:lang w:val="es-ES"/>
        </w:rPr>
        <w:t>i</w:t>
      </w:r>
      <w:r w:rsidRPr="0037172B">
        <w:rPr>
          <w:lang w:val="es-ES"/>
        </w:rPr>
        <w:t>talian</w:t>
      </w:r>
      <w:r w:rsidR="0037172B">
        <w:rPr>
          <w:lang w:val="es-ES"/>
        </w:rPr>
        <w:t>o</w:t>
      </w:r>
      <w:r w:rsidRPr="0037172B">
        <w:rPr>
          <w:lang w:val="es-ES"/>
        </w:rPr>
        <w:t xml:space="preserve">) </w:t>
      </w:r>
      <w:r w:rsidR="0037172B">
        <w:rPr>
          <w:lang w:val="es-ES"/>
        </w:rPr>
        <w:t>para evaluar si estaría dispuesto a aceptar que el Consejo acordar</w:t>
      </w:r>
      <w:r w:rsidR="00987F70">
        <w:rPr>
          <w:lang w:val="es-ES"/>
        </w:rPr>
        <w:t>a ampliar su mandato por un peri</w:t>
      </w:r>
      <w:r w:rsidR="0037172B">
        <w:rPr>
          <w:lang w:val="es-ES"/>
        </w:rPr>
        <w:t xml:space="preserve">odo adicional (que tendría que adoptar el Consejo en su reunión de </w:t>
      </w:r>
      <w:r w:rsidRPr="0037172B">
        <w:rPr>
          <w:lang w:val="es-ES"/>
        </w:rPr>
        <w:t>2019).</w:t>
      </w:r>
    </w:p>
    <w:p w:rsidR="002F5B8A" w:rsidRPr="0037172B" w:rsidRDefault="0037172B" w:rsidP="000403B6">
      <w:pPr>
        <w:rPr>
          <w:lang w:val="es-ES"/>
        </w:rPr>
      </w:pPr>
      <w:r>
        <w:rPr>
          <w:lang w:val="es-ES"/>
        </w:rPr>
        <w:t xml:space="preserve">Tras </w:t>
      </w:r>
      <w:r w:rsidRPr="0037172B">
        <w:rPr>
          <w:lang w:val="es-ES"/>
        </w:rPr>
        <w:t>consulta</w:t>
      </w:r>
      <w:r>
        <w:rPr>
          <w:lang w:val="es-ES"/>
        </w:rPr>
        <w:t>r</w:t>
      </w:r>
      <w:r w:rsidRPr="0037172B">
        <w:rPr>
          <w:lang w:val="es-ES"/>
        </w:rPr>
        <w:t xml:space="preserve"> </w:t>
      </w:r>
      <w:r>
        <w:rPr>
          <w:lang w:val="es-ES"/>
        </w:rPr>
        <w:t xml:space="preserve">a </w:t>
      </w:r>
      <w:r w:rsidRPr="0037172B">
        <w:rPr>
          <w:lang w:val="es-ES"/>
        </w:rPr>
        <w:t>los miembros del</w:t>
      </w:r>
      <w:r w:rsidR="002F5B8A" w:rsidRPr="0037172B">
        <w:rPr>
          <w:lang w:val="es-ES"/>
        </w:rPr>
        <w:t xml:space="preserve"> </w:t>
      </w:r>
      <w:r w:rsidR="00E22CE3" w:rsidRPr="0037172B">
        <w:rPr>
          <w:lang w:val="es-ES"/>
        </w:rPr>
        <w:t>Comité de Evaluación</w:t>
      </w:r>
      <w:r w:rsidR="002F5B8A" w:rsidRPr="0037172B">
        <w:rPr>
          <w:lang w:val="es-ES"/>
        </w:rPr>
        <w:t xml:space="preserve"> </w:t>
      </w:r>
      <w:r>
        <w:rPr>
          <w:lang w:val="es-ES"/>
        </w:rPr>
        <w:t>se decidió</w:t>
      </w:r>
      <w:r w:rsidR="002F5B8A" w:rsidRPr="0037172B">
        <w:rPr>
          <w:lang w:val="es-ES"/>
        </w:rPr>
        <w:t xml:space="preserve">, </w:t>
      </w:r>
      <w:r>
        <w:rPr>
          <w:lang w:val="es-ES"/>
        </w:rPr>
        <w:t>por consenso</w:t>
      </w:r>
      <w:r w:rsidR="002F5B8A" w:rsidRPr="0037172B">
        <w:rPr>
          <w:lang w:val="es-ES"/>
        </w:rPr>
        <w:t xml:space="preserve">, </w:t>
      </w:r>
      <w:r>
        <w:rPr>
          <w:lang w:val="es-ES"/>
        </w:rPr>
        <w:t>optar por la segunda opción</w:t>
      </w:r>
      <w:r w:rsidR="002F5B8A" w:rsidRPr="0037172B">
        <w:rPr>
          <w:lang w:val="es-ES"/>
        </w:rPr>
        <w:t xml:space="preserve">. </w:t>
      </w:r>
      <w:r w:rsidRPr="0037172B">
        <w:rPr>
          <w:lang w:val="es-ES"/>
        </w:rPr>
        <w:t>El Asesor Jurídico de la UIT</w:t>
      </w:r>
      <w:r w:rsidR="002F5B8A" w:rsidRPr="0037172B">
        <w:rPr>
          <w:lang w:val="es-ES"/>
        </w:rPr>
        <w:t xml:space="preserve"> </w:t>
      </w:r>
      <w:r w:rsidRPr="0037172B">
        <w:rPr>
          <w:lang w:val="es-ES"/>
        </w:rPr>
        <w:t>dio su opinión acerca del proceso que deb</w:t>
      </w:r>
      <w:r>
        <w:rPr>
          <w:lang w:val="es-ES"/>
        </w:rPr>
        <w:t>ía seguirse ulteriormente</w:t>
      </w:r>
      <w:r w:rsidR="002F5B8A" w:rsidRPr="0037172B">
        <w:rPr>
          <w:lang w:val="es-ES"/>
        </w:rPr>
        <w:t>.</w:t>
      </w:r>
    </w:p>
    <w:p w:rsidR="002F5B8A" w:rsidRPr="003C6815" w:rsidRDefault="001207EC" w:rsidP="000403B6">
      <w:pPr>
        <w:rPr>
          <w:lang w:val="es-ES"/>
        </w:rPr>
      </w:pPr>
      <w:r w:rsidRPr="0037172B">
        <w:rPr>
          <w:lang w:val="es-ES"/>
        </w:rPr>
        <w:t>10</w:t>
      </w:r>
      <w:r w:rsidR="002F5B8A" w:rsidRPr="0037172B">
        <w:rPr>
          <w:lang w:val="es-ES"/>
        </w:rPr>
        <w:tab/>
      </w:r>
      <w:r w:rsidR="0037172B" w:rsidRPr="0037172B">
        <w:rPr>
          <w:lang w:val="es-ES"/>
        </w:rPr>
        <w:t xml:space="preserve">En relación con la opción preferida por el </w:t>
      </w:r>
      <w:r w:rsidR="00E22CE3" w:rsidRPr="0037172B">
        <w:rPr>
          <w:lang w:val="es-ES"/>
        </w:rPr>
        <w:t>Comité de Evaluación</w:t>
      </w:r>
      <w:r w:rsidR="002F5B8A" w:rsidRPr="0037172B">
        <w:rPr>
          <w:lang w:val="es-ES"/>
        </w:rPr>
        <w:t xml:space="preserve">, </w:t>
      </w:r>
      <w:r w:rsidR="0037172B" w:rsidRPr="0037172B">
        <w:rPr>
          <w:lang w:val="es-ES"/>
        </w:rPr>
        <w:t>y a condición de que el Consejo la validase</w:t>
      </w:r>
      <w:r w:rsidR="002F5B8A" w:rsidRPr="0037172B">
        <w:rPr>
          <w:lang w:val="es-ES"/>
        </w:rPr>
        <w:t xml:space="preserve">, </w:t>
      </w:r>
      <w:r w:rsidR="0037172B" w:rsidRPr="0037172B">
        <w:rPr>
          <w:lang w:val="es-ES"/>
        </w:rPr>
        <w:t xml:space="preserve">la </w:t>
      </w:r>
      <w:r w:rsidR="00B8246E" w:rsidRPr="0037172B">
        <w:rPr>
          <w:lang w:val="es-ES"/>
        </w:rPr>
        <w:t>Secretaría</w:t>
      </w:r>
      <w:r w:rsidR="002F5B8A" w:rsidRPr="0037172B">
        <w:rPr>
          <w:lang w:val="es-ES"/>
        </w:rPr>
        <w:t xml:space="preserve"> </w:t>
      </w:r>
      <w:r w:rsidR="0037172B" w:rsidRPr="0037172B">
        <w:rPr>
          <w:lang w:val="es-ES"/>
        </w:rPr>
        <w:t>se dirigi</w:t>
      </w:r>
      <w:r w:rsidR="0037172B">
        <w:rPr>
          <w:lang w:val="es-ES"/>
        </w:rPr>
        <w:t>ó</w:t>
      </w:r>
      <w:r w:rsidR="002F5B8A" w:rsidRPr="0037172B">
        <w:rPr>
          <w:lang w:val="es-ES"/>
        </w:rPr>
        <w:t xml:space="preserve">, </w:t>
      </w:r>
      <w:r w:rsidR="0037172B">
        <w:rPr>
          <w:lang w:val="es-ES"/>
        </w:rPr>
        <w:t>a petición del Comité</w:t>
      </w:r>
      <w:r w:rsidR="002F5B8A" w:rsidRPr="0037172B">
        <w:rPr>
          <w:lang w:val="es-ES"/>
        </w:rPr>
        <w:t xml:space="preserve">, </w:t>
      </w:r>
      <w:r w:rsidR="0037172B">
        <w:rPr>
          <w:lang w:val="es-ES"/>
        </w:rPr>
        <w:t>al actual Auditor Externo</w:t>
      </w:r>
      <w:r w:rsidR="002F5B8A" w:rsidRPr="0037172B">
        <w:rPr>
          <w:lang w:val="es-ES"/>
        </w:rPr>
        <w:t xml:space="preserve">, </w:t>
      </w:r>
      <w:r w:rsidR="0037172B">
        <w:rPr>
          <w:lang w:val="es-ES"/>
        </w:rPr>
        <w:t>en un primer lugar de manera oficiosa y</w:t>
      </w:r>
      <w:r w:rsidR="002F5B8A" w:rsidRPr="0037172B">
        <w:rPr>
          <w:lang w:val="es-ES"/>
        </w:rPr>
        <w:t xml:space="preserve">, </w:t>
      </w:r>
      <w:r w:rsidR="0037172B">
        <w:rPr>
          <w:lang w:val="es-ES"/>
        </w:rPr>
        <w:t>tras recibir una respuesta positiva, también oficialmente para obtener la confirmación de su disponibilidad para prestar servicios de auditoría a la UIT</w:t>
      </w:r>
      <w:r w:rsidR="002F5B8A" w:rsidRPr="0037172B">
        <w:rPr>
          <w:lang w:val="es-ES"/>
        </w:rPr>
        <w:t xml:space="preserve">. </w:t>
      </w:r>
      <w:r w:rsidR="0037172B" w:rsidRPr="003C6815">
        <w:rPr>
          <w:lang w:val="es-ES"/>
        </w:rPr>
        <w:t xml:space="preserve">La carta </w:t>
      </w:r>
      <w:r w:rsidR="003C6815" w:rsidRPr="003C6815">
        <w:rPr>
          <w:lang w:val="es-ES"/>
        </w:rPr>
        <w:t xml:space="preserve">en la que el Presidente de la </w:t>
      </w:r>
      <w:r w:rsidR="003C6815" w:rsidRPr="003C6815">
        <w:rPr>
          <w:i/>
          <w:iCs/>
          <w:lang w:val="es-ES"/>
        </w:rPr>
        <w:lastRenderedPageBreak/>
        <w:t>Corte dei Conti</w:t>
      </w:r>
      <w:r w:rsidR="003C6815" w:rsidRPr="003C6815">
        <w:rPr>
          <w:lang w:val="es-ES"/>
        </w:rPr>
        <w:t xml:space="preserve">, de </w:t>
      </w:r>
      <w:r w:rsidR="002F5B8A" w:rsidRPr="003C6815">
        <w:rPr>
          <w:lang w:val="es-ES"/>
        </w:rPr>
        <w:t>Ital</w:t>
      </w:r>
      <w:r w:rsidR="003C6815" w:rsidRPr="003C6815">
        <w:rPr>
          <w:lang w:val="es-ES"/>
        </w:rPr>
        <w:t>ia, inform</w:t>
      </w:r>
      <w:r w:rsidR="003C6815">
        <w:rPr>
          <w:lang w:val="es-ES"/>
        </w:rPr>
        <w:t>a</w:t>
      </w:r>
      <w:r w:rsidR="003C6815" w:rsidRPr="003C6815">
        <w:rPr>
          <w:lang w:val="es-ES"/>
        </w:rPr>
        <w:t xml:space="preserve"> al Secretario </w:t>
      </w:r>
      <w:r w:rsidR="002F5B8A" w:rsidRPr="003C6815">
        <w:rPr>
          <w:lang w:val="es-ES"/>
        </w:rPr>
        <w:t xml:space="preserve">General </w:t>
      </w:r>
      <w:r w:rsidR="003C6815" w:rsidRPr="003C6815">
        <w:rPr>
          <w:lang w:val="es-ES"/>
        </w:rPr>
        <w:t xml:space="preserve">de su </w:t>
      </w:r>
      <w:r w:rsidR="003C6815">
        <w:rPr>
          <w:lang w:val="es-ES"/>
        </w:rPr>
        <w:t>disponibilidad para que se amplíe</w:t>
      </w:r>
      <w:r w:rsidR="003C6815" w:rsidRPr="003C6815">
        <w:rPr>
          <w:lang w:val="es-ES"/>
        </w:rPr>
        <w:t xml:space="preserve"> su mandato dos años más </w:t>
      </w:r>
      <w:r w:rsidR="003C6815">
        <w:rPr>
          <w:lang w:val="es-ES"/>
        </w:rPr>
        <w:t>figura en el Anexo A al presente Informe</w:t>
      </w:r>
      <w:r w:rsidR="002F5B8A" w:rsidRPr="003C6815">
        <w:rPr>
          <w:lang w:val="es-ES"/>
        </w:rPr>
        <w:t xml:space="preserve">. </w:t>
      </w:r>
      <w:r w:rsidR="003C6815">
        <w:rPr>
          <w:lang w:val="es-ES"/>
        </w:rPr>
        <w:t xml:space="preserve">El motivo para ampliar el mandato a </w:t>
      </w:r>
      <w:r w:rsidR="003C6815" w:rsidRPr="003C6815">
        <w:rPr>
          <w:lang w:val="es-ES"/>
        </w:rPr>
        <w:t xml:space="preserve">otros dos años </w:t>
      </w:r>
      <w:r w:rsidR="002F5B8A" w:rsidRPr="003C6815">
        <w:rPr>
          <w:lang w:val="es-ES"/>
        </w:rPr>
        <w:t>(</w:t>
      </w:r>
      <w:r w:rsidR="003C6815" w:rsidRPr="003C6815">
        <w:rPr>
          <w:lang w:val="es-ES"/>
        </w:rPr>
        <w:t xml:space="preserve">auditoria de las cuentas de la Unión para los años </w:t>
      </w:r>
      <w:r w:rsidR="002F5B8A" w:rsidRPr="003C6815">
        <w:rPr>
          <w:lang w:val="es-ES"/>
        </w:rPr>
        <w:t xml:space="preserve">2020 </w:t>
      </w:r>
      <w:r w:rsidR="003C6815">
        <w:rPr>
          <w:lang w:val="es-ES"/>
        </w:rPr>
        <w:t xml:space="preserve">y </w:t>
      </w:r>
      <w:r w:rsidR="002F5B8A" w:rsidRPr="003C6815">
        <w:rPr>
          <w:lang w:val="es-ES"/>
        </w:rPr>
        <w:t xml:space="preserve">2021), </w:t>
      </w:r>
      <w:r w:rsidR="003C6815">
        <w:rPr>
          <w:lang w:val="es-ES"/>
        </w:rPr>
        <w:t>en lugar de un solo año</w:t>
      </w:r>
      <w:r w:rsidR="002F5B8A" w:rsidRPr="003C6815">
        <w:rPr>
          <w:lang w:val="es-ES"/>
        </w:rPr>
        <w:t xml:space="preserve">, </w:t>
      </w:r>
      <w:r w:rsidR="003C6815">
        <w:rPr>
          <w:lang w:val="es-ES"/>
        </w:rPr>
        <w:t>es que permitía abarcar el bienio</w:t>
      </w:r>
      <w:r w:rsidR="002F5B8A" w:rsidRPr="003C6815">
        <w:rPr>
          <w:lang w:val="es-ES"/>
        </w:rPr>
        <w:t xml:space="preserve"> 2020-</w:t>
      </w:r>
      <w:r w:rsidR="003C6815">
        <w:rPr>
          <w:lang w:val="es-ES"/>
        </w:rPr>
        <w:t>20</w:t>
      </w:r>
      <w:r w:rsidR="002F5B8A" w:rsidRPr="003C6815">
        <w:rPr>
          <w:lang w:val="es-ES"/>
        </w:rPr>
        <w:t xml:space="preserve">21. </w:t>
      </w:r>
      <w:r w:rsidR="003C6815" w:rsidRPr="003C6815">
        <w:rPr>
          <w:lang w:val="es-ES"/>
        </w:rPr>
        <w:t>Con ello se da a la Secretaría y al Comité de Evaluación en su composición actual o modificada, según lo acuerde el Consejo, tiempo suficiente para reiniciar o c</w:t>
      </w:r>
      <w:r w:rsidR="003C6815">
        <w:rPr>
          <w:lang w:val="es-ES"/>
        </w:rPr>
        <w:t>o</w:t>
      </w:r>
      <w:r w:rsidR="003C6815" w:rsidRPr="003C6815">
        <w:rPr>
          <w:lang w:val="es-ES"/>
        </w:rPr>
        <w:t xml:space="preserve">mpletar el proceso </w:t>
      </w:r>
      <w:r w:rsidR="003C6815">
        <w:rPr>
          <w:lang w:val="es-ES"/>
        </w:rPr>
        <w:t xml:space="preserve">de </w:t>
      </w:r>
      <w:r w:rsidR="002F5B8A" w:rsidRPr="003C6815">
        <w:rPr>
          <w:lang w:val="es-ES"/>
        </w:rPr>
        <w:t xml:space="preserve">RFP. </w:t>
      </w:r>
    </w:p>
    <w:p w:rsidR="002F5B8A" w:rsidRPr="003C6815" w:rsidRDefault="00F54837" w:rsidP="00452494">
      <w:pPr>
        <w:rPr>
          <w:lang w:val="es-ES"/>
        </w:rPr>
      </w:pPr>
      <w:r w:rsidRPr="003C6815">
        <w:rPr>
          <w:lang w:val="es-ES"/>
        </w:rPr>
        <w:t>11</w:t>
      </w:r>
      <w:r w:rsidR="002F5B8A" w:rsidRPr="003C6815">
        <w:rPr>
          <w:lang w:val="es-ES"/>
        </w:rPr>
        <w:tab/>
      </w:r>
      <w:r w:rsidR="003C6815" w:rsidRPr="003C6815">
        <w:rPr>
          <w:lang w:val="es-ES"/>
        </w:rPr>
        <w:t>Se alienta a las dos</w:t>
      </w:r>
      <w:r w:rsidR="002F5B8A" w:rsidRPr="003C6815">
        <w:rPr>
          <w:lang w:val="es-ES"/>
        </w:rPr>
        <w:t xml:space="preserve"> </w:t>
      </w:r>
      <w:r w:rsidR="00B8246E" w:rsidRPr="003C6815">
        <w:rPr>
          <w:lang w:val="es-ES"/>
        </w:rPr>
        <w:t>entidades fiscalizadoras superiores</w:t>
      </w:r>
      <w:r w:rsidR="002F5B8A" w:rsidRPr="003C6815">
        <w:rPr>
          <w:lang w:val="es-ES"/>
        </w:rPr>
        <w:t xml:space="preserve"> </w:t>
      </w:r>
      <w:r w:rsidR="003C6815" w:rsidRPr="003C6815">
        <w:rPr>
          <w:lang w:val="es-ES"/>
        </w:rPr>
        <w:t xml:space="preserve">que presentaron sus propuestas a participar en el </w:t>
      </w:r>
      <w:r w:rsidR="003C6815">
        <w:rPr>
          <w:lang w:val="es-ES"/>
        </w:rPr>
        <w:t>n</w:t>
      </w:r>
      <w:r w:rsidR="003C6815" w:rsidRPr="003C6815">
        <w:rPr>
          <w:lang w:val="es-ES"/>
        </w:rPr>
        <w:t xml:space="preserve">uevo proceso de </w:t>
      </w:r>
      <w:r w:rsidRPr="003C6815">
        <w:rPr>
          <w:lang w:val="es-ES"/>
        </w:rPr>
        <w:t>RFP.</w:t>
      </w:r>
    </w:p>
    <w:p w:rsidR="002F5B8A" w:rsidRPr="004B4AAB" w:rsidRDefault="002F5B8A" w:rsidP="000403B6">
      <w:pPr>
        <w:pStyle w:val="Headingb"/>
        <w:rPr>
          <w:lang w:val="es-ES"/>
        </w:rPr>
      </w:pPr>
      <w:r w:rsidRPr="004B4AAB">
        <w:rPr>
          <w:lang w:val="es-ES"/>
        </w:rPr>
        <w:t>RECOMENDA</w:t>
      </w:r>
      <w:r w:rsidR="00C2553D" w:rsidRPr="004B4AAB">
        <w:rPr>
          <w:lang w:val="es-ES"/>
        </w:rPr>
        <w:t>C</w:t>
      </w:r>
      <w:r w:rsidRPr="004B4AAB">
        <w:rPr>
          <w:lang w:val="es-ES"/>
        </w:rPr>
        <w:t>I</w:t>
      </w:r>
      <w:r w:rsidR="00C2553D" w:rsidRPr="004B4AAB">
        <w:rPr>
          <w:lang w:val="es-ES"/>
        </w:rPr>
        <w:t xml:space="preserve">ÓN DEL </w:t>
      </w:r>
      <w:r w:rsidR="00E22CE3" w:rsidRPr="004B4AAB">
        <w:rPr>
          <w:lang w:val="es-ES"/>
        </w:rPr>
        <w:t>COMITÉ DE EVALUACIÓN</w:t>
      </w:r>
      <w:r w:rsidRPr="004B4AAB">
        <w:rPr>
          <w:lang w:val="es-ES"/>
        </w:rPr>
        <w:t xml:space="preserve"> </w:t>
      </w:r>
    </w:p>
    <w:p w:rsidR="002F5B8A" w:rsidRPr="004B4AAB" w:rsidRDefault="00F1453C" w:rsidP="00987F70">
      <w:pPr>
        <w:rPr>
          <w:lang w:val="es-ES"/>
        </w:rPr>
      </w:pPr>
      <w:r w:rsidRPr="004B4AAB">
        <w:rPr>
          <w:lang w:val="es-ES"/>
        </w:rPr>
        <w:t>12</w:t>
      </w:r>
      <w:r w:rsidR="002F5B8A" w:rsidRPr="004B4AAB">
        <w:rPr>
          <w:lang w:val="es-ES"/>
        </w:rPr>
        <w:tab/>
      </w:r>
      <w:r w:rsidR="00545A0B" w:rsidRPr="004B4AAB">
        <w:rPr>
          <w:lang w:val="es-ES"/>
        </w:rPr>
        <w:t>Partiendo del referido proceso, el Comité de Evaluación convino en recomendar al Consejo de la UIT</w:t>
      </w:r>
      <w:r w:rsidR="004B4AAB" w:rsidRPr="004B4AAB">
        <w:rPr>
          <w:lang w:val="es-ES"/>
        </w:rPr>
        <w:t xml:space="preserve"> lo siguiente:</w:t>
      </w:r>
      <w:r w:rsidR="002F5B8A" w:rsidRPr="004B4AAB">
        <w:rPr>
          <w:lang w:val="es-ES"/>
        </w:rPr>
        <w:t xml:space="preserve"> i) </w:t>
      </w:r>
      <w:r w:rsidR="004B4AAB" w:rsidRPr="004B4AAB">
        <w:rPr>
          <w:lang w:val="es-ES"/>
        </w:rPr>
        <w:t xml:space="preserve">anular el </w:t>
      </w:r>
      <w:r w:rsidR="00E22CE3" w:rsidRPr="004B4AAB">
        <w:rPr>
          <w:lang w:val="es-ES"/>
        </w:rPr>
        <w:t>proceso de licitación</w:t>
      </w:r>
      <w:r w:rsidR="002F5B8A" w:rsidRPr="004B4AAB">
        <w:rPr>
          <w:lang w:val="es-ES"/>
        </w:rPr>
        <w:t xml:space="preserve">, ii) </w:t>
      </w:r>
      <w:r w:rsidR="004B4AAB">
        <w:rPr>
          <w:lang w:val="es-ES"/>
        </w:rPr>
        <w:t>decidir reiniciar un proceso totalmente nuevo, y</w:t>
      </w:r>
      <w:r w:rsidR="002F5B8A" w:rsidRPr="004B4AAB">
        <w:rPr>
          <w:lang w:val="es-ES"/>
        </w:rPr>
        <w:t xml:space="preserve"> iii) </w:t>
      </w:r>
      <w:r w:rsidR="004B4AAB">
        <w:rPr>
          <w:lang w:val="es-ES"/>
        </w:rPr>
        <w:t>ampliar el mandato del actual Auditor Externo por un per</w:t>
      </w:r>
      <w:r w:rsidR="00987F70">
        <w:rPr>
          <w:lang w:val="es-ES"/>
        </w:rPr>
        <w:t>i</w:t>
      </w:r>
      <w:r w:rsidR="004B4AAB">
        <w:rPr>
          <w:lang w:val="es-ES"/>
        </w:rPr>
        <w:t xml:space="preserve">odo adicional </w:t>
      </w:r>
      <w:r w:rsidR="00023102">
        <w:rPr>
          <w:lang w:val="es-ES"/>
        </w:rPr>
        <w:t>suficiente para completar el nuevo proceso, a saber, dos años</w:t>
      </w:r>
      <w:r w:rsidR="002F5B8A" w:rsidRPr="004B4AAB">
        <w:rPr>
          <w:lang w:val="es-ES"/>
        </w:rPr>
        <w:t>.</w:t>
      </w:r>
    </w:p>
    <w:p w:rsidR="002F5B8A" w:rsidRDefault="00F1453C" w:rsidP="000403B6">
      <w:r>
        <w:t>13</w:t>
      </w:r>
      <w:r w:rsidR="002F5B8A">
        <w:tab/>
      </w:r>
      <w:r w:rsidR="00F3146B" w:rsidRPr="00F3146B">
        <w:t>El Comité de Evaluación da las gracias a la Secretaría de la UIT por su ayuda logística en este proceso</w:t>
      </w:r>
      <w:r w:rsidR="00F3146B">
        <w:t>.</w:t>
      </w:r>
    </w:p>
    <w:p w:rsidR="00222777" w:rsidRDefault="00222777" w:rsidP="000403B6">
      <w:r>
        <w:br w:type="page"/>
      </w:r>
    </w:p>
    <w:p w:rsidR="00033083" w:rsidRPr="00FF124A" w:rsidRDefault="00F83007" w:rsidP="00033083">
      <w:pPr>
        <w:pStyle w:val="AnnexNo"/>
        <w:rPr>
          <w:lang w:val="fr-CH"/>
        </w:rPr>
      </w:pPr>
      <w:r w:rsidRPr="00FF124A">
        <w:rPr>
          <w:lang w:val="fr-CH"/>
        </w:rPr>
        <w:lastRenderedPageBreak/>
        <w:t>ANEXO A</w:t>
      </w:r>
      <w:r w:rsidR="00033083" w:rsidRPr="00FF124A">
        <w:rPr>
          <w:lang w:val="fr-CH"/>
        </w:rPr>
        <w:br/>
      </w:r>
    </w:p>
    <w:p w:rsidR="00695CEE" w:rsidRPr="00FF124A" w:rsidRDefault="00695CEE" w:rsidP="00695CEE">
      <w:pPr>
        <w:jc w:val="center"/>
        <w:rPr>
          <w:lang w:val="fr-CH"/>
        </w:rPr>
      </w:pPr>
      <w:r w:rsidRPr="00FF124A">
        <w:rPr>
          <w:lang w:val="fr-CH"/>
        </w:rPr>
        <w:t>CORTE DEI CONTE</w:t>
      </w:r>
    </w:p>
    <w:p w:rsidR="00695CEE" w:rsidRPr="00FF124A" w:rsidRDefault="00695CEE" w:rsidP="00695CEE">
      <w:pPr>
        <w:jc w:val="center"/>
        <w:rPr>
          <w:lang w:val="fr-CH"/>
        </w:rPr>
      </w:pPr>
      <w:r w:rsidRPr="00FF124A">
        <w:rPr>
          <w:lang w:val="fr-CH"/>
        </w:rPr>
        <w:t>IL PRESIDENTE</w:t>
      </w:r>
    </w:p>
    <w:p w:rsidR="00E25697" w:rsidRDefault="00E25697" w:rsidP="000403B6">
      <w:r>
        <w:t>Estimado Señor:</w:t>
      </w:r>
    </w:p>
    <w:p w:rsidR="00E25697" w:rsidRDefault="002378AE" w:rsidP="000403B6">
      <w:r>
        <w:t>Deseo darle las gracias por la carta en la que indica la intención del Comité de Evaluación de recomendar al Consejo que prorrogue dos años nuestro mandato actual como Auditor Externo.</w:t>
      </w:r>
    </w:p>
    <w:p w:rsidR="002378AE" w:rsidRDefault="002378AE" w:rsidP="000403B6">
      <w:r>
        <w:t>Quisiera asimismo expresar mi más sincero agradecimiento por la consideración amable y positiva que tiene hacia nuestro trabajo.</w:t>
      </w:r>
    </w:p>
    <w:p w:rsidR="00035747" w:rsidRDefault="002378AE" w:rsidP="000403B6">
      <w:r>
        <w:t xml:space="preserve">Es para mí un honor confirmarle nuestro interés en seguir atendiendo nuestro compromiso con la importante tarea asignada, no solo respecto del análisis y la certificación de los estados financieros, sino también </w:t>
      </w:r>
      <w:r w:rsidR="00035747">
        <w:t>en cuanto a la mejora del sistema de organización y gestión de la UIT por medio de informes especiales.</w:t>
      </w:r>
    </w:p>
    <w:p w:rsidR="002378AE" w:rsidRDefault="00035747" w:rsidP="000403B6">
      <w:r>
        <w:t>Le saluda atentamente,</w:t>
      </w:r>
      <w:r w:rsidR="002378AE">
        <w:t xml:space="preserve"> </w:t>
      </w:r>
    </w:p>
    <w:p w:rsidR="00695CEE" w:rsidRDefault="00695CEE" w:rsidP="000403B6"/>
    <w:p w:rsidR="00695CEE" w:rsidRDefault="00033083" w:rsidP="00033083">
      <w:pPr>
        <w:jc w:val="right"/>
      </w:pPr>
      <w:r w:rsidRPr="00033083">
        <w:rPr>
          <w:i/>
          <w:iCs/>
        </w:rPr>
        <w:t>(firmado)</w:t>
      </w:r>
      <w:r w:rsidRPr="00033083">
        <w:br/>
      </w:r>
      <w:r w:rsidR="00695CEE">
        <w:t>Angelo Buscema</w:t>
      </w:r>
    </w:p>
    <w:p w:rsidR="00695CEE" w:rsidRDefault="00695CEE" w:rsidP="000403B6"/>
    <w:p w:rsidR="00695CEE" w:rsidRDefault="00695CEE" w:rsidP="000403B6"/>
    <w:p w:rsidR="00695CEE" w:rsidRDefault="00695CEE" w:rsidP="00695CEE">
      <w:r>
        <w:t>Sr. Houlin Zhao</w:t>
      </w:r>
      <w:r>
        <w:br/>
        <w:t>Secretario General</w:t>
      </w:r>
      <w:r>
        <w:br/>
        <w:t>Unión Internacional de Telecomunicaciones (UIT)</w:t>
      </w:r>
      <w:r>
        <w:br/>
        <w:t>Place des Nations</w:t>
      </w:r>
      <w:r>
        <w:br/>
        <w:t>1211 G</w:t>
      </w:r>
      <w:r w:rsidR="005C0E5A">
        <w:t>inebra</w:t>
      </w:r>
    </w:p>
    <w:p w:rsidR="00695CEE" w:rsidRDefault="00695CEE" w:rsidP="00695CEE"/>
    <w:p w:rsidR="00F83007" w:rsidRDefault="00F83007" w:rsidP="000403B6">
      <w:r>
        <w:br w:type="page"/>
      </w:r>
    </w:p>
    <w:p w:rsidR="00F83007" w:rsidRPr="0047655B" w:rsidRDefault="00F83007" w:rsidP="000403B6">
      <w:pPr>
        <w:pStyle w:val="AnnexNo"/>
      </w:pPr>
      <w:r>
        <w:lastRenderedPageBreak/>
        <w:t>A</w:t>
      </w:r>
      <w:r w:rsidRPr="0047655B">
        <w:t>NEX</w:t>
      </w:r>
      <w:r>
        <w:t>O</w:t>
      </w:r>
      <w:r w:rsidRPr="0047655B">
        <w:t xml:space="preserve"> </w:t>
      </w:r>
      <w:r>
        <w:t>B</w:t>
      </w:r>
    </w:p>
    <w:p w:rsidR="00FD1155" w:rsidRPr="00152238" w:rsidRDefault="00FD1155" w:rsidP="000403B6">
      <w:pPr>
        <w:pStyle w:val="RecNo"/>
      </w:pPr>
      <w:r w:rsidRPr="00152238">
        <w:t>PROYECTO DE ACUERDO</w:t>
      </w:r>
    </w:p>
    <w:p w:rsidR="00FD1155" w:rsidRPr="00152238" w:rsidRDefault="00FD1155" w:rsidP="000403B6">
      <w:pPr>
        <w:pStyle w:val="Annextitle"/>
      </w:pPr>
      <w:bookmarkStart w:id="10" w:name="OLE_LINK9"/>
      <w:bookmarkStart w:id="11" w:name="OLE_LINK10"/>
      <w:r w:rsidRPr="00152238">
        <w:t>Auditoría de las cuentas de la Unión</w:t>
      </w:r>
    </w:p>
    <w:bookmarkEnd w:id="10"/>
    <w:bookmarkEnd w:id="11"/>
    <w:p w:rsidR="00FD1155" w:rsidRPr="00152238" w:rsidRDefault="00FD1155" w:rsidP="000403B6">
      <w:pPr>
        <w:pStyle w:val="Normalaftertitle"/>
      </w:pPr>
      <w:r w:rsidRPr="00152238">
        <w:t>El Consejo,</w:t>
      </w:r>
    </w:p>
    <w:p w:rsidR="00FD1155" w:rsidRPr="00152238" w:rsidRDefault="00FD1155" w:rsidP="000403B6">
      <w:pPr>
        <w:pStyle w:val="Call"/>
      </w:pPr>
      <w:r w:rsidRPr="00575948">
        <w:t>considerando</w:t>
      </w:r>
    </w:p>
    <w:p w:rsidR="00FD1155" w:rsidRPr="00152238" w:rsidRDefault="00FD1155" w:rsidP="000403B6">
      <w:r w:rsidRPr="0047394D">
        <w:rPr>
          <w:i/>
          <w:iCs/>
        </w:rPr>
        <w:t>a)</w:t>
      </w:r>
      <w:r>
        <w:tab/>
      </w:r>
      <w:r w:rsidRPr="00152238">
        <w:t xml:space="preserve">la Resolución 94 (Rev. </w:t>
      </w:r>
      <w:r>
        <w:t>Dubái</w:t>
      </w:r>
      <w:r w:rsidRPr="00152238">
        <w:t>, 201</w:t>
      </w:r>
      <w:r>
        <w:t>8</w:t>
      </w:r>
      <w:r w:rsidRPr="00152238">
        <w:t>);</w:t>
      </w:r>
    </w:p>
    <w:p w:rsidR="00FD1155" w:rsidRPr="00152238" w:rsidRDefault="00FD1155" w:rsidP="000403B6">
      <w:r w:rsidRPr="0047394D">
        <w:rPr>
          <w:i/>
          <w:iCs/>
        </w:rPr>
        <w:t>b)</w:t>
      </w:r>
      <w:r>
        <w:tab/>
        <w:t>e</w:t>
      </w:r>
      <w:r w:rsidRPr="00152238">
        <w:t>l Informe del Comité de Evaluación sobre la selección del Auditor externo de la UIT,</w:t>
      </w:r>
    </w:p>
    <w:p w:rsidR="00FD1155" w:rsidRPr="00575948" w:rsidRDefault="00FD1155" w:rsidP="000403B6">
      <w:pPr>
        <w:pStyle w:val="Call"/>
      </w:pPr>
      <w:r w:rsidRPr="00575948">
        <w:t>teniendo en cuenta</w:t>
      </w:r>
    </w:p>
    <w:p w:rsidR="00FD1155" w:rsidRPr="00152238" w:rsidRDefault="00FD1155" w:rsidP="000403B6">
      <w:r w:rsidRPr="00152238">
        <w:t>el Reglamento Financiero y Reglas Financieras de la UIT</w:t>
      </w:r>
      <w:r w:rsidR="00A20EAE">
        <w:t xml:space="preserve"> (2018)</w:t>
      </w:r>
      <w:r>
        <w:t>,</w:t>
      </w:r>
    </w:p>
    <w:p w:rsidR="00FD1155" w:rsidRPr="001E67A1" w:rsidRDefault="00FD1155" w:rsidP="000403B6">
      <w:pPr>
        <w:pStyle w:val="Call"/>
        <w:rPr>
          <w:lang w:val="es-ES"/>
        </w:rPr>
      </w:pPr>
      <w:r w:rsidRPr="001E67A1">
        <w:rPr>
          <w:lang w:val="es-ES"/>
        </w:rPr>
        <w:t>acuerda</w:t>
      </w:r>
    </w:p>
    <w:p w:rsidR="00A20EAE" w:rsidRPr="007C0C15" w:rsidRDefault="00A20EAE" w:rsidP="00215306">
      <w:pPr>
        <w:rPr>
          <w:rFonts w:asciiTheme="minorHAnsi" w:hAnsiTheme="minorHAnsi"/>
          <w:lang w:val="es-ES"/>
        </w:rPr>
      </w:pPr>
      <w:r w:rsidRPr="007C0C15">
        <w:rPr>
          <w:rFonts w:asciiTheme="minorHAnsi" w:hAnsiTheme="minorHAnsi"/>
          <w:color w:val="000000"/>
          <w:szCs w:val="24"/>
          <w:lang w:val="es-ES"/>
        </w:rPr>
        <w:t>1</w:t>
      </w:r>
      <w:r w:rsidRPr="007C0C15">
        <w:rPr>
          <w:rFonts w:asciiTheme="minorHAnsi" w:hAnsiTheme="minorHAnsi"/>
          <w:color w:val="000000"/>
          <w:szCs w:val="24"/>
          <w:lang w:val="es-ES"/>
        </w:rPr>
        <w:tab/>
      </w:r>
      <w:r w:rsidR="007C0C15" w:rsidRPr="007C0C15">
        <w:rPr>
          <w:rFonts w:asciiTheme="minorHAnsi" w:hAnsiTheme="minorHAnsi"/>
          <w:color w:val="000000"/>
          <w:szCs w:val="24"/>
          <w:lang w:val="es-ES"/>
        </w:rPr>
        <w:t xml:space="preserve">anular el </w:t>
      </w:r>
      <w:r w:rsidR="00E22CE3" w:rsidRPr="007C0C15">
        <w:rPr>
          <w:rFonts w:cs="Calibri"/>
          <w:szCs w:val="24"/>
          <w:lang w:val="es-ES"/>
        </w:rPr>
        <w:t>proceso de licitación</w:t>
      </w:r>
      <w:r w:rsidRPr="007C0C15">
        <w:rPr>
          <w:rFonts w:cs="Calibri"/>
          <w:szCs w:val="24"/>
          <w:lang w:val="es-ES"/>
        </w:rPr>
        <w:t xml:space="preserve"> </w:t>
      </w:r>
      <w:r w:rsidR="007C0C15" w:rsidRPr="007C0C15">
        <w:rPr>
          <w:lang w:val="es-ES"/>
        </w:rPr>
        <w:t xml:space="preserve">iniciado en diciembre de </w:t>
      </w:r>
      <w:r w:rsidRPr="007C0C15">
        <w:rPr>
          <w:lang w:val="es-ES"/>
        </w:rPr>
        <w:t xml:space="preserve">2018 </w:t>
      </w:r>
      <w:r w:rsidR="007C0C15" w:rsidRPr="007C0C15">
        <w:rPr>
          <w:lang w:val="es-ES"/>
        </w:rPr>
        <w:t xml:space="preserve">para </w:t>
      </w:r>
      <w:r w:rsidR="007C0C15">
        <w:rPr>
          <w:lang w:val="es-ES"/>
        </w:rPr>
        <w:t>seleccionar a</w:t>
      </w:r>
      <w:r w:rsidR="007C0C15" w:rsidRPr="007C0C15">
        <w:rPr>
          <w:lang w:val="es-ES"/>
        </w:rPr>
        <w:t xml:space="preserve"> un Auditor Externo de la </w:t>
      </w:r>
      <w:r w:rsidR="007C0C15">
        <w:rPr>
          <w:lang w:val="es-ES"/>
        </w:rPr>
        <w:t>UIT</w:t>
      </w:r>
      <w:r w:rsidRPr="007C0C15">
        <w:rPr>
          <w:rFonts w:asciiTheme="minorHAnsi" w:hAnsiTheme="minorHAnsi"/>
          <w:lang w:val="es-ES"/>
        </w:rPr>
        <w:t>;</w:t>
      </w:r>
    </w:p>
    <w:p w:rsidR="00A20EAE" w:rsidRPr="007C0C15" w:rsidRDefault="00A20EAE" w:rsidP="00215306">
      <w:pPr>
        <w:rPr>
          <w:rFonts w:asciiTheme="minorHAnsi" w:hAnsiTheme="minorHAnsi"/>
          <w:lang w:val="es-ES"/>
        </w:rPr>
      </w:pPr>
      <w:r w:rsidRPr="007C0C15">
        <w:rPr>
          <w:lang w:val="es-ES"/>
        </w:rPr>
        <w:t>2</w:t>
      </w:r>
      <w:r w:rsidRPr="007C0C15">
        <w:rPr>
          <w:lang w:val="es-ES"/>
        </w:rPr>
        <w:tab/>
        <w:t>re</w:t>
      </w:r>
      <w:r w:rsidR="007C0C15" w:rsidRPr="007C0C15">
        <w:rPr>
          <w:lang w:val="es-ES"/>
        </w:rPr>
        <w:t>iniciar el proceso de selección de un Auditor Externo de la UIT inmediatamente después de la presente reuni</w:t>
      </w:r>
      <w:r w:rsidR="007C0C15">
        <w:rPr>
          <w:lang w:val="es-ES"/>
        </w:rPr>
        <w:t>ón del Consejo utilizando la misma metodología, según convenga</w:t>
      </w:r>
      <w:r w:rsidRPr="007C0C15">
        <w:rPr>
          <w:lang w:val="es-ES"/>
        </w:rPr>
        <w:t xml:space="preserve">; </w:t>
      </w:r>
      <w:r w:rsidR="007C0C15">
        <w:rPr>
          <w:lang w:val="es-ES"/>
        </w:rPr>
        <w:t>y</w:t>
      </w:r>
    </w:p>
    <w:p w:rsidR="00A20EAE" w:rsidRPr="007C0C15" w:rsidRDefault="00A20EAE" w:rsidP="00987F70">
      <w:pPr>
        <w:rPr>
          <w:rFonts w:asciiTheme="minorHAnsi" w:hAnsiTheme="minorHAnsi"/>
          <w:lang w:val="es-ES"/>
        </w:rPr>
      </w:pPr>
      <w:r w:rsidRPr="007C0C15">
        <w:rPr>
          <w:lang w:val="es-ES"/>
        </w:rPr>
        <w:t>3</w:t>
      </w:r>
      <w:r w:rsidRPr="007C0C15">
        <w:rPr>
          <w:lang w:val="es-ES"/>
        </w:rPr>
        <w:tab/>
      </w:r>
      <w:r w:rsidR="007C0C15" w:rsidRPr="007C0C15">
        <w:rPr>
          <w:lang w:val="es-ES"/>
        </w:rPr>
        <w:t xml:space="preserve">prorrogar el mandato de la </w:t>
      </w:r>
      <w:r w:rsidR="007C0C15">
        <w:rPr>
          <w:lang w:val="es-ES"/>
        </w:rPr>
        <w:t>Institución de Audito</w:t>
      </w:r>
      <w:r w:rsidR="007C0C15" w:rsidRPr="007C0C15">
        <w:rPr>
          <w:lang w:val="es-ES"/>
        </w:rPr>
        <w:t>r</w:t>
      </w:r>
      <w:r w:rsidR="007C0C15">
        <w:rPr>
          <w:lang w:val="es-ES"/>
        </w:rPr>
        <w:t>í</w:t>
      </w:r>
      <w:r w:rsidR="007C0C15" w:rsidRPr="007C0C15">
        <w:rPr>
          <w:lang w:val="es-ES"/>
        </w:rPr>
        <w:t xml:space="preserve">a Suprema </w:t>
      </w:r>
      <w:r w:rsidR="007C0C15">
        <w:rPr>
          <w:lang w:val="es-ES"/>
        </w:rPr>
        <w:t>italiana</w:t>
      </w:r>
      <w:r w:rsidRPr="007C0C15">
        <w:rPr>
          <w:lang w:val="es-ES"/>
        </w:rPr>
        <w:t xml:space="preserve"> </w:t>
      </w:r>
      <w:r w:rsidR="007C0C15">
        <w:rPr>
          <w:lang w:val="es-ES"/>
        </w:rPr>
        <w:t>(</w:t>
      </w:r>
      <w:r w:rsidRPr="007C0C15">
        <w:rPr>
          <w:lang w:val="es-ES"/>
        </w:rPr>
        <w:t>Corte dei Conti</w:t>
      </w:r>
      <w:r w:rsidR="007C0C15">
        <w:rPr>
          <w:lang w:val="es-ES"/>
        </w:rPr>
        <w:t>),</w:t>
      </w:r>
      <w:r w:rsidRPr="007C0C15">
        <w:rPr>
          <w:lang w:val="es-ES"/>
        </w:rPr>
        <w:t xml:space="preserve"> </w:t>
      </w:r>
      <w:r w:rsidR="007C0C15">
        <w:rPr>
          <w:lang w:val="es-ES"/>
        </w:rPr>
        <w:t>actual Auditor Externo</w:t>
      </w:r>
      <w:r w:rsidRPr="007C0C15">
        <w:rPr>
          <w:lang w:val="es-ES"/>
        </w:rPr>
        <w:t xml:space="preserve">, </w:t>
      </w:r>
      <w:r w:rsidR="007C0C15">
        <w:rPr>
          <w:lang w:val="es-ES"/>
        </w:rPr>
        <w:t>por un per</w:t>
      </w:r>
      <w:r w:rsidR="00987F70">
        <w:rPr>
          <w:lang w:val="es-ES"/>
        </w:rPr>
        <w:t>i</w:t>
      </w:r>
      <w:r w:rsidR="007C0C15">
        <w:rPr>
          <w:lang w:val="es-ES"/>
        </w:rPr>
        <w:t xml:space="preserve">odo adicional de dos años, para que se encargue de la auditoría de los estados financieros de la Unión correspondientes a </w:t>
      </w:r>
      <w:r w:rsidRPr="007C0C15">
        <w:rPr>
          <w:lang w:val="es-ES"/>
        </w:rPr>
        <w:t xml:space="preserve">2020 </w:t>
      </w:r>
      <w:r w:rsidR="007C0C15">
        <w:rPr>
          <w:lang w:val="es-ES"/>
        </w:rPr>
        <w:t xml:space="preserve">y </w:t>
      </w:r>
      <w:r w:rsidRPr="007C0C15">
        <w:rPr>
          <w:lang w:val="es-ES"/>
        </w:rPr>
        <w:t>2021,</w:t>
      </w:r>
    </w:p>
    <w:p w:rsidR="00FD1155" w:rsidRPr="00575948" w:rsidRDefault="00FD1155" w:rsidP="000403B6">
      <w:pPr>
        <w:pStyle w:val="Call"/>
      </w:pPr>
      <w:r w:rsidRPr="00575948">
        <w:t>encarga al Secretario General</w:t>
      </w:r>
    </w:p>
    <w:p w:rsidR="00FD1155" w:rsidRDefault="00A20EAE" w:rsidP="000403B6">
      <w:r>
        <w:t>1</w:t>
      </w:r>
      <w:r>
        <w:tab/>
      </w:r>
      <w:r w:rsidR="00FD1155" w:rsidRPr="00152238">
        <w:t xml:space="preserve">que señale el presente Acuerdo a la atención del Presidente de la Institución de Auditoría Suprema italiana y </w:t>
      </w:r>
      <w:r w:rsidR="007C0C15">
        <w:t xml:space="preserve">modifique el </w:t>
      </w:r>
      <w:r>
        <w:t xml:space="preserve">acuerdo </w:t>
      </w:r>
      <w:r w:rsidR="007C0C15">
        <w:t xml:space="preserve">vigente, según </w:t>
      </w:r>
      <w:r>
        <w:t>proceda;</w:t>
      </w:r>
    </w:p>
    <w:p w:rsidR="00A20EAE" w:rsidRPr="007C0C15" w:rsidRDefault="00A20EAE" w:rsidP="000403B6">
      <w:r w:rsidRPr="007C0C15">
        <w:t>2</w:t>
      </w:r>
      <w:r w:rsidRPr="007C0C15">
        <w:tab/>
      </w:r>
      <w:r w:rsidR="007C0C15">
        <w:t xml:space="preserve">que envíe a las </w:t>
      </w:r>
      <w:r w:rsidR="007C0C15" w:rsidRPr="002F5B8A">
        <w:t>seis organizaciones regionales de telecomunicaciones</w:t>
      </w:r>
      <w:r w:rsidR="007C0C15">
        <w:t xml:space="preserve"> principales</w:t>
      </w:r>
      <w:r w:rsidR="007C0C15" w:rsidRPr="002F5B8A">
        <w:t xml:space="preserve"> una carta </w:t>
      </w:r>
      <w:r w:rsidR="007C0C15">
        <w:t xml:space="preserve">circular </w:t>
      </w:r>
      <w:r w:rsidR="007C0C15" w:rsidRPr="002F5B8A">
        <w:t>en la que solicit</w:t>
      </w:r>
      <w:r w:rsidR="007C0C15">
        <w:t>e</w:t>
      </w:r>
      <w:r w:rsidR="007C0C15" w:rsidRPr="002F5B8A">
        <w:t xml:space="preserve"> candidaturas</w:t>
      </w:r>
      <w:r w:rsidR="007C0C15" w:rsidRPr="007C0C15">
        <w:t xml:space="preserve"> </w:t>
      </w:r>
      <w:r w:rsidR="007C0C15">
        <w:t xml:space="preserve">para el nuevo proceso de selección destinadas al </w:t>
      </w:r>
      <w:r w:rsidR="00E22CE3" w:rsidRPr="007C0C15">
        <w:rPr>
          <w:rFonts w:cs="Calibri"/>
          <w:bCs/>
          <w:iCs/>
          <w:color w:val="000000"/>
          <w:szCs w:val="24"/>
        </w:rPr>
        <w:t>Comité de Evaluación</w:t>
      </w:r>
      <w:r w:rsidRPr="007C0C15">
        <w:rPr>
          <w:rFonts w:cs="Calibri"/>
          <w:bCs/>
          <w:iCs/>
          <w:color w:val="000000"/>
          <w:szCs w:val="24"/>
        </w:rPr>
        <w:t>;</w:t>
      </w:r>
    </w:p>
    <w:p w:rsidR="00A20EAE" w:rsidRPr="00A56DEF" w:rsidRDefault="00A20EAE" w:rsidP="000403B6">
      <w:r w:rsidRPr="00A56DEF">
        <w:lastRenderedPageBreak/>
        <w:t>3</w:t>
      </w:r>
      <w:r w:rsidRPr="00A56DEF">
        <w:tab/>
      </w:r>
      <w:r w:rsidR="007C0C15" w:rsidRPr="00A56DEF">
        <w:t xml:space="preserve">que </w:t>
      </w:r>
      <w:r w:rsidR="00A56DEF" w:rsidRPr="00A56DEF">
        <w:t xml:space="preserve">facilite servicios de secretaría al </w:t>
      </w:r>
      <w:r w:rsidR="00E22CE3" w:rsidRPr="00A56DEF">
        <w:t>Comité de Evaluación</w:t>
      </w:r>
      <w:r w:rsidRPr="00A56DEF">
        <w:t xml:space="preserve"> </w:t>
      </w:r>
      <w:r w:rsidR="00A56DEF">
        <w:t>a fin de</w:t>
      </w:r>
      <w:r w:rsidR="00A56DEF" w:rsidRPr="00A56DEF">
        <w:t xml:space="preserve"> que éste pueda presentar </w:t>
      </w:r>
      <w:r w:rsidR="00A56DEF">
        <w:t xml:space="preserve">una recomendación al Consejo para que se nombre, en su reunión de </w:t>
      </w:r>
      <w:r w:rsidRPr="00A56DEF">
        <w:t xml:space="preserve">2020, </w:t>
      </w:r>
      <w:r w:rsidR="00FE51A1">
        <w:t xml:space="preserve">a </w:t>
      </w:r>
      <w:r w:rsidR="00A56DEF">
        <w:t>un nuevo Auditor Externo</w:t>
      </w:r>
      <w:r w:rsidRPr="00A56DEF">
        <w:t>.</w:t>
      </w:r>
    </w:p>
    <w:p w:rsidR="00FD1155" w:rsidRPr="00A56DEF" w:rsidRDefault="00FD1155" w:rsidP="000403B6">
      <w:pPr>
        <w:pStyle w:val="Reasons"/>
      </w:pPr>
    </w:p>
    <w:p w:rsidR="00FD1155" w:rsidRDefault="00FD1155" w:rsidP="000403B6">
      <w:pPr>
        <w:jc w:val="center"/>
      </w:pPr>
      <w:r>
        <w:t>______________</w:t>
      </w:r>
    </w:p>
    <w:sectPr w:rsidR="00FD1155"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C15" w:rsidRDefault="007C0C15">
      <w:r>
        <w:separator/>
      </w:r>
    </w:p>
  </w:endnote>
  <w:endnote w:type="continuationSeparator" w:id="0">
    <w:p w:rsidR="007C0C15" w:rsidRDefault="007C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C15" w:rsidRPr="0038572D" w:rsidRDefault="007C0C15" w:rsidP="006B5D03">
    <w:pPr>
      <w:pStyle w:val="Footer"/>
      <w:rPr>
        <w:lang w:val="en-GB"/>
      </w:rPr>
    </w:pPr>
    <w:r>
      <w:rPr>
        <w:lang w:val="en-US"/>
      </w:rPr>
      <w:fldChar w:fldCharType="begin"/>
    </w:r>
    <w:r w:rsidRPr="0038572D">
      <w:rPr>
        <w:lang w:val="en-GB"/>
      </w:rPr>
      <w:instrText xml:space="preserve"> FILENAME \p \* MERGEFORMAT </w:instrText>
    </w:r>
    <w:r>
      <w:rPr>
        <w:lang w:val="en-US"/>
      </w:rPr>
      <w:fldChar w:fldCharType="separate"/>
    </w:r>
    <w:r w:rsidR="0038572D" w:rsidRPr="0038572D">
      <w:rPr>
        <w:lang w:val="en-GB"/>
      </w:rPr>
      <w:t>P:\SPM\GBS\c19\Doc\reftext\059v2S.DOCX</w:t>
    </w:r>
    <w:r>
      <w:rPr>
        <w:lang w:val="en-US"/>
      </w:rPr>
      <w:fldChar w:fldCharType="end"/>
    </w:r>
    <w:r w:rsidRPr="0038572D">
      <w:rPr>
        <w:lang w:val="en-GB"/>
      </w:rPr>
      <w:t xml:space="preserve"> (454910)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C15" w:rsidRDefault="007C0C1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C15" w:rsidRDefault="007C0C15">
      <w:r>
        <w:t>____________________</w:t>
      </w:r>
    </w:p>
  </w:footnote>
  <w:footnote w:type="continuationSeparator" w:id="0">
    <w:p w:rsidR="007C0C15" w:rsidRDefault="007C0C15">
      <w:r>
        <w:continuationSeparator/>
      </w:r>
    </w:p>
  </w:footnote>
  <w:footnote w:id="1">
    <w:p w:rsidR="00A90832" w:rsidRPr="00A90832" w:rsidRDefault="00A90832">
      <w:pPr>
        <w:pStyle w:val="FootnoteText"/>
        <w:rPr>
          <w:lang w:val="es-ES"/>
        </w:rPr>
      </w:pPr>
      <w:r>
        <w:rPr>
          <w:rStyle w:val="FootnoteReference"/>
        </w:rPr>
        <w:footnoteRef/>
      </w:r>
      <w:r>
        <w:tab/>
      </w:r>
      <w:r w:rsidRPr="00023102">
        <w:rPr>
          <w:lang w:val="es-ES"/>
        </w:rPr>
        <w:t xml:space="preserve">A lo largo del proceso, la función de la Secretaría fue asumida por la </w:t>
      </w:r>
      <w:r>
        <w:rPr>
          <w:lang w:val="es-ES"/>
        </w:rPr>
        <w:t>Unidad de Auditoría Interna de la UIT</w:t>
      </w:r>
      <w:r w:rsidRPr="00023102">
        <w:rPr>
          <w:lang w:val="es-ES"/>
        </w:rPr>
        <w:t xml:space="preserve">, </w:t>
      </w:r>
      <w:r>
        <w:rPr>
          <w:lang w:val="es-ES"/>
        </w:rPr>
        <w:t>e</w:t>
      </w:r>
      <w:r w:rsidRPr="00023102">
        <w:rPr>
          <w:lang w:val="es-ES"/>
        </w:rPr>
        <w:t xml:space="preserve">n </w:t>
      </w:r>
      <w:r>
        <w:rPr>
          <w:lang w:val="es-ES"/>
        </w:rPr>
        <w:t xml:space="preserve">estrecha colaboración con la </w:t>
      </w:r>
      <w:r w:rsidRPr="00023102">
        <w:rPr>
          <w:lang w:val="es-ES"/>
        </w:rPr>
        <w:t xml:space="preserve">División de Compras de la UIT </w:t>
      </w:r>
      <w:r>
        <w:rPr>
          <w:lang w:val="es-ES"/>
        </w:rPr>
        <w:t xml:space="preserve">y con las aportaciones realizadas por el </w:t>
      </w:r>
      <w:r w:rsidRPr="00023102">
        <w:rPr>
          <w:lang w:val="es-ES"/>
        </w:rPr>
        <w:t>Asesor Jurídico de la UIT.</w:t>
      </w:r>
    </w:p>
  </w:footnote>
  <w:footnote w:id="2">
    <w:p w:rsidR="007C0C15" w:rsidRPr="00023102" w:rsidRDefault="007C0C15" w:rsidP="00215306">
      <w:pPr>
        <w:pStyle w:val="FootnoteText"/>
        <w:spacing w:before="80"/>
        <w:rPr>
          <w:lang w:val="es-ES"/>
        </w:rPr>
      </w:pPr>
      <w:r w:rsidRPr="00023102">
        <w:rPr>
          <w:rStyle w:val="FootnoteReference"/>
        </w:rPr>
        <w:footnoteRef/>
      </w:r>
      <w:r w:rsidRPr="00023102">
        <w:rPr>
          <w:lang w:val="es-ES"/>
        </w:rPr>
        <w:tab/>
        <w:t xml:space="preserve">Con arreglo al Artículo 41 de la Constitución, el Consejo actuará en nombre de la Conferencia de Plenipotenciarios y, en virtud de lo dispuesto en la Resolución 94 (Rev. Dubái, 2018) y el Artículo 28 del Reglamento Financiero de la </w:t>
      </w:r>
      <w:r>
        <w:rPr>
          <w:lang w:val="es-ES"/>
        </w:rPr>
        <w:t>UIT</w:t>
      </w:r>
      <w:r w:rsidRPr="00023102">
        <w:rPr>
          <w:lang w:val="es-ES"/>
        </w:rPr>
        <w:t xml:space="preserve">, </w:t>
      </w:r>
      <w:r>
        <w:rPr>
          <w:lang w:val="es-ES"/>
        </w:rPr>
        <w:t>el Consejo es competente, entre dos reuniones de la Conferencia de Plenipotenciarios, para tomar las disposiciones necesarias para nombrar al Auditor Externo y, en circunstancias excepcionales, ampliar su mandato</w:t>
      </w:r>
      <w:r w:rsidRPr="00023102">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C15" w:rsidRDefault="007C0C15" w:rsidP="007657F0">
    <w:pPr>
      <w:pStyle w:val="Header"/>
    </w:pPr>
    <w:r>
      <w:fldChar w:fldCharType="begin"/>
    </w:r>
    <w:r>
      <w:instrText>PAGE</w:instrText>
    </w:r>
    <w:r>
      <w:fldChar w:fldCharType="separate"/>
    </w:r>
    <w:r w:rsidR="0038572D">
      <w:rPr>
        <w:noProof/>
      </w:rPr>
      <w:t>3</w:t>
    </w:r>
    <w:r>
      <w:rPr>
        <w:noProof/>
      </w:rPr>
      <w:fldChar w:fldCharType="end"/>
    </w:r>
  </w:p>
  <w:p w:rsidR="007C0C15" w:rsidRDefault="007C0C15" w:rsidP="00E74F57">
    <w:pPr>
      <w:pStyle w:val="Header"/>
    </w:pPr>
    <w:r>
      <w:t>C19/59-S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54"/>
    <w:rsid w:val="00023102"/>
    <w:rsid w:val="0003121E"/>
    <w:rsid w:val="00033083"/>
    <w:rsid w:val="00035747"/>
    <w:rsid w:val="000403B6"/>
    <w:rsid w:val="00093EEB"/>
    <w:rsid w:val="000A0BDD"/>
    <w:rsid w:val="000B0D00"/>
    <w:rsid w:val="000B7C15"/>
    <w:rsid w:val="000C4055"/>
    <w:rsid w:val="000D1D0F"/>
    <w:rsid w:val="000F5290"/>
    <w:rsid w:val="0010165C"/>
    <w:rsid w:val="001207EC"/>
    <w:rsid w:val="00146BFB"/>
    <w:rsid w:val="001543EA"/>
    <w:rsid w:val="001A3530"/>
    <w:rsid w:val="001E67A1"/>
    <w:rsid w:val="001F14A2"/>
    <w:rsid w:val="00215306"/>
    <w:rsid w:val="00222777"/>
    <w:rsid w:val="002378AE"/>
    <w:rsid w:val="002801AA"/>
    <w:rsid w:val="00285672"/>
    <w:rsid w:val="002C4676"/>
    <w:rsid w:val="002C70B0"/>
    <w:rsid w:val="002F3CC4"/>
    <w:rsid w:val="002F5B8A"/>
    <w:rsid w:val="00316BC3"/>
    <w:rsid w:val="0037172B"/>
    <w:rsid w:val="0038572D"/>
    <w:rsid w:val="003C6815"/>
    <w:rsid w:val="00452494"/>
    <w:rsid w:val="004B4AAB"/>
    <w:rsid w:val="004F5FAE"/>
    <w:rsid w:val="00513630"/>
    <w:rsid w:val="00545A0B"/>
    <w:rsid w:val="00560125"/>
    <w:rsid w:val="00567392"/>
    <w:rsid w:val="00585553"/>
    <w:rsid w:val="005B34D9"/>
    <w:rsid w:val="005C0E5A"/>
    <w:rsid w:val="005D0CCF"/>
    <w:rsid w:val="005F3BCB"/>
    <w:rsid w:val="005F410F"/>
    <w:rsid w:val="0060149A"/>
    <w:rsid w:val="00601924"/>
    <w:rsid w:val="00616A54"/>
    <w:rsid w:val="006447EA"/>
    <w:rsid w:val="0064731F"/>
    <w:rsid w:val="0065150B"/>
    <w:rsid w:val="006710F6"/>
    <w:rsid w:val="00695CEE"/>
    <w:rsid w:val="006B5D03"/>
    <w:rsid w:val="006C1B56"/>
    <w:rsid w:val="006D4761"/>
    <w:rsid w:val="00711EED"/>
    <w:rsid w:val="00726872"/>
    <w:rsid w:val="007311A1"/>
    <w:rsid w:val="00760F1C"/>
    <w:rsid w:val="007657F0"/>
    <w:rsid w:val="0077252D"/>
    <w:rsid w:val="007808B8"/>
    <w:rsid w:val="00797833"/>
    <w:rsid w:val="007C0C15"/>
    <w:rsid w:val="007E5DD3"/>
    <w:rsid w:val="007F350B"/>
    <w:rsid w:val="00820BE4"/>
    <w:rsid w:val="00834CB0"/>
    <w:rsid w:val="00837930"/>
    <w:rsid w:val="008451E8"/>
    <w:rsid w:val="008E4364"/>
    <w:rsid w:val="00913B9C"/>
    <w:rsid w:val="009160FA"/>
    <w:rsid w:val="00930757"/>
    <w:rsid w:val="0093093E"/>
    <w:rsid w:val="00956E77"/>
    <w:rsid w:val="00987F70"/>
    <w:rsid w:val="009F4811"/>
    <w:rsid w:val="00A15D86"/>
    <w:rsid w:val="00A20EAE"/>
    <w:rsid w:val="00A404D3"/>
    <w:rsid w:val="00A51A86"/>
    <w:rsid w:val="00A56DEF"/>
    <w:rsid w:val="00A90832"/>
    <w:rsid w:val="00AA390C"/>
    <w:rsid w:val="00AC25A4"/>
    <w:rsid w:val="00AD0D1C"/>
    <w:rsid w:val="00AF3CA7"/>
    <w:rsid w:val="00B0200A"/>
    <w:rsid w:val="00B2053B"/>
    <w:rsid w:val="00B25350"/>
    <w:rsid w:val="00B54E35"/>
    <w:rsid w:val="00B574DB"/>
    <w:rsid w:val="00B72814"/>
    <w:rsid w:val="00B8246E"/>
    <w:rsid w:val="00B826C2"/>
    <w:rsid w:val="00B8298E"/>
    <w:rsid w:val="00BD0723"/>
    <w:rsid w:val="00BD2518"/>
    <w:rsid w:val="00BF1D1C"/>
    <w:rsid w:val="00C20C59"/>
    <w:rsid w:val="00C2553D"/>
    <w:rsid w:val="00C2727F"/>
    <w:rsid w:val="00C55B1F"/>
    <w:rsid w:val="00CF1A67"/>
    <w:rsid w:val="00D2750E"/>
    <w:rsid w:val="00D62446"/>
    <w:rsid w:val="00DA4EA2"/>
    <w:rsid w:val="00DC3D3E"/>
    <w:rsid w:val="00DC6725"/>
    <w:rsid w:val="00DE2C90"/>
    <w:rsid w:val="00DE3B24"/>
    <w:rsid w:val="00E06947"/>
    <w:rsid w:val="00E22CE3"/>
    <w:rsid w:val="00E25697"/>
    <w:rsid w:val="00E3592D"/>
    <w:rsid w:val="00E74F57"/>
    <w:rsid w:val="00E84A28"/>
    <w:rsid w:val="00E92DE8"/>
    <w:rsid w:val="00EA2E6C"/>
    <w:rsid w:val="00EB1212"/>
    <w:rsid w:val="00ED65AB"/>
    <w:rsid w:val="00F12850"/>
    <w:rsid w:val="00F1453C"/>
    <w:rsid w:val="00F214DA"/>
    <w:rsid w:val="00F3146B"/>
    <w:rsid w:val="00F33BF4"/>
    <w:rsid w:val="00F54837"/>
    <w:rsid w:val="00F7105E"/>
    <w:rsid w:val="00F75F57"/>
    <w:rsid w:val="00F81BB5"/>
    <w:rsid w:val="00F82FEE"/>
    <w:rsid w:val="00F83007"/>
    <w:rsid w:val="00F9230D"/>
    <w:rsid w:val="00FD1155"/>
    <w:rsid w:val="00FD57D3"/>
    <w:rsid w:val="00FE51A1"/>
    <w:rsid w:val="00FF11BD"/>
    <w:rsid w:val="00FF12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DE613A3-FB37-408A-BA3F-B32B4404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rmalaftertitleChar">
    <w:name w:val="Normal after title Char"/>
    <w:basedOn w:val="DefaultParagraphFont"/>
    <w:link w:val="Normalaftertitle"/>
    <w:rsid w:val="00FD1155"/>
    <w:rPr>
      <w:rFonts w:ascii="Calibri" w:hAnsi="Calibri"/>
      <w:sz w:val="24"/>
      <w:lang w:val="es-ES_tradnl" w:eastAsia="en-US"/>
    </w:rPr>
  </w:style>
  <w:style w:type="paragraph" w:styleId="BalloonText">
    <w:name w:val="Balloon Text"/>
    <w:basedOn w:val="Normal"/>
    <w:link w:val="BalloonTextChar"/>
    <w:semiHidden/>
    <w:unhideWhenUsed/>
    <w:rsid w:val="0093093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3093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94-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s/council/Pages/documents.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en/council/ties/Documents/cwg-fhr/Regl-fin-2010-S.pdf" TargetMode="External"/><Relationship Id="rId4" Type="http://schemas.openxmlformats.org/officeDocument/2006/relationships/webSettings" Target="webSettings.xml"/><Relationship Id="rId9" Type="http://schemas.openxmlformats.org/officeDocument/2006/relationships/hyperlink" Target="http://web.itu.int/md/S18-CL-C-0067/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EE29-E664-4A8B-8B5C-3E3AA4AC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Template>
  <TotalTime>2</TotalTime>
  <Pages>6</Pages>
  <Words>1701</Words>
  <Characters>9697</Characters>
  <Application>Microsoft Office Word</Application>
  <DocSecurity>0</DocSecurity>
  <Lines>80</Lines>
  <Paragraphs>22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11376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Janin, Patricia</cp:lastModifiedBy>
  <cp:revision>3</cp:revision>
  <cp:lastPrinted>2019-06-06T12:33:00Z</cp:lastPrinted>
  <dcterms:created xsi:type="dcterms:W3CDTF">2019-06-06T12:33:00Z</dcterms:created>
  <dcterms:modified xsi:type="dcterms:W3CDTF">2019-06-06T12:35:00Z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