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106B19">
            <w:pPr>
              <w:spacing w:before="360"/>
              <w:rPr>
                <w:lang w:val="fr-CH"/>
              </w:rPr>
            </w:pPr>
            <w:bookmarkStart w:id="0" w:name="dc06"/>
            <w:bookmarkEnd w:id="0"/>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533168" w:rsidP="00533168">
            <w:pPr>
              <w:spacing w:before="0"/>
              <w:rPr>
                <w:rFonts w:cs="Times"/>
                <w:b/>
                <w:bCs/>
                <w:szCs w:val="24"/>
                <w:lang w:val="fr-CH"/>
              </w:rPr>
            </w:pPr>
            <w:bookmarkStart w:id="2" w:name="dnum" w:colFirst="1" w:colLast="1"/>
            <w:bookmarkStart w:id="3" w:name="dmeeting" w:colFirst="0" w:colLast="0"/>
            <w:r w:rsidRPr="00533168">
              <w:rPr>
                <w:rFonts w:cs="Times"/>
                <w:b/>
                <w:bCs/>
                <w:szCs w:val="24"/>
                <w:lang w:val="fr-CH"/>
              </w:rPr>
              <w:t>Point de l'ordre du jour: PL 1.3</w:t>
            </w:r>
          </w:p>
        </w:tc>
        <w:tc>
          <w:tcPr>
            <w:tcW w:w="3261" w:type="dxa"/>
          </w:tcPr>
          <w:p w:rsidR="00520F36" w:rsidRPr="00520F36" w:rsidRDefault="00520F36" w:rsidP="00106B19">
            <w:pPr>
              <w:spacing w:before="0"/>
              <w:rPr>
                <w:b/>
                <w:bCs/>
              </w:rPr>
            </w:pPr>
            <w:r>
              <w:rPr>
                <w:b/>
                <w:bCs/>
              </w:rPr>
              <w:t>Document C1</w:t>
            </w:r>
            <w:r w:rsidR="00106B19">
              <w:rPr>
                <w:b/>
                <w:bCs/>
              </w:rPr>
              <w:t>9</w:t>
            </w:r>
            <w:r>
              <w:rPr>
                <w:b/>
                <w:bCs/>
              </w:rPr>
              <w:t>/</w:t>
            </w:r>
            <w:r w:rsidR="00533168">
              <w:rPr>
                <w:b/>
                <w:bCs/>
              </w:rPr>
              <w:t>66</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533168" w:rsidP="00106B19">
            <w:pPr>
              <w:spacing w:before="0"/>
              <w:rPr>
                <w:b/>
                <w:bCs/>
              </w:rPr>
            </w:pPr>
            <w:r>
              <w:rPr>
                <w:b/>
                <w:bCs/>
              </w:rPr>
              <w:t>25 mai</w:t>
            </w:r>
            <w:r w:rsidR="00520F36">
              <w:rPr>
                <w:b/>
                <w:bCs/>
              </w:rPr>
              <w:t xml:space="preserve"> 201</w:t>
            </w:r>
            <w:r w:rsidR="00106B19">
              <w:rPr>
                <w:b/>
                <w:bCs/>
              </w:rPr>
              <w:t>9</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533168" w:rsidP="00DF74DD">
            <w:pPr>
              <w:pStyle w:val="Source"/>
            </w:pPr>
            <w:bookmarkStart w:id="6" w:name="dsource" w:colFirst="0" w:colLast="0"/>
            <w:bookmarkEnd w:id="5"/>
            <w:r>
              <w:t>Note du Secrétaire général</w:t>
            </w:r>
          </w:p>
        </w:tc>
      </w:tr>
      <w:tr w:rsidR="00520F36" w:rsidRPr="0092392D">
        <w:trPr>
          <w:cantSplit/>
        </w:trPr>
        <w:tc>
          <w:tcPr>
            <w:tcW w:w="10173" w:type="dxa"/>
            <w:gridSpan w:val="2"/>
          </w:tcPr>
          <w:p w:rsidR="00533168" w:rsidRPr="00533168" w:rsidRDefault="00533168" w:rsidP="00533168">
            <w:pPr>
              <w:pStyle w:val="Title1"/>
              <w:rPr>
                <w:lang w:val="fr-CH"/>
              </w:rPr>
            </w:pPr>
            <w:bookmarkStart w:id="7" w:name="dtitle1" w:colFirst="0" w:colLast="0"/>
            <w:bookmarkEnd w:id="6"/>
            <w:r w:rsidRPr="00533168">
              <w:rPr>
                <w:lang w:val="fr-CH"/>
              </w:rPr>
              <w:t>contribution de la république fédérative du brésil</w:t>
            </w:r>
          </w:p>
          <w:p w:rsidR="00520F36" w:rsidRPr="0092392D" w:rsidRDefault="00533168" w:rsidP="00533168">
            <w:pPr>
              <w:pStyle w:val="Title1"/>
            </w:pPr>
            <w:r w:rsidRPr="00533168">
              <w:rPr>
                <w:lang w:val="fr-CH"/>
              </w:rPr>
              <w:t>THÈMES POUR LES CONSULTATIONS PUBLIQUES DU GTC-INTERNET</w:t>
            </w:r>
          </w:p>
        </w:tc>
      </w:tr>
    </w:tbl>
    <w:bookmarkEnd w:id="7"/>
    <w:p w:rsidR="00533168" w:rsidRPr="008D4C36" w:rsidRDefault="00533168" w:rsidP="00533168">
      <w:pPr>
        <w:spacing w:before="360"/>
        <w:rPr>
          <w:lang w:val="fr-CH"/>
        </w:rPr>
      </w:pPr>
      <w:r w:rsidRPr="008D4C36">
        <w:rPr>
          <w:rFonts w:asciiTheme="minorHAnsi" w:hAnsiTheme="minorHAnsi"/>
          <w:szCs w:val="24"/>
          <w:lang w:val="fr-CH"/>
        </w:rPr>
        <w:t>J'ai l'honneur de transmettre aux États Membres du Conseil une contribution soumise par la République fédérative du Brésil</w:t>
      </w:r>
      <w:r w:rsidRPr="008D4C36">
        <w:rPr>
          <w:lang w:val="fr-CH"/>
        </w:rPr>
        <w:t>.</w:t>
      </w:r>
    </w:p>
    <w:p w:rsidR="00520F36" w:rsidRDefault="00533168" w:rsidP="00C92876">
      <w:pPr>
        <w:tabs>
          <w:tab w:val="clear" w:pos="567"/>
          <w:tab w:val="clear" w:pos="1134"/>
          <w:tab w:val="clear" w:pos="1701"/>
          <w:tab w:val="clear" w:pos="2268"/>
          <w:tab w:val="clear" w:pos="2835"/>
          <w:tab w:val="center" w:pos="6804"/>
        </w:tabs>
        <w:spacing w:before="1080"/>
        <w:rPr>
          <w:lang w:val="fr-CH"/>
        </w:rPr>
      </w:pPr>
      <w:r w:rsidRPr="008D4C36">
        <w:rPr>
          <w:lang w:val="fr-CH"/>
        </w:rPr>
        <w:tab/>
        <w:t>Houlin ZHAO</w:t>
      </w:r>
      <w:r>
        <w:rPr>
          <w:lang w:val="fr-CH"/>
        </w:rPr>
        <w:br/>
      </w:r>
      <w:r>
        <w:rPr>
          <w:lang w:val="fr-CH"/>
        </w:rPr>
        <w:tab/>
      </w:r>
      <w:r w:rsidRPr="008D4C36">
        <w:rPr>
          <w:lang w:val="fr-CH"/>
        </w:rPr>
        <w:t>Secrétaire général</w:t>
      </w:r>
    </w:p>
    <w:p w:rsidR="00533168" w:rsidRDefault="00533168">
      <w:pPr>
        <w:tabs>
          <w:tab w:val="clear" w:pos="567"/>
          <w:tab w:val="clear" w:pos="1134"/>
          <w:tab w:val="clear" w:pos="1701"/>
          <w:tab w:val="clear" w:pos="2268"/>
          <w:tab w:val="clear" w:pos="2835"/>
        </w:tabs>
        <w:overflowPunct/>
        <w:autoSpaceDE/>
        <w:autoSpaceDN/>
        <w:adjustRightInd/>
        <w:spacing w:before="0"/>
        <w:textAlignment w:val="auto"/>
        <w:rPr>
          <w:lang w:val="fr-CH"/>
        </w:rPr>
      </w:pPr>
      <w:r>
        <w:rPr>
          <w:lang w:val="fr-CH"/>
        </w:rPr>
        <w:br w:type="page"/>
      </w:r>
    </w:p>
    <w:p w:rsidR="0024117F" w:rsidRDefault="0024117F" w:rsidP="0024117F">
      <w:pPr>
        <w:pStyle w:val="Title1"/>
        <w:rPr>
          <w:lang w:val="fr-CH"/>
        </w:rPr>
      </w:pPr>
      <w:r w:rsidRPr="008D4C36">
        <w:rPr>
          <w:lang w:val="fr-CH"/>
        </w:rPr>
        <w:lastRenderedPageBreak/>
        <w:t>contribution de la république fédérative du brésil</w:t>
      </w:r>
    </w:p>
    <w:p w:rsidR="00533168" w:rsidRDefault="0024117F" w:rsidP="00480B44">
      <w:pPr>
        <w:pStyle w:val="Title1"/>
        <w:spacing w:after="240"/>
        <w:rPr>
          <w:lang w:val="fr-CH"/>
        </w:rPr>
      </w:pPr>
      <w:r w:rsidRPr="008D4C36">
        <w:rPr>
          <w:lang w:val="fr-CH"/>
        </w:rPr>
        <w:t>THÈMES POUR LES CONSULTATIONS PUBLIQUES DU GTC-INTERNET</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pPr>
              <w:pStyle w:val="Headingb"/>
              <w:rPr>
                <w:lang w:val="fr-CH"/>
              </w:rPr>
            </w:pPr>
            <w:r w:rsidRPr="0092392D">
              <w:rPr>
                <w:lang w:val="fr-CH"/>
              </w:rPr>
              <w:t>Résumé</w:t>
            </w:r>
          </w:p>
          <w:p w:rsidR="00520F36" w:rsidRPr="0092392D" w:rsidRDefault="0024117F" w:rsidP="00480B44">
            <w:pPr>
              <w:rPr>
                <w:lang w:val="fr-CH"/>
              </w:rPr>
            </w:pPr>
            <w:r w:rsidRPr="0024117F">
              <w:rPr>
                <w:lang w:val="fr-CH"/>
              </w:rPr>
              <w:t xml:space="preserve">Le Brésil propose </w:t>
            </w:r>
            <w:r w:rsidR="00480B44">
              <w:rPr>
                <w:lang w:val="fr-CH"/>
              </w:rPr>
              <w:t xml:space="preserve">que </w:t>
            </w:r>
            <w:r w:rsidRPr="0024117F">
              <w:rPr>
                <w:lang w:val="fr-CH"/>
              </w:rPr>
              <w:t>deux thèmes</w:t>
            </w:r>
            <w:r w:rsidR="00480B44">
              <w:rPr>
                <w:lang w:val="fr-CH"/>
              </w:rPr>
              <w:t xml:space="preserve"> soient approuvés</w:t>
            </w:r>
            <w:r w:rsidRPr="0024117F">
              <w:rPr>
                <w:lang w:val="fr-CH"/>
              </w:rPr>
              <w:t>, un pour chacune des deux</w:t>
            </w:r>
            <w:r w:rsidR="00480B44">
              <w:rPr>
                <w:lang w:val="fr-CH"/>
              </w:rPr>
              <w:t xml:space="preserve"> </w:t>
            </w:r>
            <w:r w:rsidRPr="0024117F">
              <w:rPr>
                <w:lang w:val="fr-CH"/>
              </w:rPr>
              <w:t>réunions traditionnelles de consultation ouverte du GTC-Internet qui se tiendront en octobre 2019 et en février 2020.</w:t>
            </w:r>
          </w:p>
          <w:p w:rsidR="00520F36" w:rsidRPr="0092392D" w:rsidRDefault="00520F36">
            <w:pPr>
              <w:pStyle w:val="Headingb"/>
              <w:rPr>
                <w:lang w:val="fr-CH"/>
              </w:rPr>
            </w:pPr>
            <w:r w:rsidRPr="0092392D">
              <w:rPr>
                <w:lang w:val="fr-CH"/>
              </w:rPr>
              <w:t>Suite à donner</w:t>
            </w:r>
          </w:p>
          <w:p w:rsidR="0024117F" w:rsidRPr="0024117F" w:rsidRDefault="0024117F" w:rsidP="0024117F">
            <w:pPr>
              <w:rPr>
                <w:lang w:val="fr-CH"/>
              </w:rPr>
            </w:pPr>
            <w:r w:rsidRPr="0024117F">
              <w:rPr>
                <w:lang w:val="fr-CH"/>
              </w:rPr>
              <w:t>Le Conseil est invité à examiner et à approuver les thèmes ci-après pour les deux prochaines réunions traditionnelles de consultation ouverte du GTC-Internet:</w:t>
            </w:r>
          </w:p>
          <w:p w:rsidR="0024117F" w:rsidRDefault="0024117F" w:rsidP="0024117F">
            <w:pPr>
              <w:pStyle w:val="enumlev1"/>
              <w:rPr>
                <w:lang w:val="fr-CH"/>
              </w:rPr>
            </w:pPr>
            <w:r w:rsidRPr="0024117F">
              <w:rPr>
                <w:lang w:val="fr-CH"/>
              </w:rPr>
              <w:t>–</w:t>
            </w:r>
            <w:r>
              <w:rPr>
                <w:lang w:val="fr-CH"/>
              </w:rPr>
              <w:tab/>
            </w:r>
            <w:r w:rsidRPr="0024117F">
              <w:rPr>
                <w:lang w:val="fr-CH"/>
              </w:rPr>
              <w:t>Réseaux communautaires: octobre 2019;</w:t>
            </w:r>
          </w:p>
          <w:p w:rsidR="00520F36" w:rsidRPr="0092392D" w:rsidRDefault="0024117F" w:rsidP="0024117F">
            <w:pPr>
              <w:pStyle w:val="enumlev1"/>
              <w:rPr>
                <w:lang w:val="fr-CH"/>
              </w:rPr>
            </w:pPr>
            <w:r w:rsidRPr="0024117F">
              <w:rPr>
                <w:lang w:val="fr-CH"/>
              </w:rPr>
              <w:t>–</w:t>
            </w:r>
            <w:r>
              <w:rPr>
                <w:lang w:val="fr-CH"/>
              </w:rPr>
              <w:tab/>
            </w:r>
            <w:r w:rsidRPr="0024117F">
              <w:rPr>
                <w:lang w:val="fr-CH"/>
              </w:rPr>
              <w:t>Intelligence artificielle: février 2020.</w:t>
            </w:r>
          </w:p>
          <w:p w:rsidR="00520F36" w:rsidRPr="0092392D" w:rsidRDefault="00520F36">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520F36" w:rsidRPr="0092392D" w:rsidRDefault="00520F36">
            <w:pPr>
              <w:pStyle w:val="Headingb"/>
              <w:rPr>
                <w:lang w:val="fr-CH"/>
              </w:rPr>
            </w:pPr>
            <w:r w:rsidRPr="0092392D">
              <w:rPr>
                <w:lang w:val="fr-CH"/>
              </w:rPr>
              <w:t>Références</w:t>
            </w:r>
          </w:p>
          <w:p w:rsidR="00520F36" w:rsidRPr="0092392D" w:rsidRDefault="003805DE" w:rsidP="00480B44">
            <w:pPr>
              <w:spacing w:after="120"/>
              <w:rPr>
                <w:i/>
                <w:iCs/>
                <w:lang w:val="fr-CH"/>
              </w:rPr>
            </w:pPr>
            <w:hyperlink r:id="rId8" w:history="1">
              <w:r w:rsidR="0024117F" w:rsidRPr="0024117F">
                <w:rPr>
                  <w:rStyle w:val="Hyperlink"/>
                  <w:i/>
                  <w:iCs/>
                  <w:lang w:val="fr-CH"/>
                </w:rPr>
                <w:t>Résolution 102 (Rév. Dubaï, 2018)</w:t>
              </w:r>
            </w:hyperlink>
            <w:r w:rsidR="00480B44" w:rsidRPr="00C92876">
              <w:rPr>
                <w:i/>
                <w:iCs/>
                <w:lang w:val="fr-CH"/>
              </w:rPr>
              <w:t>de la Conférence de plénipotentiaires</w:t>
            </w:r>
            <w:r w:rsidR="0024117F" w:rsidRPr="0024117F">
              <w:rPr>
                <w:i/>
                <w:iCs/>
                <w:lang w:val="fr-CH"/>
              </w:rPr>
              <w:t xml:space="preserve">, </w:t>
            </w:r>
            <w:hyperlink r:id="rId9" w:history="1">
              <w:r w:rsidR="00480B44" w:rsidRPr="00480B44">
                <w:rPr>
                  <w:rStyle w:val="Hyperlink"/>
                  <w:i/>
                  <w:iCs/>
                  <w:lang w:val="fr-CH"/>
                </w:rPr>
                <w:t xml:space="preserve">Résolutions </w:t>
              </w:r>
              <w:r w:rsidR="0024117F" w:rsidRPr="00480B44">
                <w:rPr>
                  <w:rStyle w:val="Hyperlink"/>
                  <w:i/>
                  <w:iCs/>
                  <w:lang w:val="fr-CH"/>
                </w:rPr>
                <w:t>1336 (C11, dernière mod. C15)</w:t>
              </w:r>
            </w:hyperlink>
            <w:r w:rsidR="00480B44">
              <w:rPr>
                <w:i/>
                <w:iCs/>
                <w:lang w:val="fr-CH"/>
              </w:rPr>
              <w:t xml:space="preserve"> et </w:t>
            </w:r>
            <w:hyperlink r:id="rId10" w:history="1">
              <w:r w:rsidR="0024117F" w:rsidRPr="0024117F">
                <w:rPr>
                  <w:rStyle w:val="Hyperlink"/>
                  <w:i/>
                  <w:iCs/>
                  <w:lang w:val="fr-CH"/>
                </w:rPr>
                <w:t>1344 (C12, dernière mod. C15)</w:t>
              </w:r>
            </w:hyperlink>
            <w:r w:rsidR="0024117F" w:rsidRPr="003805DE">
              <w:rPr>
                <w:i/>
                <w:iCs/>
                <w:lang w:val="fr-CH"/>
              </w:rPr>
              <w:t xml:space="preserve"> d</w:t>
            </w:r>
            <w:r w:rsidR="00480B44" w:rsidRPr="003805DE">
              <w:rPr>
                <w:i/>
                <w:iCs/>
                <w:lang w:val="fr-CH"/>
              </w:rPr>
              <w:t>u Conseil</w:t>
            </w:r>
            <w:r w:rsidR="0024117F" w:rsidRPr="0024117F">
              <w:rPr>
                <w:i/>
                <w:iCs/>
                <w:lang w:val="fr-CH"/>
              </w:rPr>
              <w:t xml:space="preserve">, </w:t>
            </w:r>
            <w:hyperlink r:id="rId11" w:history="1">
              <w:r w:rsidR="0024117F" w:rsidRPr="0024117F">
                <w:rPr>
                  <w:rStyle w:val="Hyperlink"/>
                  <w:i/>
                  <w:iCs/>
                  <w:lang w:val="fr-CH"/>
                </w:rPr>
                <w:t>Documents WG-Internet 12/5</w:t>
              </w:r>
            </w:hyperlink>
            <w:r w:rsidR="0024117F" w:rsidRPr="0024117F">
              <w:rPr>
                <w:i/>
                <w:iCs/>
                <w:lang w:val="fr-CH"/>
              </w:rPr>
              <w:t xml:space="preserve">, </w:t>
            </w:r>
            <w:hyperlink r:id="rId12" w:history="1">
              <w:r w:rsidR="0024117F" w:rsidRPr="0024117F">
                <w:rPr>
                  <w:rStyle w:val="Hyperlink"/>
                  <w:i/>
                  <w:iCs/>
                  <w:lang w:val="fr-CH"/>
                </w:rPr>
                <w:t>12/6</w:t>
              </w:r>
            </w:hyperlink>
            <w:r w:rsidR="0024117F" w:rsidRPr="0024117F">
              <w:rPr>
                <w:i/>
                <w:iCs/>
                <w:lang w:val="fr-CH"/>
              </w:rPr>
              <w:t xml:space="preserve">, </w:t>
            </w:r>
            <w:hyperlink r:id="rId13" w:history="1">
              <w:r w:rsidR="0024117F" w:rsidRPr="0024117F">
                <w:rPr>
                  <w:rStyle w:val="Hyperlink"/>
                  <w:i/>
                  <w:iCs/>
                  <w:lang w:val="fr-CH"/>
                </w:rPr>
                <w:t>12/9</w:t>
              </w:r>
            </w:hyperlink>
            <w:r w:rsidR="0024117F" w:rsidRPr="0024117F">
              <w:rPr>
                <w:i/>
                <w:iCs/>
                <w:lang w:val="fr-CH"/>
              </w:rPr>
              <w:t xml:space="preserve"> et</w:t>
            </w:r>
            <w:hyperlink r:id="rId14" w:history="1">
              <w:r w:rsidR="0024117F" w:rsidRPr="0024117F">
                <w:rPr>
                  <w:rStyle w:val="Hyperlink"/>
                  <w:i/>
                  <w:iCs/>
                  <w:lang w:val="fr-CH"/>
                </w:rPr>
                <w:t xml:space="preserve"> 12/10</w:t>
              </w:r>
            </w:hyperlink>
          </w:p>
        </w:tc>
      </w:tr>
    </w:tbl>
    <w:p w:rsidR="0024117F" w:rsidRPr="0024117F" w:rsidRDefault="0024117F" w:rsidP="0024117F">
      <w:pPr>
        <w:pStyle w:val="Headingb"/>
        <w:rPr>
          <w:lang w:val="fr-CH"/>
        </w:rPr>
      </w:pPr>
      <w:r w:rsidRPr="0024117F">
        <w:rPr>
          <w:lang w:val="fr-CH"/>
        </w:rPr>
        <w:t>RAPPEL</w:t>
      </w:r>
    </w:p>
    <w:p w:rsidR="0024117F" w:rsidRPr="0024117F" w:rsidRDefault="0024117F" w:rsidP="002C7169">
      <w:pPr>
        <w:rPr>
          <w:lang w:val="fr-CH"/>
        </w:rPr>
      </w:pPr>
      <w:r w:rsidRPr="0024117F">
        <w:rPr>
          <w:lang w:val="fr-CH"/>
        </w:rPr>
        <w:t>Les participants à la 12ème réunion du GTC-Internet, qui s'est tenue en février 2019, ne sont pas parvenus à</w:t>
      </w:r>
      <w:r w:rsidR="002C7169">
        <w:rPr>
          <w:lang w:val="fr-CH"/>
        </w:rPr>
        <w:t xml:space="preserve"> prendre une décision par </w:t>
      </w:r>
      <w:r w:rsidRPr="0024117F">
        <w:rPr>
          <w:lang w:val="fr-CH"/>
        </w:rPr>
        <w:t xml:space="preserve">consensus sur le thème de la 7ème réunion traditionnelle de consultation ouverte du GTC-Internet, qui se tiendra en octobre 2019 pendant la série de réunions des </w:t>
      </w:r>
      <w:r w:rsidR="002C7169" w:rsidRPr="0024117F">
        <w:rPr>
          <w:lang w:val="fr-CH"/>
        </w:rPr>
        <w:t>G</w:t>
      </w:r>
      <w:r w:rsidRPr="0024117F">
        <w:rPr>
          <w:lang w:val="fr-CH"/>
        </w:rPr>
        <w:t xml:space="preserve">roupes de travail du Conseil (GTC). Dans son rapport, le Président demande au Conseil de l'UIT à sa session de 2019 </w:t>
      </w:r>
      <w:r w:rsidR="002C7169" w:rsidRPr="0024117F">
        <w:rPr>
          <w:lang w:val="fr-CH"/>
        </w:rPr>
        <w:t xml:space="preserve">de fournir </w:t>
      </w:r>
      <w:r w:rsidRPr="0024117F">
        <w:rPr>
          <w:lang w:val="fr-CH"/>
        </w:rPr>
        <w:t>des orientations sur le thème</w:t>
      </w:r>
      <w:r w:rsidR="002C7169">
        <w:rPr>
          <w:lang w:val="fr-CH"/>
        </w:rPr>
        <w:t xml:space="preserve"> à retenir</w:t>
      </w:r>
      <w:r w:rsidRPr="0024117F">
        <w:rPr>
          <w:lang w:val="fr-CH"/>
        </w:rPr>
        <w:t xml:space="preserve">. </w:t>
      </w:r>
    </w:p>
    <w:p w:rsidR="0024117F" w:rsidRPr="0024117F" w:rsidRDefault="0024117F" w:rsidP="0024117F">
      <w:pPr>
        <w:pStyle w:val="Headingb"/>
        <w:rPr>
          <w:lang w:val="fr-CH"/>
        </w:rPr>
      </w:pPr>
      <w:r w:rsidRPr="0024117F">
        <w:rPr>
          <w:lang w:val="fr-CH"/>
        </w:rPr>
        <w:t>EXAMEN</w:t>
      </w:r>
    </w:p>
    <w:p w:rsidR="0024117F" w:rsidRDefault="002C7169" w:rsidP="00A93EDF">
      <w:pPr>
        <w:rPr>
          <w:lang w:val="fr-CH"/>
        </w:rPr>
      </w:pPr>
      <w:r>
        <w:rPr>
          <w:lang w:val="fr-CH"/>
        </w:rPr>
        <w:t>Il existe un précédent valable justifiant que l</w:t>
      </w:r>
      <w:r w:rsidR="0024117F" w:rsidRPr="0024117F">
        <w:rPr>
          <w:lang w:val="fr-CH"/>
        </w:rPr>
        <w:t xml:space="preserve">e Conseil </w:t>
      </w:r>
      <w:r>
        <w:rPr>
          <w:lang w:val="fr-CH"/>
        </w:rPr>
        <w:t>arrête</w:t>
      </w:r>
      <w:r w:rsidR="0024117F" w:rsidRPr="0024117F">
        <w:rPr>
          <w:lang w:val="fr-CH"/>
        </w:rPr>
        <w:t xml:space="preserve">, à sa session annuelle, </w:t>
      </w:r>
      <w:r>
        <w:rPr>
          <w:lang w:val="fr-CH"/>
        </w:rPr>
        <w:t xml:space="preserve">deux </w:t>
      </w:r>
      <w:r w:rsidR="0024117F" w:rsidRPr="0024117F">
        <w:rPr>
          <w:lang w:val="fr-CH"/>
        </w:rPr>
        <w:t>thème</w:t>
      </w:r>
      <w:r>
        <w:rPr>
          <w:lang w:val="fr-CH"/>
        </w:rPr>
        <w:t>s</w:t>
      </w:r>
      <w:r w:rsidR="0024117F" w:rsidRPr="0024117F">
        <w:rPr>
          <w:lang w:val="fr-CH"/>
        </w:rPr>
        <w:t xml:space="preserve"> </w:t>
      </w:r>
      <w:r>
        <w:rPr>
          <w:lang w:val="fr-CH"/>
        </w:rPr>
        <w:t>pour l</w:t>
      </w:r>
      <w:r w:rsidR="0024117F" w:rsidRPr="0024117F">
        <w:rPr>
          <w:lang w:val="fr-CH"/>
        </w:rPr>
        <w:t xml:space="preserve">es deux prochaines réunions traditionnelles de consultation ouverte du GTC-Internet. </w:t>
      </w:r>
      <w:r>
        <w:rPr>
          <w:lang w:val="fr-CH"/>
        </w:rPr>
        <w:t>Les participants à la 9</w:t>
      </w:r>
      <w:r w:rsidRPr="002C7169">
        <w:rPr>
          <w:lang w:val="fr-CH"/>
        </w:rPr>
        <w:t>ème</w:t>
      </w:r>
      <w:r>
        <w:rPr>
          <w:lang w:val="fr-CH"/>
        </w:rPr>
        <w:t xml:space="preserve"> réunion du GTC-Internet tenue en février 2017, à </w:t>
      </w:r>
      <w:r w:rsidR="0024117F" w:rsidRPr="0024117F">
        <w:rPr>
          <w:lang w:val="fr-CH"/>
        </w:rPr>
        <w:t xml:space="preserve">l'issue de longues discussions qui ont occupé une bonne partie de </w:t>
      </w:r>
      <w:r>
        <w:rPr>
          <w:lang w:val="fr-CH"/>
        </w:rPr>
        <w:t xml:space="preserve">la </w:t>
      </w:r>
      <w:r w:rsidR="0024117F" w:rsidRPr="0024117F">
        <w:rPr>
          <w:lang w:val="fr-CH"/>
        </w:rPr>
        <w:t>réunion</w:t>
      </w:r>
      <w:r w:rsidR="00ED1206">
        <w:rPr>
          <w:lang w:val="fr-CH"/>
        </w:rPr>
        <w:t>,</w:t>
      </w:r>
      <w:r w:rsidR="0024117F" w:rsidRPr="0024117F">
        <w:rPr>
          <w:lang w:val="fr-CH"/>
        </w:rPr>
        <w:t xml:space="preserve"> </w:t>
      </w:r>
      <w:r>
        <w:rPr>
          <w:lang w:val="fr-CH"/>
        </w:rPr>
        <w:t xml:space="preserve">ne sont </w:t>
      </w:r>
      <w:r w:rsidR="0024117F" w:rsidRPr="0024117F">
        <w:rPr>
          <w:lang w:val="fr-CH"/>
        </w:rPr>
        <w:t>pas parvenu</w:t>
      </w:r>
      <w:r>
        <w:rPr>
          <w:lang w:val="fr-CH"/>
        </w:rPr>
        <w:t>s</w:t>
      </w:r>
      <w:r w:rsidR="0024117F" w:rsidRPr="0024117F">
        <w:rPr>
          <w:lang w:val="fr-CH"/>
        </w:rPr>
        <w:t xml:space="preserve"> à un consensus sur le thème </w:t>
      </w:r>
      <w:r>
        <w:rPr>
          <w:lang w:val="fr-CH"/>
        </w:rPr>
        <w:t xml:space="preserve">à retenir </w:t>
      </w:r>
      <w:r w:rsidR="00A93EDF">
        <w:rPr>
          <w:lang w:val="fr-CH"/>
        </w:rPr>
        <w:t>pour</w:t>
      </w:r>
      <w:r w:rsidR="0024117F" w:rsidRPr="0024117F">
        <w:rPr>
          <w:lang w:val="fr-CH"/>
        </w:rPr>
        <w:t xml:space="preserve"> la consultation ouverte </w:t>
      </w:r>
      <w:r w:rsidR="00A93EDF">
        <w:rPr>
          <w:lang w:val="fr-CH"/>
        </w:rPr>
        <w:t>qui aura lieu à l</w:t>
      </w:r>
      <w:r w:rsidR="0024117F" w:rsidRPr="0024117F">
        <w:rPr>
          <w:lang w:val="fr-CH"/>
        </w:rPr>
        <w:t xml:space="preserve">a réunion de septembre. </w:t>
      </w:r>
      <w:r w:rsidR="00A93EDF">
        <w:rPr>
          <w:lang w:val="fr-CH"/>
        </w:rPr>
        <w:t xml:space="preserve">De fait, </w:t>
      </w:r>
      <w:r w:rsidR="0024117F" w:rsidRPr="0024117F">
        <w:rPr>
          <w:lang w:val="fr-CH"/>
        </w:rPr>
        <w:t xml:space="preserve">les participants à </w:t>
      </w:r>
      <w:r w:rsidR="00A93EDF">
        <w:rPr>
          <w:lang w:val="fr-CH"/>
        </w:rPr>
        <w:t xml:space="preserve">cette </w:t>
      </w:r>
      <w:r w:rsidR="0024117F" w:rsidRPr="0024117F">
        <w:rPr>
          <w:lang w:val="fr-CH"/>
        </w:rPr>
        <w:t xml:space="preserve">réunion ont même envisagé de </w:t>
      </w:r>
      <w:r w:rsidR="00A93EDF">
        <w:rPr>
          <w:lang w:val="fr-CH"/>
        </w:rPr>
        <w:t xml:space="preserve">retenir </w:t>
      </w:r>
      <w:r w:rsidR="0024117F" w:rsidRPr="0024117F">
        <w:rPr>
          <w:lang w:val="fr-CH"/>
        </w:rPr>
        <w:t xml:space="preserve">deux thèmes </w:t>
      </w:r>
      <w:r w:rsidR="00A93EDF">
        <w:rPr>
          <w:lang w:val="fr-CH"/>
        </w:rPr>
        <w:t xml:space="preserve">pour </w:t>
      </w:r>
      <w:r w:rsidR="0024117F" w:rsidRPr="0024117F">
        <w:rPr>
          <w:lang w:val="fr-CH"/>
        </w:rPr>
        <w:t xml:space="preserve">une même consultation. </w:t>
      </w:r>
      <w:r w:rsidR="00A93EDF">
        <w:rPr>
          <w:lang w:val="fr-CH"/>
        </w:rPr>
        <w:t xml:space="preserve">En l'absence </w:t>
      </w:r>
      <w:r w:rsidR="0024117F" w:rsidRPr="0024117F">
        <w:rPr>
          <w:lang w:val="fr-CH"/>
        </w:rPr>
        <w:t xml:space="preserve">de consensus, les participants ont </w:t>
      </w:r>
      <w:r w:rsidR="00A93EDF">
        <w:rPr>
          <w:lang w:val="fr-CH"/>
        </w:rPr>
        <w:t xml:space="preserve">transmis </w:t>
      </w:r>
      <w:r w:rsidR="0024117F" w:rsidRPr="0024117F">
        <w:rPr>
          <w:lang w:val="fr-CH"/>
        </w:rPr>
        <w:t>les deux thèmes à la session de 2017 du Conseil pour décision.</w:t>
      </w:r>
    </w:p>
    <w:p w:rsidR="0024117F" w:rsidRPr="0024117F" w:rsidRDefault="0024117F" w:rsidP="00A93EDF">
      <w:pPr>
        <w:rPr>
          <w:lang w:val="fr-CH"/>
        </w:rPr>
      </w:pPr>
      <w:r w:rsidRPr="0024117F">
        <w:rPr>
          <w:lang w:val="fr-CH"/>
        </w:rPr>
        <w:t>À sa session de 2017, le Conseil a exam</w:t>
      </w:r>
      <w:r w:rsidR="00A93EDF">
        <w:rPr>
          <w:lang w:val="fr-CH"/>
        </w:rPr>
        <w:t>iné les thèmes et les questions</w:t>
      </w:r>
      <w:r w:rsidRPr="0024117F">
        <w:rPr>
          <w:lang w:val="fr-CH"/>
        </w:rPr>
        <w:t xml:space="preserve"> et</w:t>
      </w:r>
      <w:r w:rsidR="00A93EDF">
        <w:rPr>
          <w:lang w:val="fr-CH"/>
        </w:rPr>
        <w:t xml:space="preserve"> a</w:t>
      </w:r>
      <w:r w:rsidRPr="0024117F">
        <w:rPr>
          <w:lang w:val="fr-CH"/>
        </w:rPr>
        <w:t xml:space="preserve"> décidé:</w:t>
      </w:r>
    </w:p>
    <w:p w:rsidR="0024117F" w:rsidRDefault="0024117F" w:rsidP="00A93EDF">
      <w:pPr>
        <w:pStyle w:val="enumlev1"/>
        <w:rPr>
          <w:lang w:val="fr-CH"/>
        </w:rPr>
      </w:pPr>
      <w:r w:rsidRPr="0024117F">
        <w:rPr>
          <w:lang w:val="fr-CH"/>
        </w:rPr>
        <w:t>•</w:t>
      </w:r>
      <w:r w:rsidRPr="0024117F">
        <w:rPr>
          <w:lang w:val="fr-CH"/>
        </w:rPr>
        <w:tab/>
      </w:r>
      <w:r w:rsidR="00A93EDF">
        <w:rPr>
          <w:lang w:val="fr-CH"/>
        </w:rPr>
        <w:t xml:space="preserve">que </w:t>
      </w:r>
      <w:r w:rsidRPr="0024117F">
        <w:rPr>
          <w:lang w:val="fr-CH"/>
        </w:rPr>
        <w:t xml:space="preserve">la </w:t>
      </w:r>
      <w:r w:rsidR="00A93EDF">
        <w:rPr>
          <w:lang w:val="fr-CH"/>
        </w:rPr>
        <w:t>5</w:t>
      </w:r>
      <w:r w:rsidR="00A93EDF" w:rsidRPr="00A93EDF">
        <w:rPr>
          <w:lang w:val="fr-CH"/>
        </w:rPr>
        <w:t>ème</w:t>
      </w:r>
      <w:r w:rsidR="00A93EDF">
        <w:rPr>
          <w:lang w:val="fr-CH"/>
        </w:rPr>
        <w:t xml:space="preserve"> </w:t>
      </w:r>
      <w:r w:rsidRPr="0024117F">
        <w:rPr>
          <w:lang w:val="fr-CH"/>
        </w:rPr>
        <w:t xml:space="preserve">réunion traditionnelle de consultation ouverte du GTC-Internet </w:t>
      </w:r>
      <w:r w:rsidR="00A93EDF">
        <w:rPr>
          <w:lang w:val="fr-CH"/>
        </w:rPr>
        <w:t xml:space="preserve">se tiendrait </w:t>
      </w:r>
      <w:r w:rsidR="00770644">
        <w:rPr>
          <w:lang w:val="fr-CH"/>
        </w:rPr>
        <w:t>le </w:t>
      </w:r>
      <w:r w:rsidRPr="0024117F">
        <w:rPr>
          <w:lang w:val="fr-CH"/>
        </w:rPr>
        <w:t>18 septembre 2017</w:t>
      </w:r>
      <w:r w:rsidR="00A93EDF">
        <w:rPr>
          <w:lang w:val="fr-CH"/>
        </w:rPr>
        <w:t>,</w:t>
      </w:r>
      <w:r w:rsidRPr="0024117F">
        <w:rPr>
          <w:lang w:val="fr-CH"/>
        </w:rPr>
        <w:t xml:space="preserve"> sur le thème "Considérations relatives aux politiques publiques pour les OTT"; et</w:t>
      </w:r>
    </w:p>
    <w:p w:rsidR="0024117F" w:rsidRPr="0024117F" w:rsidRDefault="0024117F" w:rsidP="00A93EDF">
      <w:pPr>
        <w:pStyle w:val="enumlev1"/>
        <w:rPr>
          <w:lang w:val="fr-CH"/>
        </w:rPr>
      </w:pPr>
      <w:r w:rsidRPr="0024117F">
        <w:rPr>
          <w:lang w:val="fr-CH"/>
        </w:rPr>
        <w:t>•</w:t>
      </w:r>
      <w:r w:rsidRPr="0024117F">
        <w:rPr>
          <w:lang w:val="fr-CH"/>
        </w:rPr>
        <w:tab/>
      </w:r>
      <w:r w:rsidR="00A93EDF">
        <w:rPr>
          <w:lang w:val="fr-CH"/>
        </w:rPr>
        <w:t xml:space="preserve">que </w:t>
      </w:r>
      <w:r w:rsidRPr="0024117F">
        <w:rPr>
          <w:lang w:val="fr-CH"/>
        </w:rPr>
        <w:t xml:space="preserve">la </w:t>
      </w:r>
      <w:r w:rsidR="00A93EDF">
        <w:rPr>
          <w:lang w:val="fr-CH"/>
        </w:rPr>
        <w:t>6</w:t>
      </w:r>
      <w:r w:rsidR="00A93EDF" w:rsidRPr="00A93EDF">
        <w:rPr>
          <w:lang w:val="fr-CH"/>
        </w:rPr>
        <w:t>ème</w:t>
      </w:r>
      <w:r w:rsidR="00A93EDF">
        <w:rPr>
          <w:lang w:val="fr-CH"/>
        </w:rPr>
        <w:t xml:space="preserve"> </w:t>
      </w:r>
      <w:r w:rsidRPr="0024117F">
        <w:rPr>
          <w:lang w:val="fr-CH"/>
        </w:rPr>
        <w:t xml:space="preserve">réunion traditionnelle de consultation ouverte du GTC-Internet </w:t>
      </w:r>
      <w:r w:rsidR="00A93EDF">
        <w:rPr>
          <w:lang w:val="fr-CH"/>
        </w:rPr>
        <w:t xml:space="preserve">se tiendrait </w:t>
      </w:r>
      <w:r w:rsidR="00770644">
        <w:rPr>
          <w:lang w:val="fr-CH"/>
        </w:rPr>
        <w:t>le </w:t>
      </w:r>
      <w:r w:rsidRPr="0024117F">
        <w:rPr>
          <w:lang w:val="fr-CH"/>
        </w:rPr>
        <w:t>22 janvier 2018</w:t>
      </w:r>
      <w:r w:rsidR="00A93EDF">
        <w:rPr>
          <w:lang w:val="fr-CH"/>
        </w:rPr>
        <w:t>,</w:t>
      </w:r>
      <w:r w:rsidRPr="0024117F">
        <w:rPr>
          <w:lang w:val="fr-CH"/>
        </w:rPr>
        <w:t xml:space="preserve"> sur le thème "Réduire la fracture numérique entre les hommes et les femmes".</w:t>
      </w:r>
    </w:p>
    <w:p w:rsidR="0024117F" w:rsidRPr="0024117F" w:rsidRDefault="0024117F" w:rsidP="00A93EDF">
      <w:pPr>
        <w:rPr>
          <w:lang w:val="fr-CH"/>
        </w:rPr>
      </w:pPr>
      <w:r w:rsidRPr="0024117F">
        <w:rPr>
          <w:lang w:val="fr-CH"/>
        </w:rPr>
        <w:lastRenderedPageBreak/>
        <w:t xml:space="preserve">Le Brésil a pris une part active aux débats de la session de 2017 du Conseil et estime que </w:t>
      </w:r>
      <w:r w:rsidR="00A93EDF">
        <w:rPr>
          <w:lang w:val="fr-CH"/>
        </w:rPr>
        <w:t xml:space="preserve">le Conseil </w:t>
      </w:r>
      <w:r w:rsidRPr="0024117F">
        <w:rPr>
          <w:lang w:val="fr-CH"/>
        </w:rPr>
        <w:t xml:space="preserve">a pris la meilleure décision qui soit. En </w:t>
      </w:r>
      <w:r w:rsidR="00A93EDF">
        <w:rPr>
          <w:lang w:val="fr-CH"/>
        </w:rPr>
        <w:t>arrêtant un thème pour chaque consultation</w:t>
      </w:r>
      <w:r w:rsidRPr="0024117F">
        <w:rPr>
          <w:lang w:val="fr-CH"/>
        </w:rPr>
        <w:t>, le Conseil a permis à toutes les parties prenantes (</w:t>
      </w:r>
      <w:r w:rsidR="00A93EDF" w:rsidRPr="0024117F">
        <w:rPr>
          <w:lang w:val="fr-CH"/>
        </w:rPr>
        <w:t>s</w:t>
      </w:r>
      <w:r w:rsidRPr="0024117F">
        <w:rPr>
          <w:lang w:val="fr-CH"/>
        </w:rPr>
        <w:t xml:space="preserve">ecrétariat de l'UIT, membres de l'UIT et parties prenantes extérieures) d'accorder toute </w:t>
      </w:r>
      <w:r w:rsidR="00A93EDF">
        <w:rPr>
          <w:lang w:val="fr-CH"/>
        </w:rPr>
        <w:t>l'</w:t>
      </w:r>
      <w:r w:rsidRPr="0024117F">
        <w:rPr>
          <w:lang w:val="fr-CH"/>
        </w:rPr>
        <w:t xml:space="preserve">attention </w:t>
      </w:r>
      <w:r w:rsidR="00A93EDF">
        <w:rPr>
          <w:lang w:val="fr-CH"/>
        </w:rPr>
        <w:t xml:space="preserve">voulue </w:t>
      </w:r>
      <w:r w:rsidRPr="0024117F">
        <w:rPr>
          <w:lang w:val="fr-CH"/>
        </w:rPr>
        <w:t>à chaque thème et a fait en sorte qu'un maximum de temps soit consacré aux débats</w:t>
      </w:r>
      <w:r w:rsidR="00A93EDF">
        <w:rPr>
          <w:lang w:val="fr-CH"/>
        </w:rPr>
        <w:t>,</w:t>
      </w:r>
      <w:r w:rsidRPr="0024117F">
        <w:rPr>
          <w:lang w:val="fr-CH"/>
        </w:rPr>
        <w:t xml:space="preserve"> tant lors de la réunion traditionnelle de consultation que lors de la réunion du GTC-Internet.</w:t>
      </w:r>
    </w:p>
    <w:p w:rsidR="0024117F" w:rsidRPr="0024117F" w:rsidRDefault="0024117F" w:rsidP="0024117F">
      <w:pPr>
        <w:pStyle w:val="Headingb"/>
        <w:rPr>
          <w:lang w:val="fr-CH"/>
        </w:rPr>
      </w:pPr>
      <w:r w:rsidRPr="0024117F">
        <w:rPr>
          <w:lang w:val="fr-CH"/>
        </w:rPr>
        <w:t>PROPOSITION</w:t>
      </w:r>
    </w:p>
    <w:p w:rsidR="0024117F" w:rsidRPr="0024117F" w:rsidRDefault="004A7CE1" w:rsidP="004A7CE1">
      <w:pPr>
        <w:rPr>
          <w:lang w:val="fr-CH"/>
        </w:rPr>
      </w:pPr>
      <w:r>
        <w:rPr>
          <w:lang w:val="fr-CH"/>
        </w:rPr>
        <w:t>Le Brésil propose que</w:t>
      </w:r>
      <w:r w:rsidR="0024117F" w:rsidRPr="0024117F">
        <w:rPr>
          <w:lang w:val="fr-CH"/>
        </w:rPr>
        <w:t xml:space="preserve"> le Conseil</w:t>
      </w:r>
      <w:r>
        <w:rPr>
          <w:lang w:val="fr-CH"/>
        </w:rPr>
        <w:t xml:space="preserve">, </w:t>
      </w:r>
      <w:r w:rsidRPr="0024117F">
        <w:rPr>
          <w:lang w:val="fr-CH"/>
        </w:rPr>
        <w:t>à sa session de 2019</w:t>
      </w:r>
      <w:r>
        <w:rPr>
          <w:lang w:val="fr-CH"/>
        </w:rPr>
        <w:t>,</w:t>
      </w:r>
      <w:r w:rsidR="0024117F" w:rsidRPr="0024117F">
        <w:rPr>
          <w:lang w:val="fr-CH"/>
        </w:rPr>
        <w:t xml:space="preserve"> </w:t>
      </w:r>
      <w:r>
        <w:rPr>
          <w:lang w:val="fr-CH"/>
        </w:rPr>
        <w:t xml:space="preserve">arrête </w:t>
      </w:r>
      <w:r w:rsidR="0024117F" w:rsidRPr="0024117F">
        <w:rPr>
          <w:lang w:val="fr-CH"/>
        </w:rPr>
        <w:t>le</w:t>
      </w:r>
      <w:r>
        <w:rPr>
          <w:lang w:val="fr-CH"/>
        </w:rPr>
        <w:t>s</w:t>
      </w:r>
      <w:r w:rsidR="0024117F" w:rsidRPr="0024117F">
        <w:rPr>
          <w:lang w:val="fr-CH"/>
        </w:rPr>
        <w:t xml:space="preserve"> thème</w:t>
      </w:r>
      <w:r>
        <w:rPr>
          <w:lang w:val="fr-CH"/>
        </w:rPr>
        <w:t>s</w:t>
      </w:r>
      <w:r w:rsidR="0024117F" w:rsidRPr="0024117F">
        <w:rPr>
          <w:lang w:val="fr-CH"/>
        </w:rPr>
        <w:t xml:space="preserve"> des deux prochaines réunions traditionnelles de consultation ouverte </w:t>
      </w:r>
      <w:r>
        <w:rPr>
          <w:lang w:val="fr-CH"/>
        </w:rPr>
        <w:t>du GTC-Internet</w:t>
      </w:r>
      <w:r w:rsidR="0024117F" w:rsidRPr="0024117F">
        <w:rPr>
          <w:lang w:val="fr-CH"/>
        </w:rPr>
        <w:t xml:space="preserve"> selon le calendrier suivant:</w:t>
      </w:r>
    </w:p>
    <w:p w:rsidR="0024117F" w:rsidRPr="0024117F" w:rsidRDefault="0024117F" w:rsidP="00770644">
      <w:pPr>
        <w:pStyle w:val="Headingb"/>
        <w:rPr>
          <w:lang w:val="fr-CH"/>
        </w:rPr>
      </w:pPr>
      <w:r w:rsidRPr="0024117F">
        <w:rPr>
          <w:lang w:val="fr-CH"/>
        </w:rPr>
        <w:t>7ème</w:t>
      </w:r>
      <w:r>
        <w:rPr>
          <w:lang w:val="fr-CH"/>
        </w:rPr>
        <w:t xml:space="preserve"> </w:t>
      </w:r>
      <w:r w:rsidRPr="0024117F">
        <w:rPr>
          <w:lang w:val="fr-CH"/>
        </w:rPr>
        <w:t>réunion traditionnelle de consultation ouverte du GTC-Internet, octobre 2019</w:t>
      </w:r>
      <w:bookmarkStart w:id="8" w:name="_Hlk5019151"/>
    </w:p>
    <w:p w:rsidR="0024117F" w:rsidRPr="0024117F" w:rsidRDefault="0024117F" w:rsidP="004A7CE1">
      <w:pPr>
        <w:rPr>
          <w:lang w:val="fr-CH"/>
        </w:rPr>
      </w:pPr>
      <w:r w:rsidRPr="0024117F">
        <w:rPr>
          <w:b/>
          <w:lang w:val="fr-CH"/>
        </w:rPr>
        <w:t>Thème</w:t>
      </w:r>
      <w:r w:rsidRPr="00770644">
        <w:rPr>
          <w:bCs/>
          <w:lang w:val="fr-CH"/>
        </w:rPr>
        <w:t xml:space="preserve">: </w:t>
      </w:r>
      <w:bookmarkEnd w:id="8"/>
      <w:r w:rsidR="004A7CE1">
        <w:rPr>
          <w:lang w:val="fr-CH"/>
        </w:rPr>
        <w:t>R</w:t>
      </w:r>
      <w:r w:rsidRPr="0024117F">
        <w:rPr>
          <w:lang w:val="fr-CH"/>
        </w:rPr>
        <w:t xml:space="preserve">ôle </w:t>
      </w:r>
      <w:r w:rsidR="004A7CE1">
        <w:rPr>
          <w:lang w:val="fr-CH"/>
        </w:rPr>
        <w:t>d</w:t>
      </w:r>
      <w:r w:rsidRPr="0024117F">
        <w:rPr>
          <w:lang w:val="fr-CH"/>
        </w:rPr>
        <w:t xml:space="preserve">es réseaux communautaires </w:t>
      </w:r>
      <w:r w:rsidR="004A7CE1">
        <w:rPr>
          <w:lang w:val="fr-CH"/>
        </w:rPr>
        <w:t xml:space="preserve">dans l'amélioration de </w:t>
      </w:r>
      <w:r w:rsidRPr="0024117F">
        <w:rPr>
          <w:lang w:val="fr-CH"/>
        </w:rPr>
        <w:t>la connectivité dans les zones isolées, non desservies ou mal desservies</w:t>
      </w:r>
    </w:p>
    <w:p w:rsidR="0024117F" w:rsidRPr="0024117F" w:rsidRDefault="0024117F" w:rsidP="004A7CE1">
      <w:pPr>
        <w:rPr>
          <w:lang w:val="fr-CH"/>
        </w:rPr>
      </w:pPr>
      <w:r w:rsidRPr="0024117F">
        <w:rPr>
          <w:b/>
          <w:lang w:val="fr-CH"/>
        </w:rPr>
        <w:t>Rappel</w:t>
      </w:r>
      <w:r w:rsidRPr="00770644">
        <w:rPr>
          <w:bCs/>
          <w:lang w:val="fr-CH"/>
        </w:rPr>
        <w:t xml:space="preserve">: </w:t>
      </w:r>
      <w:r w:rsidR="004A7CE1" w:rsidRPr="0024117F">
        <w:rPr>
          <w:lang w:val="fr-CH"/>
        </w:rPr>
        <w:t>L</w:t>
      </w:r>
      <w:r w:rsidRPr="0024117F">
        <w:rPr>
          <w:lang w:val="fr-CH"/>
        </w:rPr>
        <w:t xml:space="preserve">es participants à la 12ème réunion du GTC-Internet ont examiné deux propositions visant à tenir une consultation publique ouverte </w:t>
      </w:r>
      <w:r w:rsidR="004A7CE1">
        <w:rPr>
          <w:lang w:val="fr-CH"/>
        </w:rPr>
        <w:t xml:space="preserve">sur la question </w:t>
      </w:r>
      <w:r w:rsidRPr="0024117F">
        <w:rPr>
          <w:lang w:val="fr-CH"/>
        </w:rPr>
        <w:t>général</w:t>
      </w:r>
      <w:r w:rsidR="004A7CE1">
        <w:rPr>
          <w:lang w:val="fr-CH"/>
        </w:rPr>
        <w:t>e</w:t>
      </w:r>
      <w:r w:rsidRPr="0024117F">
        <w:rPr>
          <w:lang w:val="fr-CH"/>
        </w:rPr>
        <w:t xml:space="preserve"> </w:t>
      </w:r>
      <w:r w:rsidR="004A7CE1">
        <w:rPr>
          <w:lang w:val="fr-CH"/>
        </w:rPr>
        <w:t>d</w:t>
      </w:r>
      <w:r w:rsidRPr="0024117F">
        <w:rPr>
          <w:lang w:val="fr-CH"/>
        </w:rPr>
        <w:t xml:space="preserve">es </w:t>
      </w:r>
      <w:r w:rsidR="004A7CE1">
        <w:rPr>
          <w:lang w:val="fr-CH"/>
        </w:rPr>
        <w:t>réseaux communautaires</w:t>
      </w:r>
      <w:r w:rsidRPr="0024117F">
        <w:rPr>
          <w:lang w:val="fr-CH"/>
        </w:rPr>
        <w:t xml:space="preserve">. Selon les propositions, </w:t>
      </w:r>
      <w:r w:rsidR="004A7CE1">
        <w:rPr>
          <w:lang w:val="fr-CH"/>
        </w:rPr>
        <w:t>de nombreux pays ont obtenu de bons résultats à la suite du déploiement</w:t>
      </w:r>
      <w:r w:rsidRPr="0024117F">
        <w:rPr>
          <w:lang w:val="fr-CH"/>
        </w:rPr>
        <w:t xml:space="preserve"> de réseaux communautaires </w:t>
      </w:r>
      <w:r w:rsidR="004A7CE1">
        <w:rPr>
          <w:lang w:val="fr-CH"/>
        </w:rPr>
        <w:t xml:space="preserve">pour </w:t>
      </w:r>
      <w:r w:rsidRPr="0024117F">
        <w:rPr>
          <w:lang w:val="fr-CH"/>
        </w:rPr>
        <w:t xml:space="preserve">fournir un accès à la connectivité large bande. Du point de vue du Brésil, ces propositions </w:t>
      </w:r>
      <w:r w:rsidR="004A7CE1">
        <w:rPr>
          <w:lang w:val="fr-CH"/>
        </w:rPr>
        <w:t xml:space="preserve">s'inscrivent dans le droit fil </w:t>
      </w:r>
      <w:r w:rsidRPr="0024117F">
        <w:rPr>
          <w:lang w:val="fr-CH"/>
        </w:rPr>
        <w:t xml:space="preserve">de la </w:t>
      </w:r>
      <w:hyperlink r:id="rId15" w:history="1">
        <w:r w:rsidRPr="0024117F">
          <w:rPr>
            <w:rStyle w:val="Hyperlink"/>
            <w:lang w:val="fr-CH"/>
          </w:rPr>
          <w:t>Résolution 203 (Rév. Dubaï, 2018)</w:t>
        </w:r>
      </w:hyperlink>
      <w:r w:rsidRPr="0024117F">
        <w:rPr>
          <w:lang w:val="fr-CH"/>
        </w:rPr>
        <w:t xml:space="preserve"> de la Conférence de plénipotentiaires</w:t>
      </w:r>
      <w:r w:rsidR="00E62482">
        <w:rPr>
          <w:lang w:val="fr-CH"/>
        </w:rPr>
        <w:t>,</w:t>
      </w:r>
      <w:r w:rsidRPr="0024117F">
        <w:rPr>
          <w:lang w:val="fr-CH"/>
        </w:rPr>
        <w:t xml:space="preserve"> intitulée "Connectivité aux réseaux large bande", en particulier les points 2, 4 et 6 du </w:t>
      </w:r>
      <w:r w:rsidRPr="0024117F">
        <w:rPr>
          <w:i/>
          <w:iCs/>
          <w:lang w:val="fr-CH"/>
        </w:rPr>
        <w:t>invite les États Membres</w:t>
      </w:r>
      <w:r w:rsidRPr="0024117F">
        <w:rPr>
          <w:lang w:val="fr-CH"/>
        </w:rPr>
        <w:t>.</w:t>
      </w:r>
    </w:p>
    <w:p w:rsidR="0024117F" w:rsidRPr="0024117F" w:rsidRDefault="0024117F" w:rsidP="00E62482">
      <w:pPr>
        <w:rPr>
          <w:lang w:val="fr-CH"/>
        </w:rPr>
      </w:pPr>
      <w:r w:rsidRPr="0024117F">
        <w:rPr>
          <w:lang w:val="fr-CH"/>
        </w:rPr>
        <w:t xml:space="preserve">Le Brésil </w:t>
      </w:r>
      <w:r w:rsidR="00E62482">
        <w:rPr>
          <w:lang w:val="fr-CH"/>
        </w:rPr>
        <w:t xml:space="preserve">confirme </w:t>
      </w:r>
      <w:r w:rsidRPr="0024117F">
        <w:rPr>
          <w:lang w:val="fr-CH"/>
        </w:rPr>
        <w:t xml:space="preserve">que les réseaux communautaires peuvent </w:t>
      </w:r>
      <w:r w:rsidR="00E62482">
        <w:rPr>
          <w:lang w:val="fr-CH"/>
        </w:rPr>
        <w:t xml:space="preserve">contribuer à accroître le taux de </w:t>
      </w:r>
      <w:r w:rsidRPr="0024117F">
        <w:rPr>
          <w:lang w:val="fr-CH"/>
        </w:rPr>
        <w:t>pénétration des services Internet</w:t>
      </w:r>
      <w:r w:rsidR="00ED1206">
        <w:rPr>
          <w:lang w:val="fr-CH"/>
        </w:rPr>
        <w:t>,</w:t>
      </w:r>
      <w:r w:rsidR="00E62482">
        <w:rPr>
          <w:lang w:val="fr-CH"/>
        </w:rPr>
        <w:t xml:space="preserve"> et faciliter ainsi la réalisation des </w:t>
      </w:r>
      <w:r w:rsidRPr="0024117F">
        <w:rPr>
          <w:lang w:val="fr-CH"/>
        </w:rPr>
        <w:t xml:space="preserve">Objectifs de développement durable 9 et 17 et </w:t>
      </w:r>
      <w:r w:rsidR="00E62482">
        <w:rPr>
          <w:lang w:val="fr-CH"/>
        </w:rPr>
        <w:t xml:space="preserve">la réduction de </w:t>
      </w:r>
      <w:r w:rsidRPr="0024117F">
        <w:rPr>
          <w:lang w:val="fr-CH"/>
        </w:rPr>
        <w:t xml:space="preserve">la fracture numérique. </w:t>
      </w:r>
      <w:r w:rsidR="00E62482">
        <w:rPr>
          <w:lang w:val="fr-CH"/>
        </w:rPr>
        <w:t>Bien que l</w:t>
      </w:r>
      <w:r w:rsidRPr="0024117F">
        <w:rPr>
          <w:lang w:val="fr-CH"/>
        </w:rPr>
        <w:t xml:space="preserve">es politiques publiques </w:t>
      </w:r>
      <w:r w:rsidR="00E62482">
        <w:rPr>
          <w:lang w:val="fr-CH"/>
        </w:rPr>
        <w:t xml:space="preserve">relatives à l'expansion de </w:t>
      </w:r>
      <w:r w:rsidRPr="0024117F">
        <w:rPr>
          <w:lang w:val="fr-CH"/>
        </w:rPr>
        <w:t>l'Internet au Brésil so</w:t>
      </w:r>
      <w:r w:rsidR="00E62482">
        <w:rPr>
          <w:lang w:val="fr-CH"/>
        </w:rPr>
        <w:t>ie</w:t>
      </w:r>
      <w:r w:rsidRPr="0024117F">
        <w:rPr>
          <w:lang w:val="fr-CH"/>
        </w:rPr>
        <w:t>nt traitées dans un contexte plus large, il convien</w:t>
      </w:r>
      <w:r w:rsidR="00E62482">
        <w:rPr>
          <w:lang w:val="fr-CH"/>
        </w:rPr>
        <w:t>t de mettre en lumière la contribution</w:t>
      </w:r>
      <w:r w:rsidRPr="0024117F">
        <w:rPr>
          <w:lang w:val="fr-CH"/>
        </w:rPr>
        <w:t xml:space="preserve"> des réseaux communautaires. </w:t>
      </w:r>
    </w:p>
    <w:p w:rsidR="0024117F" w:rsidRPr="0024117F" w:rsidRDefault="0024117F" w:rsidP="00E62482">
      <w:pPr>
        <w:rPr>
          <w:lang w:val="fr-CH"/>
        </w:rPr>
      </w:pPr>
      <w:r w:rsidRPr="0024117F">
        <w:rPr>
          <w:lang w:val="fr-CH"/>
        </w:rPr>
        <w:t xml:space="preserve">Les politiques publiques </w:t>
      </w:r>
      <w:r w:rsidR="00E62482">
        <w:rPr>
          <w:lang w:val="fr-CH"/>
        </w:rPr>
        <w:t xml:space="preserve">relatives au développement du large bande </w:t>
      </w:r>
      <w:r w:rsidRPr="0024117F">
        <w:rPr>
          <w:lang w:val="fr-CH"/>
        </w:rPr>
        <w:t xml:space="preserve">au Brésil s'inscrivent dans le "Plan structurel des réseaux de télécommunication (PERT)", qui a </w:t>
      </w:r>
      <w:r w:rsidR="00E62482">
        <w:rPr>
          <w:lang w:val="fr-CH"/>
        </w:rPr>
        <w:t xml:space="preserve">fait l'objet de consultations publiques </w:t>
      </w:r>
      <w:r w:rsidRPr="0024117F">
        <w:rPr>
          <w:lang w:val="fr-CH"/>
        </w:rPr>
        <w:t>en juillet 2018. Le plan PERT dresse non seulement un bilan des infrastructures large bande du Brésil, mais présente également des projets concrets visant à remédier aux disparités qui subsistent au Brésil en matière d'accès à l'Internet, notamment dans les zones isolées, non desservies ou mal desservies.</w:t>
      </w:r>
    </w:p>
    <w:p w:rsidR="0024117F" w:rsidRPr="0024117F" w:rsidRDefault="0024117F" w:rsidP="003805DE">
      <w:pPr>
        <w:rPr>
          <w:lang w:val="fr-CH"/>
        </w:rPr>
      </w:pPr>
      <w:r w:rsidRPr="0024117F">
        <w:rPr>
          <w:lang w:val="fr-CH"/>
        </w:rPr>
        <w:t xml:space="preserve">Si le plan PERT est encore en cours d'analyse par le </w:t>
      </w:r>
      <w:r w:rsidR="00E62482" w:rsidRPr="0024117F">
        <w:rPr>
          <w:lang w:val="fr-CH"/>
        </w:rPr>
        <w:t>C</w:t>
      </w:r>
      <w:r w:rsidRPr="0024117F">
        <w:rPr>
          <w:lang w:val="fr-CH"/>
        </w:rPr>
        <w:t xml:space="preserve">onseil d'administration de l'Agence nationale des télécommunications (ANATEL), d'autres projets </w:t>
      </w:r>
      <w:r w:rsidR="00E62482">
        <w:rPr>
          <w:lang w:val="fr-CH"/>
        </w:rPr>
        <w:t xml:space="preserve">destinés à favoriser l'expansion </w:t>
      </w:r>
      <w:r w:rsidRPr="0024117F">
        <w:rPr>
          <w:lang w:val="fr-CH"/>
        </w:rPr>
        <w:t xml:space="preserve">de l'Internet ont été approuvés, </w:t>
      </w:r>
      <w:r w:rsidR="00E62482">
        <w:rPr>
          <w:lang w:val="fr-CH"/>
        </w:rPr>
        <w:t>par exemple la création du</w:t>
      </w:r>
      <w:r w:rsidRPr="0024117F">
        <w:rPr>
          <w:lang w:val="fr-CH"/>
        </w:rPr>
        <w:t xml:space="preserve"> Comité des petits fournisseurs de services de télécommunication (Résolution </w:t>
      </w:r>
      <w:r w:rsidR="003805DE">
        <w:rPr>
          <w:lang w:val="fr-CH"/>
        </w:rPr>
        <w:t xml:space="preserve">N° </w:t>
      </w:r>
      <w:r w:rsidRPr="0024117F">
        <w:rPr>
          <w:lang w:val="fr-CH"/>
        </w:rPr>
        <w:t xml:space="preserve">698/2018). </w:t>
      </w:r>
      <w:r w:rsidR="00E62482">
        <w:rPr>
          <w:lang w:val="fr-CH"/>
        </w:rPr>
        <w:t xml:space="preserve">On recense </w:t>
      </w:r>
      <w:r w:rsidRPr="0024117F">
        <w:rPr>
          <w:lang w:val="fr-CH"/>
        </w:rPr>
        <w:t xml:space="preserve">aujourd'hui </w:t>
      </w:r>
      <w:r w:rsidR="00E62482">
        <w:rPr>
          <w:lang w:val="fr-CH"/>
        </w:rPr>
        <w:t xml:space="preserve">plus de </w:t>
      </w:r>
      <w:r w:rsidRPr="0024117F">
        <w:rPr>
          <w:lang w:val="fr-CH"/>
        </w:rPr>
        <w:t xml:space="preserve">12 000 petits fournisseurs de services de </w:t>
      </w:r>
      <w:r w:rsidR="00E62482">
        <w:rPr>
          <w:lang w:val="fr-CH"/>
        </w:rPr>
        <w:t xml:space="preserve">télécommunication au Brésil, et ce </w:t>
      </w:r>
      <w:r w:rsidRPr="0024117F">
        <w:rPr>
          <w:lang w:val="fr-CH"/>
        </w:rPr>
        <w:t>nombre ne cesse d'augmenter</w:t>
      </w:r>
      <w:r w:rsidR="00E62482">
        <w:rPr>
          <w:lang w:val="fr-CH"/>
        </w:rPr>
        <w:t>, puisqu'</w:t>
      </w:r>
      <w:r w:rsidRPr="0024117F">
        <w:rPr>
          <w:lang w:val="fr-CH"/>
        </w:rPr>
        <w:t xml:space="preserve">on compte environ 200 nouveaux petits fournisseurs de services large bande </w:t>
      </w:r>
      <w:r w:rsidR="00E62482">
        <w:rPr>
          <w:lang w:val="fr-CH"/>
        </w:rPr>
        <w:t xml:space="preserve">chaque </w:t>
      </w:r>
      <w:r w:rsidRPr="0024117F">
        <w:rPr>
          <w:lang w:val="fr-CH"/>
        </w:rPr>
        <w:t>mois.</w:t>
      </w:r>
    </w:p>
    <w:p w:rsidR="0024117F" w:rsidRPr="0024117F" w:rsidRDefault="000E466E" w:rsidP="000E466E">
      <w:pPr>
        <w:rPr>
          <w:lang w:val="fr-CH"/>
        </w:rPr>
      </w:pPr>
      <w:r>
        <w:rPr>
          <w:lang w:val="fr-CH"/>
        </w:rPr>
        <w:t>Selon les indicateurs d</w:t>
      </w:r>
      <w:r w:rsidR="0024117F" w:rsidRPr="0024117F">
        <w:rPr>
          <w:lang w:val="fr-CH"/>
        </w:rPr>
        <w:t>'ANATEL, les petits fournisseurs de services de télécommunication représentaient 17% de l'</w:t>
      </w:r>
      <w:r>
        <w:rPr>
          <w:lang w:val="fr-CH"/>
        </w:rPr>
        <w:t>accès à l'</w:t>
      </w:r>
      <w:r w:rsidR="0024117F" w:rsidRPr="0024117F">
        <w:rPr>
          <w:lang w:val="fr-CH"/>
        </w:rPr>
        <w:t xml:space="preserve">Internet </w:t>
      </w:r>
      <w:r>
        <w:rPr>
          <w:lang w:val="fr-CH"/>
        </w:rPr>
        <w:t xml:space="preserve">dans son ensemble </w:t>
      </w:r>
      <w:r w:rsidR="0024117F" w:rsidRPr="0024117F">
        <w:rPr>
          <w:lang w:val="fr-CH"/>
        </w:rPr>
        <w:t xml:space="preserve">en 2017, </w:t>
      </w:r>
      <w:r>
        <w:rPr>
          <w:lang w:val="fr-CH"/>
        </w:rPr>
        <w:t xml:space="preserve">et représentent aujourd'hui </w:t>
      </w:r>
      <w:r w:rsidR="0024117F" w:rsidRPr="0024117F">
        <w:rPr>
          <w:lang w:val="fr-CH"/>
        </w:rPr>
        <w:t xml:space="preserve">23% </w:t>
      </w:r>
      <w:r>
        <w:rPr>
          <w:lang w:val="fr-CH"/>
        </w:rPr>
        <w:t>de cet accès</w:t>
      </w:r>
      <w:r w:rsidR="0024117F" w:rsidRPr="0024117F">
        <w:rPr>
          <w:lang w:val="fr-CH"/>
        </w:rPr>
        <w:t xml:space="preserve">. L'Agence espère que le Comité </w:t>
      </w:r>
      <w:r>
        <w:rPr>
          <w:lang w:val="fr-CH"/>
        </w:rPr>
        <w:t xml:space="preserve">qui vient d'être </w:t>
      </w:r>
      <w:r w:rsidR="0024117F" w:rsidRPr="0024117F">
        <w:rPr>
          <w:lang w:val="fr-CH"/>
        </w:rPr>
        <w:t xml:space="preserve">créé pourra faciliter encore cette </w:t>
      </w:r>
      <w:r>
        <w:rPr>
          <w:lang w:val="fr-CH"/>
        </w:rPr>
        <w:t>expansion</w:t>
      </w:r>
      <w:r w:rsidR="0024117F" w:rsidRPr="0024117F">
        <w:rPr>
          <w:lang w:val="fr-CH"/>
        </w:rPr>
        <w:t xml:space="preserve">, en contribuant à promouvoir les améliorations d'ordre réglementaire, en tenant compte des exigences de ces parties prenantes particulières, en menant à bien des études et en encourageant les mesures en faveur de la fourniture de services par les petits opérateurs. </w:t>
      </w:r>
    </w:p>
    <w:p w:rsidR="0024117F" w:rsidRPr="0024117F" w:rsidRDefault="0024117F" w:rsidP="000E466E">
      <w:pPr>
        <w:rPr>
          <w:lang w:val="fr-CH"/>
        </w:rPr>
      </w:pPr>
      <w:r w:rsidRPr="0024117F">
        <w:rPr>
          <w:lang w:val="fr-CH"/>
        </w:rPr>
        <w:lastRenderedPageBreak/>
        <w:t xml:space="preserve">Compte tenu de ces mesures réglementaires et </w:t>
      </w:r>
      <w:r w:rsidR="000E466E">
        <w:rPr>
          <w:lang w:val="fr-CH"/>
        </w:rPr>
        <w:t xml:space="preserve">en vue </w:t>
      </w:r>
      <w:r w:rsidRPr="0024117F">
        <w:rPr>
          <w:lang w:val="fr-CH"/>
        </w:rPr>
        <w:t xml:space="preserve">d'améliorer l'accès de la société aux services large bande, le Brésil est favorable à </w:t>
      </w:r>
      <w:r w:rsidR="000E466E">
        <w:rPr>
          <w:lang w:val="fr-CH"/>
        </w:rPr>
        <w:t xml:space="preserve">des </w:t>
      </w:r>
      <w:r w:rsidRPr="0024117F">
        <w:rPr>
          <w:lang w:val="fr-CH"/>
        </w:rPr>
        <w:t>discussion</w:t>
      </w:r>
      <w:r w:rsidR="000E466E">
        <w:rPr>
          <w:lang w:val="fr-CH"/>
        </w:rPr>
        <w:t>s</w:t>
      </w:r>
      <w:r w:rsidRPr="0024117F">
        <w:rPr>
          <w:lang w:val="fr-CH"/>
        </w:rPr>
        <w:t xml:space="preserve"> ouverte</w:t>
      </w:r>
      <w:r w:rsidR="000E466E">
        <w:rPr>
          <w:lang w:val="fr-CH"/>
        </w:rPr>
        <w:t>s</w:t>
      </w:r>
      <w:r w:rsidRPr="0024117F">
        <w:rPr>
          <w:lang w:val="fr-CH"/>
        </w:rPr>
        <w:t xml:space="preserve"> sur le rôle des réseaux communautaires </w:t>
      </w:r>
      <w:r w:rsidR="000E466E">
        <w:rPr>
          <w:lang w:val="fr-CH"/>
        </w:rPr>
        <w:t>dans l'amélioration</w:t>
      </w:r>
      <w:r w:rsidRPr="0024117F">
        <w:rPr>
          <w:lang w:val="fr-CH"/>
        </w:rPr>
        <w:t xml:space="preserve"> </w:t>
      </w:r>
      <w:r w:rsidR="000E466E">
        <w:rPr>
          <w:lang w:val="fr-CH"/>
        </w:rPr>
        <w:t xml:space="preserve">de </w:t>
      </w:r>
      <w:r w:rsidRPr="0024117F">
        <w:rPr>
          <w:lang w:val="fr-CH"/>
        </w:rPr>
        <w:t xml:space="preserve">la connectivité dans les zones isolées, non desservies et mal desservies. Une réunion traditionnelle de consultation ouverte d'un GTC </w:t>
      </w:r>
      <w:r w:rsidR="000E466E">
        <w:rPr>
          <w:lang w:val="fr-CH"/>
        </w:rPr>
        <w:t xml:space="preserve">offre </w:t>
      </w:r>
      <w:r w:rsidRPr="0024117F">
        <w:rPr>
          <w:lang w:val="fr-CH"/>
        </w:rPr>
        <w:t xml:space="preserve">un cadre privilégié pour promouvoir des discussions et des échanges de données d'expérience et de bonnes pratiques ouverts à tous. </w:t>
      </w:r>
    </w:p>
    <w:p w:rsidR="0024117F" w:rsidRPr="0024117F" w:rsidRDefault="00770644" w:rsidP="0024117F">
      <w:pPr>
        <w:pStyle w:val="Headingb"/>
        <w:rPr>
          <w:lang w:val="fr-CH"/>
        </w:rPr>
      </w:pPr>
      <w:r>
        <w:rPr>
          <w:lang w:val="fr-CH"/>
        </w:rPr>
        <w:t>Questions</w:t>
      </w:r>
    </w:p>
    <w:p w:rsidR="0024117F" w:rsidRDefault="0024117F" w:rsidP="0024117F">
      <w:pPr>
        <w:pStyle w:val="enumlev1"/>
        <w:rPr>
          <w:lang w:val="fr-CH"/>
        </w:rPr>
      </w:pPr>
      <w:r w:rsidRPr="0024117F">
        <w:rPr>
          <w:lang w:val="fr-CH"/>
        </w:rPr>
        <w:t>•</w:t>
      </w:r>
      <w:r>
        <w:rPr>
          <w:lang w:val="fr-CH"/>
        </w:rPr>
        <w:tab/>
      </w:r>
      <w:r w:rsidRPr="0024117F">
        <w:rPr>
          <w:lang w:val="fr-CH"/>
        </w:rPr>
        <w:t>Quel est le meilleur moyen de définir les réseaux communautaires et comment sont-ils conçus</w:t>
      </w:r>
      <w:r w:rsidR="000E466E">
        <w:rPr>
          <w:lang w:val="fr-CH"/>
        </w:rPr>
        <w:t xml:space="preserve"> dans votre pays</w:t>
      </w:r>
      <w:r>
        <w:rPr>
          <w:lang w:val="fr-CH"/>
        </w:rPr>
        <w:t>?</w:t>
      </w:r>
    </w:p>
    <w:p w:rsidR="0024117F" w:rsidRDefault="0024117F" w:rsidP="000E466E">
      <w:pPr>
        <w:pStyle w:val="enumlev1"/>
        <w:rPr>
          <w:lang w:val="fr-CH"/>
        </w:rPr>
      </w:pPr>
      <w:r w:rsidRPr="0024117F">
        <w:rPr>
          <w:lang w:val="fr-CH"/>
        </w:rPr>
        <w:t>•</w:t>
      </w:r>
      <w:r>
        <w:rPr>
          <w:lang w:val="fr-CH"/>
        </w:rPr>
        <w:tab/>
      </w:r>
      <w:r w:rsidR="000E466E">
        <w:rPr>
          <w:lang w:val="fr-CH"/>
        </w:rPr>
        <w:t xml:space="preserve">Quelles sont </w:t>
      </w:r>
      <w:r w:rsidRPr="0024117F">
        <w:rPr>
          <w:lang w:val="fr-CH"/>
        </w:rPr>
        <w:t>les nouvelles technologies le</w:t>
      </w:r>
      <w:r w:rsidR="000E466E">
        <w:rPr>
          <w:lang w:val="fr-CH"/>
        </w:rPr>
        <w:t>s</w:t>
      </w:r>
      <w:r w:rsidRPr="0024117F">
        <w:rPr>
          <w:lang w:val="fr-CH"/>
        </w:rPr>
        <w:t xml:space="preserve"> plus susceptibles d'</w:t>
      </w:r>
      <w:r w:rsidR="000E466E">
        <w:rPr>
          <w:lang w:val="fr-CH"/>
        </w:rPr>
        <w:t xml:space="preserve">accroître </w:t>
      </w:r>
      <w:r w:rsidRPr="0024117F">
        <w:rPr>
          <w:lang w:val="fr-CH"/>
        </w:rPr>
        <w:t>le nombre de bénéficiaires des infrastructures large bande des réseaux communau</w:t>
      </w:r>
      <w:r>
        <w:rPr>
          <w:lang w:val="fr-CH"/>
        </w:rPr>
        <w:t>taires</w:t>
      </w:r>
      <w:r w:rsidRPr="0024117F">
        <w:rPr>
          <w:lang w:val="fr-CH"/>
        </w:rPr>
        <w:t>?</w:t>
      </w:r>
    </w:p>
    <w:p w:rsidR="0024117F" w:rsidRDefault="0024117F" w:rsidP="000E466E">
      <w:pPr>
        <w:pStyle w:val="enumlev1"/>
        <w:rPr>
          <w:lang w:val="fr-CH"/>
        </w:rPr>
      </w:pPr>
      <w:r w:rsidRPr="0024117F">
        <w:rPr>
          <w:lang w:val="fr-CH"/>
        </w:rPr>
        <w:t>•</w:t>
      </w:r>
      <w:r>
        <w:rPr>
          <w:lang w:val="fr-CH"/>
        </w:rPr>
        <w:tab/>
      </w:r>
      <w:r w:rsidRPr="0024117F">
        <w:rPr>
          <w:lang w:val="fr-CH"/>
        </w:rPr>
        <w:t>Quel</w:t>
      </w:r>
      <w:r w:rsidR="000E466E">
        <w:rPr>
          <w:lang w:val="fr-CH"/>
        </w:rPr>
        <w:t>s</w:t>
      </w:r>
      <w:r w:rsidRPr="0024117F">
        <w:rPr>
          <w:lang w:val="fr-CH"/>
        </w:rPr>
        <w:t xml:space="preserve"> type</w:t>
      </w:r>
      <w:r w:rsidR="000E466E">
        <w:rPr>
          <w:lang w:val="fr-CH"/>
        </w:rPr>
        <w:t>s</w:t>
      </w:r>
      <w:r w:rsidRPr="0024117F">
        <w:rPr>
          <w:lang w:val="fr-CH"/>
        </w:rPr>
        <w:t xml:space="preserve"> de régulation et de financement </w:t>
      </w:r>
      <w:r w:rsidR="000E466E">
        <w:rPr>
          <w:lang w:val="fr-CH"/>
        </w:rPr>
        <w:t xml:space="preserve">sont nécessaires pour </w:t>
      </w:r>
      <w:r w:rsidRPr="0024117F">
        <w:rPr>
          <w:lang w:val="fr-CH"/>
        </w:rPr>
        <w:t>les réseaux communautaires?</w:t>
      </w:r>
    </w:p>
    <w:p w:rsidR="0024117F" w:rsidRDefault="0024117F" w:rsidP="000E466E">
      <w:pPr>
        <w:pStyle w:val="enumlev1"/>
        <w:rPr>
          <w:lang w:val="fr-CH"/>
        </w:rPr>
      </w:pPr>
      <w:r w:rsidRPr="0024117F">
        <w:rPr>
          <w:lang w:val="fr-CH"/>
        </w:rPr>
        <w:t>•</w:t>
      </w:r>
      <w:r>
        <w:rPr>
          <w:lang w:val="fr-CH"/>
        </w:rPr>
        <w:tab/>
      </w:r>
      <w:r w:rsidR="0016110B" w:rsidRPr="0024117F">
        <w:rPr>
          <w:lang w:val="fr-CH"/>
        </w:rPr>
        <w:t>D</w:t>
      </w:r>
      <w:r w:rsidRPr="0024117F">
        <w:rPr>
          <w:lang w:val="fr-CH"/>
        </w:rPr>
        <w:t>ans votre pays, les réseaux communautaires utilisen</w:t>
      </w:r>
      <w:r w:rsidR="000E466E">
        <w:rPr>
          <w:lang w:val="fr-CH"/>
        </w:rPr>
        <w:t>t-ils généralement leur propre</w:t>
      </w:r>
      <w:r w:rsidRPr="0024117F">
        <w:rPr>
          <w:lang w:val="fr-CH"/>
        </w:rPr>
        <w:t xml:space="preserve"> </w:t>
      </w:r>
      <w:r w:rsidR="000E466E">
        <w:rPr>
          <w:lang w:val="fr-CH"/>
        </w:rPr>
        <w:t xml:space="preserve">réseau </w:t>
      </w:r>
      <w:r w:rsidRPr="0024117F">
        <w:rPr>
          <w:lang w:val="fr-CH"/>
        </w:rPr>
        <w:t xml:space="preserve">de raccordement ou les infrastructures d'autres opérateurs, </w:t>
      </w:r>
      <w:r w:rsidR="000E466E">
        <w:rPr>
          <w:lang w:val="fr-CH"/>
        </w:rPr>
        <w:t xml:space="preserve">en particulier celles des </w:t>
      </w:r>
      <w:r w:rsidRPr="0024117F">
        <w:rPr>
          <w:lang w:val="fr-CH"/>
        </w:rPr>
        <w:t>petits opérateurs (compte tenu de leur présence accrue dans les zones rurales et isolées)?</w:t>
      </w:r>
    </w:p>
    <w:p w:rsidR="0024117F" w:rsidRDefault="0024117F" w:rsidP="000E466E">
      <w:pPr>
        <w:pStyle w:val="enumlev1"/>
        <w:rPr>
          <w:lang w:val="fr-CH"/>
        </w:rPr>
      </w:pPr>
      <w:r w:rsidRPr="0024117F">
        <w:rPr>
          <w:lang w:val="fr-CH"/>
        </w:rPr>
        <w:t>•</w:t>
      </w:r>
      <w:r>
        <w:rPr>
          <w:lang w:val="fr-CH"/>
        </w:rPr>
        <w:tab/>
      </w:r>
      <w:r w:rsidR="000E466E">
        <w:rPr>
          <w:lang w:val="fr-CH"/>
        </w:rPr>
        <w:t>Quels types de participation d</w:t>
      </w:r>
      <w:r w:rsidRPr="0024117F">
        <w:rPr>
          <w:lang w:val="fr-CH"/>
        </w:rPr>
        <w:t xml:space="preserve">es populations locales et </w:t>
      </w:r>
      <w:r w:rsidR="000E466E">
        <w:rPr>
          <w:lang w:val="fr-CH"/>
        </w:rPr>
        <w:t xml:space="preserve">de </w:t>
      </w:r>
      <w:r w:rsidRPr="0024117F">
        <w:rPr>
          <w:lang w:val="fr-CH"/>
        </w:rPr>
        <w:t xml:space="preserve">mesures collectives sont nécessaires pour </w:t>
      </w:r>
      <w:r w:rsidR="000E466E">
        <w:rPr>
          <w:lang w:val="fr-CH"/>
        </w:rPr>
        <w:t>favoriser l'essor d'</w:t>
      </w:r>
      <w:r w:rsidRPr="0024117F">
        <w:rPr>
          <w:lang w:val="fr-CH"/>
        </w:rPr>
        <w:t xml:space="preserve">un réseau communautaire? </w:t>
      </w:r>
      <w:r w:rsidR="0016110B" w:rsidRPr="0024117F">
        <w:rPr>
          <w:lang w:val="fr-CH"/>
        </w:rPr>
        <w:t>Q</w:t>
      </w:r>
      <w:r w:rsidRPr="0024117F">
        <w:rPr>
          <w:lang w:val="fr-CH"/>
        </w:rPr>
        <w:t>u</w:t>
      </w:r>
      <w:r w:rsidR="000E466E">
        <w:rPr>
          <w:lang w:val="fr-CH"/>
        </w:rPr>
        <w:t xml:space="preserve">e peut-on </w:t>
      </w:r>
      <w:r w:rsidRPr="0024117F">
        <w:rPr>
          <w:lang w:val="fr-CH"/>
        </w:rPr>
        <w:t xml:space="preserve">faire pour faciliter et promouvoir l'adoption de ces pratiques? </w:t>
      </w:r>
      <w:r w:rsidR="0016110B" w:rsidRPr="0024117F">
        <w:rPr>
          <w:lang w:val="fr-CH"/>
        </w:rPr>
        <w:t>Q</w:t>
      </w:r>
      <w:r w:rsidRPr="0024117F">
        <w:rPr>
          <w:lang w:val="fr-CH"/>
        </w:rPr>
        <w:t xml:space="preserve">uels sont les défis à relever pour élargir les infrastructures de connectivité et fournir des services </w:t>
      </w:r>
      <w:r w:rsidR="000E466E">
        <w:rPr>
          <w:lang w:val="fr-CH"/>
        </w:rPr>
        <w:t xml:space="preserve">financièrement </w:t>
      </w:r>
      <w:r w:rsidRPr="0024117F">
        <w:rPr>
          <w:lang w:val="fr-CH"/>
        </w:rPr>
        <w:t>abordables aux utilisateurs finals?</w:t>
      </w:r>
    </w:p>
    <w:p w:rsidR="0024117F" w:rsidRPr="0024117F" w:rsidRDefault="0024117F" w:rsidP="00770644">
      <w:pPr>
        <w:pStyle w:val="Headingb"/>
        <w:rPr>
          <w:lang w:val="fr-CH"/>
        </w:rPr>
      </w:pPr>
      <w:r w:rsidRPr="0024117F">
        <w:rPr>
          <w:lang w:val="fr-CH"/>
        </w:rPr>
        <w:t>8ème réunion traditionnelle de consultation ouverte du GTC-Internet, février 2020</w:t>
      </w:r>
    </w:p>
    <w:p w:rsidR="0024117F" w:rsidRPr="0024117F" w:rsidRDefault="0024117F" w:rsidP="0024117F">
      <w:pPr>
        <w:rPr>
          <w:lang w:val="fr-CH"/>
        </w:rPr>
      </w:pPr>
      <w:r w:rsidRPr="0024117F">
        <w:rPr>
          <w:b/>
          <w:lang w:val="fr-CH"/>
        </w:rPr>
        <w:t>Thème</w:t>
      </w:r>
      <w:r w:rsidRPr="00770644">
        <w:rPr>
          <w:bCs/>
          <w:lang w:val="fr-CH"/>
        </w:rPr>
        <w:t>:</w:t>
      </w:r>
      <w:r w:rsidRPr="0024117F">
        <w:rPr>
          <w:b/>
          <w:lang w:val="fr-CH"/>
        </w:rPr>
        <w:t xml:space="preserve"> </w:t>
      </w:r>
      <w:r w:rsidRPr="0024117F">
        <w:rPr>
          <w:lang w:val="fr-CH"/>
        </w:rPr>
        <w:t>Mettre le développement mutuel de l'intelligence artificielle et des TIC au service du développement durable</w:t>
      </w:r>
    </w:p>
    <w:p w:rsidR="0024117F" w:rsidRPr="0024117F" w:rsidRDefault="0024117F" w:rsidP="000E466E">
      <w:pPr>
        <w:rPr>
          <w:lang w:val="fr-CH"/>
        </w:rPr>
      </w:pPr>
      <w:r w:rsidRPr="0024117F">
        <w:rPr>
          <w:b/>
          <w:lang w:val="fr-CH"/>
        </w:rPr>
        <w:t>Rappel</w:t>
      </w:r>
      <w:r w:rsidRPr="00770644">
        <w:rPr>
          <w:bCs/>
          <w:lang w:val="fr-CH"/>
        </w:rPr>
        <w:t xml:space="preserve">: </w:t>
      </w:r>
      <w:r w:rsidR="000E466E" w:rsidRPr="0024117F">
        <w:rPr>
          <w:lang w:val="fr-CH"/>
        </w:rPr>
        <w:t>L</w:t>
      </w:r>
      <w:r w:rsidRPr="0024117F">
        <w:rPr>
          <w:lang w:val="fr-CH"/>
        </w:rPr>
        <w:t xml:space="preserve">es technologies </w:t>
      </w:r>
      <w:r w:rsidR="000E466E">
        <w:rPr>
          <w:lang w:val="fr-CH"/>
        </w:rPr>
        <w:t>faisant appel à</w:t>
      </w:r>
      <w:r w:rsidRPr="0024117F">
        <w:rPr>
          <w:lang w:val="fr-CH"/>
        </w:rPr>
        <w:t xml:space="preserve"> l'intelligence artificielle (IA) sont déjà présentes dans tous les aspects du quotidien et </w:t>
      </w:r>
      <w:r w:rsidR="000E466E">
        <w:rPr>
          <w:lang w:val="fr-CH"/>
        </w:rPr>
        <w:t xml:space="preserve">pourraient bien amener des changements radicaux dans </w:t>
      </w:r>
      <w:r w:rsidRPr="0024117F">
        <w:rPr>
          <w:lang w:val="fr-CH"/>
        </w:rPr>
        <w:t xml:space="preserve">l'économie et la société mondiales. L'IA peut </w:t>
      </w:r>
      <w:r w:rsidR="000E466E">
        <w:rPr>
          <w:lang w:val="fr-CH"/>
        </w:rPr>
        <w:t xml:space="preserve">certes </w:t>
      </w:r>
      <w:r w:rsidRPr="0024117F">
        <w:rPr>
          <w:lang w:val="fr-CH"/>
        </w:rPr>
        <w:t xml:space="preserve">permettre des </w:t>
      </w:r>
      <w:r w:rsidR="000E466E">
        <w:rPr>
          <w:lang w:val="fr-CH"/>
        </w:rPr>
        <w:t xml:space="preserve">avancées </w:t>
      </w:r>
      <w:r w:rsidRPr="0024117F">
        <w:rPr>
          <w:lang w:val="fr-CH"/>
        </w:rPr>
        <w:t xml:space="preserve">sans précédent </w:t>
      </w:r>
      <w:r w:rsidR="000E466E">
        <w:rPr>
          <w:lang w:val="fr-CH"/>
        </w:rPr>
        <w:t xml:space="preserve">sur le plan </w:t>
      </w:r>
      <w:r w:rsidRPr="0024117F">
        <w:rPr>
          <w:lang w:val="fr-CH"/>
        </w:rPr>
        <w:t xml:space="preserve">de </w:t>
      </w:r>
      <w:r w:rsidR="000E466E">
        <w:rPr>
          <w:lang w:val="fr-CH"/>
        </w:rPr>
        <w:t xml:space="preserve">la </w:t>
      </w:r>
      <w:r w:rsidRPr="0024117F">
        <w:rPr>
          <w:lang w:val="fr-CH"/>
        </w:rPr>
        <w:t xml:space="preserve">productivité et de </w:t>
      </w:r>
      <w:r w:rsidR="000E466E">
        <w:rPr>
          <w:lang w:val="fr-CH"/>
        </w:rPr>
        <w:t xml:space="preserve">la </w:t>
      </w:r>
      <w:r w:rsidRPr="0024117F">
        <w:rPr>
          <w:lang w:val="fr-CH"/>
        </w:rPr>
        <w:t>croissance socio</w:t>
      </w:r>
      <w:r w:rsidR="000E466E">
        <w:rPr>
          <w:lang w:val="fr-CH"/>
        </w:rPr>
        <w:t>-</w:t>
      </w:r>
      <w:r w:rsidRPr="0024117F">
        <w:rPr>
          <w:lang w:val="fr-CH"/>
        </w:rPr>
        <w:t xml:space="preserve">économique et </w:t>
      </w:r>
      <w:r w:rsidR="000E466E">
        <w:rPr>
          <w:lang w:val="fr-CH"/>
        </w:rPr>
        <w:t>en vue de la réalisation pleine et entière d</w:t>
      </w:r>
      <w:r w:rsidRPr="0024117F">
        <w:rPr>
          <w:lang w:val="fr-CH"/>
        </w:rPr>
        <w:t xml:space="preserve">es Objectifs de développement durable à l'horizon 2030, mais elle suscite également de vives préoccupations </w:t>
      </w:r>
      <w:r w:rsidR="000E466E">
        <w:rPr>
          <w:lang w:val="fr-CH"/>
        </w:rPr>
        <w:t>en termes de pertes d'</w:t>
      </w:r>
      <w:r w:rsidRPr="0024117F">
        <w:rPr>
          <w:lang w:val="fr-CH"/>
        </w:rPr>
        <w:t xml:space="preserve">emplois </w:t>
      </w:r>
      <w:r w:rsidR="000E466E">
        <w:rPr>
          <w:lang w:val="fr-CH"/>
        </w:rPr>
        <w:t>et de</w:t>
      </w:r>
      <w:r w:rsidRPr="0024117F">
        <w:rPr>
          <w:lang w:val="fr-CH"/>
        </w:rPr>
        <w:t xml:space="preserve"> compétences, </w:t>
      </w:r>
      <w:r w:rsidR="000E466E">
        <w:rPr>
          <w:lang w:val="fr-CH"/>
        </w:rPr>
        <w:t>d</w:t>
      </w:r>
      <w:r w:rsidRPr="0024117F">
        <w:rPr>
          <w:lang w:val="fr-CH"/>
        </w:rPr>
        <w:t xml:space="preserve">'augmentation potentielle des inégalités de revenus entre et au sein des pays et </w:t>
      </w:r>
      <w:r w:rsidR="000E466E">
        <w:rPr>
          <w:lang w:val="fr-CH"/>
        </w:rPr>
        <w:t>d</w:t>
      </w:r>
      <w:r w:rsidRPr="0024117F">
        <w:rPr>
          <w:lang w:val="fr-CH"/>
        </w:rPr>
        <w:t xml:space="preserve">'instabilité politique découlant de ces disparités sur le </w:t>
      </w:r>
      <w:r w:rsidR="000E466E">
        <w:rPr>
          <w:lang w:val="fr-CH"/>
        </w:rPr>
        <w:t xml:space="preserve">double </w:t>
      </w:r>
      <w:r w:rsidRPr="0024117F">
        <w:rPr>
          <w:lang w:val="fr-CH"/>
        </w:rPr>
        <w:t>plan des revenus et de</w:t>
      </w:r>
      <w:r w:rsidR="000E466E">
        <w:rPr>
          <w:lang w:val="fr-CH"/>
        </w:rPr>
        <w:t>s</w:t>
      </w:r>
      <w:r w:rsidRPr="0024117F">
        <w:rPr>
          <w:lang w:val="fr-CH"/>
        </w:rPr>
        <w:t xml:space="preserve"> technologie</w:t>
      </w:r>
      <w:r w:rsidR="000E466E">
        <w:rPr>
          <w:lang w:val="fr-CH"/>
        </w:rPr>
        <w:t>s</w:t>
      </w:r>
      <w:r w:rsidRPr="0024117F">
        <w:rPr>
          <w:lang w:val="fr-CH"/>
        </w:rPr>
        <w:t xml:space="preserve">. </w:t>
      </w:r>
    </w:p>
    <w:p w:rsidR="0024117F" w:rsidRPr="0024117F" w:rsidRDefault="0024117F" w:rsidP="000E466E">
      <w:pPr>
        <w:rPr>
          <w:lang w:val="fr-CH"/>
        </w:rPr>
      </w:pPr>
      <w:r w:rsidRPr="0024117F">
        <w:rPr>
          <w:lang w:val="fr-CH"/>
        </w:rPr>
        <w:t>En marge de ces problèmes d'ordre socio</w:t>
      </w:r>
      <w:r w:rsidR="00770644">
        <w:rPr>
          <w:lang w:val="fr-CH"/>
        </w:rPr>
        <w:t>-</w:t>
      </w:r>
      <w:r w:rsidRPr="0024117F">
        <w:rPr>
          <w:lang w:val="fr-CH"/>
        </w:rPr>
        <w:t xml:space="preserve">économique, la conception et la diffusion de l'IA elle-même doivent faire l'objet d'une attention particulière et </w:t>
      </w:r>
      <w:r w:rsidR="000E466E">
        <w:rPr>
          <w:lang w:val="fr-CH"/>
        </w:rPr>
        <w:t>d'</w:t>
      </w:r>
      <w:r w:rsidRPr="0024117F">
        <w:rPr>
          <w:lang w:val="fr-CH"/>
        </w:rPr>
        <w:t xml:space="preserve">une planification minutieuse. Un avenir dans lequel les machines prendraient des décisions contraires à l'éthique et inappropriées qui auraient des incidences sur la vie quotidienne n'est plus aussi éloigné. Il existe des cas dans lesquels des applications ont abouti à des conclusions tendancieuses fondées sur la race, et des cas dans lesquels des voitures autonomes ont entrainé des dommages et des accidents mortels. De plus, les applications </w:t>
      </w:r>
      <w:r w:rsidR="000E466E">
        <w:rPr>
          <w:lang w:val="fr-CH"/>
        </w:rPr>
        <w:t>"</w:t>
      </w:r>
      <w:r w:rsidRPr="0024117F">
        <w:rPr>
          <w:lang w:val="fr-CH"/>
        </w:rPr>
        <w:t>d'intelligence artificielle générale</w:t>
      </w:r>
      <w:r w:rsidR="000E466E">
        <w:rPr>
          <w:lang w:val="fr-CH"/>
        </w:rPr>
        <w:t>"</w:t>
      </w:r>
      <w:r w:rsidRPr="0024117F">
        <w:rPr>
          <w:lang w:val="fr-CH"/>
        </w:rPr>
        <w:t xml:space="preserve"> dotées de capacités cognitives extrêmement développées et capables de s'</w:t>
      </w:r>
      <w:r w:rsidR="000E466E">
        <w:rPr>
          <w:lang w:val="fr-CH"/>
        </w:rPr>
        <w:t>auto-</w:t>
      </w:r>
      <w:r w:rsidRPr="0024117F">
        <w:rPr>
          <w:lang w:val="fr-CH"/>
        </w:rPr>
        <w:t xml:space="preserve">améliorer et de </w:t>
      </w:r>
      <w:r w:rsidR="00E22CCF">
        <w:rPr>
          <w:lang w:val="fr-CH"/>
        </w:rPr>
        <w:t>s'auto</w:t>
      </w:r>
      <w:r w:rsidR="000E466E">
        <w:rPr>
          <w:lang w:val="fr-CH"/>
        </w:rPr>
        <w:t xml:space="preserve">déterminer </w:t>
      </w:r>
      <w:r w:rsidRPr="0024117F">
        <w:rPr>
          <w:lang w:val="fr-CH"/>
        </w:rPr>
        <w:t>constituent un danger potentiel pour l'humanité</w:t>
      </w:r>
      <w:r w:rsidR="000E466E">
        <w:rPr>
          <w:lang w:val="fr-CH"/>
        </w:rPr>
        <w:t>,</w:t>
      </w:r>
      <w:r w:rsidRPr="0024117F">
        <w:rPr>
          <w:lang w:val="fr-CH"/>
        </w:rPr>
        <w:t xml:space="preserve"> si leur mise au point </w:t>
      </w:r>
      <w:r w:rsidR="000E466E">
        <w:rPr>
          <w:lang w:val="fr-CH"/>
        </w:rPr>
        <w:t xml:space="preserve">ne s'accompagne pas </w:t>
      </w:r>
      <w:r w:rsidRPr="0024117F">
        <w:rPr>
          <w:lang w:val="fr-CH"/>
        </w:rPr>
        <w:t>de mécanismes à sûreté intrinsèque, et si la bienveillance et le respect des droits humains et de l'éthique n'occupent pas une place centrale dans leur conception.</w:t>
      </w:r>
    </w:p>
    <w:p w:rsidR="0024117F" w:rsidRPr="0024117F" w:rsidRDefault="0024117F" w:rsidP="00D47D8A">
      <w:pPr>
        <w:rPr>
          <w:lang w:val="fr-CH"/>
        </w:rPr>
      </w:pPr>
      <w:r w:rsidRPr="0024117F">
        <w:rPr>
          <w:lang w:val="fr-CH"/>
        </w:rPr>
        <w:lastRenderedPageBreak/>
        <w:t xml:space="preserve">Il faut </w:t>
      </w:r>
      <w:r w:rsidR="00D47D8A">
        <w:rPr>
          <w:lang w:val="fr-CH"/>
        </w:rPr>
        <w:t>incontestablement</w:t>
      </w:r>
      <w:r w:rsidRPr="0024117F">
        <w:rPr>
          <w:lang w:val="fr-CH"/>
        </w:rPr>
        <w:t xml:space="preserve"> encourager une technologie de rupture aussi révolutionnaire, </w:t>
      </w:r>
      <w:r w:rsidR="00D47D8A">
        <w:rPr>
          <w:lang w:val="fr-CH"/>
        </w:rPr>
        <w:t>dont le</w:t>
      </w:r>
      <w:r w:rsidRPr="0024117F">
        <w:rPr>
          <w:lang w:val="fr-CH"/>
        </w:rPr>
        <w:t xml:space="preserve"> potentiel </w:t>
      </w:r>
      <w:r w:rsidR="00D47D8A">
        <w:rPr>
          <w:lang w:val="fr-CH"/>
        </w:rPr>
        <w:t xml:space="preserve">est </w:t>
      </w:r>
      <w:r w:rsidRPr="0024117F">
        <w:rPr>
          <w:lang w:val="fr-CH"/>
        </w:rPr>
        <w:t xml:space="preserve">presque illimité sur le plan des externalités positives et négatives, mais il faut aussi prévoir un certain niveau de régulation et de contrôle. En conséquence, les principaux défis à relever pour le développement et l'adoption de l'intelligence artificielle sont essentiellement au nombre de deux: </w:t>
      </w:r>
    </w:p>
    <w:p w:rsidR="0024117F" w:rsidRPr="0024117F" w:rsidRDefault="0016110B" w:rsidP="0016110B">
      <w:pPr>
        <w:pStyle w:val="enumlev1"/>
        <w:rPr>
          <w:lang w:val="fr-CH"/>
        </w:rPr>
      </w:pPr>
      <w:r w:rsidRPr="0016110B">
        <w:rPr>
          <w:lang w:val="fr-CH"/>
        </w:rPr>
        <w:t>•</w:t>
      </w:r>
      <w:r>
        <w:rPr>
          <w:lang w:val="fr-CH"/>
        </w:rPr>
        <w:tab/>
      </w:r>
      <w:r w:rsidRPr="0024117F">
        <w:rPr>
          <w:lang w:val="fr-CH"/>
        </w:rPr>
        <w:t>F</w:t>
      </w:r>
      <w:r w:rsidR="0024117F" w:rsidRPr="0024117F">
        <w:rPr>
          <w:lang w:val="fr-CH"/>
        </w:rPr>
        <w:t>aire en sorte que l'IA soit respectueuse de l'éthique, bienveil</w:t>
      </w:r>
      <w:r>
        <w:rPr>
          <w:lang w:val="fr-CH"/>
        </w:rPr>
        <w:t>lante et bénéfique pour l'homme.</w:t>
      </w:r>
    </w:p>
    <w:p w:rsidR="0024117F" w:rsidRPr="0024117F" w:rsidRDefault="0016110B" w:rsidP="00D47D8A">
      <w:pPr>
        <w:pStyle w:val="enumlev1"/>
        <w:rPr>
          <w:lang w:val="fr-CH"/>
        </w:rPr>
      </w:pPr>
      <w:r w:rsidRPr="0016110B">
        <w:rPr>
          <w:lang w:val="fr-CH"/>
        </w:rPr>
        <w:t>•</w:t>
      </w:r>
      <w:r>
        <w:rPr>
          <w:lang w:val="fr-CH"/>
        </w:rPr>
        <w:tab/>
      </w:r>
      <w:r w:rsidRPr="0024117F">
        <w:rPr>
          <w:lang w:val="fr-CH"/>
        </w:rPr>
        <w:t>F</w:t>
      </w:r>
      <w:r w:rsidR="0024117F" w:rsidRPr="0024117F">
        <w:rPr>
          <w:lang w:val="fr-CH"/>
        </w:rPr>
        <w:t>aire en sorte que tous les pays et tous les peuples tirent parti de ses externalités positives et des avantages socio</w:t>
      </w:r>
      <w:r w:rsidR="00E22CCF">
        <w:rPr>
          <w:lang w:val="fr-CH"/>
        </w:rPr>
        <w:t>-</w:t>
      </w:r>
      <w:r w:rsidR="0024117F" w:rsidRPr="0024117F">
        <w:rPr>
          <w:lang w:val="fr-CH"/>
        </w:rPr>
        <w:t xml:space="preserve">économiques qu'elle </w:t>
      </w:r>
      <w:r w:rsidR="00D47D8A">
        <w:rPr>
          <w:lang w:val="fr-CH"/>
        </w:rPr>
        <w:t>procure</w:t>
      </w:r>
      <w:r w:rsidR="0024117F" w:rsidRPr="0024117F">
        <w:rPr>
          <w:lang w:val="fr-CH"/>
        </w:rPr>
        <w:t>.</w:t>
      </w:r>
    </w:p>
    <w:p w:rsidR="0024117F" w:rsidRPr="0024117F" w:rsidRDefault="0024117F" w:rsidP="00E22CCF">
      <w:pPr>
        <w:rPr>
          <w:lang w:val="fr-CH"/>
        </w:rPr>
      </w:pPr>
      <w:r w:rsidRPr="0024117F">
        <w:rPr>
          <w:lang w:val="fr-CH"/>
        </w:rPr>
        <w:t xml:space="preserve">Ces défis </w:t>
      </w:r>
      <w:r w:rsidR="00D47D8A">
        <w:rPr>
          <w:lang w:val="fr-CH"/>
        </w:rPr>
        <w:t xml:space="preserve">imposent </w:t>
      </w:r>
      <w:r w:rsidRPr="0024117F">
        <w:rPr>
          <w:lang w:val="fr-CH"/>
        </w:rPr>
        <w:t>des changements majeurs</w:t>
      </w:r>
      <w:r w:rsidR="00D47D8A">
        <w:rPr>
          <w:lang w:val="fr-CH"/>
        </w:rPr>
        <w:t>,</w:t>
      </w:r>
      <w:r w:rsidRPr="0024117F">
        <w:rPr>
          <w:lang w:val="fr-CH"/>
        </w:rPr>
        <w:t xml:space="preserve"> tant dans le secteur privé qu'en ce qui concerne les politiques publiques, qu'il s'agisse du renforcement des capacités et des compétences, de la restructuration du marché du travail, des prestations de sécurité sociale et de chômage ou </w:t>
      </w:r>
      <w:r w:rsidR="00D47D8A">
        <w:rPr>
          <w:lang w:val="fr-CH"/>
        </w:rPr>
        <w:t xml:space="preserve">encore </w:t>
      </w:r>
      <w:r w:rsidRPr="0024117F">
        <w:rPr>
          <w:lang w:val="fr-CH"/>
        </w:rPr>
        <w:t xml:space="preserve">des incitations à l'innovation, et </w:t>
      </w:r>
      <w:r w:rsidR="00D47D8A">
        <w:rPr>
          <w:lang w:val="fr-CH"/>
        </w:rPr>
        <w:t xml:space="preserve">nécessitent </w:t>
      </w:r>
      <w:r w:rsidRPr="0024117F">
        <w:rPr>
          <w:lang w:val="fr-CH"/>
        </w:rPr>
        <w:t>une intégration pleine et entière dans le système économique et financier mondial, afin que les parties prenantes en tirent parti. Autant d'évolutions rendues possibles ou favorisées en grande partie par les télécommunication</w:t>
      </w:r>
      <w:r w:rsidR="00D47D8A">
        <w:rPr>
          <w:lang w:val="fr-CH"/>
        </w:rPr>
        <w:t>s</w:t>
      </w:r>
      <w:r w:rsidRPr="0024117F">
        <w:rPr>
          <w:lang w:val="fr-CH"/>
        </w:rPr>
        <w:t xml:space="preserve">/TIC. </w:t>
      </w:r>
    </w:p>
    <w:p w:rsidR="0024117F" w:rsidRPr="0024117F" w:rsidRDefault="00D47D8A" w:rsidP="00D47D8A">
      <w:pPr>
        <w:rPr>
          <w:lang w:val="fr-CH"/>
        </w:rPr>
      </w:pPr>
      <w:r>
        <w:rPr>
          <w:lang w:val="fr-CH"/>
        </w:rPr>
        <w:t>L</w:t>
      </w:r>
      <w:r w:rsidR="0024117F" w:rsidRPr="0024117F">
        <w:rPr>
          <w:lang w:val="fr-CH"/>
        </w:rPr>
        <w:t xml:space="preserve">es disparités en matière de développement, d'adoption et de diffusion de l'IA </w:t>
      </w:r>
      <w:r>
        <w:rPr>
          <w:lang w:val="fr-CH"/>
        </w:rPr>
        <w:t xml:space="preserve">doivent être considérées </w:t>
      </w:r>
      <w:r w:rsidR="0024117F" w:rsidRPr="0024117F">
        <w:rPr>
          <w:lang w:val="fr-CH"/>
        </w:rPr>
        <w:t>comme des éléments à part entière de la fracture numérique, qui n'est définie actuellement que par les disparités du point de vue de l'accès aux télécommunications/TIC, de leur utilisation et des compétences dans ce domaine. De fait, l'intelligence artificielle entrainera de plus en plus de changements concernant les compétences requises pour les emplois</w:t>
      </w:r>
      <w:r>
        <w:rPr>
          <w:lang w:val="fr-CH"/>
        </w:rPr>
        <w:t>, qui seront de plus en plus axées sur l</w:t>
      </w:r>
      <w:r w:rsidR="0024117F" w:rsidRPr="0024117F">
        <w:rPr>
          <w:lang w:val="fr-CH"/>
        </w:rPr>
        <w:t>es TIC. Il est donc essentiel que chacun ait accès à l'Internet. Réduire la fracture numérique est une nécessité si l'on veut que l'intelligence artificielle se dévelo</w:t>
      </w:r>
      <w:r>
        <w:rPr>
          <w:lang w:val="fr-CH"/>
        </w:rPr>
        <w:t>ppe dans l'intérêt de tous et d'une</w:t>
      </w:r>
      <w:r w:rsidR="0024117F" w:rsidRPr="0024117F">
        <w:rPr>
          <w:lang w:val="fr-CH"/>
        </w:rPr>
        <w:t xml:space="preserve"> manière équitable. </w:t>
      </w:r>
    </w:p>
    <w:p w:rsidR="0024117F" w:rsidRPr="0024117F" w:rsidRDefault="00D47D8A" w:rsidP="00D47D8A">
      <w:pPr>
        <w:rPr>
          <w:lang w:val="fr-CH"/>
        </w:rPr>
      </w:pPr>
      <w:r>
        <w:rPr>
          <w:lang w:val="fr-CH"/>
        </w:rPr>
        <w:t>Étant donné que l</w:t>
      </w:r>
      <w:r w:rsidR="0024117F" w:rsidRPr="0024117F">
        <w:rPr>
          <w:lang w:val="fr-CH"/>
        </w:rPr>
        <w:t xml:space="preserve">'IA et les TIC </w:t>
      </w:r>
      <w:r>
        <w:rPr>
          <w:lang w:val="fr-CH"/>
        </w:rPr>
        <w:t xml:space="preserve">sont </w:t>
      </w:r>
      <w:r w:rsidR="0024117F" w:rsidRPr="0024117F">
        <w:rPr>
          <w:lang w:val="fr-CH"/>
        </w:rPr>
        <w:t xml:space="preserve">étroitement liées et interdépendantes, la réunion traditionnelle de consultation ouverte du GTC-Internet </w:t>
      </w:r>
      <w:r>
        <w:rPr>
          <w:lang w:val="fr-CH"/>
        </w:rPr>
        <w:t>peut constituer un cadre inclusif</w:t>
      </w:r>
      <w:r w:rsidR="0024117F" w:rsidRPr="0024117F">
        <w:rPr>
          <w:lang w:val="fr-CH"/>
        </w:rPr>
        <w:t xml:space="preserve"> et multipartite où pourront être examinées les questions touchant à l'IA et aux TIC, ainsi que la manière dont leur développement mutuel pourrait contribuer à </w:t>
      </w:r>
      <w:r>
        <w:rPr>
          <w:lang w:val="fr-CH"/>
        </w:rPr>
        <w:t>la réalisation d</w:t>
      </w:r>
      <w:r w:rsidR="0024117F" w:rsidRPr="0024117F">
        <w:rPr>
          <w:lang w:val="fr-CH"/>
        </w:rPr>
        <w:t>es Objectifs de développement durable à l'horizon 2030 et au-delà. En tant qu'inst</w:t>
      </w:r>
      <w:r w:rsidR="00E22CCF">
        <w:rPr>
          <w:lang w:val="fr-CH"/>
        </w:rPr>
        <w:t>itution spécialisée des Nations </w:t>
      </w:r>
      <w:r w:rsidR="0024117F" w:rsidRPr="0024117F">
        <w:rPr>
          <w:lang w:val="fr-CH"/>
        </w:rPr>
        <w:t xml:space="preserve">Unies pour les télécommunications/TIC, l'UIT joue un rôle en offrant une </w:t>
      </w:r>
      <w:r>
        <w:rPr>
          <w:lang w:val="fr-CH"/>
        </w:rPr>
        <w:t xml:space="preserve">tribune </w:t>
      </w:r>
      <w:r w:rsidR="0024117F" w:rsidRPr="0024117F">
        <w:rPr>
          <w:lang w:val="fr-CH"/>
        </w:rPr>
        <w:t xml:space="preserve">qui permet aux différents acteurs de faire part de leurs points de vue et de </w:t>
      </w:r>
      <w:r w:rsidRPr="0024117F">
        <w:rPr>
          <w:lang w:val="fr-CH"/>
        </w:rPr>
        <w:t xml:space="preserve">mieux </w:t>
      </w:r>
      <w:r w:rsidR="0024117F" w:rsidRPr="0024117F">
        <w:rPr>
          <w:lang w:val="fr-CH"/>
        </w:rPr>
        <w:t xml:space="preserve">faire connaître les défis à relever </w:t>
      </w:r>
      <w:r>
        <w:rPr>
          <w:lang w:val="fr-CH"/>
        </w:rPr>
        <w:t xml:space="preserve">sur le plan des </w:t>
      </w:r>
      <w:r w:rsidR="0024117F" w:rsidRPr="0024117F">
        <w:rPr>
          <w:lang w:val="fr-CH"/>
        </w:rPr>
        <w:t>politiques publiques, de</w:t>
      </w:r>
      <w:r>
        <w:rPr>
          <w:lang w:val="fr-CH"/>
        </w:rPr>
        <w:t xml:space="preserve"> la</w:t>
      </w:r>
      <w:r w:rsidR="0024117F" w:rsidRPr="0024117F">
        <w:rPr>
          <w:lang w:val="fr-CH"/>
        </w:rPr>
        <w:t xml:space="preserve"> coopération internationale et </w:t>
      </w:r>
      <w:r>
        <w:rPr>
          <w:lang w:val="fr-CH"/>
        </w:rPr>
        <w:t>de l</w:t>
      </w:r>
      <w:r w:rsidR="0024117F" w:rsidRPr="0024117F">
        <w:rPr>
          <w:lang w:val="fr-CH"/>
        </w:rPr>
        <w:t>'inclusion socio</w:t>
      </w:r>
      <w:r w:rsidR="00880A62">
        <w:rPr>
          <w:lang w:val="fr-CH"/>
        </w:rPr>
        <w:noBreakHyphen/>
      </w:r>
      <w:r w:rsidR="0024117F" w:rsidRPr="0024117F">
        <w:rPr>
          <w:lang w:val="fr-CH"/>
        </w:rPr>
        <w:t xml:space="preserve">économique. </w:t>
      </w:r>
    </w:p>
    <w:p w:rsidR="0024117F" w:rsidRPr="0024117F" w:rsidRDefault="0024117F" w:rsidP="0016110B">
      <w:pPr>
        <w:pStyle w:val="Headingb"/>
        <w:rPr>
          <w:lang w:val="fr-CH"/>
        </w:rPr>
      </w:pPr>
      <w:r w:rsidRPr="0024117F">
        <w:rPr>
          <w:lang w:val="fr-CH"/>
        </w:rPr>
        <w:t>Questions:</w:t>
      </w:r>
    </w:p>
    <w:p w:rsidR="0024117F" w:rsidRPr="0024117F" w:rsidRDefault="00AD1F54" w:rsidP="00D47D8A">
      <w:pPr>
        <w:pStyle w:val="enumlev1"/>
        <w:rPr>
          <w:lang w:val="fr-CH"/>
        </w:rPr>
      </w:pPr>
      <w:r w:rsidRPr="00AD1F54">
        <w:rPr>
          <w:lang w:val="fr-CH"/>
        </w:rPr>
        <w:t>•</w:t>
      </w:r>
      <w:r>
        <w:rPr>
          <w:lang w:val="fr-CH"/>
        </w:rPr>
        <w:tab/>
      </w:r>
      <w:r w:rsidRPr="0024117F">
        <w:rPr>
          <w:lang w:val="fr-CH"/>
        </w:rPr>
        <w:t>Q</w:t>
      </w:r>
      <w:r w:rsidR="0024117F" w:rsidRPr="0024117F">
        <w:rPr>
          <w:lang w:val="fr-CH"/>
        </w:rPr>
        <w:t xml:space="preserve">uelles sont les questions </w:t>
      </w:r>
      <w:r w:rsidR="00D47D8A">
        <w:rPr>
          <w:lang w:val="fr-CH"/>
        </w:rPr>
        <w:t xml:space="preserve">de politique nationale et internationale </w:t>
      </w:r>
      <w:r w:rsidR="00D47D8A" w:rsidRPr="0024117F">
        <w:rPr>
          <w:lang w:val="fr-CH"/>
        </w:rPr>
        <w:t>à prendre en compte</w:t>
      </w:r>
      <w:r w:rsidR="0024117F" w:rsidRPr="0024117F">
        <w:rPr>
          <w:lang w:val="fr-CH"/>
        </w:rPr>
        <w:t xml:space="preserve"> pour </w:t>
      </w:r>
      <w:r w:rsidR="00D47D8A">
        <w:rPr>
          <w:lang w:val="fr-CH"/>
        </w:rPr>
        <w:t>que l'</w:t>
      </w:r>
      <w:r w:rsidR="0024117F" w:rsidRPr="0024117F">
        <w:rPr>
          <w:lang w:val="fr-CH"/>
        </w:rPr>
        <w:t xml:space="preserve">IA </w:t>
      </w:r>
      <w:r w:rsidR="00D47D8A">
        <w:rPr>
          <w:lang w:val="fr-CH"/>
        </w:rPr>
        <w:t xml:space="preserve">soit </w:t>
      </w:r>
      <w:r w:rsidR="0024117F" w:rsidRPr="0024117F">
        <w:rPr>
          <w:lang w:val="fr-CH"/>
        </w:rPr>
        <w:t xml:space="preserve">respectueuse de </w:t>
      </w:r>
      <w:r>
        <w:rPr>
          <w:lang w:val="fr-CH"/>
        </w:rPr>
        <w:t>l'éthique et profite à tous</w:t>
      </w:r>
      <w:r w:rsidR="0024117F" w:rsidRPr="0024117F">
        <w:rPr>
          <w:lang w:val="fr-CH"/>
        </w:rPr>
        <w:t>?</w:t>
      </w:r>
    </w:p>
    <w:p w:rsidR="0024117F" w:rsidRPr="0024117F" w:rsidRDefault="00AD1F54" w:rsidP="00D47D8A">
      <w:pPr>
        <w:pStyle w:val="enumlev1"/>
        <w:rPr>
          <w:lang w:val="fr-CH"/>
        </w:rPr>
      </w:pPr>
      <w:r w:rsidRPr="00AD1F54">
        <w:rPr>
          <w:lang w:val="fr-CH"/>
        </w:rPr>
        <w:t>•</w:t>
      </w:r>
      <w:r>
        <w:rPr>
          <w:lang w:val="fr-CH"/>
        </w:rPr>
        <w:tab/>
      </w:r>
      <w:r w:rsidRPr="0024117F">
        <w:rPr>
          <w:lang w:val="fr-CH"/>
        </w:rPr>
        <w:t>Q</w:t>
      </w:r>
      <w:r w:rsidR="0024117F" w:rsidRPr="0024117F">
        <w:rPr>
          <w:lang w:val="fr-CH"/>
        </w:rPr>
        <w:t xml:space="preserve">uelles doivent être les caractéristiques d'une stratégie nationale </w:t>
      </w:r>
      <w:r w:rsidR="00D47D8A">
        <w:rPr>
          <w:lang w:val="fr-CH"/>
        </w:rPr>
        <w:t xml:space="preserve">pour </w:t>
      </w:r>
      <w:r w:rsidR="0024117F" w:rsidRPr="0024117F">
        <w:rPr>
          <w:lang w:val="fr-CH"/>
        </w:rPr>
        <w:t>encour</w:t>
      </w:r>
      <w:r>
        <w:rPr>
          <w:lang w:val="fr-CH"/>
        </w:rPr>
        <w:t>ager le développement de l'IA</w:t>
      </w:r>
      <w:r w:rsidR="0024117F" w:rsidRPr="0024117F">
        <w:rPr>
          <w:lang w:val="fr-CH"/>
        </w:rPr>
        <w:t>?</w:t>
      </w:r>
    </w:p>
    <w:p w:rsidR="0024117F" w:rsidRPr="0024117F" w:rsidRDefault="00AD1F54" w:rsidP="00D47D8A">
      <w:pPr>
        <w:pStyle w:val="enumlev1"/>
        <w:rPr>
          <w:lang w:val="fr-CH"/>
        </w:rPr>
      </w:pPr>
      <w:r w:rsidRPr="00AD1F54">
        <w:rPr>
          <w:lang w:val="fr-CH"/>
        </w:rPr>
        <w:t>•</w:t>
      </w:r>
      <w:r>
        <w:rPr>
          <w:lang w:val="fr-CH"/>
        </w:rPr>
        <w:tab/>
      </w:r>
      <w:r w:rsidRPr="0024117F">
        <w:rPr>
          <w:lang w:val="fr-CH"/>
        </w:rPr>
        <w:t>D</w:t>
      </w:r>
      <w:r w:rsidR="0024117F" w:rsidRPr="0024117F">
        <w:rPr>
          <w:lang w:val="fr-CH"/>
        </w:rPr>
        <w:t>e q</w:t>
      </w:r>
      <w:r w:rsidR="00D47D8A">
        <w:rPr>
          <w:lang w:val="fr-CH"/>
        </w:rPr>
        <w:t>uelle manière les technologies liées à l</w:t>
      </w:r>
      <w:r w:rsidR="0024117F" w:rsidRPr="0024117F">
        <w:rPr>
          <w:lang w:val="fr-CH"/>
        </w:rPr>
        <w:t>'IA favorisent-elles ou freinent-elles le développe</w:t>
      </w:r>
      <w:r>
        <w:rPr>
          <w:lang w:val="fr-CH"/>
        </w:rPr>
        <w:t>ment des télécommunications/TIC</w:t>
      </w:r>
      <w:r w:rsidR="0024117F" w:rsidRPr="0024117F">
        <w:rPr>
          <w:lang w:val="fr-CH"/>
        </w:rPr>
        <w:t xml:space="preserve">? </w:t>
      </w:r>
      <w:r w:rsidR="00D47D8A">
        <w:rPr>
          <w:lang w:val="fr-CH"/>
        </w:rPr>
        <w:t>À l'inverse</w:t>
      </w:r>
      <w:r w:rsidR="0024117F" w:rsidRPr="0024117F">
        <w:rPr>
          <w:lang w:val="fr-CH"/>
        </w:rPr>
        <w:t xml:space="preserve">, comment les TIC peuvent-elles favoriser les externalités positives de l'IA et faire en </w:t>
      </w:r>
      <w:r>
        <w:rPr>
          <w:lang w:val="fr-CH"/>
        </w:rPr>
        <w:t>sorte qu'elles profitent à tous</w:t>
      </w:r>
      <w:r w:rsidR="0024117F" w:rsidRPr="0024117F">
        <w:rPr>
          <w:lang w:val="fr-CH"/>
        </w:rPr>
        <w:t>?</w:t>
      </w:r>
    </w:p>
    <w:p w:rsidR="0024117F" w:rsidRPr="0024117F" w:rsidRDefault="00AD1F54" w:rsidP="00D47D8A">
      <w:pPr>
        <w:pStyle w:val="enumlev1"/>
        <w:rPr>
          <w:lang w:val="fr-CH"/>
        </w:rPr>
      </w:pPr>
      <w:r w:rsidRPr="00AD1F54">
        <w:rPr>
          <w:lang w:val="fr-CH"/>
        </w:rPr>
        <w:t>•</w:t>
      </w:r>
      <w:r>
        <w:rPr>
          <w:lang w:val="fr-CH"/>
        </w:rPr>
        <w:tab/>
      </w:r>
      <w:r w:rsidRPr="0024117F">
        <w:rPr>
          <w:lang w:val="fr-CH"/>
        </w:rPr>
        <w:t>C</w:t>
      </w:r>
      <w:r w:rsidR="0024117F" w:rsidRPr="0024117F">
        <w:rPr>
          <w:lang w:val="fr-CH"/>
        </w:rPr>
        <w:t xml:space="preserve">onviendrait-il de mettre en place un cadre éthique mondial pour </w:t>
      </w:r>
      <w:r w:rsidR="00D47D8A">
        <w:rPr>
          <w:lang w:val="fr-CH"/>
        </w:rPr>
        <w:t>promouvoir l'adoption d'</w:t>
      </w:r>
      <w:r w:rsidR="0024117F" w:rsidRPr="0024117F">
        <w:rPr>
          <w:lang w:val="fr-CH"/>
        </w:rPr>
        <w:t xml:space="preserve">un ensemble commun de principes </w:t>
      </w:r>
      <w:r w:rsidR="00D47D8A">
        <w:rPr>
          <w:lang w:val="fr-CH"/>
        </w:rPr>
        <w:t xml:space="preserve">définis d'un commun accord </w:t>
      </w:r>
      <w:r>
        <w:rPr>
          <w:lang w:val="fr-CH"/>
        </w:rPr>
        <w:t>pour la conception de l'IA</w:t>
      </w:r>
      <w:r w:rsidR="0024117F" w:rsidRPr="0024117F">
        <w:rPr>
          <w:lang w:val="fr-CH"/>
        </w:rPr>
        <w:t xml:space="preserve">? </w:t>
      </w:r>
      <w:r w:rsidRPr="0024117F">
        <w:rPr>
          <w:lang w:val="fr-CH"/>
        </w:rPr>
        <w:t>Q</w:t>
      </w:r>
      <w:r w:rsidR="0024117F" w:rsidRPr="0024117F">
        <w:rPr>
          <w:lang w:val="fr-CH"/>
        </w:rPr>
        <w:t>uels élémen</w:t>
      </w:r>
      <w:r>
        <w:rPr>
          <w:lang w:val="fr-CH"/>
        </w:rPr>
        <w:t xml:space="preserve">ts </w:t>
      </w:r>
      <w:r w:rsidR="00D47D8A">
        <w:rPr>
          <w:lang w:val="fr-CH"/>
        </w:rPr>
        <w:t xml:space="preserve">ce cadre </w:t>
      </w:r>
      <w:r>
        <w:rPr>
          <w:lang w:val="fr-CH"/>
        </w:rPr>
        <w:t>devrait-il prendre en compte</w:t>
      </w:r>
      <w:r w:rsidR="0024117F" w:rsidRPr="0024117F">
        <w:rPr>
          <w:lang w:val="fr-CH"/>
        </w:rPr>
        <w:t>?</w:t>
      </w:r>
    </w:p>
    <w:p w:rsidR="0024117F" w:rsidRPr="0024117F" w:rsidRDefault="00AD1F54" w:rsidP="00C1168D">
      <w:pPr>
        <w:pStyle w:val="enumlev1"/>
        <w:rPr>
          <w:lang w:val="fr-CH"/>
        </w:rPr>
      </w:pPr>
      <w:r w:rsidRPr="00AD1F54">
        <w:rPr>
          <w:lang w:val="fr-CH"/>
        </w:rPr>
        <w:lastRenderedPageBreak/>
        <w:t>•</w:t>
      </w:r>
      <w:r>
        <w:rPr>
          <w:lang w:val="fr-CH"/>
        </w:rPr>
        <w:tab/>
      </w:r>
      <w:r w:rsidRPr="0024117F">
        <w:rPr>
          <w:lang w:val="fr-CH"/>
        </w:rPr>
        <w:t>D</w:t>
      </w:r>
      <w:r w:rsidR="0024117F" w:rsidRPr="0024117F">
        <w:rPr>
          <w:lang w:val="fr-CH"/>
        </w:rPr>
        <w:t xml:space="preserve">ans le cas de l'apprentissage automatique, </w:t>
      </w:r>
      <w:r w:rsidR="00C1168D">
        <w:rPr>
          <w:lang w:val="fr-CH"/>
        </w:rPr>
        <w:t xml:space="preserve">qui constitue </w:t>
      </w:r>
      <w:r w:rsidR="0024117F" w:rsidRPr="0024117F">
        <w:rPr>
          <w:lang w:val="fr-CH"/>
        </w:rPr>
        <w:t>l'un</w:t>
      </w:r>
      <w:r w:rsidR="00C1168D">
        <w:rPr>
          <w:lang w:val="fr-CH"/>
        </w:rPr>
        <w:t>e</w:t>
      </w:r>
      <w:r w:rsidR="0024117F" w:rsidRPr="0024117F">
        <w:rPr>
          <w:lang w:val="fr-CH"/>
        </w:rPr>
        <w:t xml:space="preserve"> des </w:t>
      </w:r>
      <w:r w:rsidR="00C1168D">
        <w:rPr>
          <w:lang w:val="fr-CH"/>
        </w:rPr>
        <w:t xml:space="preserve">applications </w:t>
      </w:r>
      <w:r w:rsidR="0024117F" w:rsidRPr="0024117F">
        <w:rPr>
          <w:lang w:val="fr-CH"/>
        </w:rPr>
        <w:t>les plus courant</w:t>
      </w:r>
      <w:r w:rsidR="00C1168D">
        <w:rPr>
          <w:lang w:val="fr-CH"/>
        </w:rPr>
        <w:t>e</w:t>
      </w:r>
      <w:r w:rsidR="0024117F" w:rsidRPr="0024117F">
        <w:rPr>
          <w:lang w:val="fr-CH"/>
        </w:rPr>
        <w:t>s de l'IA, il existe au moins trois</w:t>
      </w:r>
      <w:bookmarkStart w:id="9" w:name="_GoBack"/>
      <w:bookmarkEnd w:id="9"/>
      <w:r w:rsidR="0024117F" w:rsidRPr="0024117F">
        <w:rPr>
          <w:lang w:val="fr-CH"/>
        </w:rPr>
        <w:t xml:space="preserve"> </w:t>
      </w:r>
      <w:r w:rsidR="00C1168D">
        <w:rPr>
          <w:lang w:val="fr-CH"/>
        </w:rPr>
        <w:t xml:space="preserve">cas dans lesquels </w:t>
      </w:r>
      <w:r w:rsidR="0024117F" w:rsidRPr="0024117F">
        <w:rPr>
          <w:lang w:val="fr-CH"/>
        </w:rPr>
        <w:t>une personne intervient directement: la sélectio</w:t>
      </w:r>
      <w:r w:rsidR="00C1168D">
        <w:rPr>
          <w:lang w:val="fr-CH"/>
        </w:rPr>
        <w:t>n et la préparation des données,</w:t>
      </w:r>
      <w:r w:rsidR="0024117F" w:rsidRPr="0024117F">
        <w:rPr>
          <w:lang w:val="fr-CH"/>
        </w:rPr>
        <w:t xml:space="preserve"> la conception de solutions </w:t>
      </w:r>
      <w:r w:rsidR="00C1168D">
        <w:rPr>
          <w:lang w:val="fr-CH"/>
        </w:rPr>
        <w:t xml:space="preserve">et </w:t>
      </w:r>
      <w:r w:rsidR="0024117F" w:rsidRPr="0024117F">
        <w:rPr>
          <w:lang w:val="fr-CH"/>
        </w:rPr>
        <w:t xml:space="preserve">la définition de la réussite et l'intention d'utiliser le système. Quelles sont les précautions à prendre pour </w:t>
      </w:r>
      <w:r w:rsidR="00C1168D">
        <w:rPr>
          <w:lang w:val="fr-CH"/>
        </w:rPr>
        <w:t xml:space="preserve">que </w:t>
      </w:r>
      <w:r w:rsidR="0024117F" w:rsidRPr="0024117F">
        <w:rPr>
          <w:lang w:val="fr-CH"/>
        </w:rPr>
        <w:t xml:space="preserve">l'apprentissage automatique </w:t>
      </w:r>
      <w:r w:rsidR="00C1168D">
        <w:rPr>
          <w:lang w:val="fr-CH"/>
        </w:rPr>
        <w:t xml:space="preserve">soit conçu </w:t>
      </w:r>
      <w:r w:rsidR="0024117F" w:rsidRPr="0024117F">
        <w:rPr>
          <w:lang w:val="fr-CH"/>
        </w:rPr>
        <w:t>de maniè</w:t>
      </w:r>
      <w:r>
        <w:rPr>
          <w:lang w:val="fr-CH"/>
        </w:rPr>
        <w:t xml:space="preserve">re </w:t>
      </w:r>
      <w:r w:rsidR="00C1168D">
        <w:rPr>
          <w:lang w:val="fr-CH"/>
        </w:rPr>
        <w:t>fiable</w:t>
      </w:r>
      <w:r>
        <w:rPr>
          <w:lang w:val="fr-CH"/>
        </w:rPr>
        <w:t>, équitable et inclusive</w:t>
      </w:r>
      <w:r w:rsidR="0024117F" w:rsidRPr="0024117F">
        <w:rPr>
          <w:lang w:val="fr-CH"/>
        </w:rPr>
        <w:t>?</w:t>
      </w:r>
    </w:p>
    <w:p w:rsidR="0024117F" w:rsidRPr="0024117F" w:rsidRDefault="00AD1F54" w:rsidP="00C1168D">
      <w:pPr>
        <w:pStyle w:val="enumlev1"/>
        <w:rPr>
          <w:lang w:val="fr-CH"/>
        </w:rPr>
      </w:pPr>
      <w:r w:rsidRPr="00AD1F54">
        <w:rPr>
          <w:lang w:val="fr-CH"/>
        </w:rPr>
        <w:t>•</w:t>
      </w:r>
      <w:r>
        <w:rPr>
          <w:lang w:val="fr-CH"/>
        </w:rPr>
        <w:tab/>
      </w:r>
      <w:r w:rsidRPr="0024117F">
        <w:rPr>
          <w:lang w:val="fr-CH"/>
        </w:rPr>
        <w:t>C</w:t>
      </w:r>
      <w:r w:rsidR="0024117F" w:rsidRPr="0024117F">
        <w:rPr>
          <w:lang w:val="fr-CH"/>
        </w:rPr>
        <w:t xml:space="preserve">omment </w:t>
      </w:r>
      <w:r w:rsidR="00C1168D">
        <w:rPr>
          <w:lang w:val="fr-CH"/>
        </w:rPr>
        <w:t xml:space="preserve">préserver et </w:t>
      </w:r>
      <w:r w:rsidR="0024117F" w:rsidRPr="0024117F">
        <w:rPr>
          <w:lang w:val="fr-CH"/>
        </w:rPr>
        <w:t xml:space="preserve">protéger les données personnelles </w:t>
      </w:r>
      <w:r w:rsidR="00C1168D">
        <w:rPr>
          <w:lang w:val="fr-CH"/>
        </w:rPr>
        <w:t>lors du processus d</w:t>
      </w:r>
      <w:r w:rsidR="0024117F" w:rsidRPr="0024117F">
        <w:rPr>
          <w:lang w:val="fr-CH"/>
        </w:rPr>
        <w:t xml:space="preserve">'apprentissage et </w:t>
      </w:r>
      <w:r w:rsidR="00C1168D">
        <w:rPr>
          <w:lang w:val="fr-CH"/>
        </w:rPr>
        <w:t xml:space="preserve">d'entraînement </w:t>
      </w:r>
      <w:r w:rsidR="0024117F" w:rsidRPr="0024117F">
        <w:rPr>
          <w:lang w:val="fr-CH"/>
        </w:rPr>
        <w:t>de l'IA</w:t>
      </w:r>
      <w:r w:rsidR="00C1168D">
        <w:rPr>
          <w:lang w:val="fr-CH"/>
        </w:rPr>
        <w:t xml:space="preserve">, sur le plan de la </w:t>
      </w:r>
      <w:r w:rsidR="0024117F" w:rsidRPr="0024117F">
        <w:rPr>
          <w:lang w:val="fr-CH"/>
        </w:rPr>
        <w:t>confidentialité e</w:t>
      </w:r>
      <w:r>
        <w:rPr>
          <w:lang w:val="fr-CH"/>
        </w:rPr>
        <w:t>t d'autres questions juridiques</w:t>
      </w:r>
      <w:r w:rsidR="0024117F" w:rsidRPr="0024117F">
        <w:rPr>
          <w:lang w:val="fr-CH"/>
        </w:rPr>
        <w:t>?</w:t>
      </w:r>
    </w:p>
    <w:p w:rsidR="0024117F" w:rsidRPr="0024117F" w:rsidRDefault="00AD1F54" w:rsidP="00C1168D">
      <w:pPr>
        <w:pStyle w:val="enumlev1"/>
        <w:rPr>
          <w:lang w:val="fr-CH"/>
        </w:rPr>
      </w:pPr>
      <w:r w:rsidRPr="00AD1F54">
        <w:rPr>
          <w:lang w:val="fr-CH"/>
        </w:rPr>
        <w:t>•</w:t>
      </w:r>
      <w:r>
        <w:rPr>
          <w:lang w:val="fr-CH"/>
        </w:rPr>
        <w:tab/>
      </w:r>
      <w:r w:rsidRPr="0024117F">
        <w:rPr>
          <w:lang w:val="fr-CH"/>
        </w:rPr>
        <w:t>C</w:t>
      </w:r>
      <w:r w:rsidR="0024117F" w:rsidRPr="0024117F">
        <w:rPr>
          <w:lang w:val="fr-CH"/>
        </w:rPr>
        <w:t xml:space="preserve">omment les pouvoirs publics et le secteur privé peuvent-ils collaborer pour </w:t>
      </w:r>
      <w:r w:rsidR="00C1168D">
        <w:rPr>
          <w:lang w:val="fr-CH"/>
        </w:rPr>
        <w:t xml:space="preserve">que le </w:t>
      </w:r>
      <w:r w:rsidR="0024117F" w:rsidRPr="0024117F">
        <w:rPr>
          <w:lang w:val="fr-CH"/>
        </w:rPr>
        <w:t xml:space="preserve">marché du travail </w:t>
      </w:r>
      <w:r w:rsidR="00C1168D">
        <w:rPr>
          <w:lang w:val="fr-CH"/>
        </w:rPr>
        <w:t xml:space="preserve">ait </w:t>
      </w:r>
      <w:r w:rsidR="0024117F" w:rsidRPr="0024117F">
        <w:rPr>
          <w:lang w:val="fr-CH"/>
        </w:rPr>
        <w:t xml:space="preserve">accès aux TIC et </w:t>
      </w:r>
      <w:r w:rsidR="00C1168D">
        <w:rPr>
          <w:lang w:val="fr-CH"/>
        </w:rPr>
        <w:t xml:space="preserve">dispose </w:t>
      </w:r>
      <w:r w:rsidR="0024117F" w:rsidRPr="0024117F">
        <w:rPr>
          <w:lang w:val="fr-CH"/>
        </w:rPr>
        <w:t xml:space="preserve">des compétences </w:t>
      </w:r>
      <w:r w:rsidR="00C1168D">
        <w:rPr>
          <w:lang w:val="fr-CH"/>
        </w:rPr>
        <w:t xml:space="preserve">appropriées </w:t>
      </w:r>
      <w:r w:rsidR="0024117F" w:rsidRPr="0024117F">
        <w:rPr>
          <w:lang w:val="fr-CH"/>
        </w:rPr>
        <w:t>dans ce domaine, dans une économie où l'IA occupe une place toujours plus</w:t>
      </w:r>
      <w:r>
        <w:rPr>
          <w:lang w:val="fr-CH"/>
        </w:rPr>
        <w:t xml:space="preserve"> importante</w:t>
      </w:r>
      <w:r w:rsidR="00605C01">
        <w:rPr>
          <w:lang w:val="fr-CH"/>
        </w:rPr>
        <w:t>?</w:t>
      </w:r>
    </w:p>
    <w:p w:rsidR="0024117F" w:rsidRPr="0024117F" w:rsidRDefault="00AD1F54" w:rsidP="00C1168D">
      <w:pPr>
        <w:pStyle w:val="enumlev1"/>
        <w:rPr>
          <w:lang w:val="fr-CH"/>
        </w:rPr>
      </w:pPr>
      <w:r w:rsidRPr="00AD1F54">
        <w:rPr>
          <w:lang w:val="fr-CH"/>
        </w:rPr>
        <w:t>•</w:t>
      </w:r>
      <w:r>
        <w:rPr>
          <w:lang w:val="fr-CH"/>
        </w:rPr>
        <w:tab/>
      </w:r>
      <w:r w:rsidRPr="0024117F">
        <w:rPr>
          <w:lang w:val="fr-CH"/>
        </w:rPr>
        <w:t>Q</w:t>
      </w:r>
      <w:r w:rsidR="0024117F" w:rsidRPr="0024117F">
        <w:rPr>
          <w:lang w:val="fr-CH"/>
        </w:rPr>
        <w:t xml:space="preserve">uelles mesures peuvent être prises par chaque partie prenante pour </w:t>
      </w:r>
      <w:r w:rsidR="00C1168D">
        <w:rPr>
          <w:lang w:val="fr-CH"/>
        </w:rPr>
        <w:t xml:space="preserve">accélérer le développement </w:t>
      </w:r>
      <w:r w:rsidR="0024117F" w:rsidRPr="0024117F">
        <w:rPr>
          <w:lang w:val="fr-CH"/>
        </w:rPr>
        <w:t>d'une IA respect</w:t>
      </w:r>
      <w:r>
        <w:rPr>
          <w:lang w:val="fr-CH"/>
        </w:rPr>
        <w:t>ueuse de l'éthique et bénéfique</w:t>
      </w:r>
      <w:r w:rsidR="0024117F" w:rsidRPr="0024117F">
        <w:rPr>
          <w:lang w:val="fr-CH"/>
        </w:rPr>
        <w:t>?</w:t>
      </w:r>
    </w:p>
    <w:p w:rsidR="00520F36" w:rsidRDefault="00AD1F54" w:rsidP="00C1168D">
      <w:pPr>
        <w:pStyle w:val="enumlev1"/>
        <w:rPr>
          <w:lang w:val="fr-CH"/>
        </w:rPr>
      </w:pPr>
      <w:r w:rsidRPr="00AD1F54">
        <w:rPr>
          <w:lang w:val="fr-CH"/>
        </w:rPr>
        <w:t>•</w:t>
      </w:r>
      <w:r>
        <w:rPr>
          <w:lang w:val="fr-CH"/>
        </w:rPr>
        <w:tab/>
      </w:r>
      <w:r w:rsidRPr="0024117F">
        <w:rPr>
          <w:lang w:val="fr-CH"/>
        </w:rPr>
        <w:t>D</w:t>
      </w:r>
      <w:r w:rsidR="0024117F" w:rsidRPr="0024117F">
        <w:rPr>
          <w:lang w:val="fr-CH"/>
        </w:rPr>
        <w:t>evrait-il exister un cadre international sur l'I</w:t>
      </w:r>
      <w:r>
        <w:rPr>
          <w:lang w:val="fr-CH"/>
        </w:rPr>
        <w:t>A</w:t>
      </w:r>
      <w:r w:rsidR="0024117F" w:rsidRPr="0024117F">
        <w:rPr>
          <w:lang w:val="fr-CH"/>
        </w:rPr>
        <w:t xml:space="preserve">? </w:t>
      </w:r>
      <w:r w:rsidRPr="0024117F">
        <w:rPr>
          <w:lang w:val="fr-CH"/>
        </w:rPr>
        <w:t>Q</w:t>
      </w:r>
      <w:r w:rsidR="0024117F" w:rsidRPr="0024117F">
        <w:rPr>
          <w:lang w:val="fr-CH"/>
        </w:rPr>
        <w:t xml:space="preserve">uelle structure de gouvernance mondiale </w:t>
      </w:r>
      <w:r w:rsidR="00C1168D">
        <w:rPr>
          <w:lang w:val="fr-CH"/>
        </w:rPr>
        <w:t>faudrait-il prévoir pour le développement de l'IA</w:t>
      </w:r>
      <w:r w:rsidR="0024117F" w:rsidRPr="0024117F">
        <w:rPr>
          <w:lang w:val="fr-CH"/>
        </w:rPr>
        <w:t>?</w:t>
      </w:r>
    </w:p>
    <w:p w:rsidR="00C1168D" w:rsidRDefault="00C1168D" w:rsidP="00411C49">
      <w:pPr>
        <w:pStyle w:val="Reasons"/>
      </w:pPr>
    </w:p>
    <w:p w:rsidR="00C1168D" w:rsidRPr="00CA08ED" w:rsidRDefault="00C1168D" w:rsidP="00C1168D">
      <w:pPr>
        <w:jc w:val="center"/>
      </w:pPr>
      <w:r>
        <w:t>______________</w:t>
      </w:r>
    </w:p>
    <w:sectPr w:rsidR="00C1168D" w:rsidRPr="00CA08ED" w:rsidSect="005C3890">
      <w:headerReference w:type="even" r:id="rId16"/>
      <w:headerReference w:type="default" r:id="rId17"/>
      <w:footerReference w:type="even" r:id="rId18"/>
      <w:footerReference w:type="default" r:id="rId19"/>
      <w:footerReference w:type="first" r:id="rId20"/>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168" w:rsidRDefault="00533168">
      <w:r>
        <w:separator/>
      </w:r>
    </w:p>
  </w:endnote>
  <w:endnote w:type="continuationSeparator" w:id="0">
    <w:p w:rsidR="00533168" w:rsidRDefault="0053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3805DE">
    <w:pPr>
      <w:pStyle w:val="Footer"/>
    </w:pPr>
    <w:r>
      <w:fldChar w:fldCharType="begin"/>
    </w:r>
    <w:r>
      <w:instrText xml:space="preserve"> FILENAME \p \* MERGEFORMAT </w:instrText>
    </w:r>
    <w:r>
      <w:fldChar w:fldCharType="separate"/>
    </w:r>
    <w:r w:rsidR="00533168">
      <w:t>Document2</w:t>
    </w:r>
    <w:r>
      <w:fldChar w:fldCharType="end"/>
    </w:r>
    <w:r w:rsidR="00732045">
      <w:tab/>
    </w:r>
    <w:r w:rsidR="002F1B76">
      <w:fldChar w:fldCharType="begin"/>
    </w:r>
    <w:r w:rsidR="00732045">
      <w:instrText xml:space="preserve"> savedate \@ dd.MM.yy </w:instrText>
    </w:r>
    <w:r w:rsidR="002F1B76">
      <w:fldChar w:fldCharType="separate"/>
    </w:r>
    <w:r w:rsidR="00C92876">
      <w:t>31.05.19</w:t>
    </w:r>
    <w:r w:rsidR="002F1B76">
      <w:fldChar w:fldCharType="end"/>
    </w:r>
    <w:r w:rsidR="00732045">
      <w:tab/>
    </w:r>
    <w:r w:rsidR="002F1B76">
      <w:fldChar w:fldCharType="begin"/>
    </w:r>
    <w:r w:rsidR="00732045">
      <w:instrText xml:space="preserve"> printdate \@ dd.MM.yy </w:instrText>
    </w:r>
    <w:r w:rsidR="002F1B76">
      <w:fldChar w:fldCharType="separate"/>
    </w:r>
    <w:r w:rsidR="00533168">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8E164F" w:rsidRDefault="00BF2688" w:rsidP="008E164F">
    <w:pPr>
      <w:pStyle w:val="Footer"/>
    </w:pPr>
    <w:fldSimple w:instr=" FILENAME \p  \* MERGEFORMAT ">
      <w:r w:rsidR="008E164F">
        <w:t>P:\FRA\SG\CONSEIL\C19\000\066F.docx</w:t>
      </w:r>
    </w:fldSimple>
    <w:r w:rsidR="008E164F">
      <w:t xml:space="preserve"> (455978)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168" w:rsidRDefault="00533168">
      <w:r>
        <w:t>____________________</w:t>
      </w:r>
    </w:p>
  </w:footnote>
  <w:footnote w:type="continuationSeparator" w:id="0">
    <w:p w:rsidR="00533168" w:rsidRDefault="00533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3805DE">
      <w:rPr>
        <w:noProof/>
      </w:rPr>
      <w:t>6</w:t>
    </w:r>
    <w:r>
      <w:rPr>
        <w:noProof/>
      </w:rPr>
      <w:fldChar w:fldCharType="end"/>
    </w:r>
  </w:p>
  <w:p w:rsidR="00732045" w:rsidRDefault="00732045" w:rsidP="00106B19">
    <w:pPr>
      <w:pStyle w:val="Header"/>
    </w:pPr>
    <w:r>
      <w:t>C1</w:t>
    </w:r>
    <w:r w:rsidR="00106B19">
      <w:t>9</w:t>
    </w:r>
    <w:r w:rsidR="008E164F">
      <w:t>/66</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37BB"/>
    <w:multiLevelType w:val="hybridMultilevel"/>
    <w:tmpl w:val="D5C0BB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8071587"/>
    <w:multiLevelType w:val="hybridMultilevel"/>
    <w:tmpl w:val="F1CA73AE"/>
    <w:lvl w:ilvl="0" w:tplc="16841D28">
      <w:numFmt w:val="bullet"/>
      <w:lvlText w:val="-"/>
      <w:lvlJc w:val="left"/>
      <w:pPr>
        <w:ind w:left="720" w:hanging="360"/>
      </w:pPr>
      <w:rPr>
        <w:rFonts w:ascii="Calibri" w:eastAsia="Times New Roman" w:hAnsi="Calibri"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168"/>
    <w:rsid w:val="000D0D0A"/>
    <w:rsid w:val="000E466E"/>
    <w:rsid w:val="00103163"/>
    <w:rsid w:val="00106B19"/>
    <w:rsid w:val="00115D93"/>
    <w:rsid w:val="001247A8"/>
    <w:rsid w:val="001378C0"/>
    <w:rsid w:val="0016110B"/>
    <w:rsid w:val="0018694A"/>
    <w:rsid w:val="001A3287"/>
    <w:rsid w:val="001A6508"/>
    <w:rsid w:val="001D4C31"/>
    <w:rsid w:val="001E4D21"/>
    <w:rsid w:val="00207CD1"/>
    <w:rsid w:val="0024117F"/>
    <w:rsid w:val="002477A2"/>
    <w:rsid w:val="00263A51"/>
    <w:rsid w:val="00267E02"/>
    <w:rsid w:val="002A5D44"/>
    <w:rsid w:val="002C7169"/>
    <w:rsid w:val="002E0BC4"/>
    <w:rsid w:val="002F1B76"/>
    <w:rsid w:val="0033568E"/>
    <w:rsid w:val="00355FF5"/>
    <w:rsid w:val="00361350"/>
    <w:rsid w:val="003805DE"/>
    <w:rsid w:val="003B39C1"/>
    <w:rsid w:val="003C3FAE"/>
    <w:rsid w:val="004038CB"/>
    <w:rsid w:val="0040546F"/>
    <w:rsid w:val="0042404A"/>
    <w:rsid w:val="0044618F"/>
    <w:rsid w:val="0046769A"/>
    <w:rsid w:val="00475FB3"/>
    <w:rsid w:val="00480B44"/>
    <w:rsid w:val="004A7CE1"/>
    <w:rsid w:val="004C37A9"/>
    <w:rsid w:val="004F259E"/>
    <w:rsid w:val="00511F1D"/>
    <w:rsid w:val="00520F36"/>
    <w:rsid w:val="00533168"/>
    <w:rsid w:val="00540615"/>
    <w:rsid w:val="00540A6D"/>
    <w:rsid w:val="00571EEA"/>
    <w:rsid w:val="00575417"/>
    <w:rsid w:val="005768E1"/>
    <w:rsid w:val="005B1938"/>
    <w:rsid w:val="005C3890"/>
    <w:rsid w:val="005F7BFE"/>
    <w:rsid w:val="00600017"/>
    <w:rsid w:val="00605C01"/>
    <w:rsid w:val="006235CA"/>
    <w:rsid w:val="006643AB"/>
    <w:rsid w:val="007210CD"/>
    <w:rsid w:val="00732045"/>
    <w:rsid w:val="007369DB"/>
    <w:rsid w:val="00770644"/>
    <w:rsid w:val="007956C2"/>
    <w:rsid w:val="007A187E"/>
    <w:rsid w:val="007C72C2"/>
    <w:rsid w:val="007D4436"/>
    <w:rsid w:val="007F257A"/>
    <w:rsid w:val="007F3665"/>
    <w:rsid w:val="00800037"/>
    <w:rsid w:val="00861D73"/>
    <w:rsid w:val="00880A62"/>
    <w:rsid w:val="008A4E87"/>
    <w:rsid w:val="008D76E6"/>
    <w:rsid w:val="008E164F"/>
    <w:rsid w:val="0092392D"/>
    <w:rsid w:val="0093234A"/>
    <w:rsid w:val="009C307F"/>
    <w:rsid w:val="00A2113E"/>
    <w:rsid w:val="00A23A51"/>
    <w:rsid w:val="00A24607"/>
    <w:rsid w:val="00A25CD3"/>
    <w:rsid w:val="00A82767"/>
    <w:rsid w:val="00A93EDF"/>
    <w:rsid w:val="00AA332F"/>
    <w:rsid w:val="00AA7BBB"/>
    <w:rsid w:val="00AB64A8"/>
    <w:rsid w:val="00AC0266"/>
    <w:rsid w:val="00AC5AAE"/>
    <w:rsid w:val="00AD1F54"/>
    <w:rsid w:val="00AD24EC"/>
    <w:rsid w:val="00B309F9"/>
    <w:rsid w:val="00B32B60"/>
    <w:rsid w:val="00B61619"/>
    <w:rsid w:val="00BB4545"/>
    <w:rsid w:val="00BD5873"/>
    <w:rsid w:val="00BF2688"/>
    <w:rsid w:val="00C04BE3"/>
    <w:rsid w:val="00C1168D"/>
    <w:rsid w:val="00C25D29"/>
    <w:rsid w:val="00C27A7C"/>
    <w:rsid w:val="00C92876"/>
    <w:rsid w:val="00CA08ED"/>
    <w:rsid w:val="00CF183B"/>
    <w:rsid w:val="00D375CD"/>
    <w:rsid w:val="00D47D8A"/>
    <w:rsid w:val="00D553A2"/>
    <w:rsid w:val="00D774D3"/>
    <w:rsid w:val="00D904E8"/>
    <w:rsid w:val="00DA08C3"/>
    <w:rsid w:val="00DB5A3E"/>
    <w:rsid w:val="00DC22AA"/>
    <w:rsid w:val="00DF74DD"/>
    <w:rsid w:val="00E22CCF"/>
    <w:rsid w:val="00E25AD0"/>
    <w:rsid w:val="00E62482"/>
    <w:rsid w:val="00EB6350"/>
    <w:rsid w:val="00ED1206"/>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3A44FE1-BB70-439F-AABE-D0FCD59E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CommentReference">
    <w:name w:val="annotation reference"/>
    <w:basedOn w:val="DefaultParagraphFont"/>
    <w:semiHidden/>
    <w:unhideWhenUsed/>
    <w:rsid w:val="0024117F"/>
    <w:rPr>
      <w:sz w:val="16"/>
      <w:szCs w:val="16"/>
    </w:rPr>
  </w:style>
  <w:style w:type="paragraph" w:styleId="CommentText">
    <w:name w:val="annotation text"/>
    <w:basedOn w:val="Normal"/>
    <w:link w:val="CommentTextChar"/>
    <w:semiHidden/>
    <w:unhideWhenUsed/>
    <w:rsid w:val="0024117F"/>
    <w:rPr>
      <w:sz w:val="20"/>
      <w:lang w:val="en-GB"/>
    </w:rPr>
  </w:style>
  <w:style w:type="character" w:customStyle="1" w:styleId="CommentTextChar">
    <w:name w:val="Comment Text Char"/>
    <w:basedOn w:val="DefaultParagraphFont"/>
    <w:link w:val="CommentText"/>
    <w:semiHidden/>
    <w:rsid w:val="0024117F"/>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102-F.pdf" TargetMode="External"/><Relationship Id="rId13" Type="http://schemas.openxmlformats.org/officeDocument/2006/relationships/hyperlink" Target="https://www.itu.int/md/S19-RCLINTPOL12-C-0009/f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itu.int/md/S19-RCLINTPOL12-C-0006/f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9-RCLINTPOL12-C-0005/fr" TargetMode="External"/><Relationship Id="rId5" Type="http://schemas.openxmlformats.org/officeDocument/2006/relationships/footnotes" Target="footnotes.xml"/><Relationship Id="rId15" Type="http://schemas.openxmlformats.org/officeDocument/2006/relationships/hyperlink" Target="https://www.itu.int/en/council/Documents/basic-texts/RES-203-F.pdf" TargetMode="External"/><Relationship Id="rId10" Type="http://schemas.openxmlformats.org/officeDocument/2006/relationships/hyperlink" Target="https://www.itu.int/md/S15-CL-C-0112/e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S15-CL-C-0113/fr" TargetMode="External"/><Relationship Id="rId14" Type="http://schemas.openxmlformats.org/officeDocument/2006/relationships/hyperlink" Target="https://www.itu.int/md/S19-RCLINTPOL12-C-0010/fr"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y\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PF_C19.dotx</Template>
  <TotalTime>145</TotalTime>
  <Pages>6</Pages>
  <Words>2171</Words>
  <Characters>13078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15219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Lamy, Sylvie</dc:creator>
  <cp:keywords>C2018, C18</cp:keywords>
  <dc:description/>
  <cp:lastModifiedBy>Royer, Veronique</cp:lastModifiedBy>
  <cp:revision>18</cp:revision>
  <cp:lastPrinted>2000-07-18T08:55:00Z</cp:lastPrinted>
  <dcterms:created xsi:type="dcterms:W3CDTF">2019-05-31T08:10:00Z</dcterms:created>
  <dcterms:modified xsi:type="dcterms:W3CDTF">2019-06-03T10:16:00Z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