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992B7E" w:rsidRDefault="00C002DE" w:rsidP="008856B4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992B7E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992B7E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992B7E" w:rsidRPr="00992B7E">
              <w:rPr>
                <w:b/>
                <w:bCs/>
                <w:lang w:bidi="ar-EG"/>
              </w:rPr>
              <w:t>PL</w:t>
            </w:r>
            <w:r w:rsidR="008856B4">
              <w:rPr>
                <w:b/>
                <w:bCs/>
                <w:lang w:bidi="ar-EG"/>
              </w:rPr>
              <w:t> </w:t>
            </w:r>
            <w:r w:rsidR="00992B7E" w:rsidRPr="00992B7E">
              <w:rPr>
                <w:b/>
                <w:bCs/>
                <w:lang w:bidi="ar-EG"/>
              </w:rPr>
              <w:t>1.7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992B7E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992B7E">
              <w:rPr>
                <w:b/>
                <w:bCs/>
                <w:lang w:bidi="ar-SY"/>
              </w:rPr>
              <w:t>69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992B7E" w:rsidRDefault="00992B7E" w:rsidP="00992B7E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992B7E">
              <w:rPr>
                <w:b/>
                <w:bCs/>
                <w:lang w:bidi="ar-SY"/>
              </w:rPr>
              <w:t>26</w:t>
            </w:r>
            <w:r w:rsidR="00290728" w:rsidRPr="00992B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992B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992B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 w:rsidRPr="00992B7E">
              <w:rPr>
                <w:b/>
                <w:bCs/>
                <w:lang w:bidi="ar-SY"/>
              </w:rPr>
              <w:t>201</w:t>
            </w:r>
            <w:r w:rsidR="00D10CCF" w:rsidRPr="00992B7E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992B7E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992B7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992B7E" w:rsidP="00290728">
            <w:pPr>
              <w:pStyle w:val="Source"/>
              <w:rPr>
                <w:rtl/>
                <w:lang w:bidi="ar-SY"/>
              </w:rPr>
            </w:pPr>
            <w:r w:rsidRPr="000E08F0">
              <w:rPr>
                <w:rFonts w:hint="cs"/>
                <w:rtl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Default="002422C1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مساهمة من ز</w:t>
            </w:r>
            <w:r w:rsidR="007D24AB">
              <w:rPr>
                <w:rFonts w:hint="cs"/>
                <w:rtl/>
              </w:rPr>
              <w:t>مبابوي</w:t>
            </w:r>
          </w:p>
          <w:p w:rsidR="00992B7E" w:rsidRPr="00383829" w:rsidRDefault="00992B7E" w:rsidP="00383829">
            <w:pPr>
              <w:pStyle w:val="Title1"/>
              <w:rPr>
                <w:rtl/>
              </w:rPr>
            </w:pPr>
            <w:r w:rsidRPr="008E4F71">
              <w:rPr>
                <w:rFonts w:hint="cs"/>
                <w:rtl/>
              </w:rPr>
              <w:t>اختصاصات فريق</w:t>
            </w:r>
            <w:r w:rsidRPr="008E4F71">
              <w:rPr>
                <w:rtl/>
              </w:rPr>
              <w:t xml:space="preserve"> </w:t>
            </w:r>
            <w:r w:rsidRPr="008E4F71">
              <w:rPr>
                <w:rFonts w:hint="cs"/>
                <w:rtl/>
              </w:rPr>
              <w:t>الخبراء</w:t>
            </w:r>
            <w:r w:rsidRPr="008E4F71">
              <w:rPr>
                <w:rtl/>
              </w:rPr>
              <w:t xml:space="preserve"> </w:t>
            </w:r>
            <w:r w:rsidRPr="008E4F71">
              <w:rPr>
                <w:rFonts w:hint="cs"/>
                <w:rtl/>
              </w:rPr>
              <w:t>المعني</w:t>
            </w:r>
            <w:r w:rsidRPr="008E4F71">
              <w:rPr>
                <w:rtl/>
              </w:rPr>
              <w:t xml:space="preserve"> </w:t>
            </w:r>
            <w:r w:rsidRPr="008E4F71">
              <w:rPr>
                <w:rFonts w:hint="cs"/>
                <w:rtl/>
              </w:rPr>
              <w:t>بلوائح</w:t>
            </w:r>
            <w:r w:rsidRPr="008E4F71">
              <w:rPr>
                <w:rtl/>
              </w:rPr>
              <w:t xml:space="preserve"> </w:t>
            </w:r>
            <w:r w:rsidRPr="008E4F71">
              <w:rPr>
                <w:rFonts w:hint="cs"/>
                <w:rtl/>
              </w:rPr>
              <w:t>الاتصالات</w:t>
            </w:r>
            <w:r w:rsidRPr="008E4F71">
              <w:rPr>
                <w:rtl/>
              </w:rPr>
              <w:t xml:space="preserve"> </w:t>
            </w:r>
            <w:r w:rsidRPr="008E4F71">
              <w:rPr>
                <w:rFonts w:hint="cs"/>
                <w:rtl/>
              </w:rPr>
              <w:t>الدولية</w:t>
            </w:r>
            <w:r>
              <w:rPr>
                <w:rFonts w:hint="cs"/>
                <w:rtl/>
              </w:rPr>
              <w:t> </w:t>
            </w:r>
            <w:r w:rsidRPr="008E4F71">
              <w:rPr>
                <w:lang w:bidi="ar-EG"/>
              </w:rPr>
              <w:t>(EG-ITR)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p w:rsidR="00992B7E" w:rsidRPr="000E08F0" w:rsidRDefault="00992B7E" w:rsidP="00407AF7">
      <w:pPr>
        <w:spacing w:before="480"/>
      </w:pPr>
      <w:r w:rsidRPr="007D24AB">
        <w:rPr>
          <w:rFonts w:hint="cs"/>
          <w:rtl/>
        </w:rPr>
        <w:t xml:space="preserve">يشرفني أن أحيل إلى الدول الأعضاء في المجلس </w:t>
      </w:r>
      <w:r w:rsidRPr="007D24AB">
        <w:rPr>
          <w:rFonts w:hint="eastAsia"/>
          <w:rtl/>
          <w:lang w:bidi="ar-SY"/>
        </w:rPr>
        <w:t>مساهمة</w:t>
      </w:r>
      <w:r w:rsidRPr="007D24AB">
        <w:rPr>
          <w:rtl/>
          <w:lang w:bidi="ar-SY"/>
        </w:rPr>
        <w:t xml:space="preserve"> </w:t>
      </w:r>
      <w:r w:rsidRPr="007D24AB">
        <w:rPr>
          <w:rFonts w:hint="cs"/>
          <w:rtl/>
          <w:lang w:bidi="ar-SY"/>
        </w:rPr>
        <w:t xml:space="preserve">مقدمة </w:t>
      </w:r>
      <w:r w:rsidRPr="007D24AB">
        <w:rPr>
          <w:rFonts w:hint="eastAsia"/>
          <w:rtl/>
          <w:lang w:bidi="ar-SY"/>
        </w:rPr>
        <w:t>من</w:t>
      </w:r>
      <w:r w:rsidRPr="007D24AB">
        <w:rPr>
          <w:rFonts w:hint="cs"/>
          <w:rtl/>
          <w:lang w:bidi="ar-SY"/>
        </w:rPr>
        <w:t xml:space="preserve"> </w:t>
      </w:r>
      <w:r w:rsidR="002422C1" w:rsidRPr="005005DA">
        <w:rPr>
          <w:rFonts w:hint="cs"/>
          <w:rtl/>
        </w:rPr>
        <w:t>ز</w:t>
      </w:r>
      <w:r w:rsidR="007D24AB" w:rsidRPr="005005DA">
        <w:rPr>
          <w:rFonts w:hint="cs"/>
          <w:rtl/>
        </w:rPr>
        <w:t>مبابوي</w:t>
      </w:r>
      <w:r w:rsidRPr="007D24AB">
        <w:rPr>
          <w:rFonts w:hint="cs"/>
          <w:rtl/>
        </w:rPr>
        <w:t>.</w:t>
      </w:r>
    </w:p>
    <w:p w:rsidR="00992B7E" w:rsidRPr="000E08F0" w:rsidRDefault="00992B7E" w:rsidP="00992B7E">
      <w:pPr>
        <w:tabs>
          <w:tab w:val="left" w:pos="5670"/>
        </w:tabs>
        <w:spacing w:before="1440"/>
        <w:ind w:left="3969"/>
        <w:jc w:val="center"/>
        <w:rPr>
          <w:rtl/>
          <w:lang w:bidi="ar-SY"/>
        </w:rPr>
      </w:pPr>
      <w:r w:rsidRPr="000E08F0">
        <w:rPr>
          <w:rFonts w:hint="cs"/>
          <w:rtl/>
          <w:lang w:bidi="ar-SY"/>
        </w:rPr>
        <w:t>هولين جاو</w:t>
      </w:r>
      <w:r w:rsidRPr="000E08F0">
        <w:rPr>
          <w:rtl/>
          <w:lang w:bidi="ar-SY"/>
        </w:rPr>
        <w:br/>
      </w:r>
      <w:r w:rsidRPr="000E08F0">
        <w:rPr>
          <w:rFonts w:hint="cs"/>
          <w:rtl/>
          <w:lang w:bidi="ar-SY"/>
        </w:rPr>
        <w:t>الأمين العام</w:t>
      </w:r>
    </w:p>
    <w:p w:rsidR="00992B7E" w:rsidRPr="000E08F0" w:rsidRDefault="00992B7E" w:rsidP="00992B7E">
      <w:pPr>
        <w:rPr>
          <w:rtl/>
          <w:lang w:bidi="ar-EG"/>
        </w:rPr>
      </w:pPr>
      <w:r w:rsidRPr="000E08F0">
        <w:rPr>
          <w:rtl/>
          <w:lang w:bidi="ar-SY"/>
        </w:rPr>
        <w:br w:type="page"/>
      </w:r>
    </w:p>
    <w:p w:rsidR="00706D7A" w:rsidRPr="00713CFC" w:rsidRDefault="002422C1" w:rsidP="002422C1">
      <w:pPr>
        <w:pStyle w:val="Source"/>
        <w:rPr>
          <w:rtl/>
        </w:rPr>
      </w:pPr>
      <w:r>
        <w:rPr>
          <w:rFonts w:hint="cs"/>
          <w:rtl/>
        </w:rPr>
        <w:lastRenderedPageBreak/>
        <w:t>مساهمة من ز</w:t>
      </w:r>
      <w:r w:rsidR="00FD12E5">
        <w:rPr>
          <w:rFonts w:hint="cs"/>
          <w:rtl/>
        </w:rPr>
        <w:t>مبابوي</w:t>
      </w:r>
    </w:p>
    <w:p w:rsidR="00992B7E" w:rsidRPr="00713CFC" w:rsidRDefault="00992B7E" w:rsidP="002422C1">
      <w:pPr>
        <w:pStyle w:val="Title1"/>
        <w:rPr>
          <w:rtl/>
        </w:rPr>
      </w:pPr>
      <w:r w:rsidRPr="00713CFC">
        <w:rPr>
          <w:rFonts w:hint="cs"/>
          <w:rtl/>
        </w:rPr>
        <w:t>اختصاصات فريق</w:t>
      </w:r>
      <w:r w:rsidRPr="00713CFC">
        <w:rPr>
          <w:rtl/>
        </w:rPr>
        <w:t xml:space="preserve"> </w:t>
      </w:r>
      <w:r w:rsidRPr="00713CFC">
        <w:rPr>
          <w:rFonts w:hint="cs"/>
          <w:rtl/>
        </w:rPr>
        <w:t>الخبراء</w:t>
      </w:r>
      <w:r w:rsidRPr="00713CFC">
        <w:rPr>
          <w:rtl/>
        </w:rPr>
        <w:t xml:space="preserve"> </w:t>
      </w:r>
      <w:r w:rsidRPr="00713CFC">
        <w:rPr>
          <w:rFonts w:hint="cs"/>
          <w:rtl/>
        </w:rPr>
        <w:t>المعني</w:t>
      </w:r>
      <w:r w:rsidRPr="00713CFC">
        <w:rPr>
          <w:rtl/>
        </w:rPr>
        <w:t xml:space="preserve"> </w:t>
      </w:r>
      <w:r w:rsidRPr="00713CFC">
        <w:rPr>
          <w:rFonts w:hint="cs"/>
          <w:rtl/>
        </w:rPr>
        <w:t>بلوائح</w:t>
      </w:r>
      <w:r w:rsidRPr="00713CFC">
        <w:rPr>
          <w:rtl/>
        </w:rPr>
        <w:t xml:space="preserve"> </w:t>
      </w:r>
      <w:r w:rsidRPr="00713CFC">
        <w:rPr>
          <w:rFonts w:hint="cs"/>
          <w:rtl/>
        </w:rPr>
        <w:t>الاتصالات</w:t>
      </w:r>
      <w:r w:rsidRPr="00713CFC">
        <w:rPr>
          <w:rtl/>
        </w:rPr>
        <w:t xml:space="preserve"> </w:t>
      </w:r>
      <w:r w:rsidRPr="00713CFC">
        <w:rPr>
          <w:rFonts w:hint="cs"/>
          <w:rtl/>
        </w:rPr>
        <w:t>الدولية </w:t>
      </w:r>
      <w:r w:rsidRPr="00713CFC">
        <w:rPr>
          <w:lang w:bidi="ar-EG"/>
        </w:rPr>
        <w:t>(EG-ITR)</w:t>
      </w:r>
    </w:p>
    <w:p w:rsidR="00992B7E" w:rsidRDefault="00992B7E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422C1" w:rsidRPr="002422C1" w:rsidRDefault="00992B7E" w:rsidP="002422C1">
            <w:pPr>
              <w:rPr>
                <w:spacing w:val="-2"/>
                <w:rtl/>
              </w:rPr>
            </w:pPr>
            <w:r w:rsidRPr="002422C1">
              <w:rPr>
                <w:rFonts w:hint="cs"/>
                <w:spacing w:val="-2"/>
                <w:rtl/>
                <w:lang w:bidi="ar-EG"/>
              </w:rPr>
              <w:t>تتناول هذه المساهمة بالبحث لوائح الاتصالات الدولية</w:t>
            </w:r>
            <w:r w:rsidR="002422C1" w:rsidRPr="002422C1">
              <w:rPr>
                <w:rFonts w:hint="eastAsia"/>
                <w:spacing w:val="-2"/>
                <w:rtl/>
                <w:lang w:bidi="ar-EG"/>
              </w:rPr>
              <w:t> </w:t>
            </w:r>
            <w:r w:rsidRPr="002422C1">
              <w:rPr>
                <w:spacing w:val="-2"/>
                <w:lang w:bidi="ar-EG"/>
              </w:rPr>
              <w:t>(ITR)</w:t>
            </w:r>
            <w:r w:rsidRPr="002422C1">
              <w:rPr>
                <w:rFonts w:hint="cs"/>
                <w:spacing w:val="-2"/>
                <w:rtl/>
                <w:lang w:bidi="ar-EG"/>
              </w:rPr>
              <w:t xml:space="preserve"> في ضوء </w:t>
            </w:r>
            <w:r w:rsidR="00DB7325" w:rsidRPr="002422C1">
              <w:rPr>
                <w:rFonts w:hint="cs"/>
                <w:spacing w:val="-2"/>
                <w:rtl/>
                <w:lang w:bidi="ar-EG"/>
              </w:rPr>
              <w:t xml:space="preserve">نتائج </w:t>
            </w:r>
            <w:r w:rsidRPr="002422C1">
              <w:rPr>
                <w:rFonts w:hint="cs"/>
                <w:spacing w:val="-2"/>
                <w:rtl/>
                <w:lang w:bidi="ar-EG"/>
              </w:rPr>
              <w:t>فريق الخبراء</w:t>
            </w:r>
            <w:r w:rsidR="00DB7325" w:rsidRPr="002422C1">
              <w:rPr>
                <w:rFonts w:hint="cs"/>
                <w:spacing w:val="-2"/>
                <w:rtl/>
              </w:rPr>
              <w:t xml:space="preserve"> السابق</w:t>
            </w:r>
            <w:r w:rsidRPr="002422C1">
              <w:rPr>
                <w:rFonts w:hint="cs"/>
                <w:spacing w:val="-2"/>
                <w:rtl/>
                <w:lang w:bidi="ar-EG"/>
              </w:rPr>
              <w:t xml:space="preserve"> المعني بلوائح الاتصالات الدولية</w:t>
            </w:r>
            <w:r w:rsidR="002422C1" w:rsidRPr="002422C1">
              <w:rPr>
                <w:rFonts w:hint="eastAsia"/>
                <w:spacing w:val="-2"/>
                <w:rtl/>
                <w:lang w:bidi="ar-EG"/>
              </w:rPr>
              <w:t> </w:t>
            </w:r>
            <w:r w:rsidRPr="002422C1">
              <w:rPr>
                <w:spacing w:val="-2"/>
                <w:lang w:bidi="ar-EG"/>
              </w:rPr>
              <w:t>(EG</w:t>
            </w:r>
            <w:r w:rsidRPr="002422C1">
              <w:rPr>
                <w:spacing w:val="-2"/>
                <w:lang w:bidi="ar-EG"/>
              </w:rPr>
              <w:noBreakHyphen/>
              <w:t>ITR)</w:t>
            </w:r>
            <w:r w:rsidR="00DB7325" w:rsidRPr="002422C1">
              <w:rPr>
                <w:rFonts w:hint="cs"/>
                <w:spacing w:val="-2"/>
                <w:rtl/>
                <w:lang w:bidi="ar-EG"/>
              </w:rPr>
              <w:t xml:space="preserve"> والقرار</w:t>
            </w:r>
            <w:r w:rsidR="002422C1" w:rsidRPr="002422C1">
              <w:rPr>
                <w:rFonts w:hint="eastAsia"/>
                <w:spacing w:val="-2"/>
                <w:rtl/>
                <w:lang w:bidi="ar-EG"/>
              </w:rPr>
              <w:t> </w:t>
            </w:r>
            <w:r w:rsidR="00DB7325" w:rsidRPr="002422C1">
              <w:rPr>
                <w:spacing w:val="-2"/>
                <w:lang w:bidi="ar-EG"/>
              </w:rPr>
              <w:t>146</w:t>
            </w:r>
            <w:r w:rsidR="00DB7325" w:rsidRPr="002422C1">
              <w:rPr>
                <w:rFonts w:hint="cs"/>
                <w:spacing w:val="-2"/>
                <w:rtl/>
                <w:lang w:bidi="ar-EG"/>
              </w:rPr>
              <w:t xml:space="preserve"> (المراج</w:t>
            </w:r>
            <w:r w:rsidR="005005DA">
              <w:rPr>
                <w:rFonts w:hint="cs"/>
                <w:spacing w:val="-2"/>
                <w:rtl/>
                <w:lang w:bidi="ar-EG"/>
              </w:rPr>
              <w:t>َ</w:t>
            </w:r>
            <w:r w:rsidR="00DB7325" w:rsidRPr="002422C1">
              <w:rPr>
                <w:rFonts w:hint="cs"/>
                <w:spacing w:val="-2"/>
                <w:rtl/>
                <w:lang w:bidi="ar-EG"/>
              </w:rPr>
              <w:t>ع في دبي،</w:t>
            </w:r>
            <w:r w:rsidR="002422C1" w:rsidRPr="002422C1">
              <w:rPr>
                <w:rFonts w:hint="eastAsia"/>
                <w:spacing w:val="-2"/>
                <w:rtl/>
                <w:lang w:bidi="ar-EG"/>
              </w:rPr>
              <w:t> </w:t>
            </w:r>
            <w:r w:rsidR="00DB7325" w:rsidRPr="002422C1">
              <w:rPr>
                <w:spacing w:val="-2"/>
                <w:lang w:bidi="ar-EG"/>
              </w:rPr>
              <w:t>2018</w:t>
            </w:r>
            <w:r w:rsidR="00DB7325" w:rsidRPr="002422C1">
              <w:rPr>
                <w:rFonts w:hint="cs"/>
                <w:spacing w:val="-2"/>
                <w:rtl/>
                <w:lang w:bidi="ar-EG"/>
              </w:rPr>
              <w:t>) لمؤتمر المندوبين المفوضين</w:t>
            </w:r>
            <w:r w:rsidRPr="002422C1">
              <w:rPr>
                <w:rFonts w:hint="cs"/>
                <w:spacing w:val="-2"/>
                <w:rtl/>
                <w:lang w:bidi="ar-EG"/>
              </w:rPr>
              <w:t xml:space="preserve">. </w:t>
            </w:r>
            <w:r w:rsidR="0044673A" w:rsidRPr="002422C1">
              <w:rPr>
                <w:rFonts w:hint="cs"/>
                <w:spacing w:val="-2"/>
                <w:rtl/>
                <w:lang w:bidi="ar-EG"/>
              </w:rPr>
              <w:t xml:space="preserve">ولهذا الغرض، تقدم المساهمة </w:t>
            </w:r>
            <w:r w:rsidR="002422C1" w:rsidRPr="002422C1">
              <w:rPr>
                <w:rFonts w:hint="cs"/>
                <w:spacing w:val="-2"/>
                <w:rtl/>
                <w:lang w:bidi="ar-EG"/>
              </w:rPr>
              <w:t>بنوداً</w:t>
            </w:r>
            <w:r w:rsidR="0044673A" w:rsidRPr="002422C1">
              <w:rPr>
                <w:rFonts w:hint="cs"/>
                <w:spacing w:val="-2"/>
                <w:rtl/>
                <w:lang w:bidi="ar-EG"/>
              </w:rPr>
              <w:t xml:space="preserve"> يُقترح إدراجها في اختصاصات فريق الخبراء الجديد لكي ينظر فيها المجلس. و</w:t>
            </w:r>
            <w:r w:rsidR="00064E2B" w:rsidRPr="002422C1">
              <w:rPr>
                <w:rFonts w:hint="cs"/>
                <w:spacing w:val="-2"/>
                <w:rtl/>
                <w:lang w:bidi="ar-EG"/>
              </w:rPr>
              <w:t xml:space="preserve">قد </w:t>
            </w:r>
            <w:r w:rsidR="0044673A" w:rsidRPr="002422C1">
              <w:rPr>
                <w:rFonts w:hint="cs"/>
                <w:spacing w:val="-2"/>
                <w:rtl/>
                <w:lang w:bidi="ar-EG"/>
              </w:rPr>
              <w:t xml:space="preserve">بُذلت جهود لضمان </w:t>
            </w:r>
            <w:r w:rsidR="009B4B96" w:rsidRPr="002422C1">
              <w:rPr>
                <w:rFonts w:hint="cs"/>
                <w:spacing w:val="-2"/>
                <w:rtl/>
                <w:lang w:bidi="ar-EG"/>
              </w:rPr>
              <w:t xml:space="preserve">ابتعاد الاختصاصات الجديدة عن القضايا المثيرة للجدل </w:t>
            </w:r>
            <w:r w:rsidR="0023011D" w:rsidRPr="002422C1">
              <w:rPr>
                <w:rFonts w:hint="cs"/>
                <w:spacing w:val="-2"/>
                <w:rtl/>
                <w:lang w:bidi="ar-EG"/>
              </w:rPr>
              <w:t>و</w:t>
            </w:r>
            <w:r w:rsidR="009B4B96" w:rsidRPr="002422C1">
              <w:rPr>
                <w:rFonts w:hint="cs"/>
                <w:spacing w:val="-2"/>
                <w:rtl/>
                <w:lang w:bidi="ar-EG"/>
              </w:rPr>
              <w:t xml:space="preserve">التي </w:t>
            </w:r>
            <w:r w:rsidR="0011382A" w:rsidRPr="002422C1">
              <w:rPr>
                <w:rFonts w:hint="cs"/>
                <w:spacing w:val="-2"/>
                <w:rtl/>
              </w:rPr>
              <w:t>أد</w:t>
            </w:r>
            <w:r w:rsidR="002422C1" w:rsidRPr="002422C1">
              <w:rPr>
                <w:rFonts w:hint="cs"/>
                <w:spacing w:val="-2"/>
                <w:rtl/>
              </w:rPr>
              <w:t>ّ</w:t>
            </w:r>
            <w:r w:rsidR="0011382A" w:rsidRPr="002422C1">
              <w:rPr>
                <w:rFonts w:hint="cs"/>
                <w:spacing w:val="-2"/>
                <w:rtl/>
              </w:rPr>
              <w:t>ت إلى تعث</w:t>
            </w:r>
            <w:r w:rsidR="002422C1" w:rsidRPr="002422C1">
              <w:rPr>
                <w:rFonts w:hint="cs"/>
                <w:spacing w:val="-2"/>
                <w:rtl/>
              </w:rPr>
              <w:t>ّ</w:t>
            </w:r>
            <w:r w:rsidR="0011382A" w:rsidRPr="002422C1">
              <w:rPr>
                <w:rFonts w:hint="cs"/>
                <w:spacing w:val="-2"/>
                <w:rtl/>
              </w:rPr>
              <w:t xml:space="preserve">ر المناقشات وعمل الفريق السابق. </w:t>
            </w:r>
            <w:r w:rsidR="003A034F" w:rsidRPr="002422C1">
              <w:rPr>
                <w:rFonts w:hint="cs"/>
                <w:spacing w:val="-2"/>
                <w:rtl/>
              </w:rPr>
              <w:t>وتضع هذه الاختصاصات</w:t>
            </w:r>
            <w:r w:rsidR="00064E2B" w:rsidRPr="002422C1">
              <w:rPr>
                <w:rFonts w:hint="cs"/>
                <w:spacing w:val="-2"/>
                <w:rtl/>
              </w:rPr>
              <w:t xml:space="preserve"> الأساس لتحليل واستعراض</w:t>
            </w:r>
            <w:r w:rsidR="003A034F" w:rsidRPr="002422C1">
              <w:rPr>
                <w:rFonts w:hint="cs"/>
                <w:spacing w:val="-2"/>
                <w:rtl/>
              </w:rPr>
              <w:t xml:space="preserve"> موضوعييْن</w:t>
            </w:r>
            <w:r w:rsidR="00064E2B" w:rsidRPr="002422C1">
              <w:rPr>
                <w:rFonts w:hint="cs"/>
                <w:spacing w:val="-2"/>
                <w:rtl/>
              </w:rPr>
              <w:t xml:space="preserve"> </w:t>
            </w:r>
            <w:r w:rsidR="003A034F" w:rsidRPr="002422C1">
              <w:rPr>
                <w:rFonts w:hint="cs"/>
                <w:spacing w:val="-2"/>
                <w:rtl/>
              </w:rPr>
              <w:t>ل</w:t>
            </w:r>
            <w:r w:rsidR="00064E2B" w:rsidRPr="002422C1">
              <w:rPr>
                <w:rFonts w:hint="cs"/>
                <w:spacing w:val="-2"/>
                <w:rtl/>
              </w:rPr>
              <w:t>لوائح الاتصالات الدولية.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92B7E" w:rsidRDefault="00F67121" w:rsidP="002422C1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النظر في </w:t>
            </w:r>
            <w:r w:rsidR="002422C1">
              <w:rPr>
                <w:rFonts w:hint="cs"/>
                <w:rtl/>
                <w:lang w:bidi="ar-SY"/>
              </w:rPr>
              <w:t>البنود</w:t>
            </w:r>
            <w:r w:rsidR="00D01CA4">
              <w:rPr>
                <w:rFonts w:hint="cs"/>
                <w:rtl/>
                <w:lang w:bidi="ar-SY"/>
              </w:rPr>
              <w:t xml:space="preserve"> الواردة في هذه المساهمة وإدراجها في اختصاصات فريق الخبراء المعني بلوائح الاتصالات الدولية.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162CF7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992B7E" w:rsidRPr="00270B55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992B7E" w:rsidRPr="00270B55">
                <w:rPr>
                  <w:rStyle w:val="Hyperlink"/>
                  <w:i/>
                  <w:iCs/>
                  <w:lang w:bidi="ar-SY"/>
                </w:rPr>
                <w:t>146</w:t>
              </w:r>
              <w:r w:rsidR="00992B7E" w:rsidRPr="00270B5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992B7E" w:rsidRPr="00270B55">
                <w:rPr>
                  <w:rStyle w:val="Hyperlink"/>
                  <w:i/>
                  <w:iCs/>
                  <w:lang w:bidi="ar-EG"/>
                </w:rPr>
                <w:t>2018</w:t>
              </w:r>
              <w:r w:rsidR="00992B7E" w:rsidRPr="00270B5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bookmarkStart w:id="1" w:name="_GoBack"/>
            <w:bookmarkEnd w:id="1"/>
          </w:p>
        </w:tc>
      </w:tr>
    </w:tbl>
    <w:p w:rsidR="004E11DC" w:rsidRDefault="00992B7E" w:rsidP="002422C1">
      <w:pPr>
        <w:pStyle w:val="Heading1"/>
        <w:rPr>
          <w:rtl/>
          <w:lang w:bidi="ar-EG"/>
        </w:rPr>
      </w:pPr>
      <w:r>
        <w:rPr>
          <w:lang w:bidi="ar-SY"/>
        </w:rPr>
        <w:t>1</w:t>
      </w:r>
      <w:r>
        <w:rPr>
          <w:lang w:bidi="ar-SY"/>
        </w:rPr>
        <w:tab/>
      </w:r>
      <w:r w:rsidR="002422C1">
        <w:rPr>
          <w:rFonts w:hint="cs"/>
          <w:rtl/>
          <w:lang w:bidi="ar-EG"/>
        </w:rPr>
        <w:t>خلفية</w:t>
      </w:r>
    </w:p>
    <w:p w:rsidR="00992B7E" w:rsidRDefault="00142CB3" w:rsidP="002422C1">
      <w:pPr>
        <w:rPr>
          <w:rtl/>
        </w:rPr>
      </w:pPr>
      <w:r>
        <w:rPr>
          <w:rFonts w:hint="cs"/>
          <w:rtl/>
          <w:lang w:bidi="ar-EG"/>
        </w:rPr>
        <w:t>إن القرار</w:t>
      </w:r>
      <w:r w:rsidR="002422C1">
        <w:rPr>
          <w:rFonts w:hint="eastAsia"/>
          <w:rtl/>
          <w:lang w:bidi="ar-EG"/>
        </w:rPr>
        <w:t> </w:t>
      </w:r>
      <w:r>
        <w:rPr>
          <w:lang w:bidi="ar-EG"/>
        </w:rPr>
        <w:t>146</w:t>
      </w:r>
      <w:r>
        <w:rPr>
          <w:rFonts w:hint="cs"/>
          <w:rtl/>
        </w:rPr>
        <w:t xml:space="preserve"> (المراج</w:t>
      </w:r>
      <w:r w:rsidR="002422C1">
        <w:rPr>
          <w:rFonts w:hint="cs"/>
          <w:rtl/>
        </w:rPr>
        <w:t>َ</w:t>
      </w:r>
      <w:r>
        <w:rPr>
          <w:rFonts w:hint="cs"/>
          <w:rtl/>
        </w:rPr>
        <w:t>ع في دبي،</w:t>
      </w:r>
      <w:r w:rsidR="002422C1">
        <w:rPr>
          <w:rFonts w:hint="eastAsia"/>
          <w:rtl/>
        </w:rPr>
        <w:t> </w:t>
      </w:r>
      <w:r>
        <w:t>2018</w:t>
      </w:r>
      <w:r>
        <w:rPr>
          <w:rFonts w:hint="cs"/>
          <w:rtl/>
        </w:rPr>
        <w:t>) يكلف الأمين العام للاتحاد</w:t>
      </w:r>
      <w:r w:rsidR="00713CFC">
        <w:rPr>
          <w:rFonts w:hint="cs"/>
          <w:rtl/>
          <w:lang w:bidi="ar-EG"/>
        </w:rPr>
        <w:t xml:space="preserve"> </w:t>
      </w:r>
      <w:r w:rsidR="00713CFC" w:rsidRPr="009F3A13">
        <w:rPr>
          <w:rFonts w:hint="cs"/>
          <w:rtl/>
        </w:rPr>
        <w:t>ب</w:t>
      </w:r>
      <w:r w:rsidR="00713CFC" w:rsidRPr="009F3A13">
        <w:rPr>
          <w:rtl/>
        </w:rPr>
        <w:t xml:space="preserve">معاودة </w:t>
      </w:r>
      <w:r w:rsidR="00713CFC" w:rsidRPr="009F3A13">
        <w:rPr>
          <w:rFonts w:hint="cs"/>
          <w:rtl/>
        </w:rPr>
        <w:t>الدعوة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لاجتماع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فريق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خبراء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معني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بلوائح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الاتصالات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الدولية</w:t>
      </w:r>
      <w:r w:rsidR="002422C1">
        <w:rPr>
          <w:rFonts w:hint="cs"/>
          <w:rtl/>
        </w:rPr>
        <w:t> </w:t>
      </w:r>
      <w:r w:rsidR="00713CFC" w:rsidRPr="009F3A13">
        <w:t>(EG-ITR)</w:t>
      </w:r>
      <w:r w:rsidR="009F3A13" w:rsidRPr="009F3A13">
        <w:rPr>
          <w:rFonts w:hint="cs"/>
          <w:rtl/>
        </w:rPr>
        <w:t xml:space="preserve"> </w:t>
      </w:r>
      <w:r w:rsidR="00713CFC" w:rsidRPr="009F3A13">
        <w:rPr>
          <w:rFonts w:hint="cs"/>
          <w:rtl/>
        </w:rPr>
        <w:t>لمراجعة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هذه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اللوائح،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وتُفتح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أبوابه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للدول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الأعضاء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وأعضاء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القطاعات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في</w:t>
      </w:r>
      <w:r w:rsidR="00713CFC" w:rsidRPr="009F3A13">
        <w:rPr>
          <w:rFonts w:hint="eastAsia"/>
          <w:rtl/>
        </w:rPr>
        <w:t> </w:t>
      </w:r>
      <w:r w:rsidR="00713CFC" w:rsidRPr="009F3A13">
        <w:rPr>
          <w:rFonts w:hint="cs"/>
          <w:rtl/>
        </w:rPr>
        <w:t>الاتحاد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ويحدد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مجلس الاتحاد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اختصاصات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هذا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الفريق</w:t>
      </w:r>
      <w:r w:rsidR="00713CFC" w:rsidRPr="009F3A13">
        <w:rPr>
          <w:rtl/>
        </w:rPr>
        <w:t xml:space="preserve"> </w:t>
      </w:r>
      <w:r w:rsidR="00713CFC" w:rsidRPr="009F3A13">
        <w:rPr>
          <w:rFonts w:hint="cs"/>
          <w:rtl/>
        </w:rPr>
        <w:t>وأساليب</w:t>
      </w:r>
      <w:r w:rsidR="00713CFC" w:rsidRPr="009F3A13">
        <w:rPr>
          <w:rFonts w:hint="eastAsia"/>
          <w:rtl/>
        </w:rPr>
        <w:t> </w:t>
      </w:r>
      <w:r w:rsidR="002422C1">
        <w:rPr>
          <w:rFonts w:hint="cs"/>
          <w:rtl/>
        </w:rPr>
        <w:t>عمله.</w:t>
      </w:r>
    </w:p>
    <w:p w:rsidR="00713CFC" w:rsidRDefault="002422C1" w:rsidP="002422C1">
      <w:pPr>
        <w:rPr>
          <w:rtl/>
        </w:rPr>
      </w:pPr>
      <w:r>
        <w:rPr>
          <w:rFonts w:hint="cs"/>
          <w:rtl/>
        </w:rPr>
        <w:t>كما يكلف</w:t>
      </w:r>
      <w:r w:rsidR="00BC2CE4">
        <w:rPr>
          <w:rFonts w:hint="cs"/>
          <w:rtl/>
          <w:lang w:bidi="ar-EG"/>
        </w:rPr>
        <w:t xml:space="preserve"> القرار</w:t>
      </w:r>
      <w:r>
        <w:rPr>
          <w:rFonts w:hint="eastAsia"/>
          <w:rtl/>
          <w:lang w:bidi="ar-EG"/>
        </w:rPr>
        <w:t> </w:t>
      </w:r>
      <w:r w:rsidR="00BC2CE4">
        <w:rPr>
          <w:lang w:bidi="ar-EG"/>
        </w:rPr>
        <w:t>146</w:t>
      </w:r>
      <w:r w:rsidR="00BC2CE4">
        <w:rPr>
          <w:rFonts w:hint="cs"/>
          <w:rtl/>
        </w:rPr>
        <w:t xml:space="preserve"> (المراج</w:t>
      </w:r>
      <w:r>
        <w:rPr>
          <w:rFonts w:hint="cs"/>
          <w:rtl/>
        </w:rPr>
        <w:t>َ</w:t>
      </w:r>
      <w:r w:rsidR="00BC2CE4">
        <w:rPr>
          <w:rFonts w:hint="cs"/>
          <w:rtl/>
        </w:rPr>
        <w:t>ع في دبي،</w:t>
      </w:r>
      <w:r>
        <w:rPr>
          <w:rFonts w:hint="eastAsia"/>
          <w:rtl/>
        </w:rPr>
        <w:t> </w:t>
      </w:r>
      <w:r w:rsidR="00BC2CE4">
        <w:t>2018</w:t>
      </w:r>
      <w:r w:rsidR="00BC2CE4">
        <w:rPr>
          <w:rFonts w:hint="cs"/>
          <w:rtl/>
        </w:rPr>
        <w:t>) المجلس</w:t>
      </w:r>
      <w:r w:rsidR="00713CFC">
        <w:rPr>
          <w:rFonts w:hint="cs"/>
          <w:rtl/>
        </w:rPr>
        <w:t xml:space="preserve"> </w:t>
      </w:r>
      <w:r w:rsidR="00713CFC" w:rsidRPr="00287719">
        <w:rPr>
          <w:rFonts w:hint="cs"/>
          <w:rtl/>
        </w:rPr>
        <w:t>بأن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يقوم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في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دورته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لعام</w:t>
      </w:r>
      <w:r>
        <w:rPr>
          <w:rFonts w:hint="cs"/>
          <w:rtl/>
        </w:rPr>
        <w:t> </w:t>
      </w:r>
      <w:r w:rsidR="00713CFC" w:rsidRPr="00287719">
        <w:t>2019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باستعراض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ومراجعة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اختصاصات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فريق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الخبراء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المعني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بلوائح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الاتصالات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الدولية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المشار</w:t>
      </w:r>
      <w:r w:rsidR="00713CFC" w:rsidRPr="00287719">
        <w:rPr>
          <w:rtl/>
        </w:rPr>
        <w:t xml:space="preserve"> </w:t>
      </w:r>
      <w:r w:rsidR="00713CFC" w:rsidRPr="00287719">
        <w:rPr>
          <w:rFonts w:hint="cs"/>
          <w:rtl/>
        </w:rPr>
        <w:t>إليها</w:t>
      </w:r>
      <w:r w:rsidR="00713CFC" w:rsidRPr="00287719">
        <w:rPr>
          <w:rtl/>
        </w:rPr>
        <w:t xml:space="preserve"> </w:t>
      </w:r>
      <w:r>
        <w:rPr>
          <w:rFonts w:hint="cs"/>
          <w:rtl/>
        </w:rPr>
        <w:t>أعلاه.</w:t>
      </w:r>
    </w:p>
    <w:p w:rsidR="00A167F8" w:rsidRDefault="002422C1" w:rsidP="002422C1">
      <w:pPr>
        <w:rPr>
          <w:spacing w:val="2"/>
          <w:rtl/>
        </w:rPr>
      </w:pPr>
      <w:r>
        <w:rPr>
          <w:rFonts w:hint="cs"/>
          <w:rtl/>
        </w:rPr>
        <w:t xml:space="preserve">وبناءً على ذلك، </w:t>
      </w:r>
      <w:r w:rsidR="00A167F8">
        <w:rPr>
          <w:rFonts w:hint="cs"/>
          <w:rtl/>
        </w:rPr>
        <w:t xml:space="preserve">تقترح هذه المساهمة إدخال </w:t>
      </w:r>
      <w:r>
        <w:rPr>
          <w:rFonts w:hint="cs"/>
          <w:rtl/>
        </w:rPr>
        <w:t>بنود</w:t>
      </w:r>
      <w:r w:rsidR="00A167F8">
        <w:rPr>
          <w:rFonts w:hint="cs"/>
          <w:rtl/>
        </w:rPr>
        <w:t xml:space="preserve"> في اختصاصات فريق الخبراء الجديد المعني بلوائح الاتصالات الدولية لكي ينظر فيها المجلس. </w:t>
      </w:r>
      <w:r w:rsidR="00A167F8">
        <w:rPr>
          <w:rFonts w:hint="cs"/>
          <w:spacing w:val="2"/>
          <w:rtl/>
          <w:lang w:bidi="ar-EG"/>
        </w:rPr>
        <w:t xml:space="preserve">وقد بُذلت جهود لضمان ابتعاد الاختصاصات الجديدة عن القضايا المثيرة </w:t>
      </w:r>
      <w:r w:rsidR="00AE1290">
        <w:rPr>
          <w:rFonts w:hint="cs"/>
          <w:spacing w:val="2"/>
          <w:rtl/>
          <w:lang w:bidi="ar-EG"/>
        </w:rPr>
        <w:t>للخلاف</w:t>
      </w:r>
      <w:r w:rsidR="00A167F8">
        <w:rPr>
          <w:rFonts w:hint="cs"/>
          <w:spacing w:val="2"/>
          <w:rtl/>
          <w:lang w:bidi="ar-EG"/>
        </w:rPr>
        <w:t xml:space="preserve"> </w:t>
      </w:r>
      <w:r w:rsidR="0023011D">
        <w:rPr>
          <w:rFonts w:hint="cs"/>
          <w:spacing w:val="2"/>
          <w:rtl/>
          <w:lang w:bidi="ar-EG"/>
        </w:rPr>
        <w:t>و</w:t>
      </w:r>
      <w:r w:rsidR="00A167F8">
        <w:rPr>
          <w:rFonts w:hint="cs"/>
          <w:spacing w:val="2"/>
          <w:rtl/>
          <w:lang w:bidi="ar-EG"/>
        </w:rPr>
        <w:t xml:space="preserve">التي </w:t>
      </w:r>
      <w:r w:rsidR="00A167F8">
        <w:rPr>
          <w:rFonts w:hint="cs"/>
          <w:spacing w:val="2"/>
          <w:rtl/>
        </w:rPr>
        <w:t>أدت إلى تعث</w:t>
      </w:r>
      <w:r>
        <w:rPr>
          <w:rFonts w:hint="cs"/>
          <w:spacing w:val="2"/>
          <w:rtl/>
        </w:rPr>
        <w:t>ر المناقشات وعمل الفريق السابق.</w:t>
      </w:r>
    </w:p>
    <w:p w:rsidR="00992B7E" w:rsidRDefault="00992B7E" w:rsidP="00310625">
      <w:pPr>
        <w:pStyle w:val="Heading1"/>
        <w:rPr>
          <w:rtl/>
          <w:lang w:bidi="ar-EG"/>
        </w:rPr>
      </w:pPr>
      <w:r>
        <w:rPr>
          <w:lang w:bidi="ar-SY"/>
        </w:rPr>
        <w:lastRenderedPageBreak/>
        <w:t>2</w:t>
      </w:r>
      <w:r>
        <w:rPr>
          <w:lang w:bidi="ar-SY"/>
        </w:rPr>
        <w:tab/>
      </w:r>
      <w:r w:rsidR="00310625">
        <w:rPr>
          <w:rFonts w:hint="cs"/>
          <w:rtl/>
          <w:lang w:bidi="ar-EG"/>
        </w:rPr>
        <w:t>المقترح</w:t>
      </w:r>
    </w:p>
    <w:p w:rsidR="00992B7E" w:rsidRPr="00310625" w:rsidRDefault="00713CFC" w:rsidP="003D5CF5">
      <w:pPr>
        <w:pStyle w:val="enumlev1"/>
        <w:rPr>
          <w:rtl/>
        </w:rPr>
      </w:pPr>
      <w:r>
        <w:t>1</w:t>
      </w:r>
      <w:r>
        <w:rPr>
          <w:rtl/>
          <w:lang w:bidi="ar-EG"/>
        </w:rPr>
        <w:tab/>
      </w:r>
      <w:r w:rsidR="00310625">
        <w:rPr>
          <w:rFonts w:hint="cs"/>
          <w:rtl/>
          <w:lang w:bidi="ar-EG"/>
        </w:rPr>
        <w:t>فحص لوائح الاتصالات الدولية لعام</w:t>
      </w:r>
      <w:r w:rsidR="003D5CF5">
        <w:rPr>
          <w:rFonts w:hint="eastAsia"/>
          <w:rtl/>
          <w:lang w:bidi="ar-EG"/>
        </w:rPr>
        <w:t> </w:t>
      </w:r>
      <w:r w:rsidR="00310625">
        <w:rPr>
          <w:lang w:bidi="ar-EG"/>
        </w:rPr>
        <w:t>1988</w:t>
      </w:r>
      <w:r w:rsidR="00310625">
        <w:rPr>
          <w:rFonts w:hint="cs"/>
          <w:rtl/>
        </w:rPr>
        <w:t xml:space="preserve"> وتحديد أحكام لوائح الاتصالات الدولية التي يلزم تحديثها في ضوء التطورات التكنولوجية على مر السنين؛</w:t>
      </w:r>
    </w:p>
    <w:p w:rsidR="00713CFC" w:rsidRPr="000040AF" w:rsidRDefault="00713CFC" w:rsidP="003D5CF5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0040AF">
        <w:rPr>
          <w:rFonts w:hint="cs"/>
          <w:rtl/>
          <w:lang w:bidi="ar-EG"/>
        </w:rPr>
        <w:t>فحص لوائح الاتصالات الدولية لعام</w:t>
      </w:r>
      <w:r w:rsidR="003D5CF5">
        <w:rPr>
          <w:rFonts w:hint="eastAsia"/>
          <w:rtl/>
          <w:lang w:bidi="ar-EG"/>
        </w:rPr>
        <w:t> </w:t>
      </w:r>
      <w:r w:rsidR="000040AF">
        <w:rPr>
          <w:lang w:bidi="ar-EG"/>
        </w:rPr>
        <w:t>1988</w:t>
      </w:r>
      <w:r w:rsidR="000040AF">
        <w:rPr>
          <w:rFonts w:hint="cs"/>
          <w:rtl/>
          <w:lang w:bidi="ar-EG"/>
        </w:rPr>
        <w:t xml:space="preserve"> وتحديد قضايا السياسة العامة التي يلزم تحديثها في ضوء التغيرات في السياسة الدولية بشأن الاتصالات/تكنولوجيا المعلومات والاتصالات؛</w:t>
      </w:r>
    </w:p>
    <w:p w:rsidR="00713CFC" w:rsidRPr="00092085" w:rsidRDefault="00713CFC" w:rsidP="003D5CF5">
      <w:pPr>
        <w:pStyle w:val="enumlev1"/>
        <w:rPr>
          <w:rtl/>
        </w:rPr>
      </w:pPr>
      <w:r w:rsidRPr="00092085">
        <w:rPr>
          <w:lang w:bidi="ar-EG"/>
        </w:rPr>
        <w:t>3</w:t>
      </w:r>
      <w:r w:rsidRPr="00092085">
        <w:rPr>
          <w:rtl/>
          <w:lang w:bidi="ar-EG"/>
        </w:rPr>
        <w:tab/>
      </w:r>
      <w:r w:rsidR="00AE1290" w:rsidRPr="00092085">
        <w:rPr>
          <w:rFonts w:hint="cs"/>
          <w:rtl/>
          <w:lang w:bidi="ar-EG"/>
        </w:rPr>
        <w:t>تحديد القضايا غير</w:t>
      </w:r>
      <w:r w:rsidR="003D5CF5" w:rsidRPr="00092085">
        <w:rPr>
          <w:rFonts w:hint="eastAsia"/>
          <w:rtl/>
          <w:lang w:bidi="ar-EG"/>
        </w:rPr>
        <w:t> </w:t>
      </w:r>
      <w:r w:rsidR="00AE1290" w:rsidRPr="00092085">
        <w:rPr>
          <w:rFonts w:hint="cs"/>
          <w:rtl/>
          <w:lang w:bidi="ar-EG"/>
        </w:rPr>
        <w:t xml:space="preserve">المثيرة للخلاف الواردة في مجموعتي لوائح الاتصالات الدولية </w:t>
      </w:r>
      <w:r w:rsidR="000D68BD" w:rsidRPr="00092085">
        <w:rPr>
          <w:rFonts w:hint="cs"/>
          <w:rtl/>
        </w:rPr>
        <w:t>المقبولة لدى جميع الدول الأعضاء بهدف إدراجها في صيغة منقحة من لوائح الاتصالات الدولية؛</w:t>
      </w:r>
    </w:p>
    <w:p w:rsidR="00713CFC" w:rsidRPr="00092085" w:rsidRDefault="00713CFC" w:rsidP="002422C1">
      <w:pPr>
        <w:pStyle w:val="enumlev1"/>
        <w:rPr>
          <w:rtl/>
          <w:lang w:bidi="ar-EG"/>
        </w:rPr>
      </w:pPr>
      <w:r w:rsidRPr="00092085">
        <w:rPr>
          <w:lang w:bidi="ar-EG"/>
        </w:rPr>
        <w:t>4</w:t>
      </w:r>
      <w:r w:rsidRPr="00092085">
        <w:rPr>
          <w:rtl/>
          <w:lang w:bidi="ar-EG"/>
        </w:rPr>
        <w:tab/>
      </w:r>
      <w:r w:rsidR="000D68BD" w:rsidRPr="00092085">
        <w:rPr>
          <w:rFonts w:hint="cs"/>
          <w:rtl/>
          <w:lang w:bidi="ar-EG"/>
        </w:rPr>
        <w:t>ت</w:t>
      </w:r>
      <w:r w:rsidR="00086D96" w:rsidRPr="00092085">
        <w:rPr>
          <w:rFonts w:hint="cs"/>
          <w:rtl/>
          <w:lang w:bidi="ar-EG"/>
        </w:rPr>
        <w:t xml:space="preserve">حديد أي قضايا أخرى غير تلك الواردة في </w:t>
      </w:r>
      <w:r w:rsidR="000D68BD" w:rsidRPr="00092085">
        <w:rPr>
          <w:rFonts w:hint="cs"/>
          <w:rtl/>
          <w:lang w:bidi="ar-EG"/>
        </w:rPr>
        <w:t xml:space="preserve">لوائح الاتصالات الدولية بصيغتها الحالية، </w:t>
      </w:r>
      <w:r w:rsidR="00F535CF" w:rsidRPr="00092085">
        <w:rPr>
          <w:rFonts w:hint="cs"/>
          <w:rtl/>
          <w:lang w:bidi="ar-EG"/>
        </w:rPr>
        <w:t>تتعلق</w:t>
      </w:r>
      <w:r w:rsidR="000D68BD" w:rsidRPr="00092085">
        <w:rPr>
          <w:rFonts w:hint="cs"/>
          <w:rtl/>
          <w:lang w:bidi="ar-EG"/>
        </w:rPr>
        <w:t xml:space="preserve"> بالاتصالات الدولية/تكنولوجيا المعلومات والاتصالات، </w:t>
      </w:r>
      <w:r w:rsidR="00F535CF" w:rsidRPr="00092085">
        <w:rPr>
          <w:rFonts w:hint="cs"/>
          <w:rtl/>
          <w:lang w:bidi="ar-EG"/>
        </w:rPr>
        <w:t>و</w:t>
      </w:r>
      <w:r w:rsidR="000D68BD" w:rsidRPr="00092085">
        <w:rPr>
          <w:rFonts w:hint="cs"/>
          <w:rtl/>
          <w:lang w:bidi="ar-EG"/>
        </w:rPr>
        <w:t>يلزم إدرا</w:t>
      </w:r>
      <w:r w:rsidR="008F771C" w:rsidRPr="00092085">
        <w:rPr>
          <w:rFonts w:hint="cs"/>
          <w:rtl/>
          <w:lang w:bidi="ar-EG"/>
        </w:rPr>
        <w:t>جها في لوائح الاتصالات الدولية؛</w:t>
      </w:r>
    </w:p>
    <w:p w:rsidR="00086D96" w:rsidRPr="00092085" w:rsidRDefault="00713CFC" w:rsidP="002422C1">
      <w:pPr>
        <w:pStyle w:val="enumlev1"/>
        <w:rPr>
          <w:rtl/>
          <w:lang w:bidi="ar-EG"/>
        </w:rPr>
      </w:pPr>
      <w:r w:rsidRPr="00092085">
        <w:rPr>
          <w:lang w:bidi="ar-EG"/>
        </w:rPr>
        <w:t>5</w:t>
      </w:r>
      <w:r w:rsidRPr="00092085">
        <w:rPr>
          <w:rtl/>
          <w:lang w:bidi="ar-EG"/>
        </w:rPr>
        <w:tab/>
      </w:r>
      <w:r w:rsidR="00086D96" w:rsidRPr="00092085">
        <w:rPr>
          <w:rFonts w:hint="cs"/>
          <w:rtl/>
          <w:lang w:bidi="ar-EG"/>
        </w:rPr>
        <w:t xml:space="preserve">تحديد قضايا السياسة العامة غير تلك الواردة في لوائح الاتصالات الدولية بصيغتها الحالية، </w:t>
      </w:r>
      <w:r w:rsidR="00F535CF" w:rsidRPr="00092085">
        <w:rPr>
          <w:rFonts w:hint="cs"/>
          <w:rtl/>
          <w:lang w:bidi="ar-EG"/>
        </w:rPr>
        <w:t>التي تتعلق</w:t>
      </w:r>
      <w:r w:rsidR="00086D96" w:rsidRPr="00092085">
        <w:rPr>
          <w:rFonts w:hint="cs"/>
          <w:rtl/>
          <w:lang w:bidi="ar-EG"/>
        </w:rPr>
        <w:t xml:space="preserve"> بالاتصالات الدولية/تكنولوجيا المعلومات والاتصالات، </w:t>
      </w:r>
      <w:r w:rsidR="00F535CF" w:rsidRPr="00092085">
        <w:rPr>
          <w:rFonts w:hint="cs"/>
          <w:rtl/>
          <w:lang w:bidi="ar-EG"/>
        </w:rPr>
        <w:t>و</w:t>
      </w:r>
      <w:r w:rsidR="00F94E10" w:rsidRPr="00092085">
        <w:rPr>
          <w:rFonts w:hint="cs"/>
          <w:rtl/>
          <w:lang w:bidi="ar-EG"/>
        </w:rPr>
        <w:t xml:space="preserve">التي </w:t>
      </w:r>
      <w:r w:rsidR="00086D96" w:rsidRPr="00092085">
        <w:rPr>
          <w:rFonts w:hint="cs"/>
          <w:rtl/>
          <w:lang w:bidi="ar-EG"/>
        </w:rPr>
        <w:t>يلزم إدراجها في لوائح الاتصالات الدولية؛</w:t>
      </w:r>
    </w:p>
    <w:p w:rsidR="00713CFC" w:rsidRPr="00092085" w:rsidRDefault="00713CFC" w:rsidP="002422C1">
      <w:pPr>
        <w:pStyle w:val="enumlev1"/>
        <w:rPr>
          <w:rtl/>
        </w:rPr>
      </w:pPr>
      <w:r w:rsidRPr="00092085">
        <w:rPr>
          <w:lang w:bidi="ar-EG"/>
        </w:rPr>
        <w:t>6</w:t>
      </w:r>
      <w:r w:rsidRPr="00092085">
        <w:rPr>
          <w:rtl/>
          <w:lang w:bidi="ar-EG"/>
        </w:rPr>
        <w:tab/>
      </w:r>
      <w:r w:rsidR="00F94E10" w:rsidRPr="00092085">
        <w:rPr>
          <w:rFonts w:hint="cs"/>
          <w:rtl/>
        </w:rPr>
        <w:t xml:space="preserve">اقتراح </w:t>
      </w:r>
      <w:r w:rsidR="002422C1" w:rsidRPr="00092085">
        <w:rPr>
          <w:rFonts w:hint="cs"/>
          <w:rtl/>
          <w:lang w:bidi="ar-EG"/>
        </w:rPr>
        <w:t>سبيل المضي</w:t>
      </w:r>
      <w:r w:rsidR="00FA0729" w:rsidRPr="00092085">
        <w:rPr>
          <w:rFonts w:hint="cs"/>
          <w:rtl/>
        </w:rPr>
        <w:t xml:space="preserve"> قدماً</w:t>
      </w:r>
      <w:r w:rsidR="002422C1" w:rsidRPr="00092085">
        <w:rPr>
          <w:rFonts w:hint="cs"/>
          <w:rtl/>
        </w:rPr>
        <w:t xml:space="preserve"> على المجلس</w:t>
      </w:r>
      <w:r w:rsidR="00F94E10" w:rsidRPr="00092085">
        <w:rPr>
          <w:rFonts w:hint="cs"/>
          <w:rtl/>
        </w:rPr>
        <w:t xml:space="preserve"> </w:t>
      </w:r>
      <w:r w:rsidR="00235D16" w:rsidRPr="00092085">
        <w:rPr>
          <w:rFonts w:hint="cs"/>
          <w:rtl/>
        </w:rPr>
        <w:t>بخصوص</w:t>
      </w:r>
      <w:r w:rsidR="00F94E10" w:rsidRPr="00092085">
        <w:rPr>
          <w:rFonts w:hint="cs"/>
          <w:rtl/>
        </w:rPr>
        <w:t xml:space="preserve"> مراجعة لوائح الاتصالات الدولية.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63" w:rsidRDefault="00614763" w:rsidP="006C3242">
      <w:pPr>
        <w:spacing w:before="0" w:line="240" w:lineRule="auto"/>
      </w:pPr>
      <w:r>
        <w:separator/>
      </w:r>
    </w:p>
  </w:endnote>
  <w:endnote w:type="continuationSeparator" w:id="0">
    <w:p w:rsidR="00614763" w:rsidRDefault="006147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992B7E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D5CF5">
      <w:rPr>
        <w:rFonts w:ascii="Calibri" w:hAnsi="Calibri" w:cs="Calibri"/>
        <w:noProof/>
        <w:sz w:val="16"/>
        <w:szCs w:val="16"/>
        <w:lang w:val="fr-FR"/>
      </w:rPr>
      <w:t>P:\ARA\SG\CONSEIL\C19\000\069A.docx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992B7E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992B7E">
      <w:rPr>
        <w:rFonts w:ascii="Calibri" w:hAnsi="Calibri" w:cs="Calibri"/>
        <w:sz w:val="16"/>
        <w:szCs w:val="16"/>
        <w:lang w:val="fr-FR"/>
      </w:rPr>
      <w:t>455983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62CF7">
      <w:rPr>
        <w:rFonts w:ascii="Calibri" w:hAnsi="Calibri" w:cs="Calibri"/>
        <w:noProof/>
        <w:sz w:val="16"/>
        <w:szCs w:val="16"/>
        <w:lang w:val="fr-FR"/>
      </w:rPr>
      <w:t>06.06.19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D5CF5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63" w:rsidRDefault="00614763" w:rsidP="006C3242">
      <w:pPr>
        <w:spacing w:before="0" w:line="240" w:lineRule="auto"/>
      </w:pPr>
      <w:r>
        <w:separator/>
      </w:r>
    </w:p>
  </w:footnote>
  <w:footnote w:type="continuationSeparator" w:id="0">
    <w:p w:rsidR="00614763" w:rsidRDefault="0061476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162CF7" w:rsidP="00992B7E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92B7E">
          <w:rPr>
            <w:rFonts w:cs="Calibri"/>
            <w:noProof/>
            <w:sz w:val="20"/>
            <w:szCs w:val="20"/>
          </w:rPr>
          <w:t>69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63"/>
    <w:rsid w:val="000040AF"/>
    <w:rsid w:val="00064E2B"/>
    <w:rsid w:val="00086D96"/>
    <w:rsid w:val="00090574"/>
    <w:rsid w:val="00092085"/>
    <w:rsid w:val="000C1C0E"/>
    <w:rsid w:val="000C548A"/>
    <w:rsid w:val="000D68BD"/>
    <w:rsid w:val="0011382A"/>
    <w:rsid w:val="00142CB3"/>
    <w:rsid w:val="00162CF7"/>
    <w:rsid w:val="001C0169"/>
    <w:rsid w:val="001D1D50"/>
    <w:rsid w:val="001E446E"/>
    <w:rsid w:val="002154EE"/>
    <w:rsid w:val="002276D2"/>
    <w:rsid w:val="0023011D"/>
    <w:rsid w:val="0023283D"/>
    <w:rsid w:val="00235D16"/>
    <w:rsid w:val="002422C1"/>
    <w:rsid w:val="00270B55"/>
    <w:rsid w:val="00271C43"/>
    <w:rsid w:val="00287719"/>
    <w:rsid w:val="00290728"/>
    <w:rsid w:val="002978F4"/>
    <w:rsid w:val="002B028D"/>
    <w:rsid w:val="002B1B1F"/>
    <w:rsid w:val="002E6541"/>
    <w:rsid w:val="00310625"/>
    <w:rsid w:val="00334924"/>
    <w:rsid w:val="003370D0"/>
    <w:rsid w:val="003409BC"/>
    <w:rsid w:val="00357185"/>
    <w:rsid w:val="00383829"/>
    <w:rsid w:val="003A034F"/>
    <w:rsid w:val="003D5CF5"/>
    <w:rsid w:val="003F4B29"/>
    <w:rsid w:val="00407AF7"/>
    <w:rsid w:val="0042686F"/>
    <w:rsid w:val="004317D8"/>
    <w:rsid w:val="00434183"/>
    <w:rsid w:val="00443869"/>
    <w:rsid w:val="0044673A"/>
    <w:rsid w:val="00447F32"/>
    <w:rsid w:val="004E11DC"/>
    <w:rsid w:val="005005DA"/>
    <w:rsid w:val="005409AC"/>
    <w:rsid w:val="0055516A"/>
    <w:rsid w:val="0058491B"/>
    <w:rsid w:val="00592EA5"/>
    <w:rsid w:val="005A3170"/>
    <w:rsid w:val="005B7FFB"/>
    <w:rsid w:val="00614763"/>
    <w:rsid w:val="00677396"/>
    <w:rsid w:val="0069200F"/>
    <w:rsid w:val="0069577B"/>
    <w:rsid w:val="006A65CB"/>
    <w:rsid w:val="006C3242"/>
    <w:rsid w:val="006C7CC0"/>
    <w:rsid w:val="006F63F7"/>
    <w:rsid w:val="007025C7"/>
    <w:rsid w:val="00706D7A"/>
    <w:rsid w:val="00713CFC"/>
    <w:rsid w:val="00722F0D"/>
    <w:rsid w:val="0074420E"/>
    <w:rsid w:val="00783E26"/>
    <w:rsid w:val="007C3BC7"/>
    <w:rsid w:val="007D24AB"/>
    <w:rsid w:val="007D4ACF"/>
    <w:rsid w:val="007F0787"/>
    <w:rsid w:val="00810B7B"/>
    <w:rsid w:val="0082358A"/>
    <w:rsid w:val="008235CD"/>
    <w:rsid w:val="008247DE"/>
    <w:rsid w:val="00840B10"/>
    <w:rsid w:val="008513CB"/>
    <w:rsid w:val="008856B4"/>
    <w:rsid w:val="008F771C"/>
    <w:rsid w:val="00923B0C"/>
    <w:rsid w:val="0094021C"/>
    <w:rsid w:val="00952F86"/>
    <w:rsid w:val="00982B28"/>
    <w:rsid w:val="00992B7E"/>
    <w:rsid w:val="009B4B96"/>
    <w:rsid w:val="009C7267"/>
    <w:rsid w:val="009D313F"/>
    <w:rsid w:val="009F3A13"/>
    <w:rsid w:val="00A167F8"/>
    <w:rsid w:val="00A47A5A"/>
    <w:rsid w:val="00A6683B"/>
    <w:rsid w:val="00A80B18"/>
    <w:rsid w:val="00A97F94"/>
    <w:rsid w:val="00AE1290"/>
    <w:rsid w:val="00AE56E3"/>
    <w:rsid w:val="00B05BC8"/>
    <w:rsid w:val="00B64B47"/>
    <w:rsid w:val="00BC2CE4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01CA4"/>
    <w:rsid w:val="00D10CCF"/>
    <w:rsid w:val="00D77D0F"/>
    <w:rsid w:val="00DA1CF0"/>
    <w:rsid w:val="00DB7325"/>
    <w:rsid w:val="00DC1E02"/>
    <w:rsid w:val="00DC24B4"/>
    <w:rsid w:val="00DF16DC"/>
    <w:rsid w:val="00E45211"/>
    <w:rsid w:val="00E87314"/>
    <w:rsid w:val="00E92863"/>
    <w:rsid w:val="00EB796D"/>
    <w:rsid w:val="00F058DC"/>
    <w:rsid w:val="00F24FC4"/>
    <w:rsid w:val="00F2676C"/>
    <w:rsid w:val="00F535CF"/>
    <w:rsid w:val="00F67121"/>
    <w:rsid w:val="00F84366"/>
    <w:rsid w:val="00F85089"/>
    <w:rsid w:val="00F94E10"/>
    <w:rsid w:val="00FA0729"/>
    <w:rsid w:val="00FA6F46"/>
    <w:rsid w:val="00FD12E5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990FAE2-A4F3-4395-89FB-5143E91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2422C1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46-A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FBF3-EF6A-4D4F-87E2-2E235E2E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Janin, Patricia</cp:lastModifiedBy>
  <cp:revision>2</cp:revision>
  <cp:lastPrinted>2019-06-05T10:08:00Z</cp:lastPrinted>
  <dcterms:created xsi:type="dcterms:W3CDTF">2019-06-06T11:58:00Z</dcterms:created>
  <dcterms:modified xsi:type="dcterms:W3CDTF">2019-06-06T11:58:00Z</dcterms:modified>
</cp:coreProperties>
</file>