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106B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FC7B08" w:rsidRDefault="00DA4B6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FC7B08">
              <w:rPr>
                <w:rFonts w:cs="Times"/>
                <w:b/>
                <w:bCs/>
                <w:szCs w:val="24"/>
                <w:lang w:val="fr-CH"/>
              </w:rPr>
              <w:t>Point de l'ordre du jour</w:t>
            </w:r>
            <w:r w:rsidRPr="00FC7B08">
              <w:rPr>
                <w:b/>
                <w:szCs w:val="24"/>
                <w:lang w:val="fr-CH"/>
              </w:rPr>
              <w:t>: PL 1.7</w:t>
            </w:r>
          </w:p>
        </w:tc>
        <w:tc>
          <w:tcPr>
            <w:tcW w:w="3261" w:type="dxa"/>
          </w:tcPr>
          <w:p w:rsidR="00520F36" w:rsidRPr="00520F36" w:rsidRDefault="00520F36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DA4B66">
              <w:rPr>
                <w:b/>
                <w:bCs/>
              </w:rPr>
              <w:t>69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DA4B66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26 mai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DA4B66" w:rsidP="00DA4B66">
            <w:pPr>
              <w:pStyle w:val="Source"/>
            </w:pPr>
            <w:bookmarkStart w:id="6" w:name="dsource" w:colFirst="0" w:colLast="0"/>
            <w:bookmarkEnd w:id="5"/>
            <w:r w:rsidRPr="00DA4B66">
              <w:rPr>
                <w:lang w:val="fr-CH"/>
              </w:rPr>
              <w:t>Note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DA4B66" w:rsidRPr="00DA4B66" w:rsidRDefault="00DA4B66" w:rsidP="00DA4B66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DA4B66">
              <w:rPr>
                <w:lang w:val="fr-CH"/>
              </w:rPr>
              <w:t>Contribution du Zimbabwe</w:t>
            </w:r>
          </w:p>
          <w:p w:rsidR="00520F36" w:rsidRPr="0092392D" w:rsidRDefault="00DA4B66" w:rsidP="00244D0A">
            <w:pPr>
              <w:pStyle w:val="Title1"/>
            </w:pPr>
            <w:r w:rsidRPr="00DA4B66">
              <w:rPr>
                <w:lang w:val="fr-CH"/>
              </w:rPr>
              <w:t xml:space="preserve">MANDAT DU GROUPE D'EXPERTS SUR LE </w:t>
            </w:r>
            <w:r w:rsidRPr="00DA4B66">
              <w:rPr>
                <w:lang w:val="fr-CH"/>
              </w:rPr>
              <w:br/>
              <w:t>RÈGLEMENT DES TÉLÉCOMMUNICATIONS INTERNATIONALES (EG-RTI)</w:t>
            </w:r>
          </w:p>
        </w:tc>
      </w:tr>
    </w:tbl>
    <w:bookmarkEnd w:id="7"/>
    <w:p w:rsidR="00DA4B66" w:rsidRPr="00FC7B08" w:rsidRDefault="00DA4B66" w:rsidP="00DA4B66">
      <w:pPr>
        <w:spacing w:before="480"/>
        <w:rPr>
          <w:szCs w:val="24"/>
          <w:lang w:val="fr-CH"/>
        </w:rPr>
      </w:pPr>
      <w:r w:rsidRPr="00FC7B08">
        <w:rPr>
          <w:szCs w:val="24"/>
          <w:lang w:val="fr-CH"/>
        </w:rPr>
        <w:t>J</w:t>
      </w:r>
      <w:r w:rsidR="00061835" w:rsidRPr="00FC7B08">
        <w:rPr>
          <w:szCs w:val="24"/>
          <w:lang w:val="fr-CH"/>
        </w:rPr>
        <w:t>'</w:t>
      </w:r>
      <w:r w:rsidRPr="00FC7B08">
        <w:rPr>
          <w:szCs w:val="24"/>
          <w:lang w:val="fr-CH"/>
        </w:rPr>
        <w:t xml:space="preserve">ai l'honneur de transmettre aux États Membres du Conseil </w:t>
      </w:r>
      <w:r w:rsidR="00FC7B08">
        <w:rPr>
          <w:szCs w:val="24"/>
          <w:lang w:val="fr-CH"/>
        </w:rPr>
        <w:t>une contribution soumise par le </w:t>
      </w:r>
      <w:r w:rsidRPr="00FC7B08">
        <w:rPr>
          <w:szCs w:val="24"/>
          <w:lang w:val="fr-CH"/>
        </w:rPr>
        <w:t>Zimbabwe.</w:t>
      </w:r>
    </w:p>
    <w:p w:rsidR="00520F36" w:rsidRPr="00FC7B08" w:rsidRDefault="00DA4B66" w:rsidP="00FC7B0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szCs w:val="24"/>
          <w:lang w:val="fr-CH"/>
        </w:rPr>
      </w:pPr>
      <w:r w:rsidRPr="00FC7B08">
        <w:rPr>
          <w:szCs w:val="24"/>
          <w:lang w:val="fr-CH"/>
        </w:rPr>
        <w:tab/>
        <w:t>Houlin ZHAO</w:t>
      </w:r>
      <w:r w:rsidRPr="00FC7B08">
        <w:rPr>
          <w:szCs w:val="24"/>
          <w:lang w:val="fr-CH"/>
        </w:rPr>
        <w:br/>
      </w:r>
      <w:r w:rsidRPr="00FC7B08">
        <w:rPr>
          <w:szCs w:val="24"/>
          <w:lang w:val="fr-CH"/>
        </w:rPr>
        <w:tab/>
        <w:t>Secrétaire général</w:t>
      </w:r>
    </w:p>
    <w:p w:rsidR="00DA4B66" w:rsidRDefault="00DA4B6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854F06" w:rsidRPr="00854F06" w:rsidRDefault="00854F06" w:rsidP="00854F06">
      <w:pPr>
        <w:pStyle w:val="Title4"/>
        <w:rPr>
          <w:lang w:val="fr-CH"/>
        </w:rPr>
      </w:pPr>
      <w:r w:rsidRPr="00854F06">
        <w:rPr>
          <w:lang w:val="fr-CH"/>
        </w:rPr>
        <w:lastRenderedPageBreak/>
        <w:t>Contribution du Zimbabwe</w:t>
      </w:r>
    </w:p>
    <w:p w:rsidR="00DA4B66" w:rsidRPr="0092392D" w:rsidRDefault="00854F06" w:rsidP="00025675">
      <w:pPr>
        <w:pStyle w:val="Title1"/>
        <w:spacing w:before="120" w:after="240"/>
        <w:rPr>
          <w:lang w:val="fr-CH"/>
        </w:rPr>
      </w:pPr>
      <w:r w:rsidRPr="00854F06">
        <w:rPr>
          <w:lang w:val="fr-CH"/>
        </w:rPr>
        <w:t xml:space="preserve">MANDAT DU GROUPE D'EXPERTS SUR LE </w:t>
      </w:r>
      <w:r w:rsidR="00025675">
        <w:rPr>
          <w:lang w:val="fr-CH"/>
        </w:rPr>
        <w:br/>
      </w:r>
      <w:r w:rsidRPr="00854F06">
        <w:rPr>
          <w:lang w:val="fr-CH"/>
        </w:rPr>
        <w:t>RÈGLEMENT DES TÉLÉCOMMUNICATIONS INTERNATIONALES (EG-RTI)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520F36" w:rsidRPr="0092392D" w:rsidRDefault="00854F06" w:rsidP="00244D0A">
            <w:pPr>
              <w:rPr>
                <w:lang w:val="fr-CH"/>
              </w:rPr>
            </w:pPr>
            <w:r w:rsidRPr="00854F06">
              <w:rPr>
                <w:lang w:val="fr-CH"/>
              </w:rPr>
              <w:t>La présente contribution traite du Règlement des télécommunications internationales (RTI)</w:t>
            </w:r>
            <w:r w:rsidR="00061835">
              <w:rPr>
                <w:lang w:val="fr-CH"/>
              </w:rPr>
              <w:t>,</w:t>
            </w:r>
            <w:r w:rsidRPr="00854F06">
              <w:rPr>
                <w:lang w:val="fr-CH"/>
              </w:rPr>
              <w:t xml:space="preserve"> compte tenu des résultats du Groupe d</w:t>
            </w:r>
            <w:r w:rsidR="00061835">
              <w:rPr>
                <w:lang w:val="fr-CH"/>
              </w:rPr>
              <w:t>'</w:t>
            </w:r>
            <w:r w:rsidRPr="00854F06">
              <w:rPr>
                <w:lang w:val="fr-CH"/>
              </w:rPr>
              <w:t xml:space="preserve">experts sur le RTI (EG-RTI) </w:t>
            </w:r>
            <w:r w:rsidR="00244D0A" w:rsidRPr="00854F06">
              <w:rPr>
                <w:lang w:val="fr-CH"/>
              </w:rPr>
              <w:t xml:space="preserve">précédent </w:t>
            </w:r>
            <w:r w:rsidRPr="00854F06">
              <w:rPr>
                <w:lang w:val="fr-CH"/>
              </w:rPr>
              <w:t xml:space="preserve">et de la </w:t>
            </w:r>
            <w:r w:rsidRPr="00854F06">
              <w:rPr>
                <w:iCs/>
                <w:lang w:val="fr-CH"/>
              </w:rPr>
              <w:t xml:space="preserve">Résolution 146 (Rév. Dubaï, 2018) </w:t>
            </w:r>
            <w:r w:rsidRPr="00854F06">
              <w:rPr>
                <w:lang w:val="fr-CH"/>
              </w:rPr>
              <w:t xml:space="preserve">de la Conférence de plénipotentiaires. À cette fin, on y trouvera </w:t>
            </w:r>
            <w:r w:rsidR="004561FF">
              <w:rPr>
                <w:lang w:val="fr-CH"/>
              </w:rPr>
              <w:t>une proposition</w:t>
            </w:r>
            <w:r w:rsidRPr="00854F06">
              <w:rPr>
                <w:lang w:val="fr-CH"/>
              </w:rPr>
              <w:t xml:space="preserve"> de </w:t>
            </w:r>
            <w:r w:rsidR="004561FF">
              <w:rPr>
                <w:lang w:val="fr-CH"/>
              </w:rPr>
              <w:t xml:space="preserve">texte </w:t>
            </w:r>
            <w:r w:rsidRPr="00854F06">
              <w:rPr>
                <w:lang w:val="fr-CH"/>
              </w:rPr>
              <w:t>à inclure dans le mandat du nouveau Groupe d</w:t>
            </w:r>
            <w:r w:rsidR="00061835">
              <w:rPr>
                <w:lang w:val="fr-CH"/>
              </w:rPr>
              <w:t>'</w:t>
            </w:r>
            <w:r w:rsidRPr="00854F06">
              <w:rPr>
                <w:lang w:val="fr-CH"/>
              </w:rPr>
              <w:t xml:space="preserve">experts, pour examen par le Conseil. Des efforts ont été déployés afin de </w:t>
            </w:r>
            <w:r w:rsidR="004561FF">
              <w:rPr>
                <w:lang w:val="fr-CH"/>
              </w:rPr>
              <w:t xml:space="preserve">veiller à ce que le texte proposé pour le mandat </w:t>
            </w:r>
            <w:r w:rsidRPr="00854F06">
              <w:rPr>
                <w:lang w:val="fr-CH"/>
              </w:rPr>
              <w:t xml:space="preserve">ne porte pas sur les questions litigieuses qui avaient auparavant </w:t>
            </w:r>
            <w:r w:rsidR="004561FF">
              <w:rPr>
                <w:lang w:val="fr-CH"/>
              </w:rPr>
              <w:t xml:space="preserve">entravé </w:t>
            </w:r>
            <w:r w:rsidRPr="00854F06">
              <w:rPr>
                <w:lang w:val="fr-CH"/>
              </w:rPr>
              <w:t xml:space="preserve">les discussions et les travaux du Groupe précédent. </w:t>
            </w:r>
            <w:r w:rsidR="004561FF">
              <w:rPr>
                <w:lang w:val="fr-CH"/>
              </w:rPr>
              <w:t xml:space="preserve">Ce texte pose </w:t>
            </w:r>
            <w:r w:rsidRPr="00854F06">
              <w:rPr>
                <w:lang w:val="fr-CH"/>
              </w:rPr>
              <w:t>les bases d</w:t>
            </w:r>
            <w:r w:rsidR="00061835">
              <w:rPr>
                <w:lang w:val="fr-CH"/>
              </w:rPr>
              <w:t>'</w:t>
            </w:r>
            <w:r w:rsidRPr="00854F06">
              <w:rPr>
                <w:lang w:val="fr-CH"/>
              </w:rPr>
              <w:t>une analyse et d</w:t>
            </w:r>
            <w:r w:rsidR="00061835">
              <w:rPr>
                <w:lang w:val="fr-CH"/>
              </w:rPr>
              <w:t>'</w:t>
            </w:r>
            <w:r w:rsidRPr="00854F06">
              <w:rPr>
                <w:lang w:val="fr-CH"/>
              </w:rPr>
              <w:t>un examen objectifs du RTI.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854F06" w:rsidP="004561FF">
            <w:pPr>
              <w:rPr>
                <w:lang w:val="fr-CH"/>
              </w:rPr>
            </w:pPr>
            <w:r w:rsidRPr="00854F06">
              <w:rPr>
                <w:lang w:val="fr-CH"/>
              </w:rPr>
              <w:t xml:space="preserve">Le Conseil est invité à examiner </w:t>
            </w:r>
            <w:r w:rsidR="004561FF">
              <w:rPr>
                <w:lang w:val="fr-CH"/>
              </w:rPr>
              <w:t xml:space="preserve">et à intégrer le texte figurant dans la </w:t>
            </w:r>
            <w:r w:rsidRPr="00854F06">
              <w:rPr>
                <w:lang w:val="fr-CH"/>
              </w:rPr>
              <w:t>présente contribution dans le mandat du Groupe d</w:t>
            </w:r>
            <w:r w:rsidR="00061835">
              <w:rPr>
                <w:lang w:val="fr-CH"/>
              </w:rPr>
              <w:t>'</w:t>
            </w:r>
            <w:r w:rsidRPr="00854F06">
              <w:rPr>
                <w:lang w:val="fr-CH"/>
              </w:rPr>
              <w:t>experts sur le RTI.</w:t>
            </w:r>
          </w:p>
          <w:p w:rsidR="00520F36" w:rsidRPr="0092392D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6B6551" w:rsidP="00854F06">
            <w:pPr>
              <w:spacing w:after="120"/>
              <w:rPr>
                <w:i/>
                <w:iCs/>
                <w:lang w:val="fr-CH"/>
              </w:rPr>
            </w:pPr>
            <w:hyperlink r:id="rId8" w:history="1">
              <w:r w:rsidR="00854F06" w:rsidRPr="00854F06">
                <w:rPr>
                  <w:rStyle w:val="Hyperlink"/>
                  <w:i/>
                  <w:iCs/>
                  <w:lang w:val="fr-CH"/>
                </w:rPr>
                <w:t>Résolution 146 (Rév. Dubaï, 2018)</w:t>
              </w:r>
            </w:hyperlink>
            <w:r w:rsidR="005A54E7" w:rsidRPr="005A54E7">
              <w:rPr>
                <w:rStyle w:val="Hyperlink"/>
                <w:i/>
                <w:iCs/>
                <w:u w:val="none"/>
                <w:lang w:val="fr-CH"/>
              </w:rPr>
              <w:t xml:space="preserve"> </w:t>
            </w:r>
            <w:r w:rsidR="005A54E7" w:rsidRPr="005A54E7">
              <w:rPr>
                <w:i/>
                <w:iCs/>
                <w:lang w:val="fr-CH"/>
              </w:rPr>
              <w:t>de</w:t>
            </w:r>
            <w:r w:rsidR="005A54E7" w:rsidRPr="005A54E7">
              <w:rPr>
                <w:i/>
                <w:iCs/>
              </w:rPr>
              <w:t xml:space="preserve"> la Conférence de plénipotentiaires</w:t>
            </w:r>
          </w:p>
        </w:tc>
      </w:tr>
    </w:tbl>
    <w:p w:rsidR="00854F06" w:rsidRPr="00854F06" w:rsidRDefault="00854F06" w:rsidP="00854F06">
      <w:pPr>
        <w:pStyle w:val="Heading1"/>
        <w:rPr>
          <w:lang w:val="fr-CH"/>
        </w:rPr>
      </w:pPr>
      <w:r>
        <w:rPr>
          <w:lang w:val="fr-CH"/>
        </w:rPr>
        <w:t>1</w:t>
      </w:r>
      <w:r>
        <w:rPr>
          <w:lang w:val="fr-CH"/>
        </w:rPr>
        <w:tab/>
      </w:r>
      <w:r w:rsidRPr="00854F06">
        <w:rPr>
          <w:lang w:val="fr-CH"/>
        </w:rPr>
        <w:t>RAPPEL</w:t>
      </w:r>
    </w:p>
    <w:p w:rsidR="00854F06" w:rsidRPr="00854F06" w:rsidRDefault="00854F06" w:rsidP="00854F06">
      <w:pPr>
        <w:rPr>
          <w:lang w:val="fr-CH"/>
        </w:rPr>
      </w:pPr>
      <w:r w:rsidRPr="00854F06">
        <w:rPr>
          <w:lang w:val="fr-CH"/>
        </w:rPr>
        <w:t>Aux termes de la Résolution 146 (Rév. Dubaï, 2018)</w:t>
      </w:r>
      <w:r w:rsidR="00795ADD">
        <w:rPr>
          <w:lang w:val="fr-CH"/>
        </w:rPr>
        <w:t xml:space="preserve"> de la Conférence de plénipotentiaires</w:t>
      </w:r>
      <w:r w:rsidRPr="00854F06">
        <w:rPr>
          <w:lang w:val="fr-CH"/>
        </w:rPr>
        <w:t>, le Secrétaire général est chargé de convoquer à nouveau un Groupe d'experts sur le Règlement des télécommunications internationales (EG</w:t>
      </w:r>
      <w:r>
        <w:rPr>
          <w:lang w:val="fr-CH"/>
        </w:rPr>
        <w:noBreakHyphen/>
      </w:r>
      <w:r w:rsidRPr="00854F06">
        <w:rPr>
          <w:lang w:val="fr-CH"/>
        </w:rPr>
        <w:t>RTI), ouvert à la participation des États Membres et des Membres de Secteur de l'UIT, dont le mandat et les méthodes de travail seront définis par le Conseil de l'UIT, pour examiner ce Règlement.</w:t>
      </w:r>
    </w:p>
    <w:p w:rsidR="00854F06" w:rsidRPr="00854F06" w:rsidRDefault="00795ADD" w:rsidP="00795ADD">
      <w:pPr>
        <w:rPr>
          <w:lang w:val="fr-CH"/>
        </w:rPr>
      </w:pPr>
      <w:r>
        <w:rPr>
          <w:lang w:val="fr-CH"/>
        </w:rPr>
        <w:t>En vertu</w:t>
      </w:r>
      <w:r w:rsidR="00854F06" w:rsidRPr="00854F06">
        <w:rPr>
          <w:lang w:val="fr-CH"/>
        </w:rPr>
        <w:t xml:space="preserve"> de la Résolution 146 (Rév. Dubaï, 2018), le Conseil est chargé d</w:t>
      </w:r>
      <w:r w:rsidR="00061835">
        <w:rPr>
          <w:lang w:val="fr-CH"/>
        </w:rPr>
        <w:t>'</w:t>
      </w:r>
      <w:r w:rsidR="00854F06" w:rsidRPr="00854F06">
        <w:rPr>
          <w:lang w:val="fr-CH"/>
        </w:rPr>
        <w:t xml:space="preserve">examiner et de réviser, à sa session de 2019, le mandat du Groupe </w:t>
      </w:r>
      <w:r>
        <w:rPr>
          <w:lang w:val="fr-CH"/>
        </w:rPr>
        <w:t>EG-</w:t>
      </w:r>
      <w:r w:rsidR="00854F06" w:rsidRPr="00854F06">
        <w:rPr>
          <w:lang w:val="fr-CH"/>
        </w:rPr>
        <w:t>RTI visé ci-dessus.</w:t>
      </w:r>
    </w:p>
    <w:p w:rsidR="000B0553" w:rsidRDefault="00854F06" w:rsidP="00795ADD">
      <w:pPr>
        <w:rPr>
          <w:lang w:val="fr-CH"/>
        </w:rPr>
      </w:pPr>
      <w:r w:rsidRPr="00854F06">
        <w:rPr>
          <w:lang w:val="fr-CH"/>
        </w:rPr>
        <w:t xml:space="preserve">La présente contribution contient </w:t>
      </w:r>
      <w:r w:rsidR="00795ADD">
        <w:rPr>
          <w:lang w:val="fr-CH"/>
        </w:rPr>
        <w:t>une proposition</w:t>
      </w:r>
      <w:r w:rsidRPr="00854F06">
        <w:rPr>
          <w:lang w:val="fr-CH"/>
        </w:rPr>
        <w:t xml:space="preserve"> de </w:t>
      </w:r>
      <w:r w:rsidR="00795ADD">
        <w:rPr>
          <w:lang w:val="fr-CH"/>
        </w:rPr>
        <w:t xml:space="preserve">texte </w:t>
      </w:r>
      <w:r w:rsidRPr="00854F06">
        <w:rPr>
          <w:lang w:val="fr-CH"/>
        </w:rPr>
        <w:t xml:space="preserve">à inclure dans le mandat du nouveau Groupe EG-RTI, pour examen par le Conseil. Des efforts ont été déployés afin de </w:t>
      </w:r>
      <w:r w:rsidR="00795ADD">
        <w:rPr>
          <w:lang w:val="fr-CH"/>
        </w:rPr>
        <w:t xml:space="preserve">veiller à ce que le texte proposé </w:t>
      </w:r>
      <w:r w:rsidR="00795ADD">
        <w:rPr>
          <w:lang w:val="fr-CH"/>
        </w:rPr>
        <w:lastRenderedPageBreak/>
        <w:t>pour le mandat ne porte</w:t>
      </w:r>
      <w:r w:rsidRPr="00854F06">
        <w:rPr>
          <w:lang w:val="fr-CH"/>
        </w:rPr>
        <w:t xml:space="preserve"> pas sur les questions litigieuses qui avaient </w:t>
      </w:r>
      <w:r w:rsidR="00795ADD">
        <w:rPr>
          <w:lang w:val="fr-CH"/>
        </w:rPr>
        <w:t xml:space="preserve">entravé </w:t>
      </w:r>
      <w:r w:rsidRPr="00854F06">
        <w:rPr>
          <w:lang w:val="fr-CH"/>
        </w:rPr>
        <w:t xml:space="preserve">les </w:t>
      </w:r>
      <w:r w:rsidR="00795ADD">
        <w:rPr>
          <w:lang w:val="fr-CH"/>
        </w:rPr>
        <w:t xml:space="preserve">discussions </w:t>
      </w:r>
      <w:r w:rsidRPr="00854F06">
        <w:rPr>
          <w:lang w:val="fr-CH"/>
        </w:rPr>
        <w:t xml:space="preserve">du Groupe précédent </w:t>
      </w:r>
      <w:r w:rsidR="00795ADD">
        <w:rPr>
          <w:lang w:val="fr-CH"/>
        </w:rPr>
        <w:t>lors de ses réunions</w:t>
      </w:r>
      <w:r w:rsidRPr="00854F06">
        <w:rPr>
          <w:lang w:val="fr-CH"/>
        </w:rPr>
        <w:t>.</w:t>
      </w:r>
    </w:p>
    <w:p w:rsidR="000B0553" w:rsidRDefault="000B055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854F06" w:rsidRDefault="00854F06" w:rsidP="00854F06">
      <w:pPr>
        <w:pStyle w:val="Heading1"/>
        <w:rPr>
          <w:lang w:val="fr-CH"/>
        </w:rPr>
      </w:pPr>
      <w:r w:rsidRPr="00854F06">
        <w:rPr>
          <w:bCs/>
          <w:lang w:val="fr-CH"/>
        </w:rPr>
        <w:lastRenderedPageBreak/>
        <w:t>2</w:t>
      </w:r>
      <w:r w:rsidRPr="00854F06">
        <w:rPr>
          <w:lang w:val="fr-CH"/>
        </w:rPr>
        <w:tab/>
        <w:t>PROPOSITION</w:t>
      </w:r>
    </w:p>
    <w:p w:rsidR="00854F06" w:rsidRDefault="00854F06" w:rsidP="00795ADD">
      <w:pPr>
        <w:pStyle w:val="enumlev1"/>
        <w:rPr>
          <w:lang w:val="fr-CH"/>
        </w:rPr>
      </w:pPr>
      <w:r>
        <w:rPr>
          <w:lang w:val="fr-CH"/>
        </w:rPr>
        <w:t>1</w:t>
      </w:r>
      <w:r>
        <w:rPr>
          <w:lang w:val="fr-CH"/>
        </w:rPr>
        <w:tab/>
      </w:r>
      <w:r w:rsidRPr="00854F06">
        <w:rPr>
          <w:lang w:val="fr-CH"/>
        </w:rPr>
        <w:t xml:space="preserve">Examiner le RTI </w:t>
      </w:r>
      <w:r w:rsidR="00795ADD">
        <w:rPr>
          <w:lang w:val="fr-CH"/>
        </w:rPr>
        <w:t xml:space="preserve">dans sa version </w:t>
      </w:r>
      <w:r w:rsidRPr="00854F06">
        <w:rPr>
          <w:lang w:val="fr-CH"/>
        </w:rPr>
        <w:t xml:space="preserve">de 1988 et déterminer les dispositions du RTI qui nécessitent une mise à jour compte tenu des avancées technologiques </w:t>
      </w:r>
      <w:r w:rsidR="00795ADD">
        <w:rPr>
          <w:lang w:val="fr-CH"/>
        </w:rPr>
        <w:t xml:space="preserve">réalisées </w:t>
      </w:r>
      <w:r w:rsidRPr="00854F06">
        <w:rPr>
          <w:lang w:val="fr-CH"/>
        </w:rPr>
        <w:t xml:space="preserve">au </w:t>
      </w:r>
      <w:r w:rsidR="00795ADD">
        <w:rPr>
          <w:lang w:val="fr-CH"/>
        </w:rPr>
        <w:t xml:space="preserve">fil </w:t>
      </w:r>
      <w:r w:rsidRPr="00854F06">
        <w:rPr>
          <w:lang w:val="fr-CH"/>
        </w:rPr>
        <w:t>des années</w:t>
      </w:r>
      <w:r>
        <w:rPr>
          <w:lang w:val="fr-CH"/>
        </w:rPr>
        <w:t>.</w:t>
      </w:r>
    </w:p>
    <w:p w:rsidR="00854F06" w:rsidRDefault="00854F06" w:rsidP="00795ADD">
      <w:pPr>
        <w:pStyle w:val="enumlev1"/>
        <w:rPr>
          <w:lang w:val="fr-CH"/>
        </w:rPr>
      </w:pPr>
      <w:r>
        <w:rPr>
          <w:lang w:val="fr-CH"/>
        </w:rPr>
        <w:t>2</w:t>
      </w:r>
      <w:r>
        <w:rPr>
          <w:lang w:val="fr-CH"/>
        </w:rPr>
        <w:tab/>
      </w:r>
      <w:r w:rsidRPr="00854F06">
        <w:rPr>
          <w:lang w:val="fr-CH"/>
        </w:rPr>
        <w:t xml:space="preserve">Examiner le RTI </w:t>
      </w:r>
      <w:r w:rsidR="00795ADD">
        <w:rPr>
          <w:lang w:val="fr-CH"/>
        </w:rPr>
        <w:t xml:space="preserve">dans sa version </w:t>
      </w:r>
      <w:r w:rsidRPr="00854F06">
        <w:rPr>
          <w:lang w:val="fr-CH"/>
        </w:rPr>
        <w:t xml:space="preserve">de 1988 et déterminer les questions de politiques qui </w:t>
      </w:r>
      <w:r w:rsidR="00795ADD">
        <w:rPr>
          <w:lang w:val="fr-CH"/>
        </w:rPr>
        <w:t xml:space="preserve">appellent </w:t>
      </w:r>
      <w:r w:rsidRPr="00854F06">
        <w:rPr>
          <w:lang w:val="fr-CH"/>
        </w:rPr>
        <w:t xml:space="preserve">une mise à jour compte tenu </w:t>
      </w:r>
      <w:r w:rsidR="00795ADD">
        <w:rPr>
          <w:lang w:val="fr-CH"/>
        </w:rPr>
        <w:t xml:space="preserve">de l'évolution des </w:t>
      </w:r>
      <w:r w:rsidRPr="00854F06">
        <w:rPr>
          <w:lang w:val="fr-CH"/>
        </w:rPr>
        <w:t>politiques internationales en matière de télécommunications/TIC</w:t>
      </w:r>
      <w:r>
        <w:rPr>
          <w:lang w:val="fr-CH"/>
        </w:rPr>
        <w:t>.</w:t>
      </w:r>
    </w:p>
    <w:p w:rsidR="00854F06" w:rsidRDefault="00854F06" w:rsidP="00795ADD">
      <w:pPr>
        <w:pStyle w:val="enumlev1"/>
        <w:rPr>
          <w:lang w:val="fr-CH"/>
        </w:rPr>
      </w:pPr>
      <w:r>
        <w:rPr>
          <w:lang w:val="fr-CH"/>
        </w:rPr>
        <w:t>3</w:t>
      </w:r>
      <w:r>
        <w:rPr>
          <w:lang w:val="fr-CH"/>
        </w:rPr>
        <w:tab/>
      </w:r>
      <w:r w:rsidRPr="00854F06">
        <w:rPr>
          <w:lang w:val="fr-CH"/>
        </w:rPr>
        <w:t>Déterminer les questions non litigieuses contenues dans les deux versions du RTI qui sont acceptables pour tous les États Membres</w:t>
      </w:r>
      <w:r w:rsidR="00795ADD">
        <w:rPr>
          <w:lang w:val="fr-CH"/>
        </w:rPr>
        <w:t>,</w:t>
      </w:r>
      <w:r w:rsidRPr="00854F06">
        <w:rPr>
          <w:lang w:val="fr-CH"/>
        </w:rPr>
        <w:t xml:space="preserve"> en vue de l</w:t>
      </w:r>
      <w:r w:rsidR="00795ADD">
        <w:rPr>
          <w:lang w:val="fr-CH"/>
        </w:rPr>
        <w:t xml:space="preserve">es faire figurer </w:t>
      </w:r>
      <w:r w:rsidRPr="00854F06">
        <w:rPr>
          <w:lang w:val="fr-CH"/>
        </w:rPr>
        <w:t>dans une version révisée du RTI</w:t>
      </w:r>
      <w:r>
        <w:rPr>
          <w:lang w:val="fr-CH"/>
        </w:rPr>
        <w:t>.</w:t>
      </w:r>
    </w:p>
    <w:p w:rsidR="00854F06" w:rsidRDefault="00854F06" w:rsidP="00795ADD">
      <w:pPr>
        <w:pStyle w:val="enumlev1"/>
        <w:rPr>
          <w:lang w:val="fr-CH"/>
        </w:rPr>
      </w:pPr>
      <w:r>
        <w:rPr>
          <w:lang w:val="fr-CH"/>
        </w:rPr>
        <w:t>4</w:t>
      </w:r>
      <w:r>
        <w:rPr>
          <w:lang w:val="fr-CH"/>
        </w:rPr>
        <w:tab/>
      </w:r>
      <w:r w:rsidRPr="00854F06">
        <w:rPr>
          <w:lang w:val="fr-CH"/>
        </w:rPr>
        <w:t xml:space="preserve">Déterminer </w:t>
      </w:r>
      <w:r w:rsidR="00795ADD">
        <w:rPr>
          <w:lang w:val="fr-CH"/>
        </w:rPr>
        <w:t xml:space="preserve">les </w:t>
      </w:r>
      <w:r w:rsidRPr="00854F06">
        <w:rPr>
          <w:lang w:val="fr-CH"/>
        </w:rPr>
        <w:t>question</w:t>
      </w:r>
      <w:r w:rsidR="00795ADD">
        <w:rPr>
          <w:lang w:val="fr-CH"/>
        </w:rPr>
        <w:t>s autres</w:t>
      </w:r>
      <w:r w:rsidR="00795ADD" w:rsidRPr="00854F06">
        <w:rPr>
          <w:lang w:val="fr-CH"/>
        </w:rPr>
        <w:t xml:space="preserve"> </w:t>
      </w:r>
      <w:r w:rsidRPr="00854F06">
        <w:rPr>
          <w:lang w:val="fr-CH"/>
        </w:rPr>
        <w:t>que celles contenues dans l</w:t>
      </w:r>
      <w:r w:rsidR="00795ADD">
        <w:rPr>
          <w:lang w:val="fr-CH"/>
        </w:rPr>
        <w:t xml:space="preserve">e </w:t>
      </w:r>
      <w:r w:rsidRPr="00854F06">
        <w:rPr>
          <w:lang w:val="fr-CH"/>
        </w:rPr>
        <w:t xml:space="preserve">RTI </w:t>
      </w:r>
      <w:r w:rsidR="00795ADD">
        <w:rPr>
          <w:lang w:val="fr-CH"/>
        </w:rPr>
        <w:t xml:space="preserve">actuel qui ont trait </w:t>
      </w:r>
      <w:r w:rsidRPr="00854F06">
        <w:rPr>
          <w:lang w:val="fr-CH"/>
        </w:rPr>
        <w:t xml:space="preserve">aux télécommunications internationales/TIC </w:t>
      </w:r>
      <w:r w:rsidR="00795ADD">
        <w:rPr>
          <w:lang w:val="fr-CH"/>
        </w:rPr>
        <w:t xml:space="preserve">et doivent </w:t>
      </w:r>
      <w:r w:rsidRPr="00854F06">
        <w:rPr>
          <w:lang w:val="fr-CH"/>
        </w:rPr>
        <w:t>être intégrée</w:t>
      </w:r>
      <w:r w:rsidR="00025675">
        <w:rPr>
          <w:lang w:val="fr-CH"/>
        </w:rPr>
        <w:t>s</w:t>
      </w:r>
      <w:r w:rsidRPr="00854F06">
        <w:rPr>
          <w:lang w:val="fr-CH"/>
        </w:rPr>
        <w:t xml:space="preserve"> dans le RTI</w:t>
      </w:r>
      <w:r>
        <w:rPr>
          <w:lang w:val="fr-CH"/>
        </w:rPr>
        <w:t>.</w:t>
      </w:r>
    </w:p>
    <w:p w:rsidR="00854F06" w:rsidRDefault="00854F06" w:rsidP="00795ADD">
      <w:pPr>
        <w:pStyle w:val="enumlev1"/>
        <w:rPr>
          <w:lang w:val="fr-CH"/>
        </w:rPr>
      </w:pPr>
      <w:r>
        <w:rPr>
          <w:lang w:val="fr-CH"/>
        </w:rPr>
        <w:t>5</w:t>
      </w:r>
      <w:r>
        <w:rPr>
          <w:lang w:val="fr-CH"/>
        </w:rPr>
        <w:tab/>
      </w:r>
      <w:r w:rsidRPr="00854F06">
        <w:rPr>
          <w:lang w:val="fr-CH"/>
        </w:rPr>
        <w:t xml:space="preserve">Déterminer les questions de politiques </w:t>
      </w:r>
      <w:r w:rsidR="00795ADD" w:rsidRPr="00854F06">
        <w:rPr>
          <w:lang w:val="fr-CH"/>
        </w:rPr>
        <w:t xml:space="preserve">autres </w:t>
      </w:r>
      <w:r w:rsidRPr="00854F06">
        <w:rPr>
          <w:lang w:val="fr-CH"/>
        </w:rPr>
        <w:t xml:space="preserve">que celles contenues dans </w:t>
      </w:r>
      <w:r w:rsidR="00795ADD">
        <w:rPr>
          <w:lang w:val="fr-CH"/>
        </w:rPr>
        <w:t xml:space="preserve">le </w:t>
      </w:r>
      <w:r w:rsidRPr="00854F06">
        <w:rPr>
          <w:lang w:val="fr-CH"/>
        </w:rPr>
        <w:t xml:space="preserve">RTI </w:t>
      </w:r>
      <w:r w:rsidR="00795ADD">
        <w:rPr>
          <w:lang w:val="fr-CH"/>
        </w:rPr>
        <w:t xml:space="preserve">actuel </w:t>
      </w:r>
      <w:r w:rsidR="00BB75B7">
        <w:rPr>
          <w:lang w:val="fr-CH"/>
        </w:rPr>
        <w:t>q</w:t>
      </w:r>
      <w:r w:rsidR="00795ADD">
        <w:rPr>
          <w:lang w:val="fr-CH"/>
        </w:rPr>
        <w:t xml:space="preserve">ui ont trait </w:t>
      </w:r>
      <w:r w:rsidRPr="00854F06">
        <w:rPr>
          <w:lang w:val="fr-CH"/>
        </w:rPr>
        <w:t xml:space="preserve">aux télécommunications internationales/TIC </w:t>
      </w:r>
      <w:r w:rsidR="00795ADD">
        <w:rPr>
          <w:lang w:val="fr-CH"/>
        </w:rPr>
        <w:t xml:space="preserve">et doivent </w:t>
      </w:r>
      <w:r w:rsidRPr="00854F06">
        <w:rPr>
          <w:lang w:val="fr-CH"/>
        </w:rPr>
        <w:t>être intégrée</w:t>
      </w:r>
      <w:r w:rsidR="00795ADD">
        <w:rPr>
          <w:lang w:val="fr-CH"/>
        </w:rPr>
        <w:t>s</w:t>
      </w:r>
      <w:r w:rsidRPr="00854F06">
        <w:rPr>
          <w:lang w:val="fr-CH"/>
        </w:rPr>
        <w:t xml:space="preserve"> dans le RTI</w:t>
      </w:r>
      <w:r>
        <w:rPr>
          <w:lang w:val="fr-CH"/>
        </w:rPr>
        <w:t>.</w:t>
      </w:r>
    </w:p>
    <w:p w:rsidR="00520F36" w:rsidRDefault="00854F06" w:rsidP="00854F06">
      <w:pPr>
        <w:pStyle w:val="enumlev1"/>
        <w:rPr>
          <w:lang w:val="fr-CH"/>
        </w:rPr>
      </w:pPr>
      <w:r>
        <w:rPr>
          <w:lang w:val="fr-CH"/>
        </w:rPr>
        <w:t>6</w:t>
      </w:r>
      <w:r>
        <w:rPr>
          <w:lang w:val="fr-CH"/>
        </w:rPr>
        <w:tab/>
      </w:r>
      <w:r w:rsidRPr="00854F06">
        <w:rPr>
          <w:lang w:val="fr-CH"/>
        </w:rPr>
        <w:t>Proposer au Conseil la marche à suivre en ce qui concerne la révision du RTI.</w:t>
      </w:r>
    </w:p>
    <w:p w:rsidR="00854F06" w:rsidRDefault="00854F06" w:rsidP="00411C49">
      <w:pPr>
        <w:pStyle w:val="Reasons"/>
      </w:pPr>
    </w:p>
    <w:p w:rsidR="00854F06" w:rsidRPr="00854F06" w:rsidRDefault="00854F06" w:rsidP="00854F06">
      <w:pPr>
        <w:jc w:val="center"/>
      </w:pPr>
      <w:r>
        <w:t>______________</w:t>
      </w:r>
    </w:p>
    <w:sectPr w:rsidR="00854F06" w:rsidRPr="00854F06" w:rsidSect="005C3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66" w:rsidRDefault="00DA4B66">
      <w:r>
        <w:separator/>
      </w:r>
    </w:p>
  </w:endnote>
  <w:endnote w:type="continuationSeparator" w:id="0">
    <w:p w:rsidR="00DA4B66" w:rsidRDefault="00DA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6B655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244D0A">
      <w:t>P:\FRA\SG\CONSEIL\C19\000\069F.docx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430C4">
      <w:t>03.06.19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244D0A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A65D91" w:rsidRDefault="00732045" w:rsidP="00A65D91">
    <w:pPr>
      <w:pStyle w:val="Footer"/>
    </w:pPr>
    <w:bookmarkStart w:id="8" w:name="_GoBack"/>
    <w:bookmarkEnd w:id="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66" w:rsidRDefault="00DA4B66">
      <w:r>
        <w:t>____________________</w:t>
      </w:r>
    </w:p>
  </w:footnote>
  <w:footnote w:type="continuationSeparator" w:id="0">
    <w:p w:rsidR="00DA4B66" w:rsidRDefault="00DA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6B6551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 w:rsidR="00A65D91">
      <w:t>/69</w:t>
    </w:r>
    <w:r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551" w:rsidRDefault="006B65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072C"/>
    <w:multiLevelType w:val="multilevel"/>
    <w:tmpl w:val="2812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egoe UI" w:hAnsi="Segoe UI" w:cs="Segoe U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Segoe UI" w:hAnsi="Segoe UI" w:cs="Segoe U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Segoe UI" w:hAnsi="Segoe UI" w:cs="Segoe U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Segoe UI" w:hAnsi="Segoe UI" w:cs="Segoe U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Segoe UI" w:hAnsi="Segoe UI" w:cs="Segoe UI" w:hint="default"/>
        <w:sz w:val="20"/>
      </w:rPr>
    </w:lvl>
  </w:abstractNum>
  <w:abstractNum w:abstractNumId="1" w15:restartNumberingAfterBreak="0">
    <w:nsid w:val="50C9066D"/>
    <w:multiLevelType w:val="hybridMultilevel"/>
    <w:tmpl w:val="5C047156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66"/>
    <w:rsid w:val="00025675"/>
    <w:rsid w:val="00061835"/>
    <w:rsid w:val="000B0553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4D0A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561F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A54E7"/>
    <w:rsid w:val="005B1938"/>
    <w:rsid w:val="005C3890"/>
    <w:rsid w:val="005F7BFE"/>
    <w:rsid w:val="00600017"/>
    <w:rsid w:val="006235CA"/>
    <w:rsid w:val="006643AB"/>
    <w:rsid w:val="006B6551"/>
    <w:rsid w:val="007210CD"/>
    <w:rsid w:val="00732045"/>
    <w:rsid w:val="007369DB"/>
    <w:rsid w:val="007430C4"/>
    <w:rsid w:val="007956C2"/>
    <w:rsid w:val="00795ADD"/>
    <w:rsid w:val="007A187E"/>
    <w:rsid w:val="007C72C2"/>
    <w:rsid w:val="007D4436"/>
    <w:rsid w:val="007F257A"/>
    <w:rsid w:val="007F3665"/>
    <w:rsid w:val="00800037"/>
    <w:rsid w:val="00854F06"/>
    <w:rsid w:val="00861D73"/>
    <w:rsid w:val="008A4E87"/>
    <w:rsid w:val="008D76E6"/>
    <w:rsid w:val="0092392D"/>
    <w:rsid w:val="0093234A"/>
    <w:rsid w:val="009C307F"/>
    <w:rsid w:val="00A2113E"/>
    <w:rsid w:val="00A23A51"/>
    <w:rsid w:val="00A24607"/>
    <w:rsid w:val="00A25CD3"/>
    <w:rsid w:val="00A65D91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B75B7"/>
    <w:rsid w:val="00BD20A4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A4B66"/>
    <w:rsid w:val="00DB5A3E"/>
    <w:rsid w:val="00DC22AA"/>
    <w:rsid w:val="00DF74DD"/>
    <w:rsid w:val="00E0380B"/>
    <w:rsid w:val="00E25AD0"/>
    <w:rsid w:val="00EB6350"/>
    <w:rsid w:val="00F15B57"/>
    <w:rsid w:val="00F427DB"/>
    <w:rsid w:val="00FA5EB1"/>
    <w:rsid w:val="00FA7439"/>
    <w:rsid w:val="00FC4EC0"/>
    <w:rsid w:val="00FC7B08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A01AE31-A40F-4410-ADA1-A6867EAA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46-F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y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</Template>
  <TotalTime>2</TotalTime>
  <Pages>3</Pages>
  <Words>542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3526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Lamy, Sylvie</dc:creator>
  <cp:keywords>C2019, C19</cp:keywords>
  <dc:description/>
  <cp:lastModifiedBy>Janin, Patricia</cp:lastModifiedBy>
  <cp:revision>3</cp:revision>
  <cp:lastPrinted>2000-07-18T08:55:00Z</cp:lastPrinted>
  <dcterms:created xsi:type="dcterms:W3CDTF">2019-06-03T08:58:00Z</dcterms:created>
  <dcterms:modified xsi:type="dcterms:W3CDTF">2019-06-03T08:59:00Z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