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1" w:name="ditulogo"/>
            <w:bookmarkEnd w:id="1"/>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76664D">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76664D">
              <w:rPr>
                <w:b/>
              </w:rPr>
              <w:t>2.6</w:t>
            </w:r>
          </w:p>
        </w:tc>
        <w:tc>
          <w:tcPr>
            <w:tcW w:w="3120" w:type="dxa"/>
          </w:tcPr>
          <w:p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76664D">
              <w:rPr>
                <w:b/>
                <w:bCs/>
                <w:szCs w:val="24"/>
                <w:lang w:eastAsia="zh-CN"/>
              </w:rPr>
              <w:t>85</w:t>
            </w:r>
            <w:r w:rsidRPr="00FC5386">
              <w:rPr>
                <w:b/>
                <w:bCs/>
                <w:szCs w:val="24"/>
                <w:lang w:eastAsia="zh-CN"/>
              </w:rPr>
              <w:t>-C</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76664D">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76664D">
              <w:rPr>
                <w:rFonts w:asciiTheme="minorHAnsi" w:hAnsiTheme="minorHAnsi" w:cstheme="minorHAnsi"/>
                <w:b/>
                <w:bCs/>
                <w:szCs w:val="24"/>
                <w:lang w:eastAsia="zh-CN"/>
              </w:rPr>
              <w:t>5</w:t>
            </w:r>
            <w:r w:rsidRPr="00FC5386">
              <w:rPr>
                <w:rFonts w:hint="eastAsia"/>
                <w:b/>
                <w:bCs/>
                <w:szCs w:val="24"/>
                <w:lang w:eastAsia="zh-CN"/>
              </w:rPr>
              <w:t>月</w:t>
            </w:r>
            <w:r w:rsidR="0076664D">
              <w:rPr>
                <w:rFonts w:asciiTheme="minorHAnsi" w:hAnsiTheme="minorHAnsi" w:cstheme="minorHAnsi"/>
                <w:b/>
                <w:bCs/>
                <w:szCs w:val="24"/>
                <w:lang w:eastAsia="zh-CN"/>
              </w:rPr>
              <w:t>27</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76664D">
              <w:rPr>
                <w:rFonts w:hint="eastAsia"/>
                <w:b/>
                <w:bCs/>
                <w:szCs w:val="24"/>
                <w:lang w:eastAsia="zh-CN"/>
              </w:rPr>
              <w:t>西班牙</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sidR="0013188B">
              <w:rPr>
                <w:rFonts w:ascii="Times New Roman Bold" w:hAnsi="Times New Roman Bold" w:hint="eastAsia"/>
                <w:lang w:eastAsia="zh-CN"/>
              </w:rPr>
              <w:t>说明</w:t>
            </w:r>
          </w:p>
        </w:tc>
      </w:tr>
      <w:tr w:rsidR="0013188B" w:rsidTr="00B52AB5">
        <w:trPr>
          <w:cantSplit/>
          <w:trHeight w:val="1206"/>
        </w:trPr>
        <w:tc>
          <w:tcPr>
            <w:tcW w:w="10031" w:type="dxa"/>
          </w:tcPr>
          <w:p w:rsidR="0013188B" w:rsidRDefault="0013188B" w:rsidP="00001B77">
            <w:pPr>
              <w:pStyle w:val="Title1"/>
              <w:rPr>
                <w:bCs/>
                <w:lang w:eastAsia="zh-CN"/>
              </w:rPr>
            </w:pPr>
            <w:r>
              <w:rPr>
                <w:rFonts w:hint="eastAsia"/>
                <w:bCs/>
                <w:lang w:eastAsia="zh-CN"/>
              </w:rPr>
              <w:t>墨西哥的文稿</w:t>
            </w:r>
          </w:p>
          <w:p w:rsidR="0013188B" w:rsidRDefault="0013188B" w:rsidP="00001B77">
            <w:pPr>
              <w:pStyle w:val="Title1"/>
              <w:rPr>
                <w:bCs/>
                <w:lang w:eastAsia="zh-CN"/>
              </w:rPr>
            </w:pPr>
            <w:r>
              <w:rPr>
                <w:rFonts w:hint="eastAsia"/>
                <w:bCs/>
                <w:lang w:eastAsia="zh-CN"/>
              </w:rPr>
              <w:t>理事会有关第六届世界电信</w:t>
            </w:r>
            <w:r>
              <w:rPr>
                <w:rFonts w:hint="eastAsia"/>
                <w:bCs/>
                <w:lang w:eastAsia="zh-CN"/>
              </w:rPr>
              <w:t>/</w:t>
            </w:r>
            <w:r>
              <w:rPr>
                <w:rFonts w:hint="eastAsia"/>
                <w:bCs/>
                <w:lang w:eastAsia="zh-CN"/>
              </w:rPr>
              <w:t>信息通信技术</w:t>
            </w:r>
            <w:r w:rsidR="00DD378C">
              <w:rPr>
                <w:bCs/>
                <w:lang w:eastAsia="zh-CN"/>
              </w:rPr>
              <w:br/>
            </w:r>
            <w:r>
              <w:rPr>
                <w:rFonts w:hint="eastAsia"/>
                <w:bCs/>
                <w:lang w:eastAsia="zh-CN"/>
              </w:rPr>
              <w:t>政策论坛（</w:t>
            </w:r>
            <w:r>
              <w:rPr>
                <w:rFonts w:hint="eastAsia"/>
                <w:bCs/>
                <w:lang w:eastAsia="zh-CN"/>
              </w:rPr>
              <w:t>WTPF</w:t>
            </w:r>
            <w:r>
              <w:rPr>
                <w:rFonts w:hint="eastAsia"/>
                <w:bCs/>
                <w:lang w:eastAsia="zh-CN"/>
              </w:rPr>
              <w:t>）的决定草案</w:t>
            </w:r>
          </w:p>
        </w:tc>
      </w:tr>
    </w:tbl>
    <w:p w:rsidR="0093362E" w:rsidRDefault="0093362E" w:rsidP="00001B77">
      <w:pPr>
        <w:rPr>
          <w:lang w:eastAsia="zh-CN"/>
        </w:rPr>
      </w:pPr>
    </w:p>
    <w:p w:rsidR="0013188B" w:rsidRDefault="0013188B" w:rsidP="00B82B04">
      <w:pPr>
        <w:ind w:firstLineChars="200" w:firstLine="480"/>
        <w:rPr>
          <w:lang w:eastAsia="zh-CN"/>
        </w:rPr>
      </w:pPr>
      <w:r>
        <w:rPr>
          <w:lang w:eastAsia="zh-CN"/>
        </w:rPr>
        <w:t>我荣幸地</w:t>
      </w:r>
      <w:r w:rsidR="00B82B04">
        <w:rPr>
          <w:rFonts w:hint="eastAsia"/>
          <w:lang w:eastAsia="zh-CN"/>
        </w:rPr>
        <w:t>向</w:t>
      </w:r>
      <w:r w:rsidR="00B82B04">
        <w:rPr>
          <w:lang w:eastAsia="zh-CN"/>
        </w:rPr>
        <w:t>理事国转呈</w:t>
      </w:r>
      <w:r w:rsidRPr="0013188B">
        <w:rPr>
          <w:b/>
          <w:bCs/>
          <w:lang w:eastAsia="zh-CN"/>
        </w:rPr>
        <w:t>墨西哥</w:t>
      </w:r>
      <w:r>
        <w:rPr>
          <w:lang w:eastAsia="zh-CN"/>
        </w:rPr>
        <w:t>提交的所附文稿。</w:t>
      </w:r>
    </w:p>
    <w:p w:rsidR="00B40A53" w:rsidRDefault="0013188B" w:rsidP="003774BF">
      <w:pPr>
        <w:tabs>
          <w:tab w:val="clear" w:pos="794"/>
          <w:tab w:val="clear" w:pos="1191"/>
          <w:tab w:val="clear" w:pos="1588"/>
          <w:tab w:val="clear" w:pos="1985"/>
          <w:tab w:val="center" w:pos="7088"/>
        </w:tabs>
        <w:spacing w:before="720"/>
        <w:jc w:val="right"/>
        <w:rPr>
          <w:rFonts w:asciiTheme="majorBidi" w:hAnsiTheme="majorBidi" w:cstheme="majorBidi"/>
          <w:szCs w:val="24"/>
          <w:lang w:eastAsia="zh-CN"/>
        </w:rPr>
      </w:pPr>
      <w:r w:rsidRPr="00BD5A10">
        <w:rPr>
          <w:rFonts w:asciiTheme="majorBidi" w:hAnsiTheme="majorBidi" w:cstheme="majorBidi"/>
          <w:szCs w:val="24"/>
          <w:lang w:eastAsia="zh-CN"/>
        </w:rPr>
        <w:t>秘书长</w:t>
      </w:r>
      <w:r w:rsidRPr="00BD5A10">
        <w:rPr>
          <w:rFonts w:asciiTheme="majorBidi" w:hAnsiTheme="majorBidi" w:cstheme="majorBidi"/>
          <w:szCs w:val="24"/>
          <w:lang w:eastAsia="zh-CN"/>
        </w:rPr>
        <w:br/>
      </w:r>
      <w:r w:rsidRPr="00BD5A10">
        <w:rPr>
          <w:rFonts w:asciiTheme="majorBidi" w:hAnsiTheme="majorBidi" w:cstheme="majorBidi"/>
          <w:szCs w:val="24"/>
          <w:lang w:eastAsia="zh-CN"/>
        </w:rPr>
        <w:t>赵厚麟</w:t>
      </w:r>
    </w:p>
    <w:p w:rsidR="0013188B" w:rsidRPr="00BD5A10" w:rsidRDefault="0013188B" w:rsidP="0013188B">
      <w:pPr>
        <w:tabs>
          <w:tab w:val="left" w:pos="720"/>
        </w:tabs>
        <w:overflowPunct/>
        <w:autoSpaceDE/>
        <w:adjustRightInd/>
        <w:spacing w:before="0"/>
        <w:rPr>
          <w:szCs w:val="24"/>
          <w:lang w:eastAsia="zh-CN"/>
        </w:rPr>
      </w:pPr>
      <w:r w:rsidRPr="00BD5A10">
        <w:rPr>
          <w:szCs w:val="24"/>
          <w:lang w:eastAsia="zh-CN"/>
        </w:rPr>
        <w:br w:type="page"/>
      </w:r>
    </w:p>
    <w:p w:rsidR="000F08F0" w:rsidRDefault="000F08F0" w:rsidP="000F08F0">
      <w:pPr>
        <w:pStyle w:val="Source"/>
        <w:rPr>
          <w:lang w:eastAsia="zh-CN"/>
        </w:rPr>
      </w:pPr>
      <w:r>
        <w:rPr>
          <w:rFonts w:hint="eastAsia"/>
          <w:lang w:eastAsia="zh-CN"/>
        </w:rPr>
        <w:lastRenderedPageBreak/>
        <w:t>墨西哥的文稿</w:t>
      </w:r>
    </w:p>
    <w:p w:rsidR="0013188B" w:rsidRDefault="000F08F0" w:rsidP="000F08F0">
      <w:pPr>
        <w:pStyle w:val="Title1"/>
        <w:rPr>
          <w:rFonts w:asciiTheme="majorBidi" w:hAnsiTheme="majorBidi" w:cstheme="majorBidi"/>
          <w:szCs w:val="24"/>
          <w:lang w:eastAsia="zh-CN"/>
        </w:rPr>
      </w:pPr>
      <w:r>
        <w:rPr>
          <w:rFonts w:hint="eastAsia"/>
          <w:lang w:eastAsia="zh-CN"/>
        </w:rPr>
        <w:t>理事会有关第六届世界电信</w:t>
      </w:r>
      <w:r>
        <w:rPr>
          <w:rFonts w:hint="eastAsia"/>
          <w:lang w:eastAsia="zh-CN"/>
        </w:rPr>
        <w:t>/</w:t>
      </w:r>
      <w:r>
        <w:rPr>
          <w:rFonts w:hint="eastAsia"/>
          <w:lang w:eastAsia="zh-CN"/>
        </w:rPr>
        <w:t>信息通信技术</w:t>
      </w:r>
      <w:r w:rsidR="009872A8">
        <w:rPr>
          <w:lang w:eastAsia="zh-CN"/>
        </w:rPr>
        <w:br/>
      </w:r>
      <w:r>
        <w:rPr>
          <w:rFonts w:hint="eastAsia"/>
          <w:lang w:eastAsia="zh-CN"/>
        </w:rPr>
        <w:t>政策论坛（</w:t>
      </w:r>
      <w:r>
        <w:rPr>
          <w:rFonts w:hint="eastAsia"/>
          <w:lang w:eastAsia="zh-CN"/>
        </w:rPr>
        <w:t>WTPF</w:t>
      </w:r>
      <w:r>
        <w:rPr>
          <w:rFonts w:hint="eastAsia"/>
          <w:lang w:eastAsia="zh-CN"/>
        </w:rPr>
        <w:t>）的决定草案</w:t>
      </w:r>
    </w:p>
    <w:p w:rsidR="00941548" w:rsidRDefault="00941548" w:rsidP="00941548">
      <w:pPr>
        <w:overflowPunct/>
        <w:autoSpaceDE/>
        <w:autoSpaceDN/>
        <w:adjustRightInd/>
        <w:spacing w:before="0"/>
        <w:textAlignment w:val="auto"/>
        <w:rPr>
          <w:lang w:eastAsia="zh-CN"/>
        </w:rPr>
      </w:pPr>
    </w:p>
    <w:p w:rsidR="00941548" w:rsidRDefault="00941548" w:rsidP="00941548">
      <w:pPr>
        <w:overflowPunct/>
        <w:autoSpaceDE/>
        <w:autoSpaceDN/>
        <w:adjustRightInd/>
        <w:spacing w:before="0"/>
        <w:textAlignment w:val="auto"/>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9872A8" w:rsidRDefault="00B40A53" w:rsidP="003C2E37">
            <w:pPr>
              <w:pStyle w:val="Headingb"/>
              <w:rPr>
                <w:szCs w:val="24"/>
                <w:lang w:val="fr-FR" w:eastAsia="zh-CN"/>
              </w:rPr>
            </w:pPr>
            <w:r w:rsidRPr="009872A8">
              <w:rPr>
                <w:rFonts w:hint="eastAsia"/>
                <w:szCs w:val="24"/>
                <w:lang w:val="fr-FR" w:eastAsia="zh-CN"/>
              </w:rPr>
              <w:t>概</w:t>
            </w:r>
            <w:r w:rsidRPr="009872A8">
              <w:rPr>
                <w:rFonts w:hint="eastAsia"/>
                <w:szCs w:val="24"/>
                <w:lang w:eastAsia="zh-CN"/>
              </w:rPr>
              <w:t>要</w:t>
            </w:r>
          </w:p>
          <w:p w:rsidR="00B40A53" w:rsidRPr="009872A8" w:rsidRDefault="00B82B04" w:rsidP="00B82B04">
            <w:pPr>
              <w:ind w:firstLineChars="200" w:firstLine="480"/>
              <w:rPr>
                <w:szCs w:val="24"/>
                <w:lang w:eastAsia="zh-CN"/>
              </w:rPr>
            </w:pPr>
            <w:r w:rsidRPr="009872A8">
              <w:rPr>
                <w:rFonts w:hint="eastAsia"/>
                <w:szCs w:val="24"/>
                <w:lang w:eastAsia="zh-CN"/>
              </w:rPr>
              <w:t>第</w:t>
            </w:r>
            <w:r w:rsidRPr="009872A8">
              <w:rPr>
                <w:rFonts w:hint="eastAsia"/>
                <w:szCs w:val="24"/>
                <w:lang w:eastAsia="zh-CN"/>
              </w:rPr>
              <w:t>2</w:t>
            </w:r>
            <w:r w:rsidRPr="009872A8">
              <w:rPr>
                <w:rFonts w:hint="eastAsia"/>
                <w:szCs w:val="24"/>
                <w:lang w:eastAsia="zh-CN"/>
              </w:rPr>
              <w:t>号决议（</w:t>
            </w:r>
            <w:r w:rsidRPr="009872A8">
              <w:rPr>
                <w:rFonts w:hint="eastAsia"/>
                <w:szCs w:val="24"/>
                <w:lang w:eastAsia="zh-CN"/>
              </w:rPr>
              <w:t>2018</w:t>
            </w:r>
            <w:r w:rsidRPr="009872A8">
              <w:rPr>
                <w:rFonts w:hint="eastAsia"/>
                <w:szCs w:val="24"/>
                <w:lang w:eastAsia="zh-CN"/>
              </w:rPr>
              <w:t>年，迪拜，修订版）做出决议，</w:t>
            </w:r>
            <w:r w:rsidR="000F08F0" w:rsidRPr="009872A8">
              <w:rPr>
                <w:rFonts w:hint="eastAsia"/>
                <w:szCs w:val="24"/>
                <w:lang w:eastAsia="zh-CN"/>
              </w:rPr>
              <w:t>WTPF</w:t>
            </w:r>
            <w:r w:rsidR="000F08F0" w:rsidRPr="009872A8">
              <w:rPr>
                <w:rFonts w:hint="eastAsia"/>
                <w:szCs w:val="24"/>
                <w:lang w:eastAsia="zh-CN"/>
              </w:rPr>
              <w:t>宜</w:t>
            </w:r>
            <w:r w:rsidR="000F08F0" w:rsidRPr="009872A8">
              <w:rPr>
                <w:szCs w:val="24"/>
                <w:lang w:eastAsia="zh-CN"/>
              </w:rPr>
              <w:t>与</w:t>
            </w:r>
            <w:r w:rsidR="000F08F0" w:rsidRPr="009872A8">
              <w:rPr>
                <w:rFonts w:hint="eastAsia"/>
                <w:szCs w:val="24"/>
                <w:lang w:eastAsia="zh-CN"/>
              </w:rPr>
              <w:t>2021</w:t>
            </w:r>
            <w:r w:rsidR="000F08F0" w:rsidRPr="009872A8">
              <w:rPr>
                <w:rFonts w:hint="eastAsia"/>
                <w:szCs w:val="24"/>
                <w:lang w:eastAsia="zh-CN"/>
              </w:rPr>
              <w:t>年</w:t>
            </w:r>
            <w:r w:rsidR="000F08F0" w:rsidRPr="009872A8">
              <w:rPr>
                <w:rFonts w:hint="eastAsia"/>
                <w:szCs w:val="24"/>
                <w:lang w:eastAsia="zh-CN"/>
              </w:rPr>
              <w:t>WSIS</w:t>
            </w:r>
            <w:r w:rsidR="000F08F0" w:rsidRPr="009872A8">
              <w:rPr>
                <w:rFonts w:hint="eastAsia"/>
                <w:szCs w:val="24"/>
                <w:lang w:eastAsia="zh-CN"/>
              </w:rPr>
              <w:t>论坛在同一地点接续</w:t>
            </w:r>
            <w:r w:rsidR="000F08F0" w:rsidRPr="009872A8">
              <w:rPr>
                <w:szCs w:val="24"/>
                <w:lang w:eastAsia="zh-CN"/>
              </w:rPr>
              <w:t>举办，同时考虑到</w:t>
            </w:r>
            <w:r w:rsidR="000F08F0" w:rsidRPr="009872A8">
              <w:rPr>
                <w:rFonts w:hint="eastAsia"/>
                <w:szCs w:val="24"/>
                <w:lang w:eastAsia="zh-CN"/>
              </w:rPr>
              <w:t>确保各成员国</w:t>
            </w:r>
            <w:r w:rsidR="000F08F0" w:rsidRPr="009872A8">
              <w:rPr>
                <w:szCs w:val="24"/>
                <w:lang w:eastAsia="zh-CN"/>
              </w:rPr>
              <w:t>能为此做</w:t>
            </w:r>
            <w:r w:rsidR="000F08F0" w:rsidRPr="009872A8">
              <w:rPr>
                <w:rFonts w:hint="eastAsia"/>
                <w:szCs w:val="24"/>
                <w:lang w:eastAsia="zh-CN"/>
              </w:rPr>
              <w:t>好</w:t>
            </w:r>
            <w:r w:rsidR="000F08F0" w:rsidRPr="009872A8">
              <w:rPr>
                <w:szCs w:val="24"/>
                <w:lang w:eastAsia="zh-CN"/>
              </w:rPr>
              <w:t>充分准备的必要性</w:t>
            </w:r>
            <w:r w:rsidR="000F08F0" w:rsidRPr="009872A8">
              <w:rPr>
                <w:rFonts w:hint="eastAsia"/>
                <w:szCs w:val="24"/>
                <w:lang w:eastAsia="zh-CN"/>
              </w:rPr>
              <w:t>。</w:t>
            </w:r>
            <w:r w:rsidRPr="009872A8">
              <w:rPr>
                <w:rFonts w:hint="eastAsia"/>
                <w:szCs w:val="24"/>
                <w:lang w:eastAsia="zh-CN"/>
              </w:rPr>
              <w:t>该决议亦做出决议，</w:t>
            </w:r>
            <w:r w:rsidR="000F08F0" w:rsidRPr="009872A8">
              <w:rPr>
                <w:rFonts w:hint="eastAsia"/>
                <w:szCs w:val="24"/>
                <w:lang w:eastAsia="zh-CN"/>
              </w:rPr>
              <w:t>议程和主题须继续以秘书长的报告</w:t>
            </w:r>
            <w:r w:rsidRPr="009872A8">
              <w:rPr>
                <w:rFonts w:hint="eastAsia"/>
                <w:szCs w:val="24"/>
                <w:lang w:eastAsia="zh-CN"/>
              </w:rPr>
              <w:t>（包括</w:t>
            </w:r>
            <w:r w:rsidR="000F08F0" w:rsidRPr="009872A8">
              <w:rPr>
                <w:rFonts w:hint="eastAsia"/>
                <w:szCs w:val="24"/>
                <w:lang w:eastAsia="zh-CN"/>
              </w:rPr>
              <w:t>来自国际电联任何大会、全会或会议的输入意见以及成员国和部门成员的</w:t>
            </w:r>
            <w:r w:rsidRPr="009872A8">
              <w:rPr>
                <w:rFonts w:hint="eastAsia"/>
                <w:szCs w:val="24"/>
                <w:lang w:eastAsia="zh-CN"/>
              </w:rPr>
              <w:t>输入意见）</w:t>
            </w:r>
            <w:r w:rsidR="000F08F0" w:rsidRPr="009872A8">
              <w:rPr>
                <w:rFonts w:hint="eastAsia"/>
                <w:szCs w:val="24"/>
                <w:lang w:eastAsia="zh-CN"/>
              </w:rPr>
              <w:t>为基础，同时顾及</w:t>
            </w:r>
            <w:r w:rsidR="000F08F0" w:rsidRPr="009872A8">
              <w:rPr>
                <w:szCs w:val="24"/>
                <w:lang w:eastAsia="zh-CN"/>
              </w:rPr>
              <w:t>国际电联</w:t>
            </w:r>
            <w:r w:rsidRPr="009872A8">
              <w:rPr>
                <w:rFonts w:hint="eastAsia"/>
                <w:szCs w:val="24"/>
                <w:lang w:eastAsia="zh-CN"/>
              </w:rPr>
              <w:t>遵循的</w:t>
            </w:r>
            <w:r w:rsidR="000F08F0" w:rsidRPr="009872A8">
              <w:rPr>
                <w:rFonts w:hint="eastAsia"/>
                <w:szCs w:val="24"/>
                <w:lang w:eastAsia="zh-CN"/>
              </w:rPr>
              <w:t>以往</w:t>
            </w:r>
            <w:r w:rsidRPr="009872A8">
              <w:rPr>
                <w:szCs w:val="24"/>
                <w:lang w:eastAsia="zh-CN"/>
              </w:rPr>
              <w:t>做法和经验，</w:t>
            </w:r>
            <w:r w:rsidRPr="009872A8">
              <w:rPr>
                <w:rFonts w:hint="eastAsia"/>
                <w:szCs w:val="24"/>
                <w:lang w:eastAsia="zh-CN"/>
              </w:rPr>
              <w:t>包括以往</w:t>
            </w:r>
            <w:r w:rsidR="000F08F0" w:rsidRPr="009872A8">
              <w:rPr>
                <w:szCs w:val="24"/>
                <w:lang w:eastAsia="zh-CN"/>
              </w:rPr>
              <w:t>举办</w:t>
            </w:r>
            <w:r w:rsidR="000F08F0" w:rsidRPr="009872A8">
              <w:rPr>
                <w:rFonts w:hint="eastAsia"/>
                <w:szCs w:val="24"/>
                <w:lang w:eastAsia="zh-CN"/>
              </w:rPr>
              <w:t>WTPF</w:t>
            </w:r>
            <w:r w:rsidRPr="009872A8">
              <w:rPr>
                <w:rFonts w:hint="eastAsia"/>
                <w:szCs w:val="24"/>
                <w:lang w:eastAsia="zh-CN"/>
              </w:rPr>
              <w:t>的</w:t>
            </w:r>
            <w:r w:rsidR="000F08F0" w:rsidRPr="009872A8">
              <w:rPr>
                <w:szCs w:val="24"/>
                <w:lang w:eastAsia="zh-CN"/>
              </w:rPr>
              <w:t>筹备进程</w:t>
            </w:r>
            <w:r w:rsidR="000F08F0" w:rsidRPr="009872A8">
              <w:rPr>
                <w:rFonts w:hint="eastAsia"/>
                <w:szCs w:val="24"/>
                <w:lang w:eastAsia="zh-CN"/>
              </w:rPr>
              <w:t>。</w:t>
            </w:r>
          </w:p>
          <w:p w:rsidR="005E4F66" w:rsidRPr="009872A8" w:rsidRDefault="005E4F66" w:rsidP="000F08F0">
            <w:pPr>
              <w:ind w:firstLineChars="200" w:firstLine="480"/>
              <w:rPr>
                <w:szCs w:val="24"/>
                <w:lang w:val="fr-FR" w:eastAsia="zh-CN"/>
              </w:rPr>
            </w:pPr>
            <w:r w:rsidRPr="009872A8">
              <w:rPr>
                <w:szCs w:val="24"/>
                <w:lang w:eastAsia="zh-CN"/>
              </w:rPr>
              <w:t>本文包含理事会有关落实上述决议的决定草案。</w:t>
            </w:r>
          </w:p>
          <w:p w:rsidR="00B40A53" w:rsidRPr="009872A8" w:rsidRDefault="00B40A53" w:rsidP="003C2E37">
            <w:pPr>
              <w:pStyle w:val="Headingb"/>
              <w:rPr>
                <w:szCs w:val="24"/>
                <w:lang w:eastAsia="zh-CN"/>
              </w:rPr>
            </w:pPr>
            <w:r w:rsidRPr="009872A8">
              <w:rPr>
                <w:rFonts w:hint="eastAsia"/>
                <w:szCs w:val="24"/>
                <w:lang w:eastAsia="zh-CN"/>
              </w:rPr>
              <w:t>需采取的行动</w:t>
            </w:r>
          </w:p>
          <w:p w:rsidR="00B40A53" w:rsidRPr="009872A8" w:rsidRDefault="005E4F66" w:rsidP="00B40A53">
            <w:pPr>
              <w:pStyle w:val="BodyTextIndent3"/>
              <w:spacing w:before="120"/>
              <w:ind w:firstLineChars="200" w:firstLine="480"/>
              <w:textAlignment w:val="baseline"/>
              <w:rPr>
                <w:sz w:val="24"/>
                <w:szCs w:val="24"/>
              </w:rPr>
            </w:pPr>
            <w:r w:rsidRPr="009872A8">
              <w:rPr>
                <w:sz w:val="24"/>
                <w:szCs w:val="24"/>
              </w:rPr>
              <w:t>请理事会考虑通过有关为</w:t>
            </w:r>
            <w:r w:rsidRPr="009872A8">
              <w:rPr>
                <w:sz w:val="24"/>
                <w:szCs w:val="24"/>
              </w:rPr>
              <w:t>WTPF-21</w:t>
            </w:r>
            <w:r w:rsidRPr="009872A8">
              <w:rPr>
                <w:sz w:val="24"/>
                <w:szCs w:val="24"/>
              </w:rPr>
              <w:t>确定议程和主题以及秘书长拟订报告的程序的提案。</w:t>
            </w:r>
          </w:p>
          <w:p w:rsidR="00B40A53" w:rsidRPr="009872A8" w:rsidRDefault="00B40A53">
            <w:pPr>
              <w:jc w:val="center"/>
              <w:rPr>
                <w:szCs w:val="24"/>
                <w:lang w:eastAsia="zh-CN"/>
              </w:rPr>
            </w:pPr>
            <w:r w:rsidRPr="009872A8">
              <w:rPr>
                <w:szCs w:val="24"/>
                <w:lang w:eastAsia="zh-CN"/>
              </w:rPr>
              <w:t>______________</w:t>
            </w:r>
          </w:p>
          <w:p w:rsidR="009164A9" w:rsidRPr="009872A8"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p>
          <w:p w:rsidR="009164A9" w:rsidRPr="009872A8" w:rsidRDefault="009164A9" w:rsidP="003C2E37">
            <w:pPr>
              <w:pStyle w:val="Headingb"/>
              <w:rPr>
                <w:szCs w:val="24"/>
                <w:lang w:val="fr-FR" w:eastAsia="zh-CN"/>
              </w:rPr>
            </w:pPr>
            <w:r w:rsidRPr="009872A8">
              <w:rPr>
                <w:rFonts w:hint="eastAsia"/>
                <w:szCs w:val="24"/>
                <w:lang w:eastAsia="zh-CN"/>
              </w:rPr>
              <w:t>参考文件</w:t>
            </w:r>
          </w:p>
          <w:bookmarkStart w:id="3" w:name="lt_pId025"/>
          <w:p w:rsidR="00B40A53" w:rsidRPr="002C4787" w:rsidRDefault="005E4F66" w:rsidP="005E4F66">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eastAsia="STKaiti" w:hAnsiTheme="minorHAnsi" w:cstheme="minorHAnsi"/>
                <w:caps/>
                <w:sz w:val="24"/>
                <w:szCs w:val="22"/>
                <w:lang w:val="fr-FR" w:eastAsia="zh-CN"/>
              </w:rPr>
            </w:pPr>
            <w:r w:rsidRPr="009872A8">
              <w:rPr>
                <w:rFonts w:asciiTheme="minorHAnsi" w:eastAsia="STKaiti" w:hAnsiTheme="minorHAnsi" w:cstheme="minorHAnsi"/>
                <w:sz w:val="24"/>
                <w:szCs w:val="24"/>
              </w:rPr>
              <w:fldChar w:fldCharType="begin"/>
            </w:r>
            <w:r w:rsidRPr="009872A8">
              <w:rPr>
                <w:rFonts w:asciiTheme="minorHAnsi" w:eastAsia="STKaiti" w:hAnsiTheme="minorHAnsi" w:cstheme="minorHAnsi"/>
                <w:sz w:val="24"/>
                <w:szCs w:val="24"/>
                <w:lang w:eastAsia="zh-CN"/>
              </w:rPr>
              <w:instrText xml:space="preserve"> HYPERLINK "https://www.itu.int/en/council/Documents/basic-texts/RES-002-S.pdf" </w:instrText>
            </w:r>
            <w:r w:rsidRPr="009872A8">
              <w:rPr>
                <w:rFonts w:asciiTheme="minorHAnsi" w:eastAsia="STKaiti" w:hAnsiTheme="minorHAnsi" w:cstheme="minorHAnsi"/>
                <w:sz w:val="24"/>
                <w:szCs w:val="24"/>
              </w:rPr>
              <w:fldChar w:fldCharType="separate"/>
            </w:r>
            <w:r w:rsidRPr="009872A8">
              <w:rPr>
                <w:rStyle w:val="Hyperlink"/>
                <w:rFonts w:asciiTheme="minorHAnsi" w:eastAsia="STKaiti" w:hAnsiTheme="minorHAnsi" w:cstheme="minorHAnsi"/>
                <w:sz w:val="24"/>
                <w:szCs w:val="24"/>
                <w:lang w:eastAsia="zh-CN"/>
              </w:rPr>
              <w:t>第</w:t>
            </w:r>
            <w:r w:rsidRPr="009872A8">
              <w:rPr>
                <w:rStyle w:val="Hyperlink"/>
                <w:rFonts w:asciiTheme="minorHAnsi" w:eastAsia="STKaiti" w:hAnsiTheme="minorHAnsi" w:cstheme="minorHAnsi"/>
                <w:sz w:val="24"/>
                <w:szCs w:val="24"/>
                <w:lang w:eastAsia="zh-CN"/>
              </w:rPr>
              <w:t>2</w:t>
            </w:r>
            <w:r w:rsidR="00AC52D7" w:rsidRPr="009872A8">
              <w:rPr>
                <w:rStyle w:val="Hyperlink"/>
                <w:rFonts w:asciiTheme="minorHAnsi" w:eastAsia="STKaiti" w:hAnsiTheme="minorHAnsi" w:cstheme="minorHAnsi"/>
                <w:sz w:val="24"/>
                <w:szCs w:val="24"/>
                <w:lang w:eastAsia="zh-CN"/>
              </w:rPr>
              <w:t>号决议</w:t>
            </w:r>
            <w:r w:rsidRPr="009872A8">
              <w:rPr>
                <w:rStyle w:val="Hyperlink"/>
                <w:rFonts w:asciiTheme="minorHAnsi" w:eastAsia="STKaiti" w:hAnsiTheme="minorHAnsi" w:cstheme="minorHAnsi"/>
                <w:sz w:val="24"/>
                <w:szCs w:val="24"/>
                <w:lang w:eastAsia="zh-CN"/>
              </w:rPr>
              <w:t>（</w:t>
            </w:r>
            <w:r w:rsidRPr="009872A8">
              <w:rPr>
                <w:rStyle w:val="Hyperlink"/>
                <w:rFonts w:asciiTheme="minorHAnsi" w:eastAsia="STKaiti" w:hAnsiTheme="minorHAnsi" w:cstheme="minorHAnsi"/>
                <w:sz w:val="24"/>
                <w:szCs w:val="24"/>
                <w:lang w:eastAsia="zh-CN"/>
              </w:rPr>
              <w:t>2018</w:t>
            </w:r>
            <w:r w:rsidRPr="009872A8">
              <w:rPr>
                <w:rStyle w:val="Hyperlink"/>
                <w:rFonts w:asciiTheme="minorHAnsi" w:eastAsia="STKaiti" w:hAnsiTheme="minorHAnsi" w:cstheme="minorHAnsi"/>
                <w:sz w:val="24"/>
                <w:szCs w:val="24"/>
                <w:lang w:eastAsia="zh-CN"/>
              </w:rPr>
              <w:t>年，迪拜，修订版）</w:t>
            </w:r>
            <w:r w:rsidRPr="009872A8">
              <w:rPr>
                <w:rStyle w:val="Hyperlink"/>
                <w:rFonts w:asciiTheme="minorHAnsi" w:eastAsia="STKaiti" w:hAnsiTheme="minorHAnsi" w:cstheme="minorHAnsi"/>
                <w:color w:val="auto"/>
                <w:sz w:val="24"/>
                <w:szCs w:val="24"/>
                <w:u w:val="none"/>
                <w:lang w:eastAsia="zh-CN"/>
              </w:rPr>
              <w:t>、</w:t>
            </w:r>
            <w:r w:rsidRPr="009872A8">
              <w:rPr>
                <w:rFonts w:asciiTheme="minorHAnsi" w:eastAsia="STKaiti" w:hAnsiTheme="minorHAnsi" w:cstheme="minorHAnsi"/>
                <w:sz w:val="24"/>
                <w:szCs w:val="24"/>
              </w:rPr>
              <w:fldChar w:fldCharType="end"/>
            </w:r>
            <w:hyperlink r:id="rId9" w:history="1">
              <w:r w:rsidRPr="009872A8">
                <w:rPr>
                  <w:rStyle w:val="Hyperlink"/>
                  <w:rFonts w:asciiTheme="minorHAnsi" w:eastAsia="STKaiti" w:hAnsiTheme="minorHAnsi" w:cstheme="minorHAnsi"/>
                  <w:sz w:val="24"/>
                  <w:szCs w:val="24"/>
                  <w:lang w:eastAsia="zh-CN"/>
                </w:rPr>
                <w:t>C19/5</w:t>
              </w:r>
              <w:r w:rsidRPr="009872A8">
                <w:rPr>
                  <w:rStyle w:val="Hyperlink"/>
                  <w:rFonts w:asciiTheme="minorHAnsi" w:eastAsia="STKaiti" w:hAnsiTheme="minorHAnsi" w:cstheme="minorHAnsi"/>
                  <w:sz w:val="24"/>
                  <w:szCs w:val="24"/>
                  <w:lang w:eastAsia="zh-CN"/>
                </w:rPr>
                <w:t>号文件</w:t>
              </w:r>
            </w:hyperlink>
            <w:bookmarkEnd w:id="3"/>
          </w:p>
        </w:tc>
      </w:tr>
    </w:tbl>
    <w:p w:rsidR="00B40A53" w:rsidRDefault="00B40A53" w:rsidP="00B40A53">
      <w:pPr>
        <w:tabs>
          <w:tab w:val="clear" w:pos="794"/>
          <w:tab w:val="clear" w:pos="1191"/>
          <w:tab w:val="clear" w:pos="1588"/>
          <w:tab w:val="clear" w:pos="1985"/>
          <w:tab w:val="center" w:pos="8222"/>
        </w:tabs>
        <w:rPr>
          <w:szCs w:val="22"/>
          <w:lang w:val="fr-FR" w:eastAsia="zh-CN"/>
        </w:rPr>
      </w:pPr>
    </w:p>
    <w:p w:rsidR="00E378D8" w:rsidRDefault="00E378D8" w:rsidP="00E378D8">
      <w:pPr>
        <w:tabs>
          <w:tab w:val="left" w:pos="720"/>
        </w:tabs>
        <w:overflowPunct/>
        <w:autoSpaceDE/>
        <w:adjustRightInd/>
        <w:spacing w:before="0"/>
        <w:rPr>
          <w:lang w:val="fr-FR" w:eastAsia="zh-CN"/>
        </w:rPr>
      </w:pPr>
      <w:r>
        <w:rPr>
          <w:lang w:val="fr-FR" w:eastAsia="zh-CN"/>
        </w:rPr>
        <w:br w:type="page"/>
      </w:r>
    </w:p>
    <w:p w:rsidR="003F41E2" w:rsidRPr="003F41E2" w:rsidRDefault="003F41E2" w:rsidP="003F41E2">
      <w:pPr>
        <w:pStyle w:val="ResNo"/>
        <w:rPr>
          <w:lang w:eastAsia="zh-CN"/>
        </w:rPr>
      </w:pPr>
      <w:r w:rsidRPr="003F41E2">
        <w:rPr>
          <w:lang w:eastAsia="zh-CN"/>
        </w:rPr>
        <w:lastRenderedPageBreak/>
        <w:t>新决定草案</w:t>
      </w:r>
    </w:p>
    <w:p w:rsidR="00B45365" w:rsidRDefault="003F41E2" w:rsidP="000A6B81">
      <w:pPr>
        <w:tabs>
          <w:tab w:val="clear" w:pos="794"/>
          <w:tab w:val="clear" w:pos="1191"/>
          <w:tab w:val="clear" w:pos="1588"/>
          <w:tab w:val="clear" w:pos="1985"/>
          <w:tab w:val="left" w:pos="567"/>
          <w:tab w:val="left" w:pos="1134"/>
          <w:tab w:val="left" w:pos="1701"/>
          <w:tab w:val="left" w:pos="2268"/>
          <w:tab w:val="left" w:pos="2835"/>
        </w:tabs>
        <w:jc w:val="center"/>
        <w:rPr>
          <w:rFonts w:ascii="SimSun" w:hAnsi="SimSun" w:cs="Microsoft YaHei"/>
          <w:szCs w:val="22"/>
          <w:lang w:val="es-PE" w:eastAsia="zh-CN"/>
        </w:rPr>
      </w:pPr>
      <w:r w:rsidRPr="003F41E2">
        <w:rPr>
          <w:rFonts w:ascii="SimSun" w:hAnsi="SimSun" w:cs="Microsoft YaHei" w:hint="eastAsia"/>
          <w:szCs w:val="22"/>
          <w:lang w:val="es-PE" w:eastAsia="zh-CN"/>
        </w:rPr>
        <w:t>（经</w:t>
      </w:r>
      <w:r w:rsidR="000A6B81" w:rsidRPr="002A225A">
        <w:rPr>
          <w:szCs w:val="22"/>
          <w:lang w:val="es-PE" w:eastAsia="zh-CN"/>
        </w:rPr>
        <w:t>…</w:t>
      </w:r>
      <w:r w:rsidRPr="003F41E2">
        <w:rPr>
          <w:rFonts w:ascii="SimSun" w:hAnsi="SimSun" w:cs="Microsoft YaHei" w:hint="eastAsia"/>
          <w:szCs w:val="22"/>
          <w:lang w:val="es-PE" w:eastAsia="zh-CN"/>
        </w:rPr>
        <w:t>全体会议批准）</w:t>
      </w:r>
    </w:p>
    <w:p w:rsidR="003F41E2" w:rsidRPr="003F41E2" w:rsidRDefault="003F41E2" w:rsidP="003F41E2">
      <w:pPr>
        <w:pStyle w:val="Restitle"/>
        <w:keepNext w:val="0"/>
        <w:keepLines w:val="0"/>
        <w:tabs>
          <w:tab w:val="clear" w:pos="794"/>
          <w:tab w:val="clear" w:pos="1191"/>
          <w:tab w:val="clear" w:pos="1588"/>
          <w:tab w:val="clear" w:pos="1985"/>
          <w:tab w:val="left" w:pos="567"/>
          <w:tab w:val="left" w:pos="1134"/>
          <w:tab w:val="left" w:pos="1701"/>
          <w:tab w:val="left" w:pos="2268"/>
          <w:tab w:val="left" w:pos="2835"/>
        </w:tabs>
        <w:spacing w:after="240"/>
        <w:rPr>
          <w:rFonts w:cs="Calibri"/>
          <w:lang w:val="es-PE" w:eastAsia="zh-CN"/>
        </w:rPr>
      </w:pPr>
      <w:r w:rsidRPr="003F41E2">
        <w:rPr>
          <w:rFonts w:cs="Calibri" w:hint="eastAsia"/>
          <w:lang w:val="es-PE" w:eastAsia="zh-CN"/>
        </w:rPr>
        <w:t>第六届世界电信</w:t>
      </w:r>
      <w:r w:rsidRPr="003F41E2">
        <w:rPr>
          <w:rFonts w:cs="Calibri" w:hint="eastAsia"/>
          <w:lang w:val="es-PE" w:eastAsia="zh-CN"/>
        </w:rPr>
        <w:t>/</w:t>
      </w:r>
      <w:r w:rsidRPr="003F41E2">
        <w:rPr>
          <w:rFonts w:cs="Calibri" w:hint="eastAsia"/>
          <w:lang w:val="es-PE" w:eastAsia="zh-CN"/>
        </w:rPr>
        <w:t>信息通信技术政策论坛（</w:t>
      </w:r>
      <w:r w:rsidRPr="003F41E2">
        <w:rPr>
          <w:rFonts w:cs="Calibri" w:hint="eastAsia"/>
          <w:lang w:val="es-PE" w:eastAsia="zh-CN"/>
        </w:rPr>
        <w:t>WTPF</w:t>
      </w:r>
      <w:r w:rsidRPr="003F41E2">
        <w:rPr>
          <w:rFonts w:cs="Calibri" w:hint="eastAsia"/>
          <w:lang w:val="es-PE" w:eastAsia="zh-CN"/>
        </w:rPr>
        <w:t>）</w:t>
      </w:r>
    </w:p>
    <w:p w:rsidR="003F41E2" w:rsidRPr="003F41E2" w:rsidRDefault="003F41E2" w:rsidP="003F41E2">
      <w:pPr>
        <w:tabs>
          <w:tab w:val="clear" w:pos="794"/>
          <w:tab w:val="clear" w:pos="1191"/>
          <w:tab w:val="clear" w:pos="1588"/>
          <w:tab w:val="clear" w:pos="1985"/>
          <w:tab w:val="left" w:pos="567"/>
          <w:tab w:val="left" w:pos="1134"/>
          <w:tab w:val="left" w:pos="1701"/>
          <w:tab w:val="left" w:pos="2268"/>
          <w:tab w:val="left" w:pos="2835"/>
        </w:tabs>
        <w:snapToGrid w:val="0"/>
        <w:spacing w:after="120"/>
        <w:rPr>
          <w:rFonts w:eastAsia="Times New Roman"/>
          <w:szCs w:val="22"/>
          <w:lang w:val="es-PE" w:eastAsia="zh-CN"/>
        </w:rPr>
      </w:pPr>
      <w:r w:rsidRPr="00EF79D2">
        <w:rPr>
          <w:rFonts w:ascii="SimSun" w:hAnsi="SimSun" w:cs="Microsoft YaHei" w:hint="eastAsia"/>
          <w:szCs w:val="22"/>
          <w:lang w:val="es-PE" w:eastAsia="zh-CN"/>
        </w:rPr>
        <w:t>理事会</w:t>
      </w:r>
      <w:r w:rsidRPr="00EF79D2">
        <w:rPr>
          <w:rFonts w:asciiTheme="minorEastAsia" w:eastAsiaTheme="minorEastAsia" w:hAnsiTheme="minorEastAsia" w:cs="Microsoft YaHei" w:hint="eastAsia"/>
          <w:szCs w:val="22"/>
          <w:lang w:val="es-PE" w:eastAsia="zh-CN"/>
        </w:rPr>
        <w:t>：</w:t>
      </w:r>
    </w:p>
    <w:p w:rsidR="003F41E2" w:rsidRPr="00480737" w:rsidRDefault="003F41E2" w:rsidP="003F41E2">
      <w:pPr>
        <w:tabs>
          <w:tab w:val="clear" w:pos="794"/>
          <w:tab w:val="clear" w:pos="1191"/>
          <w:tab w:val="clear" w:pos="1588"/>
          <w:tab w:val="clear" w:pos="1985"/>
          <w:tab w:val="left" w:pos="567"/>
          <w:tab w:val="left" w:pos="1134"/>
          <w:tab w:val="left" w:pos="1701"/>
          <w:tab w:val="left" w:pos="2268"/>
          <w:tab w:val="left" w:pos="2835"/>
        </w:tabs>
        <w:snapToGrid w:val="0"/>
        <w:spacing w:before="240" w:after="120"/>
        <w:ind w:left="851"/>
        <w:rPr>
          <w:rFonts w:ascii="STKaiti" w:eastAsia="STKaiti" w:hAnsi="STKaiti" w:cs="Microsoft YaHei"/>
          <w:szCs w:val="22"/>
          <w:lang w:val="en-US" w:eastAsia="zh-CN"/>
        </w:rPr>
      </w:pPr>
      <w:r w:rsidRPr="003F41E2">
        <w:rPr>
          <w:rFonts w:ascii="STKaiti" w:eastAsia="STKaiti" w:hAnsi="STKaiti" w:cs="Microsoft YaHei" w:hint="eastAsia"/>
          <w:szCs w:val="22"/>
          <w:lang w:val="es-PE" w:eastAsia="zh-CN"/>
        </w:rPr>
        <w:t>认识到</w:t>
      </w:r>
    </w:p>
    <w:p w:rsidR="00480737" w:rsidRDefault="00480737" w:rsidP="00B82B04">
      <w:pPr>
        <w:ind w:firstLineChars="200" w:firstLine="480"/>
        <w:rPr>
          <w:lang w:val="es-PE" w:eastAsia="zh-CN"/>
        </w:rPr>
      </w:pPr>
      <w:r>
        <w:rPr>
          <w:lang w:val="es-PE" w:eastAsia="zh-CN"/>
        </w:rPr>
        <w:t>全权代表大会第</w:t>
      </w:r>
      <w:r>
        <w:rPr>
          <w:lang w:val="es-PE" w:eastAsia="zh-CN"/>
        </w:rPr>
        <w:t>2</w:t>
      </w:r>
      <w:r>
        <w:rPr>
          <w:lang w:val="es-PE" w:eastAsia="zh-CN"/>
        </w:rPr>
        <w:t>号决议（</w:t>
      </w:r>
      <w:r>
        <w:rPr>
          <w:lang w:val="es-PE" w:eastAsia="zh-CN"/>
        </w:rPr>
        <w:t>1994</w:t>
      </w:r>
      <w:r>
        <w:rPr>
          <w:lang w:val="es-PE" w:eastAsia="zh-CN"/>
        </w:rPr>
        <w:t>年，东京）确定的并随后于</w:t>
      </w:r>
      <w:r>
        <w:rPr>
          <w:lang w:val="es-PE" w:eastAsia="zh-CN"/>
        </w:rPr>
        <w:t>1996</w:t>
      </w:r>
      <w:r>
        <w:rPr>
          <w:lang w:val="es-PE" w:eastAsia="zh-CN"/>
        </w:rPr>
        <w:t>、</w:t>
      </w:r>
      <w:r>
        <w:rPr>
          <w:lang w:val="es-PE" w:eastAsia="zh-CN"/>
        </w:rPr>
        <w:t>1998</w:t>
      </w:r>
      <w:r>
        <w:rPr>
          <w:lang w:val="es-PE" w:eastAsia="zh-CN"/>
        </w:rPr>
        <w:t>、</w:t>
      </w:r>
      <w:r>
        <w:rPr>
          <w:lang w:val="es-PE" w:eastAsia="zh-CN"/>
        </w:rPr>
        <w:t>2001</w:t>
      </w:r>
      <w:r>
        <w:rPr>
          <w:lang w:val="es-PE" w:eastAsia="zh-CN"/>
        </w:rPr>
        <w:t>、</w:t>
      </w:r>
      <w:r>
        <w:rPr>
          <w:lang w:val="es-PE" w:eastAsia="zh-CN"/>
        </w:rPr>
        <w:t>2009</w:t>
      </w:r>
      <w:r>
        <w:rPr>
          <w:lang w:val="es-PE" w:eastAsia="zh-CN"/>
        </w:rPr>
        <w:t>和</w:t>
      </w:r>
      <w:r>
        <w:rPr>
          <w:lang w:val="es-PE" w:eastAsia="zh-CN"/>
        </w:rPr>
        <w:t>2013</w:t>
      </w:r>
      <w:r>
        <w:rPr>
          <w:lang w:val="es-PE" w:eastAsia="zh-CN"/>
        </w:rPr>
        <w:t>年举办的世界电信</w:t>
      </w:r>
      <w:r>
        <w:rPr>
          <w:rFonts w:hint="eastAsia"/>
          <w:lang w:val="es-PE" w:eastAsia="zh-CN"/>
        </w:rPr>
        <w:t>/</w:t>
      </w:r>
      <w:r>
        <w:rPr>
          <w:rFonts w:hint="eastAsia"/>
          <w:lang w:val="es-PE" w:eastAsia="zh-CN"/>
        </w:rPr>
        <w:t>信息通信技术政策论坛（</w:t>
      </w:r>
      <w:r>
        <w:rPr>
          <w:rFonts w:hint="eastAsia"/>
          <w:lang w:val="es-PE" w:eastAsia="zh-CN"/>
        </w:rPr>
        <w:t>WTPF</w:t>
      </w:r>
      <w:r>
        <w:rPr>
          <w:rFonts w:hint="eastAsia"/>
          <w:lang w:val="es-PE" w:eastAsia="zh-CN"/>
        </w:rPr>
        <w:t>）为高层与会者探讨全球和跨行业问题提供了场所，因此有助于世界电信的发展以及论坛本身举办程序的建立，</w:t>
      </w:r>
    </w:p>
    <w:p w:rsidR="00480737" w:rsidRPr="00480737" w:rsidRDefault="00480737" w:rsidP="00480737">
      <w:pPr>
        <w:tabs>
          <w:tab w:val="clear" w:pos="794"/>
          <w:tab w:val="clear" w:pos="1191"/>
          <w:tab w:val="clear" w:pos="1588"/>
          <w:tab w:val="clear" w:pos="1985"/>
          <w:tab w:val="left" w:pos="567"/>
          <w:tab w:val="left" w:pos="1134"/>
          <w:tab w:val="left" w:pos="1701"/>
          <w:tab w:val="left" w:pos="2268"/>
          <w:tab w:val="left" w:pos="2835"/>
        </w:tabs>
        <w:snapToGrid w:val="0"/>
        <w:spacing w:before="240" w:after="120"/>
        <w:ind w:left="851"/>
        <w:jc w:val="both"/>
        <w:rPr>
          <w:rFonts w:ascii="STKaiti" w:eastAsia="STKaiti" w:hAnsi="STKaiti" w:cs="Microsoft YaHei"/>
          <w:szCs w:val="22"/>
          <w:lang w:val="es-PE" w:eastAsia="zh-CN"/>
        </w:rPr>
      </w:pPr>
      <w:r w:rsidRPr="00480737">
        <w:rPr>
          <w:rFonts w:ascii="STKaiti" w:eastAsia="STKaiti" w:hAnsi="STKaiti" w:cs="Microsoft YaHei" w:hint="eastAsia"/>
          <w:szCs w:val="22"/>
          <w:lang w:val="es-PE" w:eastAsia="zh-CN"/>
        </w:rPr>
        <w:t>考虑到</w:t>
      </w:r>
    </w:p>
    <w:p w:rsidR="00480737" w:rsidRDefault="00CD1569" w:rsidP="001A6DBF">
      <w:pPr>
        <w:rPr>
          <w:lang w:eastAsia="zh-CN"/>
        </w:rPr>
      </w:pPr>
      <w:bookmarkStart w:id="4" w:name="lt_pId034"/>
      <w:r w:rsidRPr="00CD1569">
        <w:rPr>
          <w:szCs w:val="22"/>
          <w:lang w:val="es-PE" w:eastAsia="zh-CN"/>
        </w:rPr>
        <w:t>a)</w:t>
      </w:r>
      <w:bookmarkEnd w:id="4"/>
      <w:r w:rsidRPr="004A63F4">
        <w:rPr>
          <w:szCs w:val="22"/>
          <w:lang w:val="es-PE" w:eastAsia="zh-CN"/>
        </w:rPr>
        <w:tab/>
      </w:r>
      <w:r w:rsidRPr="001A6DBF">
        <w:rPr>
          <w:rFonts w:hint="eastAsia"/>
          <w:lang w:val="fr-CH" w:eastAsia="zh-CN"/>
        </w:rPr>
        <w:t>国际电联的宗旨</w:t>
      </w:r>
      <w:r w:rsidR="001A6DBF" w:rsidRPr="001A6DBF">
        <w:rPr>
          <w:rFonts w:hint="eastAsia"/>
          <w:lang w:val="fr-CH" w:eastAsia="zh-CN"/>
        </w:rPr>
        <w:t>，特别是</w:t>
      </w:r>
      <w:r w:rsidRPr="001A6DBF">
        <w:rPr>
          <w:rFonts w:hint="eastAsia"/>
          <w:lang w:eastAsia="zh-CN"/>
        </w:rPr>
        <w:t>国际层面上</w:t>
      </w:r>
      <w:r w:rsidR="001A6DBF" w:rsidRPr="001A6DBF">
        <w:rPr>
          <w:rFonts w:hint="eastAsia"/>
          <w:lang w:eastAsia="zh-CN"/>
        </w:rPr>
        <w:t>的宗旨是</w:t>
      </w:r>
      <w:r w:rsidRPr="001A6DBF">
        <w:rPr>
          <w:rFonts w:hint="eastAsia"/>
          <w:lang w:eastAsia="zh-CN"/>
        </w:rPr>
        <w:t>促进从更宽的角度对待全球信息经济和社会中的电信问题，促使世界上所有居民都得益于新的电信技术，并协调各成员国和部门成员的行动，以达到上述目的等；</w:t>
      </w:r>
    </w:p>
    <w:p w:rsidR="00CD1569" w:rsidRDefault="00CD1569" w:rsidP="001A6DBF">
      <w:pPr>
        <w:rPr>
          <w:szCs w:val="22"/>
          <w:lang w:val="en-US" w:eastAsia="zh-CN"/>
        </w:rPr>
      </w:pPr>
      <w:bookmarkStart w:id="5" w:name="lt_pId036"/>
      <w:r w:rsidRPr="00CD1569">
        <w:rPr>
          <w:szCs w:val="22"/>
          <w:lang w:val="es-PE" w:eastAsia="zh-CN"/>
        </w:rPr>
        <w:t>b)</w:t>
      </w:r>
      <w:bookmarkEnd w:id="5"/>
      <w:r w:rsidRPr="00CD1569">
        <w:rPr>
          <w:szCs w:val="22"/>
          <w:lang w:val="es-PE" w:eastAsia="zh-CN"/>
        </w:rPr>
        <w:tab/>
      </w:r>
      <w:r w:rsidR="001A6DBF">
        <w:rPr>
          <w:szCs w:val="22"/>
          <w:lang w:val="en-US" w:eastAsia="zh-CN"/>
        </w:rPr>
        <w:t>除通过体现共同观点的意见外，</w:t>
      </w:r>
      <w:r w:rsidRPr="00CD1569">
        <w:rPr>
          <w:szCs w:val="22"/>
          <w:lang w:val="es-PE" w:eastAsia="zh-CN"/>
        </w:rPr>
        <w:t>WTPF</w:t>
      </w:r>
      <w:r w:rsidRPr="00CD1569">
        <w:rPr>
          <w:szCs w:val="22"/>
          <w:lang w:val="es-PE" w:eastAsia="zh-CN"/>
        </w:rPr>
        <w:t>的宗旨是为交流意见和信息提供场所并因此由世界各地的政策制定者就新兴电</w:t>
      </w:r>
      <w:r>
        <w:rPr>
          <w:szCs w:val="22"/>
          <w:lang w:val="es-PE" w:eastAsia="zh-CN"/>
        </w:rPr>
        <w:t>信</w:t>
      </w:r>
      <w:r>
        <w:rPr>
          <w:szCs w:val="22"/>
          <w:lang w:val="en-US" w:eastAsia="zh-CN"/>
        </w:rPr>
        <w:t>/ICT</w:t>
      </w:r>
      <w:r>
        <w:rPr>
          <w:szCs w:val="22"/>
          <w:lang w:val="en-US" w:eastAsia="zh-CN"/>
        </w:rPr>
        <w:t>服务和技术引发的问题制定共同的愿景并审议其他得益于全面交流意见的电信</w:t>
      </w:r>
      <w:r>
        <w:rPr>
          <w:szCs w:val="22"/>
          <w:lang w:val="en-US" w:eastAsia="zh-CN"/>
        </w:rPr>
        <w:t>/ICT</w:t>
      </w:r>
      <w:r>
        <w:rPr>
          <w:szCs w:val="22"/>
          <w:lang w:val="en-US" w:eastAsia="zh-CN"/>
        </w:rPr>
        <w:t>政策问题，</w:t>
      </w:r>
    </w:p>
    <w:p w:rsidR="00CD1569" w:rsidRDefault="00CD1569" w:rsidP="00CD1569">
      <w:pPr>
        <w:tabs>
          <w:tab w:val="clear" w:pos="794"/>
          <w:tab w:val="clear" w:pos="1191"/>
          <w:tab w:val="clear" w:pos="1588"/>
          <w:tab w:val="clear" w:pos="1985"/>
          <w:tab w:val="left" w:pos="567"/>
          <w:tab w:val="left" w:pos="1134"/>
          <w:tab w:val="left" w:pos="1701"/>
          <w:tab w:val="left" w:pos="2268"/>
          <w:tab w:val="left" w:pos="2835"/>
        </w:tabs>
        <w:snapToGrid w:val="0"/>
        <w:spacing w:before="240" w:after="120"/>
        <w:ind w:left="851"/>
        <w:jc w:val="both"/>
        <w:rPr>
          <w:rFonts w:ascii="STKaiti" w:eastAsia="STKaiti" w:hAnsi="STKaiti" w:cs="Microsoft YaHei"/>
          <w:szCs w:val="22"/>
          <w:lang w:val="es-PE" w:eastAsia="zh-CN"/>
        </w:rPr>
      </w:pPr>
      <w:r w:rsidRPr="00CD1569">
        <w:rPr>
          <w:rFonts w:ascii="STKaiti" w:eastAsia="STKaiti" w:hAnsi="STKaiti" w:cs="Microsoft YaHei"/>
          <w:szCs w:val="22"/>
          <w:lang w:val="es-PE" w:eastAsia="zh-CN"/>
        </w:rPr>
        <w:t>进一步考虑到</w:t>
      </w:r>
    </w:p>
    <w:p w:rsidR="00CD1569" w:rsidRDefault="00CD1569" w:rsidP="00CD1569">
      <w:pPr>
        <w:rPr>
          <w:szCs w:val="22"/>
          <w:lang w:val="es-PE" w:eastAsia="zh-CN"/>
        </w:rPr>
      </w:pPr>
      <w:r w:rsidRPr="00CD1569">
        <w:rPr>
          <w:szCs w:val="22"/>
          <w:lang w:val="es-PE" w:eastAsia="zh-CN"/>
        </w:rPr>
        <w:t>a)</w:t>
      </w:r>
      <w:r w:rsidRPr="00CD1569">
        <w:rPr>
          <w:szCs w:val="22"/>
          <w:lang w:val="es-PE" w:eastAsia="zh-CN"/>
        </w:rPr>
        <w:tab/>
      </w:r>
      <w:r>
        <w:rPr>
          <w:szCs w:val="22"/>
          <w:lang w:val="es-PE" w:eastAsia="zh-CN"/>
        </w:rPr>
        <w:t>融合、下一代网络的持续发展和数字经济的出现对若干领域，特别是能力建设，尤其是发展中国家的能力建设具有重大影响；</w:t>
      </w:r>
    </w:p>
    <w:p w:rsidR="00786394" w:rsidRDefault="00786394" w:rsidP="00786394">
      <w:pPr>
        <w:rPr>
          <w:szCs w:val="22"/>
          <w:lang w:val="es-PE" w:eastAsia="zh-CN"/>
        </w:rPr>
      </w:pPr>
      <w:r>
        <w:rPr>
          <w:szCs w:val="22"/>
          <w:lang w:val="es-PE" w:eastAsia="zh-CN"/>
        </w:rPr>
        <w:t>b</w:t>
      </w:r>
      <w:r w:rsidRPr="00CD1569">
        <w:rPr>
          <w:szCs w:val="22"/>
          <w:lang w:val="es-PE" w:eastAsia="zh-CN"/>
        </w:rPr>
        <w:t>)</w:t>
      </w:r>
      <w:r w:rsidRPr="00CD1569">
        <w:rPr>
          <w:szCs w:val="22"/>
          <w:lang w:val="es-PE" w:eastAsia="zh-CN"/>
        </w:rPr>
        <w:tab/>
      </w:r>
      <w:r>
        <w:rPr>
          <w:szCs w:val="22"/>
          <w:lang w:val="es-PE" w:eastAsia="zh-CN"/>
        </w:rPr>
        <w:t>电信</w:t>
      </w:r>
      <w:r>
        <w:rPr>
          <w:rFonts w:hint="eastAsia"/>
          <w:szCs w:val="22"/>
          <w:lang w:val="es-PE" w:eastAsia="zh-CN"/>
        </w:rPr>
        <w:t>/</w:t>
      </w:r>
      <w:r>
        <w:rPr>
          <w:szCs w:val="22"/>
          <w:lang w:val="es-PE" w:eastAsia="zh-CN"/>
        </w:rPr>
        <w:t>ICT</w:t>
      </w:r>
      <w:r>
        <w:rPr>
          <w:szCs w:val="22"/>
          <w:lang w:val="es-PE" w:eastAsia="zh-CN"/>
        </w:rPr>
        <w:t>如何促进和影响数字经济的研究是国际电联成员国和部门成员高度感兴趣的议题；</w:t>
      </w:r>
    </w:p>
    <w:p w:rsidR="00786394" w:rsidRDefault="00786394" w:rsidP="00786394">
      <w:pPr>
        <w:rPr>
          <w:szCs w:val="22"/>
          <w:lang w:val="es-PE" w:eastAsia="zh-CN"/>
        </w:rPr>
      </w:pPr>
      <w:r>
        <w:rPr>
          <w:szCs w:val="22"/>
          <w:lang w:val="es-PE" w:eastAsia="zh-CN"/>
        </w:rPr>
        <w:t>c</w:t>
      </w:r>
      <w:r w:rsidRPr="00CD1569">
        <w:rPr>
          <w:szCs w:val="22"/>
          <w:lang w:val="es-PE" w:eastAsia="zh-CN"/>
        </w:rPr>
        <w:t>)</w:t>
      </w:r>
      <w:r w:rsidRPr="00CD1569">
        <w:rPr>
          <w:szCs w:val="22"/>
          <w:lang w:val="es-PE" w:eastAsia="zh-CN"/>
        </w:rPr>
        <w:tab/>
      </w:r>
      <w:r>
        <w:rPr>
          <w:szCs w:val="22"/>
          <w:lang w:val="es-PE" w:eastAsia="zh-CN"/>
        </w:rPr>
        <w:t>促进电信</w:t>
      </w:r>
      <w:r>
        <w:rPr>
          <w:rFonts w:hint="eastAsia"/>
          <w:szCs w:val="22"/>
          <w:lang w:val="es-PE" w:eastAsia="zh-CN"/>
        </w:rPr>
        <w:t>/ICT</w:t>
      </w:r>
      <w:r>
        <w:rPr>
          <w:rFonts w:hint="eastAsia"/>
          <w:szCs w:val="22"/>
          <w:lang w:val="es-PE" w:eastAsia="zh-CN"/>
        </w:rPr>
        <w:t>发展，以此支持数字经济并协助发展中国家向数字经济过渡，这是欧盟的战略目标之一；</w:t>
      </w:r>
    </w:p>
    <w:p w:rsidR="00786394" w:rsidRDefault="00786394" w:rsidP="008548E0">
      <w:pPr>
        <w:rPr>
          <w:szCs w:val="22"/>
          <w:lang w:val="es-PE" w:eastAsia="zh-CN"/>
        </w:rPr>
      </w:pPr>
      <w:r>
        <w:rPr>
          <w:szCs w:val="22"/>
          <w:lang w:val="es-PE" w:eastAsia="zh-CN"/>
        </w:rPr>
        <w:lastRenderedPageBreak/>
        <w:t>d</w:t>
      </w:r>
      <w:r w:rsidR="008548E0">
        <w:rPr>
          <w:szCs w:val="22"/>
          <w:lang w:val="es-PE" w:eastAsia="zh-CN"/>
        </w:rPr>
        <w:t>)</w:t>
      </w:r>
      <w:r>
        <w:rPr>
          <w:szCs w:val="22"/>
          <w:lang w:val="es-PE" w:eastAsia="zh-CN"/>
        </w:rPr>
        <w:tab/>
        <w:t>WTPF</w:t>
      </w:r>
      <w:r>
        <w:rPr>
          <w:szCs w:val="22"/>
          <w:lang w:val="es-PE" w:eastAsia="zh-CN"/>
        </w:rPr>
        <w:t>应继续特别关注发展中国家的利益和需求</w:t>
      </w:r>
      <w:r w:rsidRPr="001059FA">
        <w:rPr>
          <w:rStyle w:val="FootnoteReference"/>
          <w:szCs w:val="22"/>
          <w:lang w:val="es-PE"/>
        </w:rPr>
        <w:footnoteReference w:id="1"/>
      </w:r>
      <w:r>
        <w:rPr>
          <w:szCs w:val="22"/>
          <w:lang w:val="es-PE" w:eastAsia="zh-CN"/>
        </w:rPr>
        <w:t>，在这些国家，现代技术和服务可为电信基础设施的发展做出重大贡献，</w:t>
      </w:r>
    </w:p>
    <w:p w:rsidR="00786394" w:rsidRDefault="00786394" w:rsidP="00786394">
      <w:pPr>
        <w:tabs>
          <w:tab w:val="clear" w:pos="794"/>
          <w:tab w:val="clear" w:pos="1191"/>
          <w:tab w:val="clear" w:pos="1588"/>
          <w:tab w:val="clear" w:pos="1985"/>
          <w:tab w:val="left" w:pos="567"/>
          <w:tab w:val="left" w:pos="1134"/>
          <w:tab w:val="left" w:pos="1701"/>
          <w:tab w:val="left" w:pos="2268"/>
          <w:tab w:val="left" w:pos="2835"/>
        </w:tabs>
        <w:snapToGrid w:val="0"/>
        <w:spacing w:before="240" w:after="120"/>
        <w:ind w:left="851"/>
        <w:jc w:val="both"/>
        <w:rPr>
          <w:rFonts w:ascii="STKaiti" w:eastAsia="STKaiti" w:hAnsi="STKaiti" w:cs="Microsoft YaHei"/>
          <w:szCs w:val="22"/>
          <w:lang w:val="es-PE" w:eastAsia="zh-CN"/>
        </w:rPr>
      </w:pPr>
      <w:r w:rsidRPr="00786394">
        <w:rPr>
          <w:rFonts w:ascii="STKaiti" w:eastAsia="STKaiti" w:hAnsi="STKaiti" w:cs="Microsoft YaHei"/>
          <w:szCs w:val="22"/>
          <w:lang w:val="es-PE" w:eastAsia="zh-CN"/>
        </w:rPr>
        <w:t>做出决定</w:t>
      </w:r>
    </w:p>
    <w:p w:rsidR="00786394" w:rsidRDefault="00786394" w:rsidP="004559FE">
      <w:pPr>
        <w:rPr>
          <w:lang w:val="es-PE" w:eastAsia="zh-CN"/>
        </w:rPr>
      </w:pPr>
      <w:r w:rsidRPr="004C6AA9">
        <w:rPr>
          <w:lang w:val="es-PE" w:eastAsia="zh-CN"/>
        </w:rPr>
        <w:t>1</w:t>
      </w:r>
      <w:r w:rsidRPr="004C6AA9">
        <w:rPr>
          <w:lang w:val="es-PE" w:eastAsia="zh-CN"/>
        </w:rPr>
        <w:tab/>
      </w:r>
      <w:r w:rsidR="002358C2">
        <w:rPr>
          <w:lang w:val="es-PE" w:eastAsia="zh-CN"/>
        </w:rPr>
        <w:t>根据本决定附件</w:t>
      </w:r>
      <w:r w:rsidR="002358C2">
        <w:rPr>
          <w:lang w:val="es-PE" w:eastAsia="zh-CN"/>
        </w:rPr>
        <w:t>2</w:t>
      </w:r>
      <w:r w:rsidR="002358C2">
        <w:rPr>
          <w:lang w:val="es-PE" w:eastAsia="zh-CN"/>
        </w:rPr>
        <w:t>所含议程草案，</w:t>
      </w:r>
      <w:r w:rsidR="004559FE">
        <w:rPr>
          <w:rFonts w:hint="eastAsia"/>
          <w:lang w:val="es-PE" w:eastAsia="zh-CN"/>
        </w:rPr>
        <w:t>第</w:t>
      </w:r>
      <w:r w:rsidR="004559FE">
        <w:rPr>
          <w:lang w:val="es-PE" w:eastAsia="zh-CN"/>
        </w:rPr>
        <w:t>六届世界电信</w:t>
      </w:r>
      <w:r w:rsidR="004559FE">
        <w:rPr>
          <w:rFonts w:hint="eastAsia"/>
          <w:lang w:val="es-PE" w:eastAsia="zh-CN"/>
        </w:rPr>
        <w:t>/</w:t>
      </w:r>
      <w:r w:rsidR="004559FE">
        <w:rPr>
          <w:rFonts w:hint="eastAsia"/>
          <w:lang w:val="es-PE" w:eastAsia="zh-CN"/>
        </w:rPr>
        <w:t>信息通信技术政策论坛（</w:t>
      </w:r>
      <w:r w:rsidR="004559FE">
        <w:rPr>
          <w:rFonts w:hint="eastAsia"/>
          <w:lang w:val="es-PE" w:eastAsia="zh-CN"/>
        </w:rPr>
        <w:t>WTPF</w:t>
      </w:r>
      <w:r w:rsidR="004559FE">
        <w:rPr>
          <w:rFonts w:hint="eastAsia"/>
          <w:lang w:val="es-PE" w:eastAsia="zh-CN"/>
        </w:rPr>
        <w:t>）</w:t>
      </w:r>
      <w:r w:rsidR="004559FE">
        <w:rPr>
          <w:lang w:val="es-PE" w:eastAsia="zh-CN"/>
        </w:rPr>
        <w:t>论坛</w:t>
      </w:r>
      <w:r w:rsidR="004559FE">
        <w:rPr>
          <w:rFonts w:hint="eastAsia"/>
          <w:lang w:val="es-PE" w:eastAsia="zh-CN"/>
        </w:rPr>
        <w:t>将</w:t>
      </w:r>
      <w:r w:rsidR="002358C2">
        <w:rPr>
          <w:lang w:val="es-PE" w:eastAsia="zh-CN"/>
        </w:rPr>
        <w:t>与</w:t>
      </w:r>
      <w:r w:rsidR="002358C2">
        <w:rPr>
          <w:lang w:val="es-PE" w:eastAsia="zh-CN"/>
        </w:rPr>
        <w:t>2021</w:t>
      </w:r>
      <w:r w:rsidR="002358C2">
        <w:rPr>
          <w:lang w:val="es-PE" w:eastAsia="zh-CN"/>
        </w:rPr>
        <w:t>年信息社会世界</w:t>
      </w:r>
      <w:r w:rsidR="004559FE">
        <w:rPr>
          <w:rFonts w:hint="eastAsia"/>
          <w:lang w:val="es-PE" w:eastAsia="zh-CN"/>
        </w:rPr>
        <w:t>峰会</w:t>
      </w:r>
      <w:r w:rsidR="002358C2">
        <w:rPr>
          <w:lang w:val="es-PE" w:eastAsia="zh-CN"/>
        </w:rPr>
        <w:t>（</w:t>
      </w:r>
      <w:r w:rsidR="002358C2">
        <w:rPr>
          <w:lang w:val="es-PE" w:eastAsia="zh-CN"/>
        </w:rPr>
        <w:t>WSIS</w:t>
      </w:r>
      <w:r w:rsidR="002358C2">
        <w:rPr>
          <w:lang w:val="es-PE" w:eastAsia="zh-CN"/>
        </w:rPr>
        <w:t>）</w:t>
      </w:r>
      <w:r w:rsidR="004559FE">
        <w:rPr>
          <w:lang w:val="es-PE" w:eastAsia="zh-CN"/>
        </w:rPr>
        <w:t>在瑞士日内瓦</w:t>
      </w:r>
      <w:r w:rsidR="004559FE">
        <w:rPr>
          <w:rFonts w:hint="eastAsia"/>
          <w:lang w:val="es-PE" w:eastAsia="zh-CN"/>
        </w:rPr>
        <w:t>共同</w:t>
      </w:r>
      <w:r w:rsidR="004559FE">
        <w:rPr>
          <w:lang w:val="es-PE" w:eastAsia="zh-CN"/>
        </w:rPr>
        <w:t>举办，</w:t>
      </w:r>
      <w:r w:rsidR="00FC523B">
        <w:rPr>
          <w:rFonts w:hint="eastAsia"/>
          <w:lang w:val="es-PE" w:eastAsia="zh-CN"/>
        </w:rPr>
        <w:t>为期三天；</w:t>
      </w:r>
    </w:p>
    <w:p w:rsidR="00FC523B" w:rsidRDefault="00FC523B" w:rsidP="002358C2">
      <w:pPr>
        <w:rPr>
          <w:lang w:val="es-PE" w:eastAsia="zh-CN"/>
        </w:rPr>
      </w:pPr>
      <w:r>
        <w:rPr>
          <w:lang w:val="es-PE" w:eastAsia="zh-CN"/>
        </w:rPr>
        <w:t>2</w:t>
      </w:r>
      <w:r>
        <w:rPr>
          <w:lang w:val="es-PE" w:eastAsia="zh-CN"/>
        </w:rPr>
        <w:tab/>
        <w:t>WTPF</w:t>
      </w:r>
      <w:r>
        <w:rPr>
          <w:lang w:val="es-PE" w:eastAsia="zh-CN"/>
        </w:rPr>
        <w:t>应研究新的数字技术如何影响电信</w:t>
      </w:r>
      <w:r>
        <w:rPr>
          <w:rFonts w:hint="eastAsia"/>
          <w:lang w:val="es-PE" w:eastAsia="zh-CN"/>
        </w:rPr>
        <w:t>/</w:t>
      </w:r>
      <w:r>
        <w:rPr>
          <w:lang w:val="es-PE" w:eastAsia="zh-CN"/>
        </w:rPr>
        <w:t>ICT</w:t>
      </w:r>
      <w:r>
        <w:rPr>
          <w:lang w:val="es-PE" w:eastAsia="zh-CN"/>
        </w:rPr>
        <w:t>行业并推进各国实现向数字经济的过渡，同时分析促进支持数字经济所需要的电信</w:t>
      </w:r>
      <w:r>
        <w:rPr>
          <w:rFonts w:hint="eastAsia"/>
          <w:lang w:val="es-PE" w:eastAsia="zh-CN"/>
        </w:rPr>
        <w:t>/ICT</w:t>
      </w:r>
      <w:r>
        <w:rPr>
          <w:rFonts w:hint="eastAsia"/>
          <w:lang w:val="es-PE" w:eastAsia="zh-CN"/>
        </w:rPr>
        <w:t>网络发展的政策；</w:t>
      </w:r>
    </w:p>
    <w:p w:rsidR="00FC523B" w:rsidRDefault="00FC523B" w:rsidP="002358C2">
      <w:pPr>
        <w:rPr>
          <w:lang w:val="es-PE" w:eastAsia="zh-CN"/>
        </w:rPr>
      </w:pPr>
      <w:r>
        <w:rPr>
          <w:lang w:val="es-PE" w:eastAsia="zh-CN"/>
        </w:rPr>
        <w:t>3</w:t>
      </w:r>
      <w:r>
        <w:rPr>
          <w:lang w:val="es-PE" w:eastAsia="zh-CN"/>
        </w:rPr>
        <w:tab/>
        <w:t>WTPF</w:t>
      </w:r>
      <w:r>
        <w:rPr>
          <w:lang w:val="es-PE" w:eastAsia="zh-CN"/>
        </w:rPr>
        <w:t>须编写报告并以协商一致的方式通过意见，供成员国、部门成员和国际电联相关会议分析，但不得形成事先监管成果；</w:t>
      </w:r>
    </w:p>
    <w:p w:rsidR="00FC523B" w:rsidRDefault="00FC523B" w:rsidP="002358C2">
      <w:pPr>
        <w:rPr>
          <w:lang w:val="es-PE" w:eastAsia="zh-CN"/>
        </w:rPr>
      </w:pPr>
      <w:r>
        <w:rPr>
          <w:lang w:val="es-PE" w:eastAsia="zh-CN"/>
        </w:rPr>
        <w:t>4</w:t>
      </w:r>
      <w:r>
        <w:rPr>
          <w:lang w:val="es-PE" w:eastAsia="zh-CN"/>
        </w:rPr>
        <w:tab/>
      </w:r>
      <w:r>
        <w:rPr>
          <w:lang w:val="es-PE" w:eastAsia="zh-CN"/>
        </w:rPr>
        <w:t>秘书长须鼓励国际电联成员国、部门成员和其他利益攸关方提供自愿捐款以帮助支付</w:t>
      </w:r>
      <w:r>
        <w:rPr>
          <w:lang w:val="es-PE" w:eastAsia="zh-CN"/>
        </w:rPr>
        <w:t>WTPF</w:t>
      </w:r>
      <w:r>
        <w:rPr>
          <w:lang w:val="es-PE" w:eastAsia="zh-CN"/>
        </w:rPr>
        <w:t>的费用并方便最不发达国家（</w:t>
      </w:r>
      <w:r>
        <w:rPr>
          <w:lang w:val="es-PE" w:eastAsia="zh-CN"/>
        </w:rPr>
        <w:t>LDC</w:t>
      </w:r>
      <w:r>
        <w:rPr>
          <w:lang w:val="es-PE" w:eastAsia="zh-CN"/>
        </w:rPr>
        <w:t>）的与会；</w:t>
      </w:r>
    </w:p>
    <w:p w:rsidR="00FC523B" w:rsidRDefault="00FC523B" w:rsidP="002358C2">
      <w:pPr>
        <w:rPr>
          <w:lang w:val="es-PE" w:eastAsia="zh-CN"/>
        </w:rPr>
      </w:pPr>
      <w:r>
        <w:rPr>
          <w:lang w:val="es-PE" w:eastAsia="zh-CN"/>
        </w:rPr>
        <w:t>5</w:t>
      </w:r>
      <w:r>
        <w:rPr>
          <w:lang w:val="es-PE" w:eastAsia="zh-CN"/>
        </w:rPr>
        <w:tab/>
      </w:r>
      <w:r>
        <w:rPr>
          <w:lang w:val="es-PE" w:eastAsia="zh-CN"/>
        </w:rPr>
        <w:t>秘书长的报告须根据本决定附件</w:t>
      </w:r>
      <w:r>
        <w:rPr>
          <w:lang w:val="es-PE" w:eastAsia="zh-CN"/>
        </w:rPr>
        <w:t>1</w:t>
      </w:r>
      <w:r>
        <w:rPr>
          <w:lang w:val="es-PE" w:eastAsia="zh-CN"/>
        </w:rPr>
        <w:t>所载职责范围予以编制；</w:t>
      </w:r>
    </w:p>
    <w:p w:rsidR="00FC523B" w:rsidRDefault="00FC523B" w:rsidP="004559FE">
      <w:pPr>
        <w:rPr>
          <w:lang w:val="es-PE" w:eastAsia="zh-CN"/>
        </w:rPr>
      </w:pPr>
      <w:r>
        <w:rPr>
          <w:lang w:val="es-PE" w:eastAsia="zh-CN"/>
        </w:rPr>
        <w:t>6</w:t>
      </w:r>
      <w:r>
        <w:rPr>
          <w:lang w:val="es-PE" w:eastAsia="zh-CN"/>
        </w:rPr>
        <w:tab/>
        <w:t>WTPF</w:t>
      </w:r>
      <w:r>
        <w:rPr>
          <w:lang w:val="es-PE" w:eastAsia="zh-CN"/>
        </w:rPr>
        <w:t>的参会须向成员国和部门成员开放，但公众应随意作为观察员参加会议。然而，</w:t>
      </w:r>
      <w:r w:rsidR="004559FE">
        <w:rPr>
          <w:rFonts w:hint="eastAsia"/>
          <w:lang w:val="es-PE" w:eastAsia="zh-CN"/>
        </w:rPr>
        <w:t>经</w:t>
      </w:r>
      <w:r>
        <w:rPr>
          <w:lang w:val="es-PE" w:eastAsia="zh-CN"/>
        </w:rPr>
        <w:t>多数成员国代表决定，可酌情仅为成员国举办专场会议；</w:t>
      </w:r>
    </w:p>
    <w:p w:rsidR="00FC523B" w:rsidRDefault="00FC523B" w:rsidP="002358C2">
      <w:pPr>
        <w:rPr>
          <w:lang w:val="es-PE" w:eastAsia="zh-CN"/>
        </w:rPr>
      </w:pPr>
      <w:r>
        <w:rPr>
          <w:lang w:val="es-PE" w:eastAsia="zh-CN"/>
        </w:rPr>
        <w:t>7</w:t>
      </w:r>
      <w:r>
        <w:rPr>
          <w:lang w:val="es-PE" w:eastAsia="zh-CN"/>
        </w:rPr>
        <w:tab/>
        <w:t>WTPF</w:t>
      </w:r>
      <w:r>
        <w:rPr>
          <w:lang w:val="es-PE" w:eastAsia="zh-CN"/>
        </w:rPr>
        <w:t>做出的决定应与适用的理事会和全权代表大会决定保持一致，特别是：</w:t>
      </w:r>
    </w:p>
    <w:p w:rsidR="00FC523B" w:rsidRDefault="00FC523B" w:rsidP="009872A8">
      <w:pPr>
        <w:pStyle w:val="enumlev1"/>
        <w:rPr>
          <w:lang w:val="es-PE" w:eastAsia="zh-CN"/>
        </w:rPr>
      </w:pPr>
      <w:bookmarkStart w:id="6" w:name="lt_pId063"/>
      <w:r w:rsidRPr="00FC523B">
        <w:rPr>
          <w:lang w:val="es-PE" w:eastAsia="zh-CN"/>
        </w:rPr>
        <w:t>i</w:t>
      </w:r>
      <w:bookmarkEnd w:id="6"/>
      <w:r w:rsidRPr="00FC523B">
        <w:rPr>
          <w:lang w:val="es-PE" w:eastAsia="zh-CN"/>
        </w:rPr>
        <w:tab/>
      </w:r>
      <w:r w:rsidR="00B90D83">
        <w:rPr>
          <w:lang w:val="es-PE" w:eastAsia="zh-CN"/>
        </w:rPr>
        <w:t>WTPF</w:t>
      </w:r>
      <w:r w:rsidR="00B90D83">
        <w:rPr>
          <w:lang w:val="es-PE" w:eastAsia="zh-CN"/>
        </w:rPr>
        <w:t>会议的举办应符合《</w:t>
      </w:r>
      <w:r w:rsidR="004559FE">
        <w:rPr>
          <w:lang w:val="es-PE" w:eastAsia="zh-CN"/>
        </w:rPr>
        <w:t>国际电联</w:t>
      </w:r>
      <w:r w:rsidR="00B90D83">
        <w:rPr>
          <w:lang w:val="es-PE" w:eastAsia="zh-CN"/>
        </w:rPr>
        <w:t>有关大会、全会和会议的总规则》，</w:t>
      </w:r>
    </w:p>
    <w:p w:rsidR="00B90D83" w:rsidRDefault="00B90D83" w:rsidP="009872A8">
      <w:pPr>
        <w:pStyle w:val="enumlev1"/>
        <w:rPr>
          <w:lang w:val="es-PE" w:eastAsia="zh-CN"/>
        </w:rPr>
      </w:pPr>
      <w:r w:rsidRPr="00FC523B">
        <w:rPr>
          <w:lang w:val="es-PE" w:eastAsia="zh-CN"/>
        </w:rPr>
        <w:t>i</w:t>
      </w:r>
      <w:r>
        <w:rPr>
          <w:lang w:val="es-PE" w:eastAsia="zh-CN"/>
        </w:rPr>
        <w:t>i</w:t>
      </w:r>
      <w:r w:rsidRPr="00FC523B">
        <w:rPr>
          <w:lang w:val="es-PE" w:eastAsia="zh-CN"/>
        </w:rPr>
        <w:tab/>
      </w:r>
      <w:r>
        <w:rPr>
          <w:lang w:val="es-PE" w:eastAsia="zh-CN"/>
        </w:rPr>
        <w:t>WTPF</w:t>
      </w:r>
      <w:r>
        <w:rPr>
          <w:lang w:val="es-PE" w:eastAsia="zh-CN"/>
        </w:rPr>
        <w:t>进行的讨论须仅基于秘书长的一份报告和在此基础上提交的与会者文稿，内容包括：</w:t>
      </w:r>
    </w:p>
    <w:p w:rsidR="00B90D83" w:rsidRDefault="00B90D83" w:rsidP="009872A8">
      <w:pPr>
        <w:pStyle w:val="enumlev2"/>
        <w:rPr>
          <w:lang w:val="es-PE" w:eastAsia="zh-CN"/>
        </w:rPr>
      </w:pPr>
      <w:r>
        <w:rPr>
          <w:lang w:val="es-PE" w:eastAsia="zh-CN"/>
        </w:rPr>
        <w:lastRenderedPageBreak/>
        <w:t>a</w:t>
      </w:r>
      <w:r w:rsidR="009872A8">
        <w:rPr>
          <w:lang w:val="es-PE" w:eastAsia="zh-CN"/>
        </w:rPr>
        <w:t>)</w:t>
      </w:r>
      <w:r>
        <w:rPr>
          <w:lang w:val="es-PE" w:eastAsia="zh-CN"/>
        </w:rPr>
        <w:tab/>
      </w:r>
      <w:r>
        <w:rPr>
          <w:lang w:val="es-PE" w:eastAsia="zh-CN"/>
        </w:rPr>
        <w:t>成员国和部门成员的提案以及部门准成员、学术成员和利益攸关方的观点，</w:t>
      </w:r>
    </w:p>
    <w:p w:rsidR="00B90D83" w:rsidRDefault="00B90D83" w:rsidP="009872A8">
      <w:pPr>
        <w:pStyle w:val="enumlev2"/>
        <w:rPr>
          <w:lang w:val="es-PE" w:eastAsia="zh-CN"/>
        </w:rPr>
      </w:pPr>
      <w:r>
        <w:rPr>
          <w:lang w:val="es-PE" w:eastAsia="zh-CN"/>
        </w:rPr>
        <w:t>b</w:t>
      </w:r>
      <w:r w:rsidR="009872A8">
        <w:rPr>
          <w:lang w:val="es-PE" w:eastAsia="zh-CN"/>
        </w:rPr>
        <w:t>)</w:t>
      </w:r>
      <w:r>
        <w:rPr>
          <w:lang w:val="es-PE" w:eastAsia="zh-CN"/>
        </w:rPr>
        <w:tab/>
        <w:t>WTPF</w:t>
      </w:r>
      <w:r>
        <w:rPr>
          <w:lang w:val="es-PE" w:eastAsia="zh-CN"/>
        </w:rPr>
        <w:t>不得审议在论坛之前为拟定秘书长报告</w:t>
      </w:r>
      <w:r w:rsidR="006B7972">
        <w:rPr>
          <w:rFonts w:hint="eastAsia"/>
          <w:lang w:val="es-PE" w:eastAsia="zh-CN"/>
        </w:rPr>
        <w:t>在相关</w:t>
      </w:r>
      <w:r>
        <w:rPr>
          <w:lang w:val="es-PE" w:eastAsia="zh-CN"/>
        </w:rPr>
        <w:t>筹备阶段未</w:t>
      </w:r>
      <w:r w:rsidR="006B7972">
        <w:rPr>
          <w:rFonts w:hint="eastAsia"/>
          <w:lang w:val="es-PE" w:eastAsia="zh-CN"/>
        </w:rPr>
        <w:t>经介绍</w:t>
      </w:r>
      <w:r>
        <w:rPr>
          <w:lang w:val="es-PE" w:eastAsia="zh-CN"/>
        </w:rPr>
        <w:t>的任何新意见草案。</w:t>
      </w:r>
    </w:p>
    <w:p w:rsidR="00B90D83" w:rsidRDefault="00B90D83" w:rsidP="00B90D83">
      <w:pPr>
        <w:overflowPunct/>
        <w:autoSpaceDE/>
        <w:autoSpaceDN/>
        <w:adjustRightInd/>
        <w:spacing w:before="0"/>
        <w:textAlignment w:val="auto"/>
        <w:rPr>
          <w:lang w:val="es-PE" w:eastAsia="zh-CN"/>
        </w:rPr>
      </w:pPr>
      <w:r>
        <w:rPr>
          <w:lang w:val="es-PE" w:eastAsia="zh-CN"/>
        </w:rPr>
        <w:br w:type="page"/>
      </w:r>
    </w:p>
    <w:p w:rsidR="00B90D83" w:rsidRDefault="00B90D83" w:rsidP="00B90D83">
      <w:pPr>
        <w:pStyle w:val="AnnexNo"/>
        <w:keepNext w:val="0"/>
        <w:keepLines w:val="0"/>
        <w:tabs>
          <w:tab w:val="clear" w:pos="794"/>
          <w:tab w:val="clear" w:pos="1191"/>
          <w:tab w:val="clear" w:pos="1588"/>
          <w:tab w:val="clear" w:pos="1985"/>
          <w:tab w:val="left" w:pos="567"/>
          <w:tab w:val="left" w:pos="1134"/>
          <w:tab w:val="left" w:pos="1701"/>
          <w:tab w:val="left" w:pos="2268"/>
          <w:tab w:val="left" w:pos="2835"/>
        </w:tabs>
        <w:spacing w:before="720" w:after="0"/>
        <w:rPr>
          <w:lang w:val="en-US" w:eastAsia="zh-CN"/>
        </w:rPr>
      </w:pPr>
      <w:r>
        <w:rPr>
          <w:rFonts w:hint="eastAsia"/>
          <w:lang w:val="en-US" w:eastAsia="zh-CN"/>
        </w:rPr>
        <w:lastRenderedPageBreak/>
        <w:t>附件</w:t>
      </w:r>
      <w:r>
        <w:rPr>
          <w:rFonts w:hint="eastAsia"/>
          <w:lang w:val="en-US" w:eastAsia="zh-CN"/>
        </w:rPr>
        <w:t>1</w:t>
      </w:r>
    </w:p>
    <w:p w:rsidR="00B90D83" w:rsidRPr="00B90D83" w:rsidRDefault="006B7972" w:rsidP="006B7972">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after="240"/>
        <w:rPr>
          <w:rFonts w:ascii="Calibri" w:hAnsi="Calibri" w:cs="Calibri"/>
          <w:lang w:val="es-PE" w:eastAsia="zh-CN"/>
        </w:rPr>
      </w:pPr>
      <w:r w:rsidRPr="00B90D83">
        <w:rPr>
          <w:rFonts w:ascii="Calibri" w:hAnsi="Calibri" w:cs="Calibri" w:hint="eastAsia"/>
          <w:lang w:val="es-PE" w:eastAsia="zh-CN"/>
        </w:rPr>
        <w:t>有关</w:t>
      </w:r>
      <w:r w:rsidR="00B90D83" w:rsidRPr="00B90D83">
        <w:rPr>
          <w:rFonts w:ascii="Calibri" w:hAnsi="Calibri" w:cs="Calibri" w:hint="eastAsia"/>
          <w:lang w:val="es-PE" w:eastAsia="zh-CN"/>
        </w:rPr>
        <w:t>秘书长</w:t>
      </w:r>
      <w:r w:rsidRPr="00B90D83">
        <w:rPr>
          <w:rFonts w:ascii="Calibri" w:hAnsi="Calibri" w:cs="Calibri" w:hint="eastAsia"/>
          <w:lang w:val="es-PE" w:eastAsia="zh-CN"/>
        </w:rPr>
        <w:t>拟定</w:t>
      </w:r>
      <w:r w:rsidR="00B90D83" w:rsidRPr="00B90D83">
        <w:rPr>
          <w:rFonts w:ascii="Calibri" w:hAnsi="Calibri" w:cs="Calibri" w:hint="eastAsia"/>
          <w:lang w:val="es-PE" w:eastAsia="zh-CN"/>
        </w:rPr>
        <w:t>第六届世界电信</w:t>
      </w:r>
      <w:r w:rsidR="00B90D83" w:rsidRPr="00B90D83">
        <w:rPr>
          <w:rFonts w:ascii="Calibri" w:hAnsi="Calibri" w:cs="Calibri" w:hint="eastAsia"/>
          <w:lang w:val="es-PE" w:eastAsia="zh-CN"/>
        </w:rPr>
        <w:t>/ICT</w:t>
      </w:r>
      <w:r w:rsidR="00B90D83" w:rsidRPr="00B90D83">
        <w:rPr>
          <w:rFonts w:ascii="Calibri" w:hAnsi="Calibri" w:cs="Calibri" w:hint="eastAsia"/>
          <w:lang w:val="es-PE" w:eastAsia="zh-CN"/>
        </w:rPr>
        <w:t>政策</w:t>
      </w:r>
      <w:r>
        <w:rPr>
          <w:rFonts w:ascii="Calibri" w:hAnsi="Calibri" w:cs="Calibri" w:hint="eastAsia"/>
          <w:lang w:val="es-PE" w:eastAsia="zh-CN"/>
        </w:rPr>
        <w:t>论坛</w:t>
      </w:r>
      <w:r w:rsidR="00B90D83" w:rsidRPr="00B90D83">
        <w:rPr>
          <w:rFonts w:ascii="Calibri" w:hAnsi="Calibri" w:cs="Calibri" w:hint="eastAsia"/>
          <w:lang w:val="es-PE" w:eastAsia="zh-CN"/>
        </w:rPr>
        <w:t>报告的职责范围</w:t>
      </w:r>
    </w:p>
    <w:p w:rsidR="00B90D83" w:rsidRDefault="00B90D83" w:rsidP="009872A8">
      <w:pPr>
        <w:rPr>
          <w:lang w:val="es-PE" w:eastAsia="zh-CN"/>
        </w:rPr>
      </w:pPr>
      <w:r w:rsidRPr="004A63F4">
        <w:rPr>
          <w:lang w:val="es-PE" w:eastAsia="zh-CN"/>
        </w:rPr>
        <w:t>1</w:t>
      </w:r>
      <w:r w:rsidRPr="004A63F4">
        <w:rPr>
          <w:lang w:val="es-PE" w:eastAsia="zh-CN"/>
        </w:rPr>
        <w:tab/>
      </w:r>
      <w:r>
        <w:rPr>
          <w:rFonts w:hint="eastAsia"/>
          <w:lang w:val="es-PE" w:eastAsia="zh-CN"/>
        </w:rPr>
        <w:t>鉴于所获得</w:t>
      </w:r>
      <w:r w:rsidR="007823A8">
        <w:rPr>
          <w:rFonts w:hint="eastAsia"/>
          <w:lang w:val="es-PE" w:eastAsia="zh-CN"/>
        </w:rPr>
        <w:t>的</w:t>
      </w:r>
      <w:r>
        <w:rPr>
          <w:rFonts w:hint="eastAsia"/>
          <w:lang w:val="es-PE" w:eastAsia="zh-CN"/>
        </w:rPr>
        <w:t>经验并为</w:t>
      </w:r>
      <w:r w:rsidR="006B7972">
        <w:rPr>
          <w:rFonts w:hint="eastAsia"/>
          <w:lang w:val="es-PE" w:eastAsia="zh-CN"/>
        </w:rPr>
        <w:t>获得充足</w:t>
      </w:r>
      <w:r w:rsidR="00E41746">
        <w:rPr>
          <w:rFonts w:hint="eastAsia"/>
          <w:lang w:val="es-PE" w:eastAsia="zh-CN"/>
        </w:rPr>
        <w:t>的</w:t>
      </w:r>
      <w:r>
        <w:rPr>
          <w:rFonts w:hint="eastAsia"/>
          <w:lang w:val="es-PE" w:eastAsia="zh-CN"/>
        </w:rPr>
        <w:t>时间拟定秘书长关于本决定</w:t>
      </w:r>
      <w:r w:rsidRPr="00B90D83">
        <w:rPr>
          <w:rFonts w:ascii="STKaiti" w:eastAsia="STKaiti" w:hAnsi="STKaiti" w:hint="eastAsia"/>
          <w:lang w:val="es-PE" w:eastAsia="zh-CN"/>
        </w:rPr>
        <w:t>做出决定</w:t>
      </w:r>
      <w:r>
        <w:rPr>
          <w:rFonts w:hint="eastAsia"/>
          <w:lang w:val="es-PE" w:eastAsia="zh-CN"/>
        </w:rPr>
        <w:t>2</w:t>
      </w:r>
      <w:r>
        <w:rPr>
          <w:rFonts w:hint="eastAsia"/>
          <w:lang w:val="es-PE" w:eastAsia="zh-CN"/>
        </w:rPr>
        <w:t>所述主题报告，秘书长须</w:t>
      </w:r>
      <w:r w:rsidR="006B7972">
        <w:rPr>
          <w:rFonts w:hint="eastAsia"/>
          <w:lang w:val="es-PE" w:eastAsia="zh-CN"/>
        </w:rPr>
        <w:t>组建</w:t>
      </w:r>
      <w:r>
        <w:rPr>
          <w:rFonts w:hint="eastAsia"/>
          <w:lang w:val="es-PE" w:eastAsia="zh-CN"/>
        </w:rPr>
        <w:t>世界电信</w:t>
      </w:r>
      <w:r>
        <w:rPr>
          <w:rFonts w:hint="eastAsia"/>
          <w:lang w:val="es-PE" w:eastAsia="zh-CN"/>
        </w:rPr>
        <w:t>/ICT</w:t>
      </w:r>
      <w:r>
        <w:rPr>
          <w:rFonts w:hint="eastAsia"/>
          <w:lang w:val="es-PE" w:eastAsia="zh-CN"/>
        </w:rPr>
        <w:t>政策论坛（</w:t>
      </w:r>
      <w:r>
        <w:rPr>
          <w:rFonts w:hint="eastAsia"/>
          <w:lang w:val="es-PE" w:eastAsia="zh-CN"/>
        </w:rPr>
        <w:t>WTPF</w:t>
      </w:r>
      <w:r>
        <w:rPr>
          <w:rFonts w:hint="eastAsia"/>
          <w:lang w:val="es-PE" w:eastAsia="zh-CN"/>
        </w:rPr>
        <w:t>）专家组。该组：</w:t>
      </w:r>
    </w:p>
    <w:p w:rsidR="00B90D83" w:rsidRPr="009872A8" w:rsidRDefault="00B90D83" w:rsidP="009872A8">
      <w:pPr>
        <w:pStyle w:val="enumlev1"/>
        <w:rPr>
          <w:lang w:eastAsia="zh-CN"/>
        </w:rPr>
      </w:pPr>
      <w:r w:rsidRPr="009872A8">
        <w:rPr>
          <w:rFonts w:hint="eastAsia"/>
          <w:lang w:eastAsia="zh-CN"/>
        </w:rPr>
        <w:t>i</w:t>
      </w:r>
      <w:r w:rsidRPr="009872A8">
        <w:rPr>
          <w:lang w:eastAsia="zh-CN"/>
        </w:rPr>
        <w:tab/>
      </w:r>
      <w:r w:rsidR="002C686D" w:rsidRPr="009872A8">
        <w:rPr>
          <w:lang w:eastAsia="zh-CN"/>
        </w:rPr>
        <w:t>须</w:t>
      </w:r>
      <w:r w:rsidR="006B7972" w:rsidRPr="009872A8">
        <w:rPr>
          <w:rFonts w:hint="eastAsia"/>
          <w:lang w:eastAsia="zh-CN"/>
        </w:rPr>
        <w:t>由</w:t>
      </w:r>
      <w:r w:rsidR="006B7972" w:rsidRPr="009872A8">
        <w:rPr>
          <w:lang w:eastAsia="zh-CN"/>
        </w:rPr>
        <w:t>理事会根据能力和资格</w:t>
      </w:r>
      <w:r w:rsidR="007E19CC" w:rsidRPr="009872A8">
        <w:rPr>
          <w:rFonts w:hint="eastAsia"/>
          <w:lang w:eastAsia="zh-CN"/>
        </w:rPr>
        <w:t>并在考虑到</w:t>
      </w:r>
      <w:r w:rsidR="007E19CC" w:rsidRPr="009872A8">
        <w:rPr>
          <w:lang w:eastAsia="zh-CN"/>
        </w:rPr>
        <w:t>促进性别平等</w:t>
      </w:r>
      <w:r w:rsidR="007E19CC" w:rsidRPr="009872A8">
        <w:rPr>
          <w:rFonts w:hint="eastAsia"/>
          <w:lang w:eastAsia="zh-CN"/>
        </w:rPr>
        <w:t>的情况下，</w:t>
      </w:r>
      <w:r w:rsidR="006B7972" w:rsidRPr="009872A8">
        <w:rPr>
          <w:lang w:eastAsia="zh-CN"/>
        </w:rPr>
        <w:t>任命</w:t>
      </w:r>
      <w:r w:rsidR="006B7972" w:rsidRPr="009872A8">
        <w:rPr>
          <w:rFonts w:hint="eastAsia"/>
          <w:lang w:eastAsia="zh-CN"/>
        </w:rPr>
        <w:t>的</w:t>
      </w:r>
      <w:r w:rsidR="002C686D" w:rsidRPr="009872A8">
        <w:rPr>
          <w:lang w:eastAsia="zh-CN"/>
        </w:rPr>
        <w:t>一位主席和六位副主席</w:t>
      </w:r>
      <w:r w:rsidR="006B7972" w:rsidRPr="009872A8">
        <w:rPr>
          <w:lang w:eastAsia="zh-CN"/>
        </w:rPr>
        <w:t>（</w:t>
      </w:r>
      <w:r w:rsidR="002C686D" w:rsidRPr="009872A8">
        <w:rPr>
          <w:lang w:eastAsia="zh-CN"/>
        </w:rPr>
        <w:t>国际电联各区一位</w:t>
      </w:r>
      <w:r w:rsidR="006B7972" w:rsidRPr="009872A8">
        <w:rPr>
          <w:lang w:eastAsia="zh-CN"/>
        </w:rPr>
        <w:t>）</w:t>
      </w:r>
      <w:r w:rsidR="002C686D" w:rsidRPr="009872A8">
        <w:rPr>
          <w:lang w:eastAsia="zh-CN"/>
        </w:rPr>
        <w:t>；</w:t>
      </w:r>
    </w:p>
    <w:p w:rsidR="002C686D" w:rsidRPr="009872A8" w:rsidRDefault="002C686D" w:rsidP="009872A8">
      <w:pPr>
        <w:pStyle w:val="enumlev1"/>
        <w:rPr>
          <w:lang w:eastAsia="zh-CN"/>
        </w:rPr>
      </w:pPr>
      <w:r w:rsidRPr="009872A8">
        <w:rPr>
          <w:lang w:eastAsia="zh-CN"/>
        </w:rPr>
        <w:t>ii</w:t>
      </w:r>
      <w:r w:rsidRPr="009872A8">
        <w:rPr>
          <w:lang w:eastAsia="zh-CN"/>
        </w:rPr>
        <w:tab/>
      </w:r>
      <w:r w:rsidRPr="009872A8">
        <w:rPr>
          <w:lang w:eastAsia="zh-CN"/>
        </w:rPr>
        <w:t>须向所有成员国和部门成员开放；</w:t>
      </w:r>
    </w:p>
    <w:p w:rsidR="002C686D" w:rsidRPr="009872A8" w:rsidRDefault="002C686D" w:rsidP="009872A8">
      <w:pPr>
        <w:pStyle w:val="enumlev1"/>
        <w:rPr>
          <w:lang w:eastAsia="zh-CN"/>
        </w:rPr>
      </w:pPr>
      <w:r w:rsidRPr="009872A8">
        <w:rPr>
          <w:lang w:eastAsia="zh-CN"/>
        </w:rPr>
        <w:t>iii</w:t>
      </w:r>
      <w:r w:rsidRPr="009872A8">
        <w:rPr>
          <w:lang w:eastAsia="zh-CN"/>
        </w:rPr>
        <w:tab/>
      </w:r>
      <w:r w:rsidRPr="009872A8">
        <w:rPr>
          <w:lang w:eastAsia="zh-CN"/>
        </w:rPr>
        <w:t>须尽可能实现远程参会、视频网播和转录；</w:t>
      </w:r>
    </w:p>
    <w:p w:rsidR="002C686D" w:rsidRPr="009872A8" w:rsidRDefault="002C686D" w:rsidP="009872A8">
      <w:pPr>
        <w:pStyle w:val="enumlev1"/>
        <w:rPr>
          <w:lang w:eastAsia="zh-CN"/>
        </w:rPr>
      </w:pPr>
      <w:r w:rsidRPr="009872A8">
        <w:rPr>
          <w:lang w:eastAsia="zh-CN"/>
        </w:rPr>
        <w:t>iv</w:t>
      </w:r>
      <w:r w:rsidRPr="009872A8">
        <w:rPr>
          <w:lang w:eastAsia="zh-CN"/>
        </w:rPr>
        <w:tab/>
      </w:r>
      <w:r w:rsidRPr="009872A8">
        <w:rPr>
          <w:lang w:eastAsia="zh-CN"/>
        </w:rPr>
        <w:t>须举办向所有利益攸关方开放的在线公共磋商；</w:t>
      </w:r>
    </w:p>
    <w:p w:rsidR="002C686D" w:rsidRDefault="002C686D" w:rsidP="009872A8">
      <w:pPr>
        <w:pStyle w:val="enumlev1"/>
        <w:rPr>
          <w:lang w:val="es-PE" w:eastAsia="zh-CN"/>
        </w:rPr>
      </w:pPr>
      <w:r w:rsidRPr="009872A8">
        <w:rPr>
          <w:lang w:eastAsia="zh-CN"/>
        </w:rPr>
        <w:t>v</w:t>
      </w:r>
      <w:r w:rsidRPr="009872A8">
        <w:rPr>
          <w:lang w:eastAsia="zh-CN"/>
        </w:rPr>
        <w:tab/>
      </w:r>
      <w:r w:rsidRPr="009872A8">
        <w:rPr>
          <w:lang w:eastAsia="zh-CN"/>
        </w:rPr>
        <w:t>须为理事会</w:t>
      </w:r>
      <w:r w:rsidRPr="009872A8">
        <w:rPr>
          <w:lang w:eastAsia="zh-CN"/>
        </w:rPr>
        <w:t>2020</w:t>
      </w:r>
      <w:r w:rsidRPr="009872A8">
        <w:rPr>
          <w:lang w:eastAsia="zh-CN"/>
        </w:rPr>
        <w:t>年会议拟定一份临时报告；</w:t>
      </w:r>
    </w:p>
    <w:p w:rsidR="002C686D" w:rsidRDefault="002C686D" w:rsidP="009872A8">
      <w:pPr>
        <w:pStyle w:val="enumlev1"/>
        <w:rPr>
          <w:lang w:val="es-PE" w:eastAsia="zh-CN"/>
        </w:rPr>
      </w:pPr>
      <w:r>
        <w:rPr>
          <w:lang w:val="es-PE" w:eastAsia="zh-CN"/>
        </w:rPr>
        <w:t>2</w:t>
      </w:r>
      <w:r w:rsidRPr="004A63F4">
        <w:rPr>
          <w:lang w:val="es-PE" w:eastAsia="zh-CN"/>
        </w:rPr>
        <w:tab/>
      </w:r>
      <w:r w:rsidR="00D4777F">
        <w:rPr>
          <w:lang w:val="es-PE" w:eastAsia="zh-CN"/>
        </w:rPr>
        <w:t>报告初稿应根据现有材料分发，</w:t>
      </w:r>
      <w:r w:rsidR="007E19CC">
        <w:rPr>
          <w:rFonts w:hint="eastAsia"/>
          <w:lang w:val="es-PE" w:eastAsia="zh-CN"/>
        </w:rPr>
        <w:t>与</w:t>
      </w:r>
      <w:r w:rsidR="007E19CC">
        <w:rPr>
          <w:lang w:val="es-PE" w:eastAsia="zh-CN"/>
        </w:rPr>
        <w:t>提交意见邀请</w:t>
      </w:r>
      <w:r w:rsidR="00D4777F">
        <w:rPr>
          <w:lang w:val="es-PE" w:eastAsia="zh-CN"/>
        </w:rPr>
        <w:t>最迟于</w:t>
      </w:r>
      <w:r w:rsidR="00D4777F">
        <w:rPr>
          <w:lang w:val="es-PE" w:eastAsia="zh-CN"/>
        </w:rPr>
        <w:t>WTPF</w:t>
      </w:r>
      <w:r w:rsidR="00D4777F">
        <w:rPr>
          <w:lang w:val="es-PE" w:eastAsia="zh-CN"/>
        </w:rPr>
        <w:t>专家组第一次会议四周前发出；</w:t>
      </w:r>
    </w:p>
    <w:p w:rsidR="00D4777F" w:rsidRDefault="00D4777F" w:rsidP="007E19CC">
      <w:pPr>
        <w:rPr>
          <w:lang w:val="es-PE" w:eastAsia="zh-CN"/>
        </w:rPr>
      </w:pPr>
      <w:r>
        <w:rPr>
          <w:lang w:val="es-PE" w:eastAsia="zh-CN"/>
        </w:rPr>
        <w:t>3</w:t>
      </w:r>
      <w:r>
        <w:rPr>
          <w:lang w:val="es-PE" w:eastAsia="zh-CN"/>
        </w:rPr>
        <w:tab/>
      </w:r>
      <w:r>
        <w:rPr>
          <w:lang w:val="es-PE" w:eastAsia="zh-CN"/>
        </w:rPr>
        <w:t>秘书长报告的随后草稿须包括成员的意见并须在</w:t>
      </w:r>
      <w:r>
        <w:rPr>
          <w:lang w:val="es-PE" w:eastAsia="zh-CN"/>
        </w:rPr>
        <w:t>WTPF</w:t>
      </w:r>
      <w:r w:rsidR="007E19CC">
        <w:rPr>
          <w:rFonts w:hint="eastAsia"/>
          <w:lang w:val="es-PE" w:eastAsia="zh-CN"/>
        </w:rPr>
        <w:t>专家组</w:t>
      </w:r>
      <w:r>
        <w:rPr>
          <w:lang w:val="es-PE" w:eastAsia="zh-CN"/>
        </w:rPr>
        <w:t>每次会议后两周内分发，以便进一步收集成员的意见；</w:t>
      </w:r>
    </w:p>
    <w:p w:rsidR="00D4777F" w:rsidRDefault="00D4777F" w:rsidP="002C686D">
      <w:pPr>
        <w:rPr>
          <w:lang w:val="es-PE" w:eastAsia="zh-CN"/>
        </w:rPr>
      </w:pPr>
      <w:r>
        <w:rPr>
          <w:lang w:val="es-PE" w:eastAsia="zh-CN"/>
        </w:rPr>
        <w:t>4</w:t>
      </w:r>
      <w:r>
        <w:rPr>
          <w:lang w:val="es-PE" w:eastAsia="zh-CN"/>
        </w:rPr>
        <w:tab/>
      </w:r>
      <w:r>
        <w:rPr>
          <w:lang w:val="es-PE" w:eastAsia="zh-CN"/>
        </w:rPr>
        <w:t>秘书长的最后报告须最迟在</w:t>
      </w:r>
      <w:r>
        <w:rPr>
          <w:lang w:val="es-PE" w:eastAsia="zh-CN"/>
        </w:rPr>
        <w:t>WTPF</w:t>
      </w:r>
      <w:r>
        <w:rPr>
          <w:lang w:val="es-PE" w:eastAsia="zh-CN"/>
        </w:rPr>
        <w:t>开幕六周前分发并邀请各方提交意见。</w:t>
      </w:r>
    </w:p>
    <w:p w:rsidR="00D4777F" w:rsidRDefault="00D4777F" w:rsidP="00D4777F">
      <w:pPr>
        <w:overflowPunct/>
        <w:autoSpaceDE/>
        <w:autoSpaceDN/>
        <w:adjustRightInd/>
        <w:spacing w:before="0"/>
        <w:textAlignment w:val="auto"/>
        <w:rPr>
          <w:lang w:val="es-PE" w:eastAsia="zh-CN"/>
        </w:rPr>
      </w:pPr>
      <w:r>
        <w:rPr>
          <w:lang w:val="es-PE" w:eastAsia="zh-CN"/>
        </w:rPr>
        <w:br w:type="page"/>
      </w:r>
    </w:p>
    <w:p w:rsidR="00D4777F" w:rsidRPr="00D4777F" w:rsidRDefault="00D4777F" w:rsidP="00D4777F">
      <w:pPr>
        <w:pStyle w:val="AnnexNo"/>
        <w:keepNext w:val="0"/>
        <w:keepLines w:val="0"/>
        <w:tabs>
          <w:tab w:val="clear" w:pos="794"/>
          <w:tab w:val="clear" w:pos="1191"/>
          <w:tab w:val="clear" w:pos="1588"/>
          <w:tab w:val="clear" w:pos="1985"/>
          <w:tab w:val="left" w:pos="567"/>
          <w:tab w:val="left" w:pos="1134"/>
          <w:tab w:val="left" w:pos="1701"/>
          <w:tab w:val="left" w:pos="2268"/>
          <w:tab w:val="left" w:pos="2835"/>
        </w:tabs>
        <w:spacing w:before="720" w:after="0"/>
        <w:rPr>
          <w:rFonts w:cs="Calibri"/>
          <w:lang w:val="es-PE" w:eastAsia="zh-CN"/>
        </w:rPr>
      </w:pPr>
      <w:r w:rsidRPr="00D4777F">
        <w:rPr>
          <w:rFonts w:cs="Calibri" w:hint="eastAsia"/>
          <w:lang w:val="es-PE" w:eastAsia="zh-CN"/>
        </w:rPr>
        <w:lastRenderedPageBreak/>
        <w:t>附件</w:t>
      </w:r>
      <w:r w:rsidRPr="00D4777F">
        <w:rPr>
          <w:rFonts w:cs="Calibri" w:hint="eastAsia"/>
          <w:lang w:val="es-PE" w:eastAsia="zh-CN"/>
        </w:rPr>
        <w:t>2</w:t>
      </w:r>
    </w:p>
    <w:p w:rsidR="00D4777F" w:rsidRPr="00D4777F" w:rsidRDefault="00D4777F" w:rsidP="00D4777F">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after="240"/>
        <w:rPr>
          <w:rFonts w:ascii="Calibri" w:hAnsi="Calibri" w:cs="Calibri"/>
          <w:lang w:val="es-PE" w:eastAsia="zh-CN"/>
        </w:rPr>
      </w:pPr>
      <w:r w:rsidRPr="00D4777F">
        <w:rPr>
          <w:rFonts w:ascii="Calibri" w:hAnsi="Calibri" w:cs="Calibri" w:hint="eastAsia"/>
          <w:lang w:val="es-PE" w:eastAsia="zh-CN"/>
        </w:rPr>
        <w:t>议程草案</w:t>
      </w:r>
    </w:p>
    <w:p w:rsidR="00D4777F" w:rsidRPr="00D4777F" w:rsidRDefault="00D4777F" w:rsidP="00D4777F">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after="240"/>
        <w:rPr>
          <w:rFonts w:ascii="Calibri" w:hAnsi="Calibri" w:cs="Calibri"/>
          <w:lang w:val="es-PE" w:eastAsia="zh-CN"/>
        </w:rPr>
      </w:pPr>
      <w:r w:rsidRPr="00D4777F">
        <w:rPr>
          <w:rFonts w:ascii="Calibri" w:hAnsi="Calibri" w:cs="Calibri" w:hint="eastAsia"/>
          <w:lang w:val="es-PE" w:eastAsia="zh-CN"/>
        </w:rPr>
        <w:t>第六届世界电信</w:t>
      </w:r>
      <w:r w:rsidRPr="00D4777F">
        <w:rPr>
          <w:rFonts w:ascii="Calibri" w:hAnsi="Calibri" w:cs="Calibri" w:hint="eastAsia"/>
          <w:lang w:val="es-PE" w:eastAsia="zh-CN"/>
        </w:rPr>
        <w:t>/</w:t>
      </w:r>
      <w:r w:rsidRPr="00D4777F">
        <w:rPr>
          <w:rFonts w:ascii="Calibri" w:hAnsi="Calibri" w:cs="Calibri" w:hint="eastAsia"/>
          <w:lang w:val="es-PE" w:eastAsia="zh-CN"/>
        </w:rPr>
        <w:t>信息通信技术政策论坛</w:t>
      </w:r>
    </w:p>
    <w:p w:rsidR="00D4777F" w:rsidRDefault="00D4777F" w:rsidP="009872A8">
      <w:pPr>
        <w:spacing w:before="600" w:after="120"/>
        <w:rPr>
          <w:rFonts w:cs="Calibri"/>
          <w:lang w:val="es-PE" w:eastAsia="zh-CN"/>
        </w:rPr>
      </w:pPr>
      <w:r w:rsidRPr="00D4777F">
        <w:rPr>
          <w:lang w:val="es-PE" w:eastAsia="zh-CN"/>
        </w:rPr>
        <w:t>1</w:t>
      </w:r>
      <w:r w:rsidRPr="00D4777F">
        <w:rPr>
          <w:lang w:val="es-PE" w:eastAsia="zh-CN"/>
        </w:rPr>
        <w:tab/>
      </w:r>
      <w:r w:rsidRPr="00D4777F">
        <w:rPr>
          <w:rFonts w:cs="Calibri" w:hint="eastAsia"/>
          <w:lang w:val="es-PE" w:eastAsia="zh-CN"/>
        </w:rPr>
        <w:t>第六届世界电信</w:t>
      </w:r>
      <w:r w:rsidRPr="00D4777F">
        <w:rPr>
          <w:rFonts w:cs="Calibri" w:hint="eastAsia"/>
          <w:lang w:val="es-PE" w:eastAsia="zh-CN"/>
        </w:rPr>
        <w:t>/</w:t>
      </w:r>
      <w:r w:rsidRPr="00D4777F">
        <w:rPr>
          <w:rFonts w:cs="Calibri" w:hint="eastAsia"/>
          <w:lang w:val="es-PE" w:eastAsia="zh-CN"/>
        </w:rPr>
        <w:t>信息通信技术政策论坛开幕</w:t>
      </w:r>
    </w:p>
    <w:p w:rsidR="00D4777F" w:rsidRDefault="00D4777F" w:rsidP="009872A8">
      <w:pPr>
        <w:spacing w:after="120"/>
        <w:rPr>
          <w:lang w:val="es-PE" w:eastAsia="zh-CN"/>
        </w:rPr>
      </w:pPr>
      <w:r>
        <w:rPr>
          <w:rFonts w:hint="eastAsia"/>
          <w:lang w:val="es-PE" w:eastAsia="zh-CN"/>
        </w:rPr>
        <w:t>2</w:t>
      </w:r>
      <w:r>
        <w:rPr>
          <w:lang w:val="es-PE" w:eastAsia="zh-CN"/>
        </w:rPr>
        <w:tab/>
      </w:r>
      <w:r>
        <w:rPr>
          <w:lang w:val="es-PE" w:eastAsia="zh-CN"/>
        </w:rPr>
        <w:t>选举主席</w:t>
      </w:r>
    </w:p>
    <w:p w:rsidR="00D4777F" w:rsidRDefault="00D4777F" w:rsidP="009872A8">
      <w:pPr>
        <w:spacing w:after="120"/>
        <w:rPr>
          <w:lang w:val="es-PE" w:eastAsia="zh-CN"/>
        </w:rPr>
      </w:pPr>
      <w:r>
        <w:rPr>
          <w:lang w:val="es-PE" w:eastAsia="zh-CN"/>
        </w:rPr>
        <w:t>3</w:t>
      </w:r>
      <w:r>
        <w:rPr>
          <w:lang w:val="es-PE" w:eastAsia="zh-CN"/>
        </w:rPr>
        <w:tab/>
      </w:r>
      <w:r>
        <w:rPr>
          <w:lang w:val="es-PE" w:eastAsia="zh-CN"/>
        </w:rPr>
        <w:t>欢迎词和介绍</w:t>
      </w:r>
    </w:p>
    <w:p w:rsidR="00D4777F" w:rsidRDefault="00D4777F" w:rsidP="009872A8">
      <w:pPr>
        <w:spacing w:after="120"/>
        <w:rPr>
          <w:lang w:val="es-PE" w:eastAsia="zh-CN"/>
        </w:rPr>
      </w:pPr>
      <w:r>
        <w:rPr>
          <w:lang w:val="es-PE" w:eastAsia="zh-CN"/>
        </w:rPr>
        <w:t>4</w:t>
      </w:r>
      <w:r>
        <w:rPr>
          <w:lang w:val="es-PE" w:eastAsia="zh-CN"/>
        </w:rPr>
        <w:tab/>
      </w:r>
      <w:r>
        <w:rPr>
          <w:lang w:val="es-PE" w:eastAsia="zh-CN"/>
        </w:rPr>
        <w:t>论坛工作的组织</w:t>
      </w:r>
    </w:p>
    <w:p w:rsidR="00D4777F" w:rsidRDefault="00D4777F" w:rsidP="009872A8">
      <w:pPr>
        <w:spacing w:after="120"/>
        <w:rPr>
          <w:lang w:val="es-PE" w:eastAsia="zh-CN"/>
        </w:rPr>
      </w:pPr>
      <w:r>
        <w:rPr>
          <w:lang w:val="es-PE" w:eastAsia="zh-CN"/>
        </w:rPr>
        <w:t>5</w:t>
      </w:r>
      <w:r>
        <w:rPr>
          <w:lang w:val="es-PE" w:eastAsia="zh-CN"/>
        </w:rPr>
        <w:tab/>
      </w:r>
      <w:r>
        <w:rPr>
          <w:lang w:val="es-PE" w:eastAsia="zh-CN"/>
        </w:rPr>
        <w:t>介绍秘书长报告</w:t>
      </w:r>
    </w:p>
    <w:p w:rsidR="00D4777F" w:rsidRDefault="00D4777F" w:rsidP="009872A8">
      <w:pPr>
        <w:spacing w:after="120"/>
        <w:rPr>
          <w:lang w:val="es-PE" w:eastAsia="zh-CN"/>
        </w:rPr>
      </w:pPr>
      <w:r>
        <w:rPr>
          <w:lang w:val="es-PE" w:eastAsia="zh-CN"/>
        </w:rPr>
        <w:t>6</w:t>
      </w:r>
      <w:r>
        <w:rPr>
          <w:lang w:val="es-PE" w:eastAsia="zh-CN"/>
        </w:rPr>
        <w:tab/>
      </w:r>
      <w:r>
        <w:rPr>
          <w:lang w:val="es-PE" w:eastAsia="zh-CN"/>
        </w:rPr>
        <w:t>介绍成员有关报告的意见</w:t>
      </w:r>
    </w:p>
    <w:p w:rsidR="00D4777F" w:rsidRDefault="00D4777F" w:rsidP="009872A8">
      <w:pPr>
        <w:spacing w:after="120"/>
        <w:rPr>
          <w:lang w:val="es-PE" w:eastAsia="zh-CN"/>
        </w:rPr>
      </w:pPr>
      <w:r>
        <w:rPr>
          <w:lang w:val="es-PE" w:eastAsia="zh-CN"/>
        </w:rPr>
        <w:t>7</w:t>
      </w:r>
      <w:r>
        <w:rPr>
          <w:lang w:val="es-PE" w:eastAsia="zh-CN"/>
        </w:rPr>
        <w:tab/>
      </w:r>
      <w:r>
        <w:rPr>
          <w:lang w:val="es-PE" w:eastAsia="zh-CN"/>
        </w:rPr>
        <w:t>讨论</w:t>
      </w:r>
    </w:p>
    <w:p w:rsidR="00D4777F" w:rsidRDefault="00D4777F" w:rsidP="009872A8">
      <w:pPr>
        <w:spacing w:after="120"/>
        <w:rPr>
          <w:lang w:val="es-PE" w:eastAsia="zh-CN"/>
        </w:rPr>
      </w:pPr>
      <w:r>
        <w:rPr>
          <w:lang w:val="es-PE" w:eastAsia="zh-CN"/>
        </w:rPr>
        <w:t>8</w:t>
      </w:r>
      <w:r>
        <w:rPr>
          <w:lang w:val="es-PE" w:eastAsia="zh-CN"/>
        </w:rPr>
        <w:tab/>
      </w:r>
      <w:r w:rsidR="0081387B" w:rsidRPr="007E19CC">
        <w:rPr>
          <w:lang w:val="es-PE" w:eastAsia="zh-CN"/>
        </w:rPr>
        <w:t>审议意见草案</w:t>
      </w:r>
    </w:p>
    <w:p w:rsidR="0081387B" w:rsidRDefault="0081387B" w:rsidP="009872A8">
      <w:pPr>
        <w:spacing w:after="120"/>
        <w:rPr>
          <w:lang w:val="es-PE" w:eastAsia="zh-CN"/>
        </w:rPr>
      </w:pPr>
      <w:r>
        <w:rPr>
          <w:lang w:val="es-PE" w:eastAsia="zh-CN"/>
        </w:rPr>
        <w:t>9</w:t>
      </w:r>
      <w:r>
        <w:rPr>
          <w:lang w:val="es-PE" w:eastAsia="zh-CN"/>
        </w:rPr>
        <w:tab/>
      </w:r>
      <w:r>
        <w:rPr>
          <w:lang w:val="es-PE" w:eastAsia="zh-CN"/>
        </w:rPr>
        <w:t>批准主席的报告并拟定意见</w:t>
      </w:r>
    </w:p>
    <w:p w:rsidR="0081387B" w:rsidRPr="00B90D83" w:rsidRDefault="0081387B" w:rsidP="009872A8">
      <w:pPr>
        <w:spacing w:after="120"/>
        <w:rPr>
          <w:lang w:val="es-PE" w:eastAsia="zh-CN"/>
        </w:rPr>
      </w:pPr>
      <w:r>
        <w:rPr>
          <w:lang w:val="es-PE" w:eastAsia="zh-CN"/>
        </w:rPr>
        <w:t>10</w:t>
      </w:r>
      <w:r>
        <w:rPr>
          <w:lang w:val="es-PE" w:eastAsia="zh-CN"/>
        </w:rPr>
        <w:tab/>
      </w:r>
      <w:r>
        <w:rPr>
          <w:lang w:val="es-PE" w:eastAsia="zh-CN"/>
        </w:rPr>
        <w:t>其他事宜</w:t>
      </w:r>
    </w:p>
    <w:p w:rsidR="0081387B" w:rsidRDefault="0081387B" w:rsidP="00411C49">
      <w:pPr>
        <w:pStyle w:val="Reasons"/>
      </w:pPr>
    </w:p>
    <w:p w:rsidR="0081387B" w:rsidRDefault="0081387B">
      <w:pPr>
        <w:jc w:val="center"/>
      </w:pPr>
      <w:r>
        <w:t>______________</w:t>
      </w:r>
    </w:p>
    <w:p w:rsidR="00195FED" w:rsidRPr="0081387B" w:rsidRDefault="00195FED" w:rsidP="0081387B">
      <w:pPr>
        <w:tabs>
          <w:tab w:val="clear" w:pos="794"/>
          <w:tab w:val="clear" w:pos="1191"/>
          <w:tab w:val="clear" w:pos="1588"/>
          <w:tab w:val="clear" w:pos="1985"/>
          <w:tab w:val="left" w:pos="567"/>
          <w:tab w:val="left" w:pos="1134"/>
          <w:tab w:val="left" w:pos="1701"/>
          <w:tab w:val="left" w:pos="2268"/>
          <w:tab w:val="left" w:pos="2835"/>
        </w:tabs>
        <w:rPr>
          <w:rFonts w:eastAsia="Times New Roman"/>
          <w:lang w:val="es-PE"/>
        </w:rPr>
      </w:pPr>
    </w:p>
    <w:sectPr w:rsidR="00195FED" w:rsidRPr="0081387B"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659" w:rsidRDefault="00395659">
      <w:r>
        <w:separator/>
      </w:r>
    </w:p>
  </w:endnote>
  <w:endnote w:type="continuationSeparator" w:id="0">
    <w:p w:rsidR="00395659" w:rsidRDefault="0039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C01935" w:rsidRDefault="00B139AC" w:rsidP="00C01935">
    <w:pPr>
      <w:pStyle w:val="Footer"/>
    </w:pPr>
    <w:r>
      <w:fldChar w:fldCharType="begin"/>
    </w:r>
    <w:r>
      <w:instrText xml:space="preserve"> FILENAME \p  \* MERGEFORMAT </w:instrText>
    </w:r>
    <w:r>
      <w:fldChar w:fldCharType="separate"/>
    </w:r>
    <w:r w:rsidR="009872A8">
      <w:t>P:\CHI\SG\CONSEIL\C19\000\085C.docx</w:t>
    </w:r>
    <w:r>
      <w:fldChar w:fldCharType="end"/>
    </w:r>
    <w:r w:rsidR="00C01935">
      <w:t xml:space="preserve"> (456058)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659" w:rsidRDefault="00395659">
      <w:r>
        <w:t>____________________</w:t>
      </w:r>
    </w:p>
  </w:footnote>
  <w:footnote w:type="continuationSeparator" w:id="0">
    <w:p w:rsidR="00395659" w:rsidRDefault="00395659">
      <w:r>
        <w:continuationSeparator/>
      </w:r>
    </w:p>
  </w:footnote>
  <w:footnote w:id="1">
    <w:p w:rsidR="00786394" w:rsidRPr="00A84573" w:rsidRDefault="00786394" w:rsidP="00786394">
      <w:pPr>
        <w:pStyle w:val="FootnoteText"/>
        <w:jc w:val="both"/>
        <w:rPr>
          <w:sz w:val="20"/>
          <w:lang w:val="es-PE" w:eastAsia="zh-CN"/>
        </w:rPr>
      </w:pPr>
      <w:r>
        <w:rPr>
          <w:rStyle w:val="FootnoteReference"/>
        </w:rPr>
        <w:footnoteRef/>
      </w:r>
      <w:r w:rsidRPr="00786394">
        <w:rPr>
          <w:lang w:val="es-ES" w:eastAsia="zh-CN"/>
        </w:rPr>
        <w:t xml:space="preserve"> </w:t>
      </w:r>
      <w:r w:rsidRPr="00786394">
        <w:rPr>
          <w:lang w:val="es-ES" w:eastAsia="zh-CN"/>
        </w:rPr>
        <w:tab/>
      </w:r>
      <w:r w:rsidRPr="001A6DBF">
        <w:rPr>
          <w:rFonts w:hint="eastAsia"/>
          <w:sz w:val="20"/>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B139AC">
      <w:rPr>
        <w:noProof/>
      </w:rPr>
      <w:t>2</w:t>
    </w:r>
    <w:r>
      <w:rPr>
        <w:noProof/>
      </w:rPr>
      <w:fldChar w:fldCharType="end"/>
    </w:r>
  </w:p>
  <w:p w:rsidR="00AC516F" w:rsidRDefault="0098459B" w:rsidP="00C01935">
    <w:pPr>
      <w:pStyle w:val="Header"/>
      <w:rPr>
        <w:lang w:eastAsia="zh-CN"/>
      </w:rPr>
    </w:pPr>
    <w:r>
      <w:t>C1</w:t>
    </w:r>
    <w:r w:rsidR="00D453EE">
      <w:rPr>
        <w:lang w:eastAsia="zh-CN"/>
      </w:rPr>
      <w:t>9</w:t>
    </w:r>
    <w:r w:rsidR="004672E6">
      <w:t>/</w:t>
    </w:r>
    <w:r w:rsidR="00C01935">
      <w:rPr>
        <w:lang w:eastAsia="zh-CN"/>
      </w:rPr>
      <w:t>85</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59"/>
    <w:rsid w:val="00001B77"/>
    <w:rsid w:val="0000517A"/>
    <w:rsid w:val="00031E72"/>
    <w:rsid w:val="000404D2"/>
    <w:rsid w:val="000853C0"/>
    <w:rsid w:val="000A1C21"/>
    <w:rsid w:val="000A6B81"/>
    <w:rsid w:val="000D15EA"/>
    <w:rsid w:val="000F08F0"/>
    <w:rsid w:val="00100D84"/>
    <w:rsid w:val="00124C9D"/>
    <w:rsid w:val="0013188B"/>
    <w:rsid w:val="00157773"/>
    <w:rsid w:val="0018251A"/>
    <w:rsid w:val="00190272"/>
    <w:rsid w:val="00193244"/>
    <w:rsid w:val="00195C6C"/>
    <w:rsid w:val="00195FED"/>
    <w:rsid w:val="001A4BD6"/>
    <w:rsid w:val="001A6DBF"/>
    <w:rsid w:val="001D5A18"/>
    <w:rsid w:val="002358C2"/>
    <w:rsid w:val="00280EB8"/>
    <w:rsid w:val="002A6670"/>
    <w:rsid w:val="002C4787"/>
    <w:rsid w:val="002C686D"/>
    <w:rsid w:val="00303502"/>
    <w:rsid w:val="00325C25"/>
    <w:rsid w:val="00372C8F"/>
    <w:rsid w:val="003774BF"/>
    <w:rsid w:val="00380ECE"/>
    <w:rsid w:val="00393DDF"/>
    <w:rsid w:val="00395659"/>
    <w:rsid w:val="00397F55"/>
    <w:rsid w:val="003B4454"/>
    <w:rsid w:val="003C2E37"/>
    <w:rsid w:val="003F1415"/>
    <w:rsid w:val="003F41E2"/>
    <w:rsid w:val="0040144C"/>
    <w:rsid w:val="00403EB7"/>
    <w:rsid w:val="00430BF0"/>
    <w:rsid w:val="004559FE"/>
    <w:rsid w:val="004672E6"/>
    <w:rsid w:val="00474ED1"/>
    <w:rsid w:val="00480737"/>
    <w:rsid w:val="00493085"/>
    <w:rsid w:val="004A36EC"/>
    <w:rsid w:val="004D163F"/>
    <w:rsid w:val="004E4BFF"/>
    <w:rsid w:val="004F2598"/>
    <w:rsid w:val="005403F7"/>
    <w:rsid w:val="00540632"/>
    <w:rsid w:val="00541CF4"/>
    <w:rsid w:val="005451E8"/>
    <w:rsid w:val="005507F2"/>
    <w:rsid w:val="005759CC"/>
    <w:rsid w:val="005A72E1"/>
    <w:rsid w:val="005C6632"/>
    <w:rsid w:val="005D1C9E"/>
    <w:rsid w:val="005E4F66"/>
    <w:rsid w:val="00654257"/>
    <w:rsid w:val="0065435A"/>
    <w:rsid w:val="006A2DD3"/>
    <w:rsid w:val="006A5AF8"/>
    <w:rsid w:val="006B5C91"/>
    <w:rsid w:val="006B7972"/>
    <w:rsid w:val="006C36CD"/>
    <w:rsid w:val="00700D1F"/>
    <w:rsid w:val="00716D33"/>
    <w:rsid w:val="007205CB"/>
    <w:rsid w:val="00726073"/>
    <w:rsid w:val="00734FE8"/>
    <w:rsid w:val="007360CE"/>
    <w:rsid w:val="0076664D"/>
    <w:rsid w:val="00772315"/>
    <w:rsid w:val="00775157"/>
    <w:rsid w:val="007813AE"/>
    <w:rsid w:val="007823A8"/>
    <w:rsid w:val="00786394"/>
    <w:rsid w:val="007A37DB"/>
    <w:rsid w:val="007E189D"/>
    <w:rsid w:val="007E19CC"/>
    <w:rsid w:val="00811259"/>
    <w:rsid w:val="0081387B"/>
    <w:rsid w:val="00813AA2"/>
    <w:rsid w:val="008173A3"/>
    <w:rsid w:val="008548E0"/>
    <w:rsid w:val="0086059C"/>
    <w:rsid w:val="00864589"/>
    <w:rsid w:val="00890AFB"/>
    <w:rsid w:val="00890FC4"/>
    <w:rsid w:val="00895905"/>
    <w:rsid w:val="009164A9"/>
    <w:rsid w:val="009258CB"/>
    <w:rsid w:val="0093362E"/>
    <w:rsid w:val="00941548"/>
    <w:rsid w:val="00944563"/>
    <w:rsid w:val="00953160"/>
    <w:rsid w:val="009625D8"/>
    <w:rsid w:val="0098459B"/>
    <w:rsid w:val="009872A8"/>
    <w:rsid w:val="00997185"/>
    <w:rsid w:val="009C2458"/>
    <w:rsid w:val="009C4A7B"/>
    <w:rsid w:val="009C6123"/>
    <w:rsid w:val="009F1E3E"/>
    <w:rsid w:val="00A1213C"/>
    <w:rsid w:val="00A272FF"/>
    <w:rsid w:val="00A5354B"/>
    <w:rsid w:val="00A71B57"/>
    <w:rsid w:val="00AB42C1"/>
    <w:rsid w:val="00AC516F"/>
    <w:rsid w:val="00AC52D7"/>
    <w:rsid w:val="00AE2926"/>
    <w:rsid w:val="00B0184B"/>
    <w:rsid w:val="00B035CD"/>
    <w:rsid w:val="00B0769D"/>
    <w:rsid w:val="00B139AC"/>
    <w:rsid w:val="00B217F8"/>
    <w:rsid w:val="00B332EA"/>
    <w:rsid w:val="00B40A53"/>
    <w:rsid w:val="00B45365"/>
    <w:rsid w:val="00B46A65"/>
    <w:rsid w:val="00B60184"/>
    <w:rsid w:val="00B62D20"/>
    <w:rsid w:val="00B81970"/>
    <w:rsid w:val="00B81E75"/>
    <w:rsid w:val="00B82B04"/>
    <w:rsid w:val="00B90D83"/>
    <w:rsid w:val="00BB74C2"/>
    <w:rsid w:val="00BC0B54"/>
    <w:rsid w:val="00BD1A5A"/>
    <w:rsid w:val="00BD7A9B"/>
    <w:rsid w:val="00BD7BE1"/>
    <w:rsid w:val="00BF416B"/>
    <w:rsid w:val="00C01935"/>
    <w:rsid w:val="00C32EA2"/>
    <w:rsid w:val="00C64E4E"/>
    <w:rsid w:val="00C66E64"/>
    <w:rsid w:val="00C761A0"/>
    <w:rsid w:val="00C85F7E"/>
    <w:rsid w:val="00C90D53"/>
    <w:rsid w:val="00CD1569"/>
    <w:rsid w:val="00CD47F0"/>
    <w:rsid w:val="00CD5566"/>
    <w:rsid w:val="00CD64D7"/>
    <w:rsid w:val="00CE6F22"/>
    <w:rsid w:val="00CF41F6"/>
    <w:rsid w:val="00CF7D3E"/>
    <w:rsid w:val="00D02B4E"/>
    <w:rsid w:val="00D21F11"/>
    <w:rsid w:val="00D36817"/>
    <w:rsid w:val="00D453EE"/>
    <w:rsid w:val="00D4777F"/>
    <w:rsid w:val="00D5666C"/>
    <w:rsid w:val="00D666BC"/>
    <w:rsid w:val="00D83542"/>
    <w:rsid w:val="00D92F45"/>
    <w:rsid w:val="00D94637"/>
    <w:rsid w:val="00D9725C"/>
    <w:rsid w:val="00DA7006"/>
    <w:rsid w:val="00DC6427"/>
    <w:rsid w:val="00DD378C"/>
    <w:rsid w:val="00DD66A1"/>
    <w:rsid w:val="00DE196D"/>
    <w:rsid w:val="00DF6B49"/>
    <w:rsid w:val="00E067C5"/>
    <w:rsid w:val="00E265BF"/>
    <w:rsid w:val="00E378D8"/>
    <w:rsid w:val="00E41746"/>
    <w:rsid w:val="00E43A12"/>
    <w:rsid w:val="00E67C67"/>
    <w:rsid w:val="00E77476"/>
    <w:rsid w:val="00E8228B"/>
    <w:rsid w:val="00EE5706"/>
    <w:rsid w:val="00EF373D"/>
    <w:rsid w:val="00EF79D2"/>
    <w:rsid w:val="00F11595"/>
    <w:rsid w:val="00F13BC9"/>
    <w:rsid w:val="00F357B2"/>
    <w:rsid w:val="00F36556"/>
    <w:rsid w:val="00F705DF"/>
    <w:rsid w:val="00F70622"/>
    <w:rsid w:val="00F85624"/>
    <w:rsid w:val="00F87C05"/>
    <w:rsid w:val="00F93191"/>
    <w:rsid w:val="00F93A17"/>
    <w:rsid w:val="00FA2AF6"/>
    <w:rsid w:val="00FB073D"/>
    <w:rsid w:val="00FB771F"/>
    <w:rsid w:val="00FC523B"/>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20E5517-EF83-4165-97FA-07F6E33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005/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D5489-CBFD-405E-AFFC-0D87341B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Template>
  <TotalTime>1</TotalTime>
  <Pages>6</Pages>
  <Words>1907</Words>
  <Characters>487</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LI, Ziqian</dc:creator>
  <cp:keywords>C2019, C19</cp:keywords>
  <dc:description/>
  <cp:lastModifiedBy>Janin, Patricia</cp:lastModifiedBy>
  <cp:revision>3</cp:revision>
  <cp:lastPrinted>2015-02-24T13:23:00Z</cp:lastPrinted>
  <dcterms:created xsi:type="dcterms:W3CDTF">2019-05-31T13:08:00Z</dcterms:created>
  <dcterms:modified xsi:type="dcterms:W3CDTF">2019-05-31T13:09:00Z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