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C93E83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93E83" w:rsidRPr="00C93E83">
              <w:rPr>
                <w:b/>
                <w:bCs/>
                <w:lang w:bidi="ar-EG"/>
              </w:rPr>
              <w:t>PL 1.7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C93E83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C93E83">
              <w:rPr>
                <w:b/>
                <w:bCs/>
                <w:lang w:bidi="ar-SY"/>
              </w:rPr>
              <w:t>86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C93E83" w:rsidP="00C93E83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93E83">
              <w:rPr>
                <w:b/>
                <w:bCs/>
                <w:lang w:bidi="ar-SY"/>
              </w:rPr>
              <w:t>27</w:t>
            </w:r>
            <w:r w:rsidR="00290728" w:rsidRPr="00C93E8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93E83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93E8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C93E83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EC02C9" w:rsidTr="009F66A8">
        <w:trPr>
          <w:cantSplit/>
        </w:trPr>
        <w:tc>
          <w:tcPr>
            <w:tcW w:w="9672" w:type="dxa"/>
            <w:gridSpan w:val="2"/>
          </w:tcPr>
          <w:p w:rsidR="00290728" w:rsidRPr="00EC02C9" w:rsidRDefault="00C93E83" w:rsidP="00852663">
            <w:pPr>
              <w:pStyle w:val="Title1"/>
              <w:rPr>
                <w:rtl/>
                <w:lang w:bidi="ar-EG"/>
              </w:rPr>
            </w:pPr>
            <w:r w:rsidRPr="00EC02C9">
              <w:rPr>
                <w:rFonts w:hint="cs"/>
                <w:rtl/>
              </w:rPr>
              <w:t>مساهم</w:t>
            </w:r>
            <w:r w:rsidR="00AA4C0B" w:rsidRPr="00EC02C9">
              <w:rPr>
                <w:rFonts w:hint="cs"/>
                <w:rtl/>
              </w:rPr>
              <w:t xml:space="preserve">ة </w:t>
            </w:r>
            <w:r w:rsidR="00890D44">
              <w:rPr>
                <w:rFonts w:hint="cs"/>
                <w:rtl/>
              </w:rPr>
              <w:t xml:space="preserve">مقدمة </w:t>
            </w:r>
            <w:r w:rsidR="00EC02C9">
              <w:rPr>
                <w:rFonts w:hint="cs"/>
                <w:rtl/>
                <w:lang w:bidi="ar-EG"/>
              </w:rPr>
              <w:t xml:space="preserve">من </w:t>
            </w:r>
            <w:r w:rsidR="00852663">
              <w:rPr>
                <w:rFonts w:hint="cs"/>
                <w:rtl/>
                <w:lang w:bidi="ar-EG"/>
              </w:rPr>
              <w:t>النمسا</w:t>
            </w:r>
            <w:r w:rsidRPr="00EC02C9">
              <w:rPr>
                <w:rFonts w:hint="cs"/>
                <w:rtl/>
                <w:lang w:bidi="ar-EG"/>
              </w:rPr>
              <w:t xml:space="preserve">، بلغاريا، الدانمارك، إستونيا، فنلندا، </w:t>
            </w:r>
            <w:r w:rsidR="00852663">
              <w:rPr>
                <w:rFonts w:hint="cs"/>
                <w:rtl/>
                <w:lang w:bidi="ar-EG"/>
              </w:rPr>
              <w:t>أ</w:t>
            </w:r>
            <w:r w:rsidR="008A00AA">
              <w:rPr>
                <w:rFonts w:hint="cs"/>
                <w:rtl/>
                <w:lang w:bidi="ar-EG"/>
              </w:rPr>
              <w:t>لمانيا</w:t>
            </w:r>
            <w:r w:rsidRPr="00EC02C9">
              <w:rPr>
                <w:rFonts w:hint="cs"/>
                <w:rtl/>
                <w:lang w:bidi="ar-EG"/>
              </w:rPr>
              <w:t>،</w:t>
            </w:r>
            <w:r w:rsidR="008A00AA">
              <w:rPr>
                <w:rFonts w:hint="cs"/>
                <w:rtl/>
                <w:lang w:bidi="ar-EG"/>
              </w:rPr>
              <w:t xml:space="preserve"> </w:t>
            </w:r>
            <w:r w:rsidR="008A00AA">
              <w:rPr>
                <w:rtl/>
                <w:lang w:bidi="ar-EG"/>
              </w:rPr>
              <w:br/>
            </w:r>
            <w:r w:rsidRPr="00EC02C9">
              <w:rPr>
                <w:rFonts w:hint="cs"/>
                <w:rtl/>
                <w:lang w:bidi="ar-EG"/>
              </w:rPr>
              <w:t>اليونان، ليتوانيا، لكسمبرغ، مالط</w:t>
            </w:r>
            <w:r w:rsidR="00400D05">
              <w:rPr>
                <w:rFonts w:hint="cs"/>
                <w:rtl/>
                <w:lang w:bidi="ar-EG"/>
              </w:rPr>
              <w:t>ة</w:t>
            </w:r>
            <w:r w:rsidRPr="00EC02C9">
              <w:rPr>
                <w:rFonts w:hint="cs"/>
                <w:rtl/>
                <w:lang w:bidi="ar-EG"/>
              </w:rPr>
              <w:t xml:space="preserve">، </w:t>
            </w:r>
            <w:r w:rsidRPr="00EC02C9">
              <w:rPr>
                <w:rtl/>
                <w:lang w:bidi="ar-EG"/>
              </w:rPr>
              <w:t>مولدوفـا</w:t>
            </w:r>
            <w:r w:rsidRPr="00EC02C9">
              <w:rPr>
                <w:rFonts w:hint="cs"/>
                <w:rtl/>
                <w:lang w:bidi="ar-EG"/>
              </w:rPr>
              <w:t>، النرويج، بولندا، روماني</w:t>
            </w:r>
            <w:r w:rsidR="00EC02C9">
              <w:rPr>
                <w:rFonts w:hint="cs"/>
                <w:rtl/>
                <w:lang w:bidi="ar-EG"/>
              </w:rPr>
              <w:t>ا</w:t>
            </w:r>
            <w:r w:rsidRPr="00EC02C9">
              <w:rPr>
                <w:rFonts w:hint="cs"/>
                <w:rtl/>
                <w:lang w:bidi="ar-EG"/>
              </w:rPr>
              <w:t xml:space="preserve">، </w:t>
            </w:r>
            <w:r w:rsidR="00EC02C9">
              <w:rPr>
                <w:rFonts w:hint="cs"/>
                <w:rtl/>
                <w:lang w:bidi="ar-EG"/>
              </w:rPr>
              <w:t>سلوفينيا</w:t>
            </w:r>
            <w:r w:rsidRPr="00EC02C9">
              <w:rPr>
                <w:rFonts w:hint="cs"/>
                <w:rtl/>
                <w:lang w:bidi="ar-EG"/>
              </w:rPr>
              <w:t xml:space="preserve">، إسبانيا، السويد، </w:t>
            </w:r>
            <w:r w:rsidRPr="00EC02C9">
              <w:rPr>
                <w:rtl/>
                <w:lang w:bidi="ar-EG"/>
              </w:rPr>
              <w:t>الجمهورية التشيكية</w:t>
            </w:r>
            <w:r w:rsidRPr="00EC02C9">
              <w:rPr>
                <w:rFonts w:hint="cs"/>
                <w:rtl/>
                <w:lang w:bidi="ar-EG"/>
              </w:rPr>
              <w:t>، هولندا،</w:t>
            </w:r>
            <w:r w:rsidR="008A00AA">
              <w:rPr>
                <w:rFonts w:hint="cs"/>
                <w:rtl/>
                <w:lang w:bidi="ar-EG"/>
              </w:rPr>
              <w:t xml:space="preserve"> </w:t>
            </w:r>
            <w:r w:rsidR="008A00AA">
              <w:rPr>
                <w:rtl/>
                <w:lang w:bidi="ar-EG"/>
              </w:rPr>
              <w:br/>
            </w:r>
            <w:r w:rsidR="008A00AA">
              <w:rPr>
                <w:rFonts w:hint="cs"/>
                <w:rtl/>
                <w:lang w:bidi="ar-EG"/>
              </w:rPr>
              <w:t>الجمهورية</w:t>
            </w:r>
            <w:r w:rsidR="00EC02C9">
              <w:rPr>
                <w:rFonts w:hint="cs"/>
                <w:rtl/>
                <w:lang w:bidi="ar-EG"/>
              </w:rPr>
              <w:t xml:space="preserve"> السلوفاكية، </w:t>
            </w:r>
            <w:r w:rsidRPr="00EC02C9">
              <w:rPr>
                <w:rFonts w:hint="cs"/>
                <w:rtl/>
                <w:lang w:bidi="ar-EG"/>
              </w:rPr>
              <w:t>المملكة المتحدة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EC02C9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مقترح بشأن اختصاصات فريق الخبراء ال</w:t>
            </w:r>
            <w:r w:rsidR="008A00AA">
              <w:rPr>
                <w:rFonts w:hint="cs"/>
                <w:rtl/>
              </w:rPr>
              <w:t>م</w:t>
            </w:r>
            <w:r>
              <w:rPr>
                <w:rFonts w:hint="cs"/>
                <w:rtl/>
              </w:rPr>
              <w:t>عني بلوائح الاتصالات الدولية</w:t>
            </w:r>
          </w:p>
        </w:tc>
      </w:tr>
    </w:tbl>
    <w:p w:rsidR="00C93E83" w:rsidRPr="00EA7B62" w:rsidRDefault="00C93E83" w:rsidP="00E31C4B">
      <w:pPr>
        <w:spacing w:before="360"/>
        <w:rPr>
          <w:rtl/>
          <w:lang w:bidi="ar-EG"/>
        </w:rPr>
      </w:pPr>
      <w:r w:rsidRPr="00EA7B62">
        <w:rPr>
          <w:rtl/>
          <w:lang w:bidi="ar-EG"/>
        </w:rPr>
        <w:t xml:space="preserve">يشرفني أن أحيل إلى الدول الأعضاء في المجلس مساهمة </w:t>
      </w:r>
      <w:r>
        <w:rPr>
          <w:rFonts w:hint="cs"/>
          <w:rtl/>
          <w:lang w:bidi="ar-EG"/>
        </w:rPr>
        <w:t>مقدمة</w:t>
      </w:r>
      <w:r w:rsidRPr="00EA7B62">
        <w:rPr>
          <w:rtl/>
          <w:lang w:bidi="ar-EG"/>
        </w:rPr>
        <w:t xml:space="preserve"> من</w:t>
      </w:r>
      <w:r>
        <w:rPr>
          <w:rFonts w:hint="cs"/>
          <w:rtl/>
          <w:lang w:bidi="ar-EG"/>
        </w:rPr>
        <w:t xml:space="preserve"> </w:t>
      </w:r>
      <w:r w:rsidR="00E31C4B">
        <w:rPr>
          <w:rFonts w:hint="cs"/>
          <w:b/>
          <w:bCs/>
          <w:rtl/>
          <w:lang w:bidi="ar-EG"/>
        </w:rPr>
        <w:t>النمسا و</w:t>
      </w:r>
      <w:r w:rsidR="009A2305" w:rsidRPr="008A00AA">
        <w:rPr>
          <w:rFonts w:hint="cs"/>
          <w:b/>
          <w:bCs/>
          <w:rtl/>
          <w:lang w:bidi="ar-EG"/>
        </w:rPr>
        <w:t>بلغاريا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الدانمارك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إستونيا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فنلندا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ألمانيا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اليونان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ليتوانيا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لكسمبرغ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مالط</w:t>
      </w:r>
      <w:r w:rsidR="00400D05" w:rsidRPr="008A00AA">
        <w:rPr>
          <w:rFonts w:hint="cs"/>
          <w:b/>
          <w:bCs/>
          <w:rtl/>
          <w:lang w:bidi="ar-EG"/>
        </w:rPr>
        <w:t>ة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b/>
          <w:bCs/>
          <w:rtl/>
          <w:lang w:bidi="ar-EG"/>
        </w:rPr>
        <w:t>مولدوفـا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النرويج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بولندا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رومانيا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سلوفينيا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إسبانيا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السويد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b/>
          <w:bCs/>
          <w:rtl/>
          <w:lang w:bidi="ar-EG"/>
        </w:rPr>
        <w:t>الجمهورية التشيكية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هولندا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الجمهورية السلوفاكية</w:t>
      </w:r>
      <w:r w:rsidR="00E31C4B">
        <w:rPr>
          <w:rFonts w:hint="cs"/>
          <w:b/>
          <w:bCs/>
          <w:rtl/>
          <w:lang w:bidi="ar-EG"/>
        </w:rPr>
        <w:t xml:space="preserve"> و</w:t>
      </w:r>
      <w:r w:rsidR="009A2305" w:rsidRPr="008A00AA">
        <w:rPr>
          <w:rFonts w:hint="cs"/>
          <w:b/>
          <w:bCs/>
          <w:rtl/>
          <w:lang w:bidi="ar-EG"/>
        </w:rPr>
        <w:t>المملكة المتحدة</w:t>
      </w:r>
      <w:r w:rsidR="009A2305">
        <w:rPr>
          <w:rFonts w:hint="cs"/>
          <w:rtl/>
          <w:lang w:bidi="ar-EG"/>
        </w:rPr>
        <w:t>.</w:t>
      </w:r>
    </w:p>
    <w:p w:rsidR="00C93E83" w:rsidRPr="00EA7B62" w:rsidRDefault="00C93E83" w:rsidP="00C93E83">
      <w:pPr>
        <w:spacing w:before="1440"/>
        <w:ind w:left="5103"/>
        <w:jc w:val="center"/>
        <w:rPr>
          <w:lang w:bidi="ar-EG"/>
        </w:rPr>
      </w:pPr>
      <w:r w:rsidRPr="00EA7B62">
        <w:rPr>
          <w:rtl/>
          <w:lang w:bidi="ar-EG"/>
        </w:rPr>
        <w:t>هولين جاو</w:t>
      </w:r>
      <w:r w:rsidRPr="00EA7B62">
        <w:rPr>
          <w:rtl/>
          <w:lang w:bidi="ar-EG"/>
        </w:rPr>
        <w:br/>
        <w:t>الأمين العام</w:t>
      </w:r>
    </w:p>
    <w:p w:rsidR="00C93E83" w:rsidRDefault="00C93E83" w:rsidP="002154EE">
      <w:pPr>
        <w:rPr>
          <w:rtl/>
        </w:rPr>
      </w:pPr>
      <w:r>
        <w:rPr>
          <w:rtl/>
        </w:rPr>
        <w:br w:type="page"/>
      </w:r>
    </w:p>
    <w:p w:rsidR="00E31C4B" w:rsidRDefault="00E31C4B" w:rsidP="00E31C4B">
      <w:pPr>
        <w:pStyle w:val="Source"/>
        <w:rPr>
          <w:rtl/>
          <w:lang w:bidi="ar-SY"/>
        </w:rPr>
      </w:pPr>
      <w:r w:rsidRPr="00EC02C9">
        <w:rPr>
          <w:rFonts w:hint="cs"/>
          <w:rtl/>
          <w:lang w:bidi="ar-SY"/>
        </w:rPr>
        <w:lastRenderedPageBreak/>
        <w:t xml:space="preserve">مساهمة </w:t>
      </w:r>
      <w:r>
        <w:rPr>
          <w:rFonts w:hint="cs"/>
          <w:rtl/>
          <w:lang w:bidi="ar-SY"/>
        </w:rPr>
        <w:t>مقدمة من النمسا</w:t>
      </w:r>
      <w:r w:rsidRPr="00EC02C9">
        <w:rPr>
          <w:rFonts w:hint="cs"/>
          <w:rtl/>
          <w:lang w:bidi="ar-SY"/>
        </w:rPr>
        <w:t xml:space="preserve">، بلغاريا، الدانمارك، إستونيا، فنلندا، </w:t>
      </w:r>
      <w:r>
        <w:rPr>
          <w:rFonts w:hint="cs"/>
          <w:rtl/>
          <w:lang w:bidi="ar-SY"/>
        </w:rPr>
        <w:t>ألمانيا</w:t>
      </w:r>
      <w:r w:rsidRPr="00EC02C9">
        <w:rPr>
          <w:rFonts w:hint="cs"/>
          <w:rtl/>
          <w:lang w:bidi="ar-SY"/>
        </w:rPr>
        <w:t>، اليونان، ليتوانيا، لكسمبرغ، مالط</w:t>
      </w:r>
      <w:r>
        <w:rPr>
          <w:rFonts w:hint="cs"/>
          <w:rtl/>
          <w:lang w:bidi="ar-SY"/>
        </w:rPr>
        <w:t>ة</w:t>
      </w:r>
      <w:r w:rsidRPr="00EC02C9">
        <w:rPr>
          <w:rFonts w:hint="cs"/>
          <w:rtl/>
          <w:lang w:bidi="ar-SY"/>
        </w:rPr>
        <w:t xml:space="preserve">، </w:t>
      </w:r>
      <w:r w:rsidRPr="00EC02C9">
        <w:rPr>
          <w:rtl/>
          <w:lang w:bidi="ar-SY"/>
        </w:rPr>
        <w:t>مولدوفـا</w:t>
      </w:r>
      <w:r w:rsidRPr="00EC02C9">
        <w:rPr>
          <w:rFonts w:hint="cs"/>
          <w:rtl/>
          <w:lang w:bidi="ar-SY"/>
        </w:rPr>
        <w:t>، النرويج، بولندا، روماني</w:t>
      </w:r>
      <w:r>
        <w:rPr>
          <w:rFonts w:hint="cs"/>
          <w:rtl/>
          <w:lang w:bidi="ar-SY"/>
        </w:rPr>
        <w:t>ا</w:t>
      </w:r>
      <w:r w:rsidRPr="00EC02C9">
        <w:rPr>
          <w:rFonts w:hint="cs"/>
          <w:rtl/>
          <w:lang w:bidi="ar-SY"/>
        </w:rPr>
        <w:t xml:space="preserve">، </w:t>
      </w:r>
      <w:r>
        <w:rPr>
          <w:rFonts w:hint="cs"/>
          <w:rtl/>
          <w:lang w:bidi="ar-SY"/>
        </w:rPr>
        <w:t>سلوفينيا</w:t>
      </w:r>
      <w:r w:rsidRPr="00EC02C9">
        <w:rPr>
          <w:rFonts w:hint="cs"/>
          <w:rtl/>
          <w:lang w:bidi="ar-SY"/>
        </w:rPr>
        <w:t xml:space="preserve">، إسبانيا، السويد، </w:t>
      </w:r>
      <w:r w:rsidRPr="00EC02C9">
        <w:rPr>
          <w:rtl/>
          <w:lang w:bidi="ar-SY"/>
        </w:rPr>
        <w:t>الجمهورية التشيكية</w:t>
      </w:r>
      <w:r w:rsidRPr="00EC02C9">
        <w:rPr>
          <w:rFonts w:hint="cs"/>
          <w:rtl/>
          <w:lang w:bidi="ar-SY"/>
        </w:rPr>
        <w:t>، هولندا،</w:t>
      </w:r>
      <w:r>
        <w:rPr>
          <w:rFonts w:hint="cs"/>
          <w:rtl/>
          <w:lang w:bidi="ar-SY"/>
        </w:rPr>
        <w:t xml:space="preserve"> الجمهورية السلوفاكية، </w:t>
      </w:r>
      <w:r w:rsidRPr="00EC02C9">
        <w:rPr>
          <w:rFonts w:hint="cs"/>
          <w:rtl/>
          <w:lang w:bidi="ar-SY"/>
        </w:rPr>
        <w:t>المملكة المتحدة</w:t>
      </w:r>
    </w:p>
    <w:p w:rsidR="00706D7A" w:rsidRDefault="003C350A" w:rsidP="00AA4C0B">
      <w:pPr>
        <w:pStyle w:val="Title1"/>
        <w:rPr>
          <w:rtl/>
        </w:rPr>
      </w:pPr>
      <w:r>
        <w:rPr>
          <w:rFonts w:hint="cs"/>
          <w:rtl/>
        </w:rPr>
        <w:t>مقترح بشأن اختصاصات فريق الخبراء العني بلوائح الاتصالات الدولية</w:t>
      </w:r>
    </w:p>
    <w:p w:rsidR="00C93E83" w:rsidRDefault="00C93E83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Default="005A4194" w:rsidP="00706D7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تقدم هذه المساهمة مقترحاً بشأن اختصاصات فريق الخبراء المعني بلوائح الاتصالات الدولية.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5A4194" w:rsidP="000454E2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يُدعى المجلس إلى اتخاذ قرار بشأن </w:t>
            </w:r>
            <w:r w:rsidR="000454E2">
              <w:rPr>
                <w:rFonts w:hint="cs"/>
                <w:rtl/>
                <w:lang w:bidi="ar-SY"/>
              </w:rPr>
              <w:t>اختصاصات الفريق</w:t>
            </w:r>
            <w:r>
              <w:rPr>
                <w:rFonts w:hint="cs"/>
                <w:rtl/>
                <w:lang w:bidi="ar-SY"/>
              </w:rPr>
              <w:t>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CE0F63" w:rsidP="005409AC">
            <w:pPr>
              <w:spacing w:after="120"/>
              <w:jc w:val="left"/>
              <w:rPr>
                <w:i/>
                <w:iCs/>
                <w:lang w:bidi="ar-EG"/>
              </w:rPr>
            </w:pPr>
            <w:hyperlink r:id="rId9" w:history="1">
              <w:r w:rsidR="00AA4C0B" w:rsidRPr="00AA4C0B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AA4C0B" w:rsidRPr="00AA4C0B">
                <w:rPr>
                  <w:rStyle w:val="Hyperlink"/>
                  <w:i/>
                  <w:iCs/>
                  <w:lang w:bidi="ar-SY"/>
                </w:rPr>
                <w:t>146</w:t>
              </w:r>
              <w:r w:rsidR="00AA4C0B" w:rsidRPr="00AA4C0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AA4C0B" w:rsidRPr="00AA4C0B">
                <w:rPr>
                  <w:rStyle w:val="Hyperlink"/>
                  <w:i/>
                  <w:iCs/>
                  <w:lang w:bidi="ar-EG"/>
                </w:rPr>
                <w:t>2018</w:t>
              </w:r>
              <w:r w:rsidR="00AA4C0B" w:rsidRPr="00AA4C0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)،</w:t>
              </w:r>
            </w:hyperlink>
            <w:bookmarkStart w:id="1" w:name="_GoBack"/>
            <w:bookmarkEnd w:id="1"/>
            <w:r w:rsidR="00AA4C0B">
              <w:rPr>
                <w:rFonts w:hint="cs"/>
                <w:i/>
                <w:iCs/>
                <w:rtl/>
                <w:lang w:bidi="ar-EG"/>
              </w:rPr>
              <w:t xml:space="preserve"> الوثيقة </w:t>
            </w:r>
            <w:hyperlink r:id="rId10" w:history="1">
              <w:r w:rsidR="00AA4C0B" w:rsidRPr="00AA4C0B">
                <w:rPr>
                  <w:rStyle w:val="Hyperlink"/>
                  <w:i/>
                  <w:iCs/>
                  <w:lang w:bidi="ar-EG"/>
                </w:rPr>
                <w:t>C19/26</w:t>
              </w:r>
            </w:hyperlink>
          </w:p>
        </w:tc>
      </w:tr>
    </w:tbl>
    <w:p w:rsidR="004E11DC" w:rsidRDefault="004E11DC" w:rsidP="004E11DC">
      <w:pPr>
        <w:rPr>
          <w:rtl/>
          <w:lang w:bidi="ar-SY"/>
        </w:rPr>
      </w:pPr>
    </w:p>
    <w:p w:rsidR="00AA4C0B" w:rsidRDefault="00AA4C0B" w:rsidP="008A00AA">
      <w:pPr>
        <w:rPr>
          <w:rtl/>
        </w:rPr>
      </w:pPr>
      <w:r w:rsidRPr="005A4194">
        <w:rPr>
          <w:lang w:bidi="ar-SY"/>
        </w:rPr>
        <w:t>1</w:t>
      </w:r>
      <w:r w:rsidRPr="005A4194">
        <w:rPr>
          <w:rtl/>
          <w:lang w:bidi="ar-EG"/>
        </w:rPr>
        <w:tab/>
      </w:r>
      <w:r w:rsidR="005A4194">
        <w:rPr>
          <w:rFonts w:hint="cs"/>
          <w:rtl/>
          <w:lang w:bidi="ar-EG"/>
        </w:rPr>
        <w:t>يكلف</w:t>
      </w:r>
      <w:r w:rsidR="00300E07" w:rsidRPr="005A4194">
        <w:rPr>
          <w:rFonts w:hint="cs"/>
          <w:rtl/>
          <w:lang w:bidi="ar-EG"/>
        </w:rPr>
        <w:t xml:space="preserve"> القرار</w:t>
      </w:r>
      <w:r w:rsidR="008A00AA">
        <w:rPr>
          <w:rFonts w:hint="eastAsia"/>
          <w:rtl/>
          <w:lang w:bidi="ar-EG"/>
        </w:rPr>
        <w:t> </w:t>
      </w:r>
      <w:r w:rsidR="00300E07" w:rsidRPr="005A4194">
        <w:rPr>
          <w:lang w:bidi="ar-EG"/>
        </w:rPr>
        <w:t>146</w:t>
      </w:r>
      <w:r w:rsidR="00300E07" w:rsidRPr="005A4194">
        <w:rPr>
          <w:rFonts w:hint="cs"/>
          <w:rtl/>
          <w:lang w:bidi="ar-EG"/>
        </w:rPr>
        <w:t xml:space="preserve"> (المراجَع في دبي،</w:t>
      </w:r>
      <w:r w:rsidR="008A00AA">
        <w:rPr>
          <w:rFonts w:hint="eastAsia"/>
          <w:rtl/>
          <w:lang w:bidi="ar-EG"/>
        </w:rPr>
        <w:t> </w:t>
      </w:r>
      <w:r w:rsidR="00300E07" w:rsidRPr="005A4194">
        <w:rPr>
          <w:lang w:bidi="ar-EG"/>
        </w:rPr>
        <w:t>2018</w:t>
      </w:r>
      <w:r w:rsidR="00300E07" w:rsidRPr="005A4194">
        <w:rPr>
          <w:rFonts w:hint="cs"/>
          <w:rtl/>
          <w:lang w:bidi="ar-EG"/>
        </w:rPr>
        <w:t>)</w:t>
      </w:r>
      <w:r w:rsidR="00300E07" w:rsidRPr="005A4194">
        <w:rPr>
          <w:rFonts w:hint="cs"/>
          <w:rtl/>
        </w:rPr>
        <w:t xml:space="preserve"> </w:t>
      </w:r>
      <w:r w:rsidR="00C16D78">
        <w:rPr>
          <w:rFonts w:hint="cs"/>
          <w:rtl/>
        </w:rPr>
        <w:t xml:space="preserve">لمؤتمر المندوبين المفوضين </w:t>
      </w:r>
      <w:r w:rsidR="00300E07" w:rsidRPr="005A4194">
        <w:rPr>
          <w:rFonts w:hint="cs"/>
          <w:rtl/>
        </w:rPr>
        <w:t>الأمين العام ب</w:t>
      </w:r>
      <w:r w:rsidR="00300E07" w:rsidRPr="005A4194">
        <w:rPr>
          <w:rtl/>
        </w:rPr>
        <w:t xml:space="preserve">معاودة </w:t>
      </w:r>
      <w:r w:rsidR="00300E07" w:rsidRPr="005A4194">
        <w:rPr>
          <w:rFonts w:hint="cs"/>
          <w:rtl/>
        </w:rPr>
        <w:t>الدعوة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لاجتماع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فريق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خبراء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معني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بلوائح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الاتصالات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الدولية</w:t>
      </w:r>
      <w:r w:rsidR="008A00AA">
        <w:rPr>
          <w:rFonts w:hint="cs"/>
          <w:rtl/>
        </w:rPr>
        <w:t> </w:t>
      </w:r>
      <w:r w:rsidR="00300E07" w:rsidRPr="005A4194">
        <w:t>(EG-ITR)</w:t>
      </w:r>
      <w:r w:rsidR="00300E07" w:rsidRPr="005A4194">
        <w:rPr>
          <w:rtl/>
        </w:rPr>
        <w:t xml:space="preserve"> </w:t>
      </w:r>
      <w:r w:rsidR="005A4194">
        <w:rPr>
          <w:rFonts w:hint="cs"/>
          <w:rtl/>
        </w:rPr>
        <w:t xml:space="preserve">ويكلف المجلس باستعراض ومراجعة </w:t>
      </w:r>
      <w:r w:rsidR="00300E07" w:rsidRPr="005A4194">
        <w:rPr>
          <w:rFonts w:hint="cs"/>
          <w:rtl/>
        </w:rPr>
        <w:t>اختصاصات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هذا</w:t>
      </w:r>
      <w:r w:rsidR="00300E07" w:rsidRPr="005A4194">
        <w:rPr>
          <w:rtl/>
        </w:rPr>
        <w:t xml:space="preserve"> </w:t>
      </w:r>
      <w:r w:rsidR="00300E07" w:rsidRPr="005A4194">
        <w:rPr>
          <w:rFonts w:hint="cs"/>
          <w:rtl/>
        </w:rPr>
        <w:t>الفريق</w:t>
      </w:r>
      <w:r w:rsidR="00300E07" w:rsidRPr="005A4194">
        <w:rPr>
          <w:rtl/>
        </w:rPr>
        <w:t xml:space="preserve"> </w:t>
      </w:r>
      <w:r w:rsidR="00FA66A7">
        <w:rPr>
          <w:rFonts w:hint="cs"/>
          <w:rtl/>
        </w:rPr>
        <w:t>في دورته لعام</w:t>
      </w:r>
      <w:r w:rsidR="008A00AA">
        <w:rPr>
          <w:rFonts w:hint="eastAsia"/>
          <w:rtl/>
        </w:rPr>
        <w:t> </w:t>
      </w:r>
      <w:r w:rsidR="00FA66A7">
        <w:t>2019</w:t>
      </w:r>
      <w:r w:rsidR="00FA66A7">
        <w:rPr>
          <w:rFonts w:hint="cs"/>
          <w:rtl/>
        </w:rPr>
        <w:t>.</w:t>
      </w:r>
    </w:p>
    <w:p w:rsidR="00300E07" w:rsidRPr="002B223F" w:rsidRDefault="00300E07" w:rsidP="008A00AA">
      <w:pPr>
        <w:rPr>
          <w:rtl/>
        </w:rPr>
      </w:pPr>
      <w:r>
        <w:t>2</w:t>
      </w:r>
      <w:r>
        <w:tab/>
      </w:r>
      <w:r w:rsidR="00C16D78">
        <w:rPr>
          <w:rFonts w:hint="cs"/>
          <w:rtl/>
          <w:lang w:bidi="ar-EG"/>
        </w:rPr>
        <w:t>اضطلع فريق الخبراء السابق المعني بلوائح الاتصالات الدولية</w:t>
      </w:r>
      <w:r w:rsidR="008A00AA">
        <w:rPr>
          <w:rFonts w:hint="eastAsia"/>
          <w:rtl/>
          <w:lang w:bidi="ar-EG"/>
        </w:rPr>
        <w:t> </w:t>
      </w:r>
      <w:r w:rsidR="00C16D78">
        <w:rPr>
          <w:lang w:bidi="ar-EG"/>
        </w:rPr>
        <w:t>(2018-2016)</w:t>
      </w:r>
      <w:r w:rsidR="00C16D78">
        <w:rPr>
          <w:rFonts w:hint="cs"/>
          <w:rtl/>
        </w:rPr>
        <w:t xml:space="preserve"> باستعراض رئيسي للوائح الاتصالات الدولية </w:t>
      </w:r>
      <w:r w:rsidR="00AF0015">
        <w:rPr>
          <w:rFonts w:hint="cs"/>
          <w:rtl/>
        </w:rPr>
        <w:t>استناداً</w:t>
      </w:r>
      <w:r w:rsidR="00C16D78">
        <w:rPr>
          <w:rFonts w:hint="cs"/>
          <w:rtl/>
        </w:rPr>
        <w:t xml:space="preserve"> إلى المساهمات المقدمة من الدول الأعضاء وأعضاء </w:t>
      </w:r>
      <w:r w:rsidR="002B223F">
        <w:rPr>
          <w:rFonts w:hint="cs"/>
          <w:rtl/>
        </w:rPr>
        <w:t>القطاعات من جميع مناطق الاتحاد وقدم تقريراً إلى المجلس في دورته لعام</w:t>
      </w:r>
      <w:r w:rsidR="008A00AA">
        <w:rPr>
          <w:rFonts w:hint="eastAsia"/>
          <w:rtl/>
        </w:rPr>
        <w:t> </w:t>
      </w:r>
      <w:r w:rsidR="002B223F">
        <w:t>2018</w:t>
      </w:r>
      <w:r w:rsidR="002B223F">
        <w:rPr>
          <w:rFonts w:hint="cs"/>
          <w:rtl/>
        </w:rPr>
        <w:t xml:space="preserve"> بشأن هذا الاستعراض. </w:t>
      </w:r>
      <w:r w:rsidR="002B223F">
        <w:rPr>
          <w:rFonts w:hint="cs"/>
          <w:color w:val="000000"/>
          <w:rtl/>
        </w:rPr>
        <w:t xml:space="preserve">ويرى </w:t>
      </w:r>
      <w:r w:rsidR="002B223F">
        <w:rPr>
          <w:color w:val="000000"/>
          <w:rtl/>
        </w:rPr>
        <w:t>المؤتمر الأوروبي لإدارات البريد والاتصالات</w:t>
      </w:r>
      <w:r w:rsidR="002B223F">
        <w:rPr>
          <w:rFonts w:hint="cs"/>
          <w:color w:val="000000"/>
          <w:rtl/>
        </w:rPr>
        <w:t xml:space="preserve"> أنه سيكون من </w:t>
      </w:r>
      <w:r w:rsidR="00890D44">
        <w:rPr>
          <w:rFonts w:hint="cs"/>
          <w:color w:val="000000"/>
          <w:rtl/>
        </w:rPr>
        <w:t>المهم</w:t>
      </w:r>
      <w:r w:rsidR="002B223F">
        <w:rPr>
          <w:rFonts w:hint="cs"/>
          <w:rtl/>
        </w:rPr>
        <w:t xml:space="preserve"> </w:t>
      </w:r>
      <w:r w:rsidR="00890D44">
        <w:rPr>
          <w:rFonts w:hint="cs"/>
          <w:rtl/>
        </w:rPr>
        <w:t>أن يبني</w:t>
      </w:r>
      <w:r w:rsidR="002B223F">
        <w:rPr>
          <w:rFonts w:hint="cs"/>
          <w:rtl/>
        </w:rPr>
        <w:t xml:space="preserve"> </w:t>
      </w:r>
      <w:r w:rsidR="00890D44">
        <w:rPr>
          <w:rFonts w:hint="cs"/>
          <w:rtl/>
        </w:rPr>
        <w:t>ا</w:t>
      </w:r>
      <w:r w:rsidR="002B223F">
        <w:rPr>
          <w:rFonts w:hint="cs"/>
          <w:rtl/>
        </w:rPr>
        <w:t>لفريق</w:t>
      </w:r>
      <w:r w:rsidR="00EA64C5">
        <w:rPr>
          <w:rFonts w:hint="cs"/>
          <w:rtl/>
        </w:rPr>
        <w:t xml:space="preserve"> المستأنف</w:t>
      </w:r>
      <w:r w:rsidR="002B223F">
        <w:rPr>
          <w:rFonts w:hint="cs"/>
          <w:rtl/>
        </w:rPr>
        <w:t xml:space="preserve"> </w:t>
      </w:r>
      <w:r w:rsidR="00EA64C5">
        <w:rPr>
          <w:rFonts w:hint="cs"/>
          <w:rtl/>
        </w:rPr>
        <w:t xml:space="preserve">على هذا العمل. ونقترح أن يُدعى أيضاً أصحاب </w:t>
      </w:r>
      <w:r w:rsidR="00AF0015">
        <w:rPr>
          <w:rFonts w:hint="cs"/>
          <w:rtl/>
        </w:rPr>
        <w:t>ال</w:t>
      </w:r>
      <w:r w:rsidR="00EA64C5">
        <w:rPr>
          <w:rFonts w:hint="cs"/>
          <w:rtl/>
        </w:rPr>
        <w:t xml:space="preserve">مصلحة </w:t>
      </w:r>
      <w:r w:rsidR="00AF0015">
        <w:rPr>
          <w:rFonts w:hint="cs"/>
          <w:rtl/>
        </w:rPr>
        <w:t>ال</w:t>
      </w:r>
      <w:r w:rsidR="00EA64C5">
        <w:rPr>
          <w:rFonts w:hint="cs"/>
          <w:rtl/>
        </w:rPr>
        <w:t>آخرون إلى المساهمة بوجهات نظرهم وخبرتهم من أجل توفير صورة أشمل</w:t>
      </w:r>
      <w:r w:rsidR="00AF0015">
        <w:rPr>
          <w:rFonts w:hint="cs"/>
          <w:rtl/>
        </w:rPr>
        <w:t xml:space="preserve"> بهذا الشأن</w:t>
      </w:r>
      <w:r w:rsidR="00EA64C5">
        <w:rPr>
          <w:rFonts w:hint="cs"/>
          <w:rtl/>
        </w:rPr>
        <w:t>.</w:t>
      </w:r>
    </w:p>
    <w:p w:rsidR="00300E07" w:rsidRDefault="00300E07" w:rsidP="00852663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DA10A5">
        <w:rPr>
          <w:rFonts w:hint="cs"/>
          <w:rtl/>
          <w:lang w:bidi="ar-EG"/>
        </w:rPr>
        <w:t>يقترح المؤتمر الأوروبي لإدارات البريد والاتصالات الاختصاصات التالية لفريق الخبراء المعني بلوائح الاتصالات الدولية:</w:t>
      </w:r>
    </w:p>
    <w:p w:rsidR="00300E07" w:rsidRPr="00880018" w:rsidRDefault="00300E07" w:rsidP="00852663">
      <w:pPr>
        <w:pStyle w:val="enumlev1"/>
        <w:rPr>
          <w:i/>
          <w:iCs/>
          <w:rtl/>
          <w:lang w:bidi="ar-SA"/>
        </w:rPr>
      </w:pPr>
      <w:r>
        <w:rPr>
          <w:rtl/>
        </w:rPr>
        <w:lastRenderedPageBreak/>
        <w:tab/>
      </w:r>
      <w:r w:rsidR="00BA3D95">
        <w:rPr>
          <w:rFonts w:hint="cs"/>
          <w:i/>
          <w:iCs/>
          <w:rtl/>
        </w:rPr>
        <w:t>يقوم</w:t>
      </w:r>
      <w:r w:rsidR="00F94BF7" w:rsidRPr="00880018">
        <w:rPr>
          <w:rFonts w:hint="cs"/>
          <w:i/>
          <w:iCs/>
          <w:rtl/>
        </w:rPr>
        <w:t xml:space="preserve"> فريق الخبراء باستعراض لوائح الاتصالات الدولية لعام </w:t>
      </w:r>
      <w:r w:rsidR="00F94BF7" w:rsidRPr="00880018">
        <w:rPr>
          <w:i/>
          <w:iCs/>
        </w:rPr>
        <w:t>2012</w:t>
      </w:r>
      <w:r w:rsidR="00F94BF7" w:rsidRPr="00880018">
        <w:rPr>
          <w:rFonts w:hint="cs"/>
          <w:i/>
          <w:iCs/>
          <w:rtl/>
          <w:lang w:bidi="ar-SA"/>
        </w:rPr>
        <w:t xml:space="preserve"> استناداً إلى المساهمات المقدمة من الدول الأعضاء وأعضاء القطاعات ومديري المكاتب والتشاور مع أصحاب المصلحة الآخرين. </w:t>
      </w:r>
      <w:r w:rsidR="003A2FAC" w:rsidRPr="00880018">
        <w:rPr>
          <w:rFonts w:hint="cs"/>
          <w:i/>
          <w:iCs/>
          <w:rtl/>
          <w:lang w:bidi="ar-SA"/>
        </w:rPr>
        <w:t xml:space="preserve">ويراعي فريق الخبراء العمل السابق لفريق الخبراء </w:t>
      </w:r>
      <w:r w:rsidR="003A2FAC" w:rsidRPr="00880018">
        <w:rPr>
          <w:i/>
          <w:iCs/>
          <w:lang w:bidi="ar-SA"/>
        </w:rPr>
        <w:t>(2018-2016)</w:t>
      </w:r>
      <w:r w:rsidR="003A2FAC" w:rsidRPr="00880018">
        <w:rPr>
          <w:rFonts w:hint="cs"/>
          <w:i/>
          <w:iCs/>
          <w:rtl/>
          <w:lang w:bidi="ar-SA"/>
        </w:rPr>
        <w:t xml:space="preserve"> بما</w:t>
      </w:r>
      <w:r w:rsidR="00985D03">
        <w:rPr>
          <w:rFonts w:hint="eastAsia"/>
          <w:i/>
          <w:iCs/>
          <w:rtl/>
          <w:lang w:bidi="ar-SA"/>
        </w:rPr>
        <w:t> </w:t>
      </w:r>
      <w:r w:rsidR="003A2FAC" w:rsidRPr="00880018">
        <w:rPr>
          <w:rFonts w:hint="cs"/>
          <w:i/>
          <w:iCs/>
          <w:rtl/>
          <w:lang w:bidi="ar-SA"/>
        </w:rPr>
        <w:t xml:space="preserve">في ذلك تقريره إلى مؤتمر المندوبين المفوضين في </w:t>
      </w:r>
      <w:r w:rsidR="003A2FAC" w:rsidRPr="00880018">
        <w:rPr>
          <w:i/>
          <w:iCs/>
          <w:lang w:bidi="ar-SA"/>
        </w:rPr>
        <w:t>2018</w:t>
      </w:r>
      <w:r w:rsidR="003A2FAC" w:rsidRPr="00880018">
        <w:rPr>
          <w:rFonts w:hint="cs"/>
          <w:i/>
          <w:iCs/>
          <w:rtl/>
          <w:lang w:bidi="ar-SA"/>
        </w:rPr>
        <w:t xml:space="preserve">، </w:t>
      </w:r>
      <w:r w:rsidR="000666D2" w:rsidRPr="00880018">
        <w:rPr>
          <w:rFonts w:hint="cs"/>
          <w:i/>
          <w:iCs/>
          <w:rtl/>
          <w:lang w:bidi="ar-SA"/>
        </w:rPr>
        <w:t>وكذلك الخبرة المكتسبة في</w:t>
      </w:r>
      <w:r w:rsidR="003A2FAC" w:rsidRPr="00880018">
        <w:rPr>
          <w:rFonts w:hint="cs"/>
          <w:i/>
          <w:iCs/>
          <w:rtl/>
          <w:lang w:bidi="ar-SA"/>
        </w:rPr>
        <w:t xml:space="preserve"> تنفيذ لوائح الاتصالات الدولية لعام </w:t>
      </w:r>
      <w:r w:rsidR="003A2FAC" w:rsidRPr="00880018">
        <w:rPr>
          <w:i/>
          <w:iCs/>
          <w:lang w:bidi="ar-SA"/>
        </w:rPr>
        <w:t>2012</w:t>
      </w:r>
      <w:r w:rsidR="003A2FAC" w:rsidRPr="00880018">
        <w:rPr>
          <w:rFonts w:hint="cs"/>
          <w:i/>
          <w:iCs/>
          <w:rtl/>
          <w:lang w:bidi="ar-SA"/>
        </w:rPr>
        <w:t xml:space="preserve">. وينبغي أن يشمل الاستعراض الذي ينبغي أن يستند إلى العمل الذي أنجزه فريق </w:t>
      </w:r>
      <w:r w:rsidR="000666D2" w:rsidRPr="00880018">
        <w:rPr>
          <w:rFonts w:hint="cs"/>
          <w:i/>
          <w:iCs/>
          <w:rtl/>
          <w:lang w:bidi="ar-SA"/>
        </w:rPr>
        <w:t xml:space="preserve">الخبراء </w:t>
      </w:r>
      <w:r w:rsidR="003A2FAC" w:rsidRPr="00880018">
        <w:rPr>
          <w:i/>
          <w:iCs/>
          <w:lang w:bidi="ar-SA"/>
        </w:rPr>
        <w:t>(2018-2016)</w:t>
      </w:r>
      <w:r w:rsidR="003A2FAC" w:rsidRPr="00880018">
        <w:rPr>
          <w:rFonts w:hint="cs"/>
          <w:i/>
          <w:iCs/>
          <w:rtl/>
          <w:lang w:bidi="ar-SA"/>
        </w:rPr>
        <w:t xml:space="preserve"> ما</w:t>
      </w:r>
      <w:r w:rsidR="00985D03">
        <w:rPr>
          <w:rFonts w:hint="eastAsia"/>
          <w:i/>
          <w:iCs/>
          <w:rtl/>
          <w:lang w:bidi="ar-SA"/>
        </w:rPr>
        <w:t> </w:t>
      </w:r>
      <w:r w:rsidR="003A2FAC" w:rsidRPr="00880018">
        <w:rPr>
          <w:rFonts w:hint="cs"/>
          <w:i/>
          <w:iCs/>
          <w:rtl/>
          <w:lang w:bidi="ar-SA"/>
        </w:rPr>
        <w:t>يلي:</w:t>
      </w:r>
    </w:p>
    <w:p w:rsidR="00300E07" w:rsidRPr="00DF7F4F" w:rsidRDefault="00300E07" w:rsidP="00852663">
      <w:pPr>
        <w:pStyle w:val="enumlev2"/>
        <w:rPr>
          <w:i/>
          <w:iCs/>
          <w:rtl/>
          <w:lang w:bidi="ar-EG"/>
        </w:rPr>
      </w:pPr>
      <w:r w:rsidRPr="00DF7F4F">
        <w:rPr>
          <w:rFonts w:hint="cs"/>
          <w:i/>
          <w:iCs/>
          <w:rtl/>
        </w:rPr>
        <w:t>’</w:t>
      </w:r>
      <w:r w:rsidRPr="00DF7F4F">
        <w:rPr>
          <w:i/>
          <w:iCs/>
        </w:rPr>
        <w:t>1</w:t>
      </w:r>
      <w:r w:rsidR="00437218" w:rsidRPr="00DF7F4F">
        <w:rPr>
          <w:rFonts w:hint="cs"/>
          <w:i/>
          <w:iCs/>
          <w:rtl/>
        </w:rPr>
        <w:t>‘</w:t>
      </w:r>
      <w:r w:rsidR="00437218" w:rsidRPr="00DF7F4F">
        <w:rPr>
          <w:rFonts w:hint="cs"/>
          <w:i/>
          <w:iCs/>
          <w:rtl/>
        </w:rPr>
        <w:tab/>
      </w:r>
      <w:r w:rsidR="000666D2" w:rsidRPr="00DF7F4F">
        <w:rPr>
          <w:rFonts w:hint="cs"/>
          <w:i/>
          <w:iCs/>
          <w:rtl/>
        </w:rPr>
        <w:t xml:space="preserve">فحص تنفيذ لوائح الاتصالات الدولية لعام </w:t>
      </w:r>
      <w:r w:rsidR="000666D2" w:rsidRPr="00DF7F4F">
        <w:rPr>
          <w:i/>
          <w:iCs/>
        </w:rPr>
        <w:t>2012</w:t>
      </w:r>
      <w:r w:rsidR="000666D2" w:rsidRPr="00DF7F4F">
        <w:rPr>
          <w:rFonts w:hint="cs"/>
          <w:i/>
          <w:iCs/>
          <w:rtl/>
        </w:rPr>
        <w:t xml:space="preserve"> و</w:t>
      </w:r>
      <w:r w:rsidR="00880018" w:rsidRPr="00DF7F4F">
        <w:rPr>
          <w:rFonts w:hint="cs"/>
          <w:i/>
          <w:iCs/>
          <w:rtl/>
        </w:rPr>
        <w:t>آثاره العملية</w:t>
      </w:r>
      <w:r w:rsidR="00852663" w:rsidRPr="00DF7F4F">
        <w:rPr>
          <w:rFonts w:hint="cs"/>
          <w:i/>
          <w:iCs/>
          <w:rtl/>
          <w:lang w:bidi="ar-EG"/>
        </w:rPr>
        <w:t>؛</w:t>
      </w:r>
    </w:p>
    <w:p w:rsidR="00437218" w:rsidRPr="00DF7F4F" w:rsidRDefault="00437218" w:rsidP="00852663">
      <w:pPr>
        <w:pStyle w:val="enumlev2"/>
        <w:rPr>
          <w:i/>
          <w:iCs/>
          <w:rtl/>
        </w:rPr>
      </w:pPr>
      <w:r w:rsidRPr="00DF7F4F">
        <w:rPr>
          <w:rFonts w:hint="cs"/>
          <w:i/>
          <w:iCs/>
          <w:rtl/>
        </w:rPr>
        <w:t>’</w:t>
      </w:r>
      <w:r w:rsidRPr="00DF7F4F">
        <w:rPr>
          <w:i/>
          <w:iCs/>
        </w:rPr>
        <w:t>2</w:t>
      </w:r>
      <w:r w:rsidRPr="00DF7F4F">
        <w:rPr>
          <w:rFonts w:hint="cs"/>
          <w:i/>
          <w:iCs/>
          <w:rtl/>
        </w:rPr>
        <w:t>‘</w:t>
      </w:r>
      <w:r w:rsidRPr="00DF7F4F">
        <w:rPr>
          <w:rFonts w:hint="cs"/>
          <w:i/>
          <w:iCs/>
          <w:rtl/>
        </w:rPr>
        <w:tab/>
      </w:r>
      <w:r w:rsidR="00880018" w:rsidRPr="00DF7F4F">
        <w:rPr>
          <w:rFonts w:hint="cs"/>
          <w:i/>
          <w:iCs/>
          <w:rtl/>
        </w:rPr>
        <w:t xml:space="preserve">إمكانية تطبيق لوائح الاتصالات الدولية لعام </w:t>
      </w:r>
      <w:r w:rsidR="00880018" w:rsidRPr="00DF7F4F">
        <w:rPr>
          <w:i/>
          <w:iCs/>
        </w:rPr>
        <w:t>2012</w:t>
      </w:r>
      <w:r w:rsidR="00880018" w:rsidRPr="00DF7F4F">
        <w:rPr>
          <w:rFonts w:hint="cs"/>
          <w:i/>
          <w:iCs/>
          <w:rtl/>
        </w:rPr>
        <w:t xml:space="preserve"> مع مراعاة الشكل المتغير لصناعة الاتصالات وبيئتها والتغيرات في نطاق القواعد التنظيمية الوطنية</w:t>
      </w:r>
      <w:r w:rsidR="00852663" w:rsidRPr="00DF7F4F">
        <w:rPr>
          <w:rFonts w:hint="cs"/>
          <w:i/>
          <w:iCs/>
          <w:rtl/>
        </w:rPr>
        <w:t>؛</w:t>
      </w:r>
    </w:p>
    <w:p w:rsidR="00437218" w:rsidRPr="00DF7F4F" w:rsidRDefault="00437218" w:rsidP="00852663">
      <w:pPr>
        <w:pStyle w:val="enumlev2"/>
        <w:rPr>
          <w:i/>
          <w:iCs/>
        </w:rPr>
      </w:pPr>
      <w:r w:rsidRPr="00DF7F4F">
        <w:rPr>
          <w:rFonts w:hint="cs"/>
          <w:i/>
          <w:iCs/>
          <w:rtl/>
          <w:lang w:bidi="ar-EG"/>
        </w:rPr>
        <w:t>’</w:t>
      </w:r>
      <w:r w:rsidRPr="00DF7F4F">
        <w:rPr>
          <w:i/>
          <w:iCs/>
          <w:lang w:bidi="ar-EG"/>
        </w:rPr>
        <w:t>3</w:t>
      </w:r>
      <w:r w:rsidRPr="00DF7F4F">
        <w:rPr>
          <w:rFonts w:hint="cs"/>
          <w:i/>
          <w:iCs/>
          <w:rtl/>
          <w:lang w:bidi="ar-EG"/>
        </w:rPr>
        <w:t>‘</w:t>
      </w:r>
      <w:r w:rsidRPr="00DF7F4F">
        <w:rPr>
          <w:rFonts w:hint="cs"/>
          <w:i/>
          <w:iCs/>
          <w:rtl/>
          <w:lang w:bidi="ar-EG"/>
        </w:rPr>
        <w:tab/>
      </w:r>
      <w:r w:rsidR="005321E6" w:rsidRPr="00DF7F4F">
        <w:rPr>
          <w:i/>
          <w:iCs/>
          <w:rtl/>
        </w:rPr>
        <w:t>تحليل</w:t>
      </w:r>
      <w:r w:rsidR="005321E6" w:rsidRPr="00DF7F4F">
        <w:rPr>
          <w:rFonts w:hint="cs"/>
          <w:i/>
          <w:iCs/>
          <w:rtl/>
        </w:rPr>
        <w:t xml:space="preserve"> أوجه التضارب التي </w:t>
      </w:r>
      <w:r w:rsidR="00E55378" w:rsidRPr="00DF7F4F">
        <w:rPr>
          <w:rFonts w:hint="cs"/>
          <w:i/>
          <w:iCs/>
          <w:rtl/>
        </w:rPr>
        <w:t>ووجهت</w:t>
      </w:r>
      <w:r w:rsidRPr="00DF7F4F">
        <w:rPr>
          <w:i/>
          <w:iCs/>
          <w:rtl/>
        </w:rPr>
        <w:t xml:space="preserve"> بين التزامات الموقعين على لوائح الاتصالات الدولية لعام </w:t>
      </w:r>
      <w:r w:rsidRPr="00DF7F4F">
        <w:rPr>
          <w:i/>
          <w:iCs/>
        </w:rPr>
        <w:t>2012</w:t>
      </w:r>
      <w:r w:rsidRPr="00DF7F4F">
        <w:rPr>
          <w:i/>
          <w:iCs/>
          <w:rtl/>
        </w:rPr>
        <w:t xml:space="preserve"> والموقعين على لوائح الاتصالات الدولية لعام </w:t>
      </w:r>
      <w:r w:rsidRPr="00DF7F4F">
        <w:rPr>
          <w:i/>
          <w:iCs/>
        </w:rPr>
        <w:t>1988</w:t>
      </w:r>
      <w:r w:rsidRPr="00DF7F4F">
        <w:rPr>
          <w:i/>
          <w:iCs/>
          <w:rtl/>
        </w:rPr>
        <w:t xml:space="preserve"> فيما يتعلق بتنفيذ أحكام لوائح الاتصالات الدولية لعام </w:t>
      </w:r>
      <w:r w:rsidRPr="00DF7F4F">
        <w:rPr>
          <w:i/>
          <w:iCs/>
        </w:rPr>
        <w:t>1988</w:t>
      </w:r>
      <w:r w:rsidRPr="00DF7F4F">
        <w:rPr>
          <w:i/>
          <w:iCs/>
          <w:rtl/>
        </w:rPr>
        <w:t xml:space="preserve"> وعام </w:t>
      </w:r>
      <w:r w:rsidRPr="00DF7F4F">
        <w:rPr>
          <w:i/>
          <w:iCs/>
        </w:rPr>
        <w:t>2012</w:t>
      </w:r>
      <w:r w:rsidR="00852663" w:rsidRPr="00DF7F4F">
        <w:rPr>
          <w:rFonts w:hint="cs"/>
          <w:i/>
          <w:iCs/>
          <w:rtl/>
        </w:rPr>
        <w:t>.</w:t>
      </w:r>
    </w:p>
    <w:p w:rsidR="00437218" w:rsidRDefault="00E55378" w:rsidP="00DF7F4F">
      <w:pPr>
        <w:rPr>
          <w:rtl/>
          <w:lang w:bidi="ar-EG"/>
        </w:rPr>
      </w:pPr>
      <w:r>
        <w:rPr>
          <w:rFonts w:hint="cs"/>
          <w:i/>
          <w:iCs/>
          <w:rtl/>
        </w:rPr>
        <w:t>سيقدم</w:t>
      </w:r>
      <w:r w:rsidR="00437218" w:rsidRPr="00E55378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فريق الخبراء</w:t>
      </w:r>
      <w:r w:rsidR="00437218" w:rsidRPr="00E55378">
        <w:rPr>
          <w:i/>
          <w:iCs/>
          <w:rtl/>
        </w:rPr>
        <w:t xml:space="preserve"> </w:t>
      </w:r>
      <w:r w:rsidR="001E71EA">
        <w:rPr>
          <w:rFonts w:hint="cs"/>
          <w:i/>
          <w:iCs/>
          <w:rtl/>
        </w:rPr>
        <w:t>تقارير مرحلية سنوية</w:t>
      </w:r>
      <w:r w:rsidR="00437218" w:rsidRPr="00E55378">
        <w:rPr>
          <w:i/>
          <w:iCs/>
          <w:rtl/>
        </w:rPr>
        <w:t xml:space="preserve"> </w:t>
      </w:r>
      <w:r w:rsidR="001E71EA">
        <w:rPr>
          <w:rFonts w:hint="cs"/>
          <w:i/>
          <w:iCs/>
          <w:rtl/>
        </w:rPr>
        <w:t>تجسد جميع الآراء</w:t>
      </w:r>
      <w:r w:rsidR="00437218" w:rsidRPr="00E55378">
        <w:rPr>
          <w:i/>
          <w:iCs/>
          <w:rtl/>
        </w:rPr>
        <w:t xml:space="preserve"> </w:t>
      </w:r>
      <w:r w:rsidR="001E71EA">
        <w:rPr>
          <w:rFonts w:hint="cs"/>
          <w:i/>
          <w:iCs/>
          <w:rtl/>
        </w:rPr>
        <w:t xml:space="preserve">إلى المجلس في دورتيه لعامي </w:t>
      </w:r>
      <w:r w:rsidR="001E71EA">
        <w:rPr>
          <w:i/>
          <w:iCs/>
        </w:rPr>
        <w:t>2020</w:t>
      </w:r>
      <w:r w:rsidR="001E71EA">
        <w:rPr>
          <w:rFonts w:hint="cs"/>
          <w:i/>
          <w:iCs/>
          <w:rtl/>
        </w:rPr>
        <w:t xml:space="preserve"> و</w:t>
      </w:r>
      <w:r w:rsidR="001E71EA">
        <w:rPr>
          <w:i/>
          <w:iCs/>
        </w:rPr>
        <w:t>2021</w:t>
      </w:r>
      <w:r w:rsidR="001E71EA">
        <w:rPr>
          <w:rFonts w:hint="cs"/>
          <w:i/>
          <w:iCs/>
          <w:rtl/>
        </w:rPr>
        <w:t xml:space="preserve"> </w:t>
      </w:r>
      <w:r w:rsidR="00437218" w:rsidRPr="00E55378">
        <w:rPr>
          <w:i/>
          <w:iCs/>
          <w:rtl/>
        </w:rPr>
        <w:t xml:space="preserve">وتقريراً نهائياً </w:t>
      </w:r>
      <w:r w:rsidR="00D94094">
        <w:rPr>
          <w:rFonts w:hint="cs"/>
          <w:i/>
          <w:iCs/>
          <w:rtl/>
        </w:rPr>
        <w:t>إلى</w:t>
      </w:r>
      <w:r w:rsidR="00437218" w:rsidRPr="00E55378">
        <w:rPr>
          <w:i/>
          <w:iCs/>
          <w:rtl/>
        </w:rPr>
        <w:t xml:space="preserve"> المجلس في دورته لعام </w:t>
      </w:r>
      <w:r w:rsidR="00BA3D95">
        <w:rPr>
          <w:i/>
          <w:iCs/>
          <w:lang w:bidi="ar-EG"/>
        </w:rPr>
        <w:t>2022</w:t>
      </w:r>
      <w:r w:rsidR="00437218" w:rsidRPr="00E55378">
        <w:rPr>
          <w:i/>
          <w:iCs/>
          <w:rtl/>
        </w:rPr>
        <w:t xml:space="preserve"> لبحثه وتقديمه إلى مؤتمر المندوبين المفوضين لعام </w:t>
      </w:r>
      <w:r w:rsidR="00437218" w:rsidRPr="00E55378">
        <w:rPr>
          <w:i/>
          <w:iCs/>
          <w:lang w:bidi="ar-EG"/>
        </w:rPr>
        <w:t>20</w:t>
      </w:r>
      <w:r w:rsidR="00DF7F4F">
        <w:rPr>
          <w:i/>
          <w:iCs/>
          <w:lang w:bidi="ar-EG"/>
        </w:rPr>
        <w:t>22</w:t>
      </w:r>
      <w:r w:rsidR="00437218" w:rsidRPr="00E55378">
        <w:rPr>
          <w:i/>
          <w:iCs/>
          <w:rtl/>
        </w:rPr>
        <w:t xml:space="preserve"> مشفوعاً بتعليقات المجلس</w:t>
      </w:r>
      <w:r w:rsidR="00437218" w:rsidRPr="00E55378">
        <w:rPr>
          <w:rFonts w:hint="cs"/>
          <w:i/>
          <w:iCs/>
          <w:rtl/>
          <w:lang w:bidi="ar-EG"/>
        </w:rPr>
        <w:t>.</w:t>
      </w:r>
    </w:p>
    <w:p w:rsidR="00437218" w:rsidRPr="00D94094" w:rsidRDefault="00D94094" w:rsidP="00D94094">
      <w:pPr>
        <w:rPr>
          <w:i/>
          <w:iCs/>
          <w:rtl/>
        </w:rPr>
      </w:pPr>
      <w:r w:rsidRPr="00D94094">
        <w:rPr>
          <w:rFonts w:hint="cs"/>
          <w:i/>
          <w:iCs/>
          <w:rtl/>
          <w:lang w:bidi="ar-EG"/>
        </w:rPr>
        <w:t xml:space="preserve">سيجتمع فريق الخبراء مرتين في السنة كجزء من مجموعات </w:t>
      </w:r>
      <w:r w:rsidRPr="00D94094">
        <w:rPr>
          <w:i/>
          <w:iCs/>
          <w:color w:val="000000"/>
          <w:rtl/>
        </w:rPr>
        <w:t>اجتماعات أفرقة العمل التابعة للمجلس</w:t>
      </w:r>
      <w:r w:rsidRPr="00D94094">
        <w:rPr>
          <w:rFonts w:hint="cs"/>
          <w:i/>
          <w:iCs/>
          <w:rtl/>
        </w:rPr>
        <w:t>.</w:t>
      </w:r>
    </w:p>
    <w:p w:rsidR="00437218" w:rsidRPr="00047CCB" w:rsidRDefault="00D94094" w:rsidP="00437218">
      <w:pPr>
        <w:rPr>
          <w:i/>
          <w:iCs/>
          <w:rtl/>
          <w:lang w:bidi="ar-EG"/>
        </w:rPr>
      </w:pPr>
      <w:r w:rsidRPr="00047CCB">
        <w:rPr>
          <w:rFonts w:hint="cs"/>
          <w:i/>
          <w:iCs/>
          <w:rtl/>
          <w:lang w:bidi="ar-EG"/>
        </w:rPr>
        <w:t>وست</w:t>
      </w:r>
      <w:r w:rsidR="008A00AA">
        <w:rPr>
          <w:rFonts w:hint="cs"/>
          <w:i/>
          <w:iCs/>
          <w:rtl/>
          <w:lang w:bidi="ar-EG"/>
        </w:rPr>
        <w:t>ُ</w:t>
      </w:r>
      <w:r w:rsidRPr="00047CCB">
        <w:rPr>
          <w:rFonts w:hint="cs"/>
          <w:i/>
          <w:iCs/>
          <w:rtl/>
          <w:lang w:bidi="ar-EG"/>
        </w:rPr>
        <w:t>تاح الترجمة الشفوية إلى اللغات الرسمية للاتحاد خلال الاجتماعات.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B1" w:rsidRDefault="00F735B1" w:rsidP="006C3242">
      <w:pPr>
        <w:spacing w:before="0" w:line="240" w:lineRule="auto"/>
      </w:pPr>
      <w:r>
        <w:separator/>
      </w:r>
    </w:p>
  </w:endnote>
  <w:endnote w:type="continuationSeparator" w:id="0">
    <w:p w:rsidR="00F735B1" w:rsidRDefault="00F735B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C93E8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5D03">
      <w:rPr>
        <w:rFonts w:ascii="Calibri" w:hAnsi="Calibri" w:cs="Calibri"/>
        <w:noProof/>
        <w:sz w:val="16"/>
        <w:szCs w:val="16"/>
        <w:lang w:val="fr-FR"/>
      </w:rPr>
      <w:t>P:\ARA\SG\CONSEIL\C19\000\086A.docx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C93E83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C93E83">
      <w:rPr>
        <w:rFonts w:ascii="Calibri" w:hAnsi="Calibri" w:cs="Calibri"/>
        <w:sz w:val="16"/>
        <w:szCs w:val="16"/>
        <w:lang w:val="fr-FR"/>
      </w:rPr>
      <w:t>456059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CE0F63">
      <w:rPr>
        <w:rFonts w:ascii="Calibri" w:hAnsi="Calibri" w:cs="Calibri"/>
        <w:noProof/>
        <w:sz w:val="16"/>
        <w:szCs w:val="16"/>
        <w:lang w:val="fr-FR"/>
      </w:rPr>
      <w:t>07.06.19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5D03">
      <w:rPr>
        <w:rFonts w:ascii="Calibri" w:hAnsi="Calibri" w:cs="Calibri"/>
        <w:noProof/>
        <w:sz w:val="16"/>
        <w:szCs w:val="16"/>
        <w:lang w:val="fr-FR"/>
      </w:rPr>
      <w:t>04.06.19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B1" w:rsidRDefault="00F735B1" w:rsidP="006C3242">
      <w:pPr>
        <w:spacing w:before="0" w:line="240" w:lineRule="auto"/>
      </w:pPr>
      <w:r>
        <w:separator/>
      </w:r>
    </w:p>
  </w:footnote>
  <w:footnote w:type="continuationSeparator" w:id="0">
    <w:p w:rsidR="00F735B1" w:rsidRDefault="00F735B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CE0F63" w:rsidP="00C93E83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C93E83">
          <w:rPr>
            <w:rFonts w:cs="Calibri"/>
            <w:noProof/>
            <w:sz w:val="20"/>
            <w:szCs w:val="20"/>
          </w:rPr>
          <w:t>86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B1"/>
    <w:rsid w:val="000454E2"/>
    <w:rsid w:val="00047CCB"/>
    <w:rsid w:val="000666D2"/>
    <w:rsid w:val="00090574"/>
    <w:rsid w:val="000A035C"/>
    <w:rsid w:val="000C1C0E"/>
    <w:rsid w:val="000C548A"/>
    <w:rsid w:val="00193AF8"/>
    <w:rsid w:val="001C0169"/>
    <w:rsid w:val="001D1D50"/>
    <w:rsid w:val="001E446E"/>
    <w:rsid w:val="001E71EA"/>
    <w:rsid w:val="002154EE"/>
    <w:rsid w:val="002276D2"/>
    <w:rsid w:val="0023283D"/>
    <w:rsid w:val="00271C43"/>
    <w:rsid w:val="0028147E"/>
    <w:rsid w:val="00290728"/>
    <w:rsid w:val="002978F4"/>
    <w:rsid w:val="002B028D"/>
    <w:rsid w:val="002B223F"/>
    <w:rsid w:val="002E6541"/>
    <w:rsid w:val="00300E07"/>
    <w:rsid w:val="00334924"/>
    <w:rsid w:val="003409BC"/>
    <w:rsid w:val="00357185"/>
    <w:rsid w:val="00383829"/>
    <w:rsid w:val="003A2FAC"/>
    <w:rsid w:val="003C350A"/>
    <w:rsid w:val="003F4B29"/>
    <w:rsid w:val="00400D05"/>
    <w:rsid w:val="0042686F"/>
    <w:rsid w:val="004317D8"/>
    <w:rsid w:val="00434183"/>
    <w:rsid w:val="00437218"/>
    <w:rsid w:val="00443869"/>
    <w:rsid w:val="00447F32"/>
    <w:rsid w:val="004915B4"/>
    <w:rsid w:val="004E11DC"/>
    <w:rsid w:val="005321E6"/>
    <w:rsid w:val="005409AC"/>
    <w:rsid w:val="0055516A"/>
    <w:rsid w:val="0058491B"/>
    <w:rsid w:val="00592EA5"/>
    <w:rsid w:val="005A3170"/>
    <w:rsid w:val="005A4194"/>
    <w:rsid w:val="005F0794"/>
    <w:rsid w:val="00677396"/>
    <w:rsid w:val="0069200F"/>
    <w:rsid w:val="006A65CB"/>
    <w:rsid w:val="006C3242"/>
    <w:rsid w:val="006C7CC0"/>
    <w:rsid w:val="006D63EE"/>
    <w:rsid w:val="006F63F7"/>
    <w:rsid w:val="007025C7"/>
    <w:rsid w:val="00706D7A"/>
    <w:rsid w:val="00722F0D"/>
    <w:rsid w:val="0074420E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52663"/>
    <w:rsid w:val="00880018"/>
    <w:rsid w:val="00890D44"/>
    <w:rsid w:val="008A00AA"/>
    <w:rsid w:val="00923B0C"/>
    <w:rsid w:val="0094021C"/>
    <w:rsid w:val="00952F86"/>
    <w:rsid w:val="00982B28"/>
    <w:rsid w:val="00985D03"/>
    <w:rsid w:val="009A2305"/>
    <w:rsid w:val="009D313F"/>
    <w:rsid w:val="00A47A5A"/>
    <w:rsid w:val="00A6683B"/>
    <w:rsid w:val="00A97F94"/>
    <w:rsid w:val="00AA4C0B"/>
    <w:rsid w:val="00AF0015"/>
    <w:rsid w:val="00B05BC8"/>
    <w:rsid w:val="00B64B47"/>
    <w:rsid w:val="00BA3D95"/>
    <w:rsid w:val="00C002DE"/>
    <w:rsid w:val="00C16D78"/>
    <w:rsid w:val="00C53BF8"/>
    <w:rsid w:val="00C66157"/>
    <w:rsid w:val="00C674FE"/>
    <w:rsid w:val="00C67501"/>
    <w:rsid w:val="00C75633"/>
    <w:rsid w:val="00C93E83"/>
    <w:rsid w:val="00CE0F63"/>
    <w:rsid w:val="00CE2EE1"/>
    <w:rsid w:val="00CE3349"/>
    <w:rsid w:val="00CF3FFD"/>
    <w:rsid w:val="00D10CCF"/>
    <w:rsid w:val="00D77D0F"/>
    <w:rsid w:val="00D94094"/>
    <w:rsid w:val="00DA10A5"/>
    <w:rsid w:val="00DA1CF0"/>
    <w:rsid w:val="00DA3182"/>
    <w:rsid w:val="00DC1E02"/>
    <w:rsid w:val="00DC24B4"/>
    <w:rsid w:val="00DF16DC"/>
    <w:rsid w:val="00DF7F4F"/>
    <w:rsid w:val="00E31C4B"/>
    <w:rsid w:val="00E45211"/>
    <w:rsid w:val="00E55378"/>
    <w:rsid w:val="00E92863"/>
    <w:rsid w:val="00EA64C5"/>
    <w:rsid w:val="00EB796D"/>
    <w:rsid w:val="00EC02C9"/>
    <w:rsid w:val="00F058DC"/>
    <w:rsid w:val="00F24FC4"/>
    <w:rsid w:val="00F2676C"/>
    <w:rsid w:val="00F735B1"/>
    <w:rsid w:val="00F84366"/>
    <w:rsid w:val="00F85089"/>
    <w:rsid w:val="00F94BF7"/>
    <w:rsid w:val="00FA66A7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CB1D091-CD45-4819-8AEB-98BF099F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00AA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00AA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S19-CL-C-02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RES-146-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natoor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BAC2-6AC9-4AD5-8B36-A38A8342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</Template>
  <TotalTime>0</TotalTime>
  <Pages>3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Janin, Patricia</cp:lastModifiedBy>
  <cp:revision>2</cp:revision>
  <cp:lastPrinted>2019-06-04T15:15:00Z</cp:lastPrinted>
  <dcterms:created xsi:type="dcterms:W3CDTF">2019-06-07T12:47:00Z</dcterms:created>
  <dcterms:modified xsi:type="dcterms:W3CDTF">2019-06-07T12:47:00Z</dcterms:modified>
</cp:coreProperties>
</file>