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757D12" w:rsidRPr="005C1B59">
              <w:rPr>
                <w:rFonts w:cs="Times"/>
                <w:b/>
                <w:bCs/>
                <w:szCs w:val="24"/>
                <w:lang w:val="fr-CH"/>
              </w:rPr>
              <w:t xml:space="preserve"> ADM 28</w:t>
            </w:r>
          </w:p>
        </w:tc>
        <w:tc>
          <w:tcPr>
            <w:tcW w:w="3120" w:type="dxa"/>
          </w:tcPr>
          <w:p w:rsidR="00700D1F" w:rsidRPr="00700D1F" w:rsidRDefault="00700D1F" w:rsidP="00757D12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416050">
              <w:rPr>
                <w:b/>
                <w:bCs/>
                <w:szCs w:val="24"/>
                <w:lang w:eastAsia="zh-CN"/>
              </w:rPr>
              <w:t>9</w:t>
            </w:r>
            <w:r w:rsidR="00757D12">
              <w:rPr>
                <w:b/>
                <w:bCs/>
                <w:szCs w:val="24"/>
                <w:lang w:eastAsia="zh-CN"/>
              </w:rPr>
              <w:t>0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0B169B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0B169B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765103">
              <w:rPr>
                <w:rFonts w:hint="eastAsia"/>
                <w:b/>
                <w:bCs/>
                <w:szCs w:val="24"/>
                <w:lang w:eastAsia="zh-CN"/>
              </w:rPr>
              <w:t>法文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0B169B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说明</w:t>
            </w:r>
          </w:p>
        </w:tc>
      </w:tr>
      <w:tr w:rsidR="00757D12">
        <w:trPr>
          <w:cantSplit/>
        </w:trPr>
        <w:tc>
          <w:tcPr>
            <w:tcW w:w="10031" w:type="dxa"/>
          </w:tcPr>
          <w:p w:rsidR="00757D12" w:rsidRPr="00E154BD" w:rsidRDefault="00757D12" w:rsidP="00757D12">
            <w:pPr>
              <w:pStyle w:val="Title1"/>
              <w:rPr>
                <w:lang w:eastAsia="zh-CN"/>
              </w:rPr>
            </w:pPr>
            <w:r>
              <w:rPr>
                <w:lang w:eastAsia="zh-CN"/>
              </w:rPr>
              <w:t>科特迪瓦共和国</w:t>
            </w:r>
            <w:r w:rsidRPr="00461BF4">
              <w:rPr>
                <w:rFonts w:ascii="Times New Roman" w:hAnsi="Times New Roman" w:hint="eastAsia"/>
                <w:lang w:val="fr-CH" w:eastAsia="zh-CN"/>
              </w:rPr>
              <w:t>提交的文稿</w:t>
            </w:r>
          </w:p>
        </w:tc>
      </w:tr>
      <w:tr w:rsidR="00757D12">
        <w:trPr>
          <w:cantSplit/>
        </w:trPr>
        <w:tc>
          <w:tcPr>
            <w:tcW w:w="10031" w:type="dxa"/>
          </w:tcPr>
          <w:p w:rsidR="00757D12" w:rsidRPr="00E154BD" w:rsidRDefault="00757D12" w:rsidP="00757D12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落实</w:t>
            </w:r>
            <w:r>
              <w:rPr>
                <w:rFonts w:hint="eastAsia"/>
                <w:lang w:eastAsia="zh-CN"/>
              </w:rPr>
              <w:t>2018</w:t>
            </w:r>
            <w:r>
              <w:rPr>
                <w:rFonts w:hint="eastAsia"/>
                <w:lang w:eastAsia="zh-CN"/>
              </w:rPr>
              <w:t>年全权代表大会（</w:t>
            </w:r>
            <w:r w:rsidRPr="00E154BD">
              <w:rPr>
                <w:lang w:eastAsia="zh-CN"/>
              </w:rPr>
              <w:t>PP-18</w:t>
            </w:r>
            <w:r>
              <w:rPr>
                <w:rFonts w:hint="eastAsia"/>
                <w:lang w:eastAsia="zh-CN"/>
              </w:rPr>
              <w:t>）有关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中小企业（</w:t>
            </w: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ME</w:t>
            </w:r>
            <w:r>
              <w:rPr>
                <w:rFonts w:hint="eastAsia"/>
                <w:lang w:eastAsia="zh-CN"/>
              </w:rPr>
              <w:t>）参与国际电联工作的新决议</w:t>
            </w:r>
          </w:p>
        </w:tc>
      </w:tr>
    </w:tbl>
    <w:p w:rsidR="0093362E" w:rsidRDefault="0093362E" w:rsidP="00001B77">
      <w:pPr>
        <w:rPr>
          <w:lang w:eastAsia="zh-CN"/>
        </w:rPr>
      </w:pPr>
    </w:p>
    <w:p w:rsidR="000B169B" w:rsidRPr="001F44C9" w:rsidRDefault="000B169B" w:rsidP="00757D12">
      <w:pPr>
        <w:tabs>
          <w:tab w:val="clear" w:pos="1191"/>
        </w:tabs>
        <w:spacing w:before="360"/>
        <w:ind w:firstLineChars="236" w:firstLine="566"/>
        <w:jc w:val="both"/>
        <w:rPr>
          <w:szCs w:val="24"/>
          <w:lang w:eastAsia="zh-CN"/>
        </w:rPr>
      </w:pPr>
      <w:r>
        <w:rPr>
          <w:rFonts w:hint="eastAsia"/>
          <w:lang w:val="en-US" w:eastAsia="zh-CN"/>
        </w:rPr>
        <w:t>我荣幸地向各理事国转呈</w:t>
      </w:r>
      <w:r w:rsidR="001A00B3" w:rsidRPr="001A00B3">
        <w:rPr>
          <w:rFonts w:hint="eastAsia"/>
          <w:b/>
          <w:bCs/>
          <w:lang w:eastAsia="zh-CN"/>
        </w:rPr>
        <w:t>科特迪瓦共和国</w:t>
      </w:r>
      <w:r w:rsidR="001A00B3">
        <w:rPr>
          <w:rFonts w:hint="eastAsia"/>
          <w:lang w:val="en-US" w:eastAsia="zh-CN"/>
        </w:rPr>
        <w:t>提交的</w:t>
      </w:r>
      <w:r w:rsidR="00BC62DE">
        <w:rPr>
          <w:rFonts w:hint="eastAsia"/>
          <w:lang w:val="en-US" w:eastAsia="zh-CN"/>
        </w:rPr>
        <w:t>一份</w:t>
      </w:r>
      <w:r>
        <w:rPr>
          <w:rFonts w:hint="eastAsia"/>
          <w:lang w:val="en-US" w:eastAsia="zh-CN"/>
        </w:rPr>
        <w:t>文稿</w:t>
      </w:r>
      <w:r w:rsidRPr="001F44C9">
        <w:rPr>
          <w:lang w:eastAsia="zh-CN"/>
        </w:rPr>
        <w:t>。</w:t>
      </w:r>
    </w:p>
    <w:p w:rsidR="000B169B" w:rsidRPr="001F44C9" w:rsidRDefault="000B169B" w:rsidP="000B169B">
      <w:pPr>
        <w:tabs>
          <w:tab w:val="clear" w:pos="794"/>
          <w:tab w:val="clear" w:pos="1191"/>
          <w:tab w:val="clear" w:pos="1588"/>
          <w:tab w:val="clear" w:pos="1985"/>
          <w:tab w:val="left" w:pos="420"/>
          <w:tab w:val="left" w:pos="840"/>
        </w:tabs>
        <w:spacing w:before="360"/>
        <w:jc w:val="both"/>
        <w:rPr>
          <w:szCs w:val="24"/>
          <w:lang w:eastAsia="zh-CN"/>
        </w:rPr>
      </w:pPr>
    </w:p>
    <w:p w:rsidR="000B169B" w:rsidRPr="001F44C9" w:rsidRDefault="000B169B" w:rsidP="000B169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lang w:eastAsia="zh-CN"/>
        </w:rPr>
      </w:pPr>
      <w:r w:rsidRPr="001F44C9">
        <w:rPr>
          <w:lang w:eastAsia="zh-CN"/>
        </w:rPr>
        <w:tab/>
      </w:r>
      <w:r w:rsidRPr="001F44C9">
        <w:rPr>
          <w:rFonts w:hint="eastAsia"/>
          <w:lang w:eastAsia="zh-CN"/>
        </w:rPr>
        <w:t>秘书长</w:t>
      </w:r>
      <w:r w:rsidRPr="001F44C9">
        <w:rPr>
          <w:lang w:eastAsia="zh-CN"/>
        </w:rPr>
        <w:br/>
      </w:r>
      <w:r w:rsidRPr="001F44C9">
        <w:rPr>
          <w:lang w:eastAsia="zh-CN"/>
        </w:rPr>
        <w:tab/>
      </w:r>
      <w:r w:rsidRPr="001F44C9">
        <w:rPr>
          <w:rFonts w:hint="eastAsia"/>
          <w:lang w:eastAsia="zh-CN"/>
        </w:rPr>
        <w:t>赵厚麟</w:t>
      </w:r>
    </w:p>
    <w:p w:rsidR="00E378D8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  <w:r>
        <w:rPr>
          <w:lang w:val="fr-FR" w:eastAsia="zh-CN"/>
        </w:rPr>
        <w:br w:type="page"/>
      </w:r>
    </w:p>
    <w:p w:rsidR="000B169B" w:rsidRPr="002A0BE2" w:rsidRDefault="001A00B3" w:rsidP="00F01E9A">
      <w:pPr>
        <w:pStyle w:val="Source"/>
        <w:rPr>
          <w:highlight w:val="lightGray"/>
          <w:lang w:eastAsia="zh-CN"/>
        </w:rPr>
      </w:pPr>
      <w:r>
        <w:rPr>
          <w:rFonts w:hint="eastAsia"/>
          <w:szCs w:val="28"/>
          <w:lang w:eastAsia="zh-CN"/>
        </w:rPr>
        <w:lastRenderedPageBreak/>
        <w:t>科特迪瓦共和国</w:t>
      </w:r>
      <w:r w:rsidR="000B169B">
        <w:rPr>
          <w:rFonts w:hint="eastAsia"/>
          <w:lang w:eastAsia="zh-CN"/>
        </w:rPr>
        <w:t>的文稿</w:t>
      </w:r>
    </w:p>
    <w:p w:rsidR="000321DB" w:rsidRPr="00B4413E" w:rsidRDefault="000321DB" w:rsidP="000321DB">
      <w:pPr>
        <w:pStyle w:val="Title1"/>
        <w:rPr>
          <w:lang w:eastAsia="zh-CN"/>
        </w:rPr>
      </w:pPr>
      <w:r w:rsidRPr="00B4413E">
        <w:rPr>
          <w:rFonts w:hint="eastAsia"/>
          <w:caps w:val="0"/>
          <w:lang w:eastAsia="zh-CN"/>
        </w:rPr>
        <w:t>落实</w:t>
      </w:r>
      <w:r w:rsidRPr="00B4413E">
        <w:rPr>
          <w:rFonts w:hint="eastAsia"/>
          <w:caps w:val="0"/>
          <w:lang w:eastAsia="zh-CN"/>
        </w:rPr>
        <w:t>2018</w:t>
      </w:r>
      <w:r w:rsidRPr="00B4413E">
        <w:rPr>
          <w:rFonts w:hint="eastAsia"/>
          <w:caps w:val="0"/>
          <w:lang w:eastAsia="zh-CN"/>
        </w:rPr>
        <w:t>年全权代表大会有关中小企业参与国际电联工作的新决议</w:t>
      </w:r>
    </w:p>
    <w:p w:rsidR="000321DB" w:rsidRPr="00E154BD" w:rsidRDefault="000321DB" w:rsidP="000321DB">
      <w:pPr>
        <w:rPr>
          <w:lang w:eastAsia="zh-CN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321DB" w:rsidRPr="00E154BD" w:rsidTr="00F54214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1DB" w:rsidRPr="00E73314" w:rsidRDefault="000321DB" w:rsidP="00F54214">
            <w:pPr>
              <w:pStyle w:val="Headingb"/>
              <w:rPr>
                <w:szCs w:val="24"/>
                <w:lang w:eastAsia="zh-CN"/>
              </w:rPr>
            </w:pPr>
            <w:r w:rsidRPr="00E73314">
              <w:rPr>
                <w:rFonts w:ascii="Times New Roman" w:hAnsi="Times New Roman" w:hint="eastAsia"/>
                <w:szCs w:val="24"/>
                <w:lang w:val="fr-CH" w:eastAsia="zh-CN"/>
              </w:rPr>
              <w:t>概要</w:t>
            </w:r>
          </w:p>
          <w:p w:rsidR="000321DB" w:rsidRPr="00E73314" w:rsidRDefault="000321DB" w:rsidP="00E73314">
            <w:pPr>
              <w:ind w:firstLineChars="200" w:firstLine="480"/>
              <w:rPr>
                <w:szCs w:val="24"/>
                <w:lang w:eastAsia="zh-CN"/>
              </w:rPr>
            </w:pPr>
            <w:r w:rsidRPr="00E73314">
              <w:rPr>
                <w:rFonts w:hint="eastAsia"/>
                <w:szCs w:val="24"/>
                <w:lang w:eastAsia="zh-CN"/>
              </w:rPr>
              <w:t>本文稿介绍了科特迪瓦对落实</w:t>
            </w:r>
            <w:r w:rsidRPr="00E73314">
              <w:rPr>
                <w:rFonts w:hint="eastAsia"/>
                <w:szCs w:val="24"/>
                <w:lang w:eastAsia="zh-CN"/>
              </w:rPr>
              <w:t>2018</w:t>
            </w:r>
            <w:r w:rsidRPr="00E73314">
              <w:rPr>
                <w:rFonts w:hint="eastAsia"/>
                <w:szCs w:val="24"/>
                <w:lang w:eastAsia="zh-CN"/>
              </w:rPr>
              <w:t>年全权代表大会有关中小企业参与国际电联工作的新决议的意见</w:t>
            </w:r>
            <w:r w:rsidR="00E73314">
              <w:rPr>
                <w:rFonts w:hint="eastAsia"/>
                <w:szCs w:val="24"/>
                <w:lang w:eastAsia="zh-CN"/>
              </w:rPr>
              <w:t>。</w:t>
            </w:r>
          </w:p>
          <w:p w:rsidR="000321DB" w:rsidRPr="00E73314" w:rsidRDefault="000321DB" w:rsidP="00E73314">
            <w:pPr>
              <w:ind w:firstLineChars="200" w:firstLine="480"/>
              <w:rPr>
                <w:szCs w:val="24"/>
                <w:lang w:eastAsia="zh-CN"/>
              </w:rPr>
            </w:pPr>
            <w:r w:rsidRPr="00E73314">
              <w:rPr>
                <w:rFonts w:hint="eastAsia"/>
                <w:szCs w:val="24"/>
                <w:lang w:eastAsia="zh-CN"/>
              </w:rPr>
              <w:t>这些意见主要涉及提交审议的报告草案中的建议</w:t>
            </w:r>
            <w:r w:rsidRPr="00E73314">
              <w:rPr>
                <w:b/>
                <w:bCs/>
                <w:szCs w:val="24"/>
                <w:lang w:eastAsia="zh-CN"/>
              </w:rPr>
              <w:t>3.2</w:t>
            </w:r>
            <w:r w:rsidRPr="00E73314">
              <w:rPr>
                <w:rFonts w:hint="eastAsia"/>
                <w:szCs w:val="24"/>
                <w:lang w:eastAsia="zh-CN"/>
              </w:rPr>
              <w:t>、</w:t>
            </w:r>
            <w:r w:rsidRPr="00E73314">
              <w:rPr>
                <w:b/>
                <w:bCs/>
                <w:szCs w:val="24"/>
                <w:lang w:eastAsia="zh-CN"/>
              </w:rPr>
              <w:t>3.5</w:t>
            </w:r>
            <w:r w:rsidRPr="00E73314">
              <w:rPr>
                <w:rFonts w:hint="eastAsia"/>
                <w:b/>
                <w:bCs/>
                <w:szCs w:val="24"/>
                <w:lang w:eastAsia="zh-CN"/>
              </w:rPr>
              <w:t>、</w:t>
            </w:r>
            <w:r w:rsidRPr="00E73314">
              <w:rPr>
                <w:b/>
                <w:bCs/>
                <w:szCs w:val="24"/>
                <w:lang w:eastAsia="zh-CN"/>
              </w:rPr>
              <w:t>4.5</w:t>
            </w:r>
            <w:r w:rsidRPr="00E73314">
              <w:rPr>
                <w:rFonts w:hint="eastAsia"/>
                <w:b/>
                <w:bCs/>
                <w:szCs w:val="24"/>
                <w:lang w:eastAsia="zh-CN"/>
              </w:rPr>
              <w:t>、</w:t>
            </w:r>
            <w:r w:rsidRPr="00E73314">
              <w:rPr>
                <w:b/>
                <w:bCs/>
                <w:szCs w:val="24"/>
                <w:lang w:eastAsia="zh-CN"/>
              </w:rPr>
              <w:t>4.6</w:t>
            </w:r>
            <w:r w:rsidRPr="00E73314">
              <w:rPr>
                <w:rFonts w:hint="eastAsia"/>
                <w:szCs w:val="24"/>
                <w:lang w:eastAsia="zh-CN"/>
              </w:rPr>
              <w:t>和</w:t>
            </w:r>
            <w:r w:rsidRPr="00E73314">
              <w:rPr>
                <w:b/>
                <w:bCs/>
                <w:szCs w:val="24"/>
                <w:lang w:eastAsia="zh-CN"/>
              </w:rPr>
              <w:t>5.3</w:t>
            </w:r>
            <w:r w:rsidRPr="00E73314">
              <w:rPr>
                <w:rFonts w:hint="eastAsia"/>
                <w:szCs w:val="24"/>
                <w:lang w:eastAsia="zh-CN"/>
              </w:rPr>
              <w:t>。</w:t>
            </w:r>
          </w:p>
          <w:p w:rsidR="000321DB" w:rsidRPr="00E73314" w:rsidRDefault="000321DB" w:rsidP="00F54214">
            <w:pPr>
              <w:pStyle w:val="Headingb"/>
              <w:rPr>
                <w:szCs w:val="24"/>
                <w:lang w:eastAsia="zh-CN"/>
              </w:rPr>
            </w:pPr>
            <w:r w:rsidRPr="00E73314">
              <w:rPr>
                <w:rFonts w:ascii="Times New Roman" w:hAnsi="Times New Roman" w:hint="eastAsia"/>
                <w:szCs w:val="24"/>
                <w:lang w:val="fr-CH" w:eastAsia="zh-CN"/>
              </w:rPr>
              <w:t>需采取行动</w:t>
            </w:r>
          </w:p>
          <w:p w:rsidR="000321DB" w:rsidRPr="00E73314" w:rsidRDefault="000321DB" w:rsidP="00E73314">
            <w:pPr>
              <w:ind w:firstLineChars="200" w:firstLine="480"/>
              <w:rPr>
                <w:szCs w:val="24"/>
                <w:lang w:eastAsia="zh-CN"/>
              </w:rPr>
            </w:pPr>
            <w:r w:rsidRPr="00E73314">
              <w:rPr>
                <w:rFonts w:hint="eastAsia"/>
                <w:szCs w:val="24"/>
                <w:lang w:eastAsia="zh-CN"/>
              </w:rPr>
              <w:t>除建议</w:t>
            </w:r>
            <w:r w:rsidRPr="00E73314">
              <w:rPr>
                <w:rFonts w:hint="eastAsia"/>
                <w:szCs w:val="24"/>
                <w:lang w:eastAsia="zh-CN"/>
              </w:rPr>
              <w:t>5.3</w:t>
            </w:r>
            <w:r w:rsidRPr="00E73314">
              <w:rPr>
                <w:rFonts w:hint="eastAsia"/>
                <w:szCs w:val="24"/>
                <w:lang w:eastAsia="zh-CN"/>
              </w:rPr>
              <w:t>外，科特迪瓦批准了向理事会提出的所有建议。该国针对此段提出了其它建议。</w:t>
            </w:r>
          </w:p>
          <w:p w:rsidR="000321DB" w:rsidRPr="00E73314" w:rsidRDefault="000321DB" w:rsidP="00F54214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Cs w:val="24"/>
                <w:lang w:eastAsia="zh-CN"/>
              </w:rPr>
            </w:pPr>
            <w:r w:rsidRPr="00E73314">
              <w:rPr>
                <w:rFonts w:ascii="Calibri" w:hAnsi="Calibri"/>
                <w:caps w:val="0"/>
                <w:szCs w:val="24"/>
                <w:lang w:eastAsia="zh-CN"/>
              </w:rPr>
              <w:t>____________</w:t>
            </w:r>
          </w:p>
          <w:p w:rsidR="000321DB" w:rsidRPr="00E73314" w:rsidRDefault="000321DB" w:rsidP="00F54214">
            <w:pPr>
              <w:pStyle w:val="Headingb"/>
              <w:rPr>
                <w:szCs w:val="24"/>
                <w:lang w:eastAsia="zh-CN"/>
              </w:rPr>
            </w:pPr>
            <w:r w:rsidRPr="00E73314">
              <w:rPr>
                <w:rFonts w:ascii="Times New Roman" w:hAnsi="Times New Roman" w:hint="eastAsia"/>
                <w:szCs w:val="24"/>
                <w:lang w:val="fr-CH" w:eastAsia="zh-CN"/>
              </w:rPr>
              <w:t>参考文件</w:t>
            </w:r>
          </w:p>
          <w:p w:rsidR="000321DB" w:rsidRPr="00E73314" w:rsidRDefault="00833091" w:rsidP="00F54214">
            <w:pPr>
              <w:spacing w:after="120"/>
              <w:rPr>
                <w:rFonts w:ascii="STKaiti" w:eastAsia="STKaiti" w:hAnsi="STKaiti"/>
                <w:szCs w:val="24"/>
                <w:lang w:val="fr-CH" w:eastAsia="zh-CN"/>
              </w:rPr>
            </w:pPr>
            <w:hyperlink r:id="rId9" w:history="1">
              <w:r w:rsidR="000321DB" w:rsidRPr="00833091">
                <w:rPr>
                  <w:rStyle w:val="Hyperlink"/>
                  <w:rFonts w:ascii="STKaiti" w:eastAsia="STKaiti" w:hAnsi="STKaiti"/>
                  <w:szCs w:val="24"/>
                  <w:lang w:val="fr-CH" w:eastAsia="zh-CN"/>
                </w:rPr>
                <w:t>第209</w:t>
              </w:r>
              <w:r w:rsidR="000321DB" w:rsidRPr="00833091">
                <w:rPr>
                  <w:rStyle w:val="Hyperlink"/>
                  <w:rFonts w:ascii="STKaiti" w:eastAsia="STKaiti" w:hAnsi="STKaiti" w:hint="eastAsia"/>
                  <w:szCs w:val="24"/>
                  <w:lang w:val="fr-CH" w:eastAsia="zh-CN"/>
                </w:rPr>
                <w:t>号</w:t>
              </w:r>
            </w:hyperlink>
            <w:bookmarkStart w:id="2" w:name="_GoBack"/>
            <w:bookmarkEnd w:id="2"/>
            <w:r w:rsidR="000321DB" w:rsidRPr="00E73314">
              <w:rPr>
                <w:rStyle w:val="Hyperlink"/>
                <w:rFonts w:ascii="STKaiti" w:eastAsia="STKaiti" w:hAnsi="STKaiti" w:hint="eastAsia"/>
                <w:szCs w:val="24"/>
                <w:lang w:val="fr-CH" w:eastAsia="zh-CN"/>
              </w:rPr>
              <w:t>决议</w:t>
            </w:r>
            <w:r w:rsidR="000321DB" w:rsidRPr="00E73314">
              <w:rPr>
                <w:rFonts w:ascii="STKaiti" w:eastAsia="STKaiti" w:hAnsi="STKaiti" w:hint="eastAsia"/>
                <w:szCs w:val="24"/>
                <w:lang w:eastAsia="zh-CN"/>
              </w:rPr>
              <w:t>；</w:t>
            </w:r>
            <w:hyperlink r:id="rId10" w:history="1">
              <w:r w:rsidR="000321DB" w:rsidRPr="00E73314">
                <w:rPr>
                  <w:rStyle w:val="Hyperlink"/>
                  <w:rFonts w:ascii="STKaiti" w:eastAsia="STKaiti" w:hAnsi="STKaiti"/>
                  <w:szCs w:val="24"/>
                  <w:lang w:val="fr-CH" w:eastAsia="zh-CN"/>
                </w:rPr>
                <w:t>C19/56</w:t>
              </w:r>
            </w:hyperlink>
            <w:r w:rsidR="000321DB" w:rsidRPr="00E73314">
              <w:rPr>
                <w:rStyle w:val="Hyperlink"/>
                <w:rFonts w:ascii="STKaiti" w:eastAsia="STKaiti" w:hAnsi="STKaiti" w:hint="eastAsia"/>
                <w:szCs w:val="24"/>
                <w:lang w:val="fr-CH" w:eastAsia="zh-CN"/>
              </w:rPr>
              <w:t>号文件</w:t>
            </w:r>
          </w:p>
          <w:p w:rsidR="000321DB" w:rsidRPr="00E154BD" w:rsidRDefault="000321DB" w:rsidP="00F54214">
            <w:pPr>
              <w:rPr>
                <w:i/>
                <w:iCs/>
                <w:lang w:eastAsia="zh-CN"/>
              </w:rPr>
            </w:pPr>
          </w:p>
        </w:tc>
      </w:tr>
    </w:tbl>
    <w:p w:rsidR="000321DB" w:rsidRPr="00E154BD" w:rsidRDefault="000321DB" w:rsidP="00E73314">
      <w:pPr>
        <w:pStyle w:val="Heading1"/>
        <w:rPr>
          <w:lang w:eastAsia="zh-CN"/>
        </w:rPr>
      </w:pPr>
      <w:bookmarkStart w:id="3" w:name="dstart"/>
      <w:bookmarkStart w:id="4" w:name="dbreak"/>
      <w:bookmarkEnd w:id="3"/>
      <w:bookmarkEnd w:id="4"/>
      <w:r w:rsidRPr="00E154BD">
        <w:rPr>
          <w:lang w:eastAsia="zh-CN"/>
        </w:rPr>
        <w:t>1</w:t>
      </w:r>
      <w:r w:rsidRPr="00E154BD">
        <w:rPr>
          <w:lang w:eastAsia="zh-CN"/>
        </w:rPr>
        <w:tab/>
      </w:r>
      <w:r>
        <w:rPr>
          <w:rFonts w:hint="eastAsia"/>
          <w:lang w:eastAsia="zh-CN"/>
        </w:rPr>
        <w:t>讨论</w:t>
      </w:r>
    </w:p>
    <w:p w:rsidR="000321DB" w:rsidRPr="00E154BD" w:rsidRDefault="000321DB" w:rsidP="00E73314">
      <w:pPr>
        <w:ind w:firstLineChars="200" w:firstLine="480"/>
        <w:rPr>
          <w:lang w:eastAsia="zh-CN"/>
        </w:rPr>
      </w:pPr>
      <w:r w:rsidRPr="00A67B17">
        <w:rPr>
          <w:rFonts w:hint="eastAsia"/>
          <w:lang w:eastAsia="zh-CN"/>
        </w:rPr>
        <w:t>科特迪瓦注意到关于中小企业参与国际电联</w:t>
      </w:r>
      <w:r>
        <w:rPr>
          <w:rFonts w:hint="eastAsia"/>
          <w:lang w:eastAsia="zh-CN"/>
        </w:rPr>
        <w:t>活动</w:t>
      </w:r>
      <w:r w:rsidRPr="00A67B17">
        <w:rPr>
          <w:rFonts w:hint="eastAsia"/>
          <w:lang w:eastAsia="zh-CN"/>
        </w:rPr>
        <w:t>的第</w:t>
      </w:r>
      <w:r w:rsidRPr="00A67B17">
        <w:rPr>
          <w:rFonts w:hint="eastAsia"/>
          <w:lang w:eastAsia="zh-CN"/>
        </w:rPr>
        <w:t>209</w:t>
      </w:r>
      <w:r w:rsidRPr="00A67B17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的</w:t>
      </w:r>
      <w:r w:rsidRPr="00A67B17">
        <w:rPr>
          <w:rFonts w:hint="eastAsia"/>
          <w:lang w:eastAsia="zh-CN"/>
        </w:rPr>
        <w:t>执行情况报告。</w:t>
      </w:r>
    </w:p>
    <w:p w:rsidR="000321DB" w:rsidRPr="00E154BD" w:rsidRDefault="000321DB" w:rsidP="00E73314">
      <w:pPr>
        <w:ind w:firstLineChars="200" w:firstLine="480"/>
        <w:rPr>
          <w:lang w:eastAsia="zh-CN"/>
        </w:rPr>
      </w:pPr>
      <w:r w:rsidRPr="00A67B17">
        <w:rPr>
          <w:rFonts w:hint="eastAsia"/>
          <w:lang w:eastAsia="zh-CN"/>
        </w:rPr>
        <w:t>科特迪瓦特别注意到，很难确定所有国家</w:t>
      </w:r>
      <w:r>
        <w:rPr>
          <w:rFonts w:hint="eastAsia"/>
          <w:lang w:eastAsia="zh-CN"/>
        </w:rPr>
        <w:t>均</w:t>
      </w:r>
      <w:r w:rsidRPr="00A67B17">
        <w:rPr>
          <w:rFonts w:hint="eastAsia"/>
          <w:lang w:eastAsia="zh-CN"/>
        </w:rPr>
        <w:t>能</w:t>
      </w:r>
      <w:r>
        <w:rPr>
          <w:rFonts w:hint="eastAsia"/>
          <w:lang w:eastAsia="zh-CN"/>
        </w:rPr>
        <w:t>达成</w:t>
      </w:r>
      <w:r w:rsidR="00E73314">
        <w:rPr>
          <w:rFonts w:hint="eastAsia"/>
          <w:lang w:eastAsia="zh-CN"/>
        </w:rPr>
        <w:t>一致</w:t>
      </w:r>
      <w:r>
        <w:rPr>
          <w:rFonts w:hint="eastAsia"/>
          <w:lang w:eastAsia="zh-CN"/>
        </w:rPr>
        <w:t>的</w:t>
      </w:r>
      <w:r w:rsidRPr="00A67B17">
        <w:rPr>
          <w:rFonts w:hint="eastAsia"/>
          <w:lang w:eastAsia="zh-CN"/>
        </w:rPr>
        <w:t>最</w:t>
      </w:r>
      <w:r>
        <w:rPr>
          <w:rFonts w:hint="eastAsia"/>
          <w:lang w:eastAsia="zh-CN"/>
        </w:rPr>
        <w:t>高</w:t>
      </w:r>
      <w:r w:rsidRPr="00A67B17">
        <w:rPr>
          <w:rFonts w:hint="eastAsia"/>
          <w:lang w:eastAsia="zh-CN"/>
        </w:rPr>
        <w:t>收入。</w:t>
      </w:r>
    </w:p>
    <w:p w:rsidR="000321DB" w:rsidRPr="00E154BD" w:rsidRDefault="000321DB" w:rsidP="00E73314">
      <w:pPr>
        <w:ind w:firstLineChars="200" w:firstLine="480"/>
        <w:rPr>
          <w:lang w:eastAsia="zh-CN"/>
        </w:rPr>
      </w:pPr>
      <w:r w:rsidRPr="00A67B17">
        <w:rPr>
          <w:rFonts w:hint="eastAsia"/>
          <w:lang w:eastAsia="zh-CN"/>
        </w:rPr>
        <w:t>这项决议的主要挑战之一是促进发展中国家中小企业的参与。</w:t>
      </w:r>
      <w:r>
        <w:rPr>
          <w:rFonts w:hint="eastAsia"/>
          <w:lang w:eastAsia="zh-CN"/>
        </w:rPr>
        <w:t>中小企业在弥合发达国家与</w:t>
      </w:r>
      <w:r w:rsidRPr="00A67B17">
        <w:rPr>
          <w:rFonts w:hint="eastAsia"/>
          <w:lang w:eastAsia="zh-CN"/>
        </w:rPr>
        <w:t>发展中国家间的数字鸿沟方面可发挥关键作用，且是实现可持续发展目标的主要驱动力。</w:t>
      </w:r>
    </w:p>
    <w:p w:rsidR="000321DB" w:rsidRPr="00E154BD" w:rsidRDefault="000321DB" w:rsidP="00E73314">
      <w:pPr>
        <w:ind w:firstLineChars="200" w:firstLine="480"/>
        <w:rPr>
          <w:lang w:eastAsia="zh-CN"/>
        </w:rPr>
      </w:pPr>
      <w:r w:rsidRPr="003D2C1C">
        <w:rPr>
          <w:rFonts w:hint="eastAsia"/>
          <w:lang w:eastAsia="zh-CN"/>
        </w:rPr>
        <w:t>有鉴于此，我们批准向理</w:t>
      </w:r>
      <w:r>
        <w:rPr>
          <w:rFonts w:hint="eastAsia"/>
          <w:lang w:eastAsia="zh-CN"/>
        </w:rPr>
        <w:t>事</w:t>
      </w:r>
      <w:r w:rsidRPr="003D2C1C">
        <w:rPr>
          <w:rFonts w:hint="eastAsia"/>
          <w:lang w:eastAsia="zh-CN"/>
        </w:rPr>
        <w:t>会提出的所有建议，但</w:t>
      </w:r>
      <w:r>
        <w:rPr>
          <w:rFonts w:hint="eastAsia"/>
          <w:lang w:eastAsia="zh-CN"/>
        </w:rPr>
        <w:t>建议</w:t>
      </w:r>
      <w:r w:rsidRPr="003D2C1C">
        <w:rPr>
          <w:rFonts w:hint="eastAsia"/>
          <w:lang w:eastAsia="zh-CN"/>
        </w:rPr>
        <w:t>5.3</w:t>
      </w:r>
      <w:r w:rsidRPr="003D2C1C">
        <w:rPr>
          <w:rFonts w:hint="eastAsia"/>
          <w:lang w:eastAsia="zh-CN"/>
        </w:rPr>
        <w:t>除外，</w:t>
      </w:r>
      <w:r>
        <w:rPr>
          <w:rFonts w:hint="eastAsia"/>
          <w:lang w:eastAsia="zh-CN"/>
        </w:rPr>
        <w:t>因为</w:t>
      </w:r>
      <w:r w:rsidRPr="00A67B17">
        <w:rPr>
          <w:rFonts w:hint="eastAsia"/>
          <w:lang w:eastAsia="zh-CN"/>
        </w:rPr>
        <w:t>科特迪瓦</w:t>
      </w:r>
      <w:r>
        <w:rPr>
          <w:rFonts w:hint="eastAsia"/>
          <w:lang w:eastAsia="zh-CN"/>
        </w:rPr>
        <w:t>对此提出了其它建议</w:t>
      </w:r>
      <w:r w:rsidRPr="003D2C1C">
        <w:rPr>
          <w:rFonts w:hint="eastAsia"/>
          <w:lang w:eastAsia="zh-CN"/>
        </w:rPr>
        <w:t>。</w:t>
      </w:r>
    </w:p>
    <w:p w:rsidR="000321DB" w:rsidRPr="00E154BD" w:rsidRDefault="000321DB" w:rsidP="000321DB">
      <w:pPr>
        <w:pStyle w:val="Heading2"/>
        <w:rPr>
          <w:lang w:eastAsia="zh-CN"/>
        </w:rPr>
      </w:pPr>
      <w:r w:rsidRPr="00E154BD">
        <w:rPr>
          <w:lang w:eastAsia="zh-CN"/>
        </w:rPr>
        <w:lastRenderedPageBreak/>
        <w:t>1.1</w:t>
      </w:r>
      <w:r w:rsidRPr="00E154BD">
        <w:rPr>
          <w:lang w:eastAsia="zh-CN"/>
        </w:rPr>
        <w:tab/>
      </w:r>
      <w:r>
        <w:rPr>
          <w:rFonts w:hint="eastAsia"/>
          <w:lang w:eastAsia="zh-CN"/>
        </w:rPr>
        <w:t>建议</w:t>
      </w:r>
      <w:r w:rsidRPr="00E154BD">
        <w:rPr>
          <w:lang w:eastAsia="zh-CN"/>
        </w:rPr>
        <w:t>5.3</w:t>
      </w:r>
    </w:p>
    <w:p w:rsidR="000321DB" w:rsidRPr="00E154BD" w:rsidRDefault="000321DB" w:rsidP="00E73314">
      <w:pPr>
        <w:ind w:firstLineChars="200" w:firstLine="480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此报告的第</w:t>
      </w:r>
      <w:r w:rsidRPr="00E154BD">
        <w:rPr>
          <w:lang w:eastAsia="zh-CN"/>
        </w:rPr>
        <w:t>5.3</w:t>
      </w:r>
      <w:r>
        <w:rPr>
          <w:rFonts w:hint="eastAsia"/>
          <w:lang w:eastAsia="zh-CN"/>
        </w:rPr>
        <w:t>段建议“</w:t>
      </w:r>
      <w:r w:rsidRPr="00A67B17">
        <w:rPr>
          <w:rFonts w:hint="eastAsia"/>
          <w:color w:val="000000"/>
          <w:lang w:eastAsia="zh-CN"/>
        </w:rPr>
        <w:t>理事会采纳</w:t>
      </w:r>
      <w:r w:rsidRPr="00A67B17">
        <w:rPr>
          <w:rFonts w:hint="eastAsia"/>
          <w:b/>
          <w:color w:val="000000"/>
          <w:lang w:eastAsia="zh-CN"/>
        </w:rPr>
        <w:t>1,500</w:t>
      </w:r>
      <w:r w:rsidRPr="00A67B17">
        <w:rPr>
          <w:rFonts w:hint="eastAsia"/>
          <w:b/>
          <w:color w:val="000000"/>
          <w:lang w:eastAsia="zh-CN"/>
        </w:rPr>
        <w:t>万瑞士法郎</w:t>
      </w:r>
      <w:r w:rsidRPr="00A67B17">
        <w:rPr>
          <w:rFonts w:hint="eastAsia"/>
          <w:color w:val="000000"/>
          <w:lang w:eastAsia="zh-CN"/>
        </w:rPr>
        <w:t>的最高年收入，以执行关于中小企业的新决议中“</w:t>
      </w:r>
      <w:r w:rsidRPr="00A67B17">
        <w:rPr>
          <w:rFonts w:ascii="STKaiti" w:eastAsia="STKaiti" w:hAnsi="STKaiti" w:hint="eastAsia"/>
          <w:color w:val="000000"/>
          <w:lang w:eastAsia="zh-CN"/>
        </w:rPr>
        <w:t>做出决议3</w:t>
      </w:r>
      <w:r w:rsidRPr="00A67B17">
        <w:rPr>
          <w:rFonts w:hint="eastAsia"/>
          <w:color w:val="000000"/>
          <w:lang w:eastAsia="zh-CN"/>
        </w:rPr>
        <w:t>”的指示。</w:t>
      </w:r>
    </w:p>
    <w:p w:rsidR="000321DB" w:rsidRPr="00E154BD" w:rsidRDefault="000321DB" w:rsidP="00583E0A">
      <w:pPr>
        <w:ind w:firstLineChars="200" w:firstLine="480"/>
        <w:rPr>
          <w:b/>
          <w:bCs/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此</w:t>
      </w:r>
      <w:r w:rsidRPr="003D2C1C">
        <w:rPr>
          <w:rFonts w:hint="eastAsia"/>
          <w:color w:val="000000"/>
          <w:lang w:eastAsia="zh-CN"/>
        </w:rPr>
        <w:t>建议</w:t>
      </w:r>
      <w:r w:rsidR="00E73314">
        <w:rPr>
          <w:rFonts w:hint="eastAsia"/>
          <w:color w:val="000000"/>
          <w:lang w:eastAsia="zh-CN"/>
        </w:rPr>
        <w:t>的分析</w:t>
      </w:r>
      <w:r>
        <w:rPr>
          <w:rFonts w:hint="eastAsia"/>
          <w:color w:val="000000"/>
          <w:lang w:eastAsia="zh-CN"/>
        </w:rPr>
        <w:t>是</w:t>
      </w:r>
      <w:r w:rsidRPr="003D2C1C">
        <w:rPr>
          <w:rFonts w:hint="eastAsia"/>
          <w:color w:val="000000"/>
          <w:lang w:eastAsia="zh-CN"/>
        </w:rPr>
        <w:t>基于对国际电联面临风险的收入</w:t>
      </w:r>
      <w:r w:rsidR="00583E0A">
        <w:rPr>
          <w:rFonts w:hint="eastAsia"/>
          <w:color w:val="000000"/>
          <w:lang w:eastAsia="zh-CN"/>
        </w:rPr>
        <w:t>。</w:t>
      </w:r>
      <w:r w:rsidRPr="003D2C1C">
        <w:rPr>
          <w:rFonts w:hint="eastAsia"/>
          <w:color w:val="000000"/>
          <w:lang w:eastAsia="zh-CN"/>
        </w:rPr>
        <w:t>该分析</w:t>
      </w:r>
      <w:r w:rsidR="00E73314">
        <w:rPr>
          <w:rFonts w:hint="eastAsia"/>
          <w:color w:val="000000"/>
          <w:lang w:eastAsia="zh-CN"/>
        </w:rPr>
        <w:t>依据</w:t>
      </w:r>
      <w:r w:rsidRPr="003D2C1C">
        <w:rPr>
          <w:rFonts w:hint="eastAsia"/>
          <w:color w:val="000000"/>
          <w:lang w:eastAsia="zh-CN"/>
        </w:rPr>
        <w:t>两个</w:t>
      </w:r>
      <w:r>
        <w:rPr>
          <w:rFonts w:hint="eastAsia"/>
          <w:color w:val="000000"/>
          <w:lang w:eastAsia="zh-CN"/>
        </w:rPr>
        <w:t>门限值</w:t>
      </w:r>
      <w:r w:rsidR="00E73314">
        <w:rPr>
          <w:rFonts w:hint="eastAsia"/>
          <w:color w:val="000000"/>
          <w:lang w:eastAsia="zh-CN"/>
        </w:rPr>
        <w:t>为</w:t>
      </w:r>
      <w:r>
        <w:rPr>
          <w:rFonts w:hint="eastAsia"/>
          <w:color w:val="000000"/>
          <w:lang w:eastAsia="zh-CN"/>
        </w:rPr>
        <w:t>：</w:t>
      </w:r>
      <w:r w:rsidRPr="003D2C1C">
        <w:rPr>
          <w:rFonts w:hint="eastAsia"/>
          <w:color w:val="000000"/>
          <w:lang w:eastAsia="zh-CN"/>
        </w:rPr>
        <w:t>1 500</w:t>
      </w:r>
      <w:r w:rsidRPr="003D2C1C">
        <w:rPr>
          <w:rFonts w:hint="eastAsia"/>
          <w:color w:val="000000"/>
          <w:lang w:eastAsia="zh-CN"/>
        </w:rPr>
        <w:t>万瑞士法郎和</w:t>
      </w:r>
      <w:r w:rsidRPr="003D2C1C">
        <w:rPr>
          <w:rFonts w:hint="eastAsia"/>
          <w:b/>
          <w:color w:val="000000"/>
          <w:lang w:eastAsia="zh-CN"/>
        </w:rPr>
        <w:t>5 000</w:t>
      </w:r>
      <w:r w:rsidRPr="003D2C1C">
        <w:rPr>
          <w:rFonts w:hint="eastAsia"/>
          <w:b/>
          <w:color w:val="000000"/>
          <w:lang w:eastAsia="zh-CN"/>
        </w:rPr>
        <w:t>万瑞士法郎</w:t>
      </w:r>
      <w:r w:rsidRPr="003D2C1C">
        <w:rPr>
          <w:rFonts w:hint="eastAsia"/>
          <w:color w:val="000000"/>
          <w:lang w:eastAsia="zh-CN"/>
        </w:rPr>
        <w:t>。</w:t>
      </w:r>
    </w:p>
    <w:p w:rsidR="000321DB" w:rsidRPr="00E154BD" w:rsidRDefault="000321DB" w:rsidP="00E73314">
      <w:pPr>
        <w:ind w:firstLineChars="200" w:firstLine="480"/>
        <w:rPr>
          <w:color w:val="000000"/>
          <w:lang w:eastAsia="zh-CN"/>
        </w:rPr>
      </w:pPr>
      <w:r w:rsidRPr="003D2C1C">
        <w:rPr>
          <w:rFonts w:hint="eastAsia"/>
          <w:color w:val="000000"/>
          <w:lang w:eastAsia="zh-CN"/>
        </w:rPr>
        <w:t>分析应以</w:t>
      </w:r>
      <w:r>
        <w:rPr>
          <w:rFonts w:hint="eastAsia"/>
          <w:color w:val="000000"/>
          <w:lang w:eastAsia="zh-CN"/>
        </w:rPr>
        <w:t>区别对待</w:t>
      </w:r>
      <w:r w:rsidRPr="003D2C1C">
        <w:rPr>
          <w:rFonts w:hint="eastAsia"/>
          <w:color w:val="000000"/>
          <w:lang w:eastAsia="zh-CN"/>
        </w:rPr>
        <w:t>发展中国家和发达国家的中小企业</w:t>
      </w:r>
      <w:r>
        <w:rPr>
          <w:rFonts w:hint="eastAsia"/>
          <w:color w:val="000000"/>
          <w:lang w:eastAsia="zh-CN"/>
        </w:rPr>
        <w:t>，并</w:t>
      </w:r>
      <w:r w:rsidRPr="003D2C1C">
        <w:rPr>
          <w:rFonts w:hint="eastAsia"/>
          <w:color w:val="000000"/>
          <w:lang w:eastAsia="zh-CN"/>
        </w:rPr>
        <w:t>降低发展中国家</w:t>
      </w:r>
      <w:r>
        <w:rPr>
          <w:rFonts w:hint="eastAsia"/>
          <w:color w:val="000000"/>
          <w:lang w:eastAsia="zh-CN"/>
        </w:rPr>
        <w:t>中小企业</w:t>
      </w:r>
      <w:r w:rsidRPr="003D2C1C">
        <w:rPr>
          <w:rFonts w:hint="eastAsia"/>
          <w:color w:val="000000"/>
          <w:lang w:eastAsia="zh-CN"/>
        </w:rPr>
        <w:t>收费</w:t>
      </w:r>
      <w:r>
        <w:rPr>
          <w:rFonts w:hint="eastAsia"/>
          <w:color w:val="000000"/>
          <w:lang w:eastAsia="zh-CN"/>
        </w:rPr>
        <w:t>的</w:t>
      </w:r>
      <w:r w:rsidRPr="003D2C1C">
        <w:rPr>
          <w:rFonts w:hint="eastAsia"/>
          <w:color w:val="000000"/>
          <w:lang w:eastAsia="zh-CN"/>
        </w:rPr>
        <w:t>原则为基础。</w:t>
      </w:r>
    </w:p>
    <w:p w:rsidR="000321DB" w:rsidRPr="00E154BD" w:rsidRDefault="000321DB" w:rsidP="00E7331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事实上，</w:t>
      </w:r>
      <w:r w:rsidRPr="00A67B17">
        <w:rPr>
          <w:rFonts w:hint="eastAsia"/>
          <w:lang w:eastAsia="zh-CN"/>
        </w:rPr>
        <w:t>发达国家中小企业的收费定为</w:t>
      </w:r>
      <w:r w:rsidRPr="00A67B17">
        <w:rPr>
          <w:rFonts w:hint="eastAsia"/>
          <w:lang w:eastAsia="zh-CN"/>
        </w:rPr>
        <w:t>3,975</w:t>
      </w:r>
      <w:r w:rsidRPr="00A67B17">
        <w:rPr>
          <w:rFonts w:hint="eastAsia"/>
          <w:lang w:eastAsia="zh-CN"/>
        </w:rPr>
        <w:t>瑞士法郎，发展中国家中小企业的收费定为</w:t>
      </w:r>
      <w:r w:rsidRPr="00A67B17">
        <w:rPr>
          <w:rFonts w:hint="eastAsia"/>
          <w:lang w:eastAsia="zh-CN"/>
        </w:rPr>
        <w:t>1,987.50</w:t>
      </w:r>
      <w:r w:rsidRPr="00A67B17">
        <w:rPr>
          <w:rFonts w:hint="eastAsia"/>
          <w:lang w:eastAsia="zh-CN"/>
        </w:rPr>
        <w:t>瑞士法郎，但须由理事会不断进行审查。</w:t>
      </w:r>
    </w:p>
    <w:p w:rsidR="000321DB" w:rsidRPr="00E154BD" w:rsidRDefault="000321DB" w:rsidP="00E73314">
      <w:pPr>
        <w:ind w:firstLineChars="200" w:firstLine="480"/>
        <w:rPr>
          <w:bCs/>
          <w:lang w:eastAsia="zh-CN"/>
        </w:rPr>
      </w:pPr>
      <w:bookmarkStart w:id="5" w:name="lt_pId039"/>
      <w:r>
        <w:rPr>
          <w:rFonts w:hint="eastAsia"/>
          <w:bCs/>
          <w:lang w:eastAsia="zh-CN"/>
        </w:rPr>
        <w:t>由于中小</w:t>
      </w:r>
      <w:r w:rsidRPr="003D2C1C">
        <w:rPr>
          <w:rFonts w:hint="eastAsia"/>
          <w:bCs/>
          <w:lang w:eastAsia="zh-CN"/>
        </w:rPr>
        <w:t>企业已按须缴付的费用分类，</w:t>
      </w:r>
      <w:r>
        <w:rPr>
          <w:rFonts w:hint="eastAsia"/>
          <w:bCs/>
          <w:lang w:eastAsia="zh-CN"/>
        </w:rPr>
        <w:t>因此</w:t>
      </w:r>
      <w:r w:rsidRPr="003D2C1C">
        <w:rPr>
          <w:rFonts w:hint="eastAsia"/>
          <w:bCs/>
          <w:lang w:eastAsia="zh-CN"/>
        </w:rPr>
        <w:t>我们认为中小企业的资格门槛</w:t>
      </w:r>
      <w:r>
        <w:rPr>
          <w:rFonts w:hint="eastAsia"/>
          <w:bCs/>
          <w:lang w:eastAsia="zh-CN"/>
        </w:rPr>
        <w:t>设定</w:t>
      </w:r>
      <w:r w:rsidRPr="003D2C1C">
        <w:rPr>
          <w:rFonts w:hint="eastAsia"/>
          <w:bCs/>
          <w:lang w:eastAsia="zh-CN"/>
        </w:rPr>
        <w:t>应考虑</w:t>
      </w:r>
      <w:r>
        <w:rPr>
          <w:rFonts w:hint="eastAsia"/>
          <w:bCs/>
          <w:lang w:eastAsia="zh-CN"/>
        </w:rPr>
        <w:t>此</w:t>
      </w:r>
      <w:r w:rsidRPr="003D2C1C">
        <w:rPr>
          <w:rFonts w:hint="eastAsia"/>
          <w:bCs/>
          <w:lang w:eastAsia="zh-CN"/>
        </w:rPr>
        <w:t>因素。</w:t>
      </w:r>
    </w:p>
    <w:p w:rsidR="000321DB" w:rsidRPr="00E154BD" w:rsidRDefault="000321DB" w:rsidP="00E73314">
      <w:pPr>
        <w:ind w:firstLineChars="200" w:firstLine="480"/>
        <w:rPr>
          <w:bCs/>
          <w:lang w:eastAsia="zh-CN"/>
        </w:rPr>
      </w:pPr>
      <w:bookmarkStart w:id="6" w:name="lt_pId040"/>
      <w:bookmarkEnd w:id="5"/>
      <w:r>
        <w:rPr>
          <w:rFonts w:hint="eastAsia"/>
          <w:bCs/>
          <w:lang w:eastAsia="zh-CN"/>
        </w:rPr>
        <w:t>所以，应设置两个门槛：</w:t>
      </w:r>
      <w:bookmarkEnd w:id="6"/>
      <w:r w:rsidRPr="00E154BD">
        <w:rPr>
          <w:bCs/>
          <w:lang w:eastAsia="zh-CN"/>
        </w:rPr>
        <w:t xml:space="preserve"> </w:t>
      </w:r>
    </w:p>
    <w:p w:rsidR="000321DB" w:rsidRPr="00E154BD" w:rsidRDefault="000321DB" w:rsidP="000321DB">
      <w:pPr>
        <w:pStyle w:val="enumlev1"/>
        <w:rPr>
          <w:lang w:eastAsia="zh-CN"/>
        </w:rPr>
      </w:pPr>
      <w:bookmarkStart w:id="7" w:name="lt_pId041"/>
      <w:r w:rsidRPr="00E154BD">
        <w:rPr>
          <w:lang w:eastAsia="zh-CN"/>
        </w:rPr>
        <w:t>•</w:t>
      </w:r>
      <w:r w:rsidRPr="00E154BD">
        <w:rPr>
          <w:lang w:eastAsia="zh-CN"/>
        </w:rPr>
        <w:tab/>
      </w:r>
      <w:bookmarkEnd w:id="7"/>
      <w:r>
        <w:rPr>
          <w:rFonts w:hint="eastAsia"/>
          <w:lang w:eastAsia="zh-CN"/>
        </w:rPr>
        <w:t>为</w:t>
      </w:r>
      <w:r w:rsidRPr="00C502FA">
        <w:rPr>
          <w:rFonts w:hint="eastAsia"/>
          <w:lang w:eastAsia="zh-CN"/>
        </w:rPr>
        <w:t>鼓励发展中国家中小企业参与</w:t>
      </w:r>
      <w:r>
        <w:rPr>
          <w:rFonts w:hint="eastAsia"/>
          <w:lang w:eastAsia="zh-CN"/>
        </w:rPr>
        <w:t>国际电联活动设置</w:t>
      </w:r>
      <w:r w:rsidRPr="00C502FA">
        <w:rPr>
          <w:rFonts w:hint="eastAsia"/>
          <w:lang w:eastAsia="zh-CN"/>
        </w:rPr>
        <w:t>高门槛。</w:t>
      </w:r>
    </w:p>
    <w:p w:rsidR="000321DB" w:rsidRPr="00E154BD" w:rsidRDefault="000321DB" w:rsidP="000321DB">
      <w:pPr>
        <w:pStyle w:val="enumlev1"/>
        <w:rPr>
          <w:lang w:eastAsia="zh-CN"/>
        </w:rPr>
      </w:pPr>
      <w:bookmarkStart w:id="8" w:name="lt_pId042"/>
      <w:r w:rsidRPr="00E154BD">
        <w:rPr>
          <w:lang w:eastAsia="zh-CN"/>
        </w:rPr>
        <w:t>•</w:t>
      </w:r>
      <w:r w:rsidRPr="00E154BD">
        <w:rPr>
          <w:lang w:eastAsia="zh-CN"/>
        </w:rPr>
        <w:tab/>
      </w:r>
      <w:bookmarkEnd w:id="8"/>
      <w:r>
        <w:rPr>
          <w:rFonts w:hint="eastAsia"/>
          <w:lang w:eastAsia="zh-CN"/>
        </w:rPr>
        <w:t>为</w:t>
      </w:r>
      <w:r w:rsidRPr="00C502FA">
        <w:rPr>
          <w:rFonts w:hint="eastAsia"/>
          <w:lang w:eastAsia="zh-CN"/>
        </w:rPr>
        <w:t>发达国家</w:t>
      </w:r>
      <w:r>
        <w:rPr>
          <w:rFonts w:hint="eastAsia"/>
          <w:lang w:eastAsia="zh-CN"/>
        </w:rPr>
        <w:t>的</w:t>
      </w:r>
      <w:r w:rsidRPr="00C502FA">
        <w:rPr>
          <w:rFonts w:hint="eastAsia"/>
          <w:lang w:eastAsia="zh-CN"/>
        </w:rPr>
        <w:t>中小企业</w:t>
      </w:r>
      <w:r>
        <w:rPr>
          <w:rFonts w:hint="eastAsia"/>
          <w:lang w:eastAsia="zh-CN"/>
        </w:rPr>
        <w:t>设置</w:t>
      </w:r>
      <w:r w:rsidRPr="00C502FA">
        <w:rPr>
          <w:rFonts w:hint="eastAsia"/>
          <w:lang w:eastAsia="zh-CN"/>
        </w:rPr>
        <w:t>较低</w:t>
      </w:r>
      <w:r>
        <w:rPr>
          <w:rFonts w:hint="eastAsia"/>
          <w:lang w:eastAsia="zh-CN"/>
        </w:rPr>
        <w:t>的</w:t>
      </w:r>
      <w:r w:rsidRPr="00C502FA">
        <w:rPr>
          <w:rFonts w:hint="eastAsia"/>
          <w:lang w:eastAsia="zh-CN"/>
        </w:rPr>
        <w:t>门槛</w:t>
      </w:r>
      <w:r>
        <w:rPr>
          <w:rFonts w:hint="eastAsia"/>
          <w:lang w:eastAsia="zh-CN"/>
        </w:rPr>
        <w:t>。只要</w:t>
      </w:r>
      <w:r w:rsidRPr="00C502FA">
        <w:rPr>
          <w:rFonts w:hint="eastAsia"/>
          <w:lang w:eastAsia="zh-CN"/>
        </w:rPr>
        <w:t>大多数部门成员</w:t>
      </w:r>
      <w:r>
        <w:rPr>
          <w:rFonts w:hint="eastAsia"/>
          <w:lang w:eastAsia="zh-CN"/>
        </w:rPr>
        <w:t>的</w:t>
      </w:r>
      <w:r w:rsidRPr="00C502FA">
        <w:rPr>
          <w:rFonts w:hint="eastAsia"/>
          <w:lang w:eastAsia="zh-CN"/>
        </w:rPr>
        <w:t>中小企业来自发达国家，就有可能避免</w:t>
      </w:r>
      <w:r>
        <w:rPr>
          <w:rFonts w:hint="eastAsia"/>
          <w:lang w:eastAsia="zh-CN"/>
        </w:rPr>
        <w:t>给国际电联造成</w:t>
      </w:r>
      <w:r w:rsidRPr="00C502FA">
        <w:rPr>
          <w:rFonts w:hint="eastAsia"/>
          <w:lang w:eastAsia="zh-CN"/>
        </w:rPr>
        <w:t>收入损失。</w:t>
      </w:r>
    </w:p>
    <w:p w:rsidR="000321DB" w:rsidRPr="00E154BD" w:rsidRDefault="000321DB" w:rsidP="000321DB">
      <w:pPr>
        <w:pStyle w:val="Heading1"/>
        <w:rPr>
          <w:lang w:eastAsia="zh-CN"/>
        </w:rPr>
      </w:pPr>
      <w:r w:rsidRPr="00E154BD">
        <w:rPr>
          <w:lang w:eastAsia="zh-CN"/>
        </w:rPr>
        <w:t>2</w:t>
      </w:r>
      <w:r w:rsidRPr="00E154BD">
        <w:rPr>
          <w:lang w:eastAsia="zh-CN"/>
        </w:rPr>
        <w:tab/>
      </w:r>
      <w:r>
        <w:rPr>
          <w:rFonts w:hint="eastAsia"/>
          <w:lang w:eastAsia="zh-CN"/>
        </w:rPr>
        <w:t>提案</w:t>
      </w:r>
    </w:p>
    <w:p w:rsidR="000321DB" w:rsidRPr="00E154BD" w:rsidRDefault="000321DB" w:rsidP="00E73314">
      <w:pPr>
        <w:ind w:firstLineChars="200" w:firstLine="480"/>
        <w:rPr>
          <w:bCs/>
          <w:lang w:eastAsia="zh-CN"/>
        </w:rPr>
      </w:pPr>
      <w:r w:rsidRPr="00C502FA">
        <w:rPr>
          <w:rFonts w:hint="eastAsia"/>
          <w:bCs/>
          <w:lang w:eastAsia="zh-CN"/>
        </w:rPr>
        <w:t>为加强国际电联五个区域中小企业协会的一体化，科特迪瓦根据报告中提出的两个门槛</w:t>
      </w:r>
      <w:r w:rsidR="00E73314">
        <w:rPr>
          <w:rFonts w:hint="eastAsia"/>
          <w:bCs/>
          <w:lang w:eastAsia="zh-CN"/>
        </w:rPr>
        <w:t>提出如下</w:t>
      </w:r>
      <w:r>
        <w:rPr>
          <w:rFonts w:hint="eastAsia"/>
          <w:bCs/>
          <w:lang w:eastAsia="zh-CN"/>
        </w:rPr>
        <w:t>建议：</w:t>
      </w:r>
    </w:p>
    <w:p w:rsidR="000321DB" w:rsidRPr="00E154BD" w:rsidRDefault="000321DB" w:rsidP="000321DB">
      <w:pPr>
        <w:pStyle w:val="enumlev1"/>
        <w:rPr>
          <w:lang w:eastAsia="zh-CN"/>
        </w:rPr>
      </w:pPr>
      <w:bookmarkStart w:id="9" w:name="lt_pId045"/>
      <w:r w:rsidRPr="00E154BD">
        <w:rPr>
          <w:lang w:eastAsia="zh-CN"/>
        </w:rPr>
        <w:t>–</w:t>
      </w:r>
      <w:r w:rsidRPr="00E154BD">
        <w:rPr>
          <w:lang w:eastAsia="zh-CN"/>
        </w:rPr>
        <w:tab/>
      </w:r>
      <w:r w:rsidRPr="00C502FA">
        <w:rPr>
          <w:rFonts w:hint="eastAsia"/>
          <w:lang w:eastAsia="zh-CN"/>
        </w:rPr>
        <w:t>发展中国家中小企业的门槛</w:t>
      </w:r>
      <w:r>
        <w:rPr>
          <w:rFonts w:hint="eastAsia"/>
          <w:lang w:eastAsia="zh-CN"/>
        </w:rPr>
        <w:t>为</w:t>
      </w:r>
      <w:r w:rsidRPr="00C502FA">
        <w:rPr>
          <w:rFonts w:hint="eastAsia"/>
          <w:lang w:eastAsia="zh-CN"/>
        </w:rPr>
        <w:t>5</w:t>
      </w:r>
      <w:r>
        <w:rPr>
          <w:lang w:eastAsia="zh-CN"/>
        </w:rPr>
        <w:t>,</w:t>
      </w:r>
      <w:r w:rsidRPr="00C502FA">
        <w:rPr>
          <w:rFonts w:hint="eastAsia"/>
          <w:lang w:eastAsia="zh-CN"/>
        </w:rPr>
        <w:t>000</w:t>
      </w:r>
      <w:r w:rsidRPr="00C502FA">
        <w:rPr>
          <w:rFonts w:hint="eastAsia"/>
          <w:lang w:eastAsia="zh-CN"/>
        </w:rPr>
        <w:t>万瑞士法郎；</w:t>
      </w:r>
      <w:bookmarkEnd w:id="9"/>
    </w:p>
    <w:p w:rsidR="000321DB" w:rsidRPr="00E154BD" w:rsidRDefault="000321DB" w:rsidP="000321DB">
      <w:pPr>
        <w:pStyle w:val="enumlev1"/>
        <w:rPr>
          <w:lang w:eastAsia="zh-CN"/>
        </w:rPr>
      </w:pPr>
      <w:bookmarkStart w:id="10" w:name="lt_pId046"/>
      <w:r w:rsidRPr="00E154BD">
        <w:rPr>
          <w:lang w:eastAsia="zh-CN"/>
        </w:rPr>
        <w:t>–</w:t>
      </w:r>
      <w:r w:rsidRPr="00E154BD">
        <w:rPr>
          <w:lang w:eastAsia="zh-CN"/>
        </w:rPr>
        <w:tab/>
      </w:r>
      <w:r w:rsidRPr="00C502FA">
        <w:rPr>
          <w:rFonts w:hint="eastAsia"/>
          <w:lang w:eastAsia="zh-CN"/>
        </w:rPr>
        <w:t>发</w:t>
      </w:r>
      <w:r>
        <w:rPr>
          <w:rFonts w:hint="eastAsia"/>
          <w:lang w:eastAsia="zh-CN"/>
        </w:rPr>
        <w:t>达</w:t>
      </w:r>
      <w:r w:rsidRPr="00C502FA">
        <w:rPr>
          <w:rFonts w:hint="eastAsia"/>
          <w:lang w:eastAsia="zh-CN"/>
        </w:rPr>
        <w:t>国家中小企业的门槛</w:t>
      </w:r>
      <w:r>
        <w:rPr>
          <w:rFonts w:hint="eastAsia"/>
          <w:lang w:eastAsia="zh-CN"/>
        </w:rPr>
        <w:t>为</w:t>
      </w:r>
      <w:r>
        <w:rPr>
          <w:rFonts w:hint="eastAsia"/>
          <w:lang w:eastAsia="zh-CN"/>
        </w:rPr>
        <w:t>1</w:t>
      </w:r>
      <w:r>
        <w:rPr>
          <w:lang w:eastAsia="zh-CN"/>
        </w:rPr>
        <w:t>,</w:t>
      </w:r>
      <w:r w:rsidRPr="00C502FA">
        <w:rPr>
          <w:rFonts w:hint="eastAsia"/>
          <w:lang w:eastAsia="zh-CN"/>
        </w:rPr>
        <w:t>500</w:t>
      </w:r>
      <w:r w:rsidRPr="00C502FA">
        <w:rPr>
          <w:rFonts w:hint="eastAsia"/>
          <w:lang w:eastAsia="zh-CN"/>
        </w:rPr>
        <w:t>万瑞士法郎；</w:t>
      </w:r>
    </w:p>
    <w:bookmarkEnd w:id="10"/>
    <w:p w:rsidR="000321DB" w:rsidRPr="00E154BD" w:rsidRDefault="000321DB" w:rsidP="00E73314">
      <w:pPr>
        <w:ind w:firstLineChars="200" w:firstLine="480"/>
        <w:rPr>
          <w:lang w:eastAsia="zh-CN"/>
        </w:rPr>
      </w:pPr>
      <w:r w:rsidRPr="00C502FA">
        <w:rPr>
          <w:rFonts w:hint="eastAsia"/>
          <w:bCs/>
          <w:lang w:eastAsia="zh-CN"/>
        </w:rPr>
        <w:t>科特迪瓦请理事会财务和人力资源工作组（</w:t>
      </w:r>
      <w:r w:rsidRPr="00C502FA">
        <w:rPr>
          <w:rFonts w:hint="eastAsia"/>
          <w:bCs/>
          <w:lang w:eastAsia="zh-CN"/>
        </w:rPr>
        <w:t>CWG-FHR</w:t>
      </w:r>
      <w:r w:rsidRPr="00C502FA">
        <w:rPr>
          <w:rFonts w:hint="eastAsia"/>
          <w:bCs/>
          <w:lang w:eastAsia="zh-CN"/>
        </w:rPr>
        <w:t>）</w:t>
      </w:r>
      <w:r>
        <w:rPr>
          <w:rFonts w:hint="eastAsia"/>
          <w:bCs/>
          <w:lang w:eastAsia="zh-CN"/>
        </w:rPr>
        <w:t>分析这一提案的影响。</w:t>
      </w:r>
      <w:r w:rsidRPr="00C502FA">
        <w:rPr>
          <w:rFonts w:hint="eastAsia"/>
          <w:bCs/>
          <w:lang w:eastAsia="zh-CN"/>
        </w:rPr>
        <w:t>我们认为这一提</w:t>
      </w:r>
      <w:r>
        <w:rPr>
          <w:rFonts w:hint="eastAsia"/>
          <w:bCs/>
          <w:lang w:eastAsia="zh-CN"/>
        </w:rPr>
        <w:t>案</w:t>
      </w:r>
      <w:r w:rsidRPr="00C502FA">
        <w:rPr>
          <w:rFonts w:hint="eastAsia"/>
          <w:bCs/>
          <w:lang w:eastAsia="zh-CN"/>
        </w:rPr>
        <w:t>更</w:t>
      </w:r>
      <w:r>
        <w:rPr>
          <w:rFonts w:hint="eastAsia"/>
          <w:bCs/>
          <w:lang w:eastAsia="zh-CN"/>
        </w:rPr>
        <w:t>加</w:t>
      </w:r>
      <w:r w:rsidRPr="00C502FA">
        <w:rPr>
          <w:rFonts w:hint="eastAsia"/>
          <w:bCs/>
          <w:lang w:eastAsia="zh-CN"/>
        </w:rPr>
        <w:t>公平，同时符合第</w:t>
      </w:r>
      <w:r w:rsidRPr="00C502FA">
        <w:rPr>
          <w:rFonts w:hint="eastAsia"/>
          <w:bCs/>
          <w:lang w:eastAsia="zh-CN"/>
        </w:rPr>
        <w:t>209</w:t>
      </w:r>
      <w:r w:rsidRPr="00C502FA">
        <w:rPr>
          <w:rFonts w:hint="eastAsia"/>
          <w:bCs/>
          <w:lang w:eastAsia="zh-CN"/>
        </w:rPr>
        <w:t>号决议的精神。</w:t>
      </w:r>
    </w:p>
    <w:p w:rsidR="000321DB" w:rsidRPr="00E154BD" w:rsidRDefault="000321DB" w:rsidP="000321DB">
      <w:pPr>
        <w:pStyle w:val="Reasons"/>
        <w:rPr>
          <w:lang w:eastAsia="zh-CN"/>
        </w:rPr>
      </w:pPr>
    </w:p>
    <w:p w:rsidR="00195FED" w:rsidRDefault="00195FED" w:rsidP="000321DB">
      <w:pPr>
        <w:pStyle w:val="Title2"/>
        <w:spacing w:before="240" w:after="360"/>
        <w:rPr>
          <w:lang w:eastAsia="zh-CN"/>
        </w:rPr>
      </w:pPr>
    </w:p>
    <w:p w:rsidR="000321DB" w:rsidRDefault="000321DB">
      <w:pPr>
        <w:jc w:val="center"/>
      </w:pPr>
      <w:r>
        <w:t>______________</w:t>
      </w:r>
    </w:p>
    <w:p w:rsidR="000321DB" w:rsidRPr="000321DB" w:rsidRDefault="000321DB" w:rsidP="000321DB">
      <w:pPr>
        <w:pStyle w:val="Title3"/>
        <w:rPr>
          <w:lang w:eastAsia="zh-CN"/>
        </w:rPr>
      </w:pPr>
    </w:p>
    <w:sectPr w:rsidR="000321DB" w:rsidRPr="000321DB" w:rsidSect="006C36CD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CB0" w:rsidRDefault="00B91CB0">
      <w:r>
        <w:separator/>
      </w:r>
    </w:p>
  </w:endnote>
  <w:endnote w:type="continuationSeparator" w:id="0">
    <w:p w:rsidR="00B91CB0" w:rsidRDefault="00B9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panose1 w:val="02020803070505020304"/>
    <w:charset w:val="00"/>
    <w:family w:val="roman"/>
    <w:notTrueType/>
    <w:pitch w:val="default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833091" w:rsidP="00757D1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757D12">
      <w:t>P:\CHI\SG\CONSEIL\C19\000\090C.DOCX</w:t>
    </w:r>
    <w:r>
      <w:fldChar w:fldCharType="end"/>
    </w:r>
    <w:r w:rsidR="000B169B">
      <w:t xml:space="preserve"> (4560</w:t>
    </w:r>
    <w:r w:rsidR="00757D12">
      <w:t>63</w:t>
    </w:r>
    <w:r w:rsidR="000B169B">
      <w:t>)</w:t>
    </w:r>
    <w:r w:rsidR="004E4BFF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Default="00B40A53" w:rsidP="000B16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CB0" w:rsidRDefault="00B91CB0">
      <w:r>
        <w:t>____________________</w:t>
      </w:r>
    </w:p>
  </w:footnote>
  <w:footnote w:type="continuationSeparator" w:id="0">
    <w:p w:rsidR="00B91CB0" w:rsidRDefault="00B91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833091">
      <w:rPr>
        <w:noProof/>
      </w:rPr>
      <w:t>3</w:t>
    </w:r>
    <w:r>
      <w:rPr>
        <w:noProof/>
      </w:rPr>
      <w:fldChar w:fldCharType="end"/>
    </w:r>
  </w:p>
  <w:p w:rsidR="00AC516F" w:rsidRDefault="0098459B" w:rsidP="00757D12">
    <w:pPr>
      <w:pStyle w:val="Header"/>
      <w:rPr>
        <w:lang w:eastAsia="zh-CN"/>
      </w:rPr>
    </w:pPr>
    <w:r>
      <w:t>C1</w:t>
    </w:r>
    <w:r w:rsidR="00D453EE">
      <w:rPr>
        <w:lang w:eastAsia="zh-CN"/>
      </w:rPr>
      <w:t>9</w:t>
    </w:r>
    <w:r w:rsidR="004672E6">
      <w:t>/</w:t>
    </w:r>
    <w:r w:rsidR="00C25435">
      <w:rPr>
        <w:lang w:eastAsia="zh-CN"/>
      </w:rPr>
      <w:t>9</w:t>
    </w:r>
    <w:r w:rsidR="00757D12">
      <w:rPr>
        <w:lang w:eastAsia="zh-CN"/>
      </w:rPr>
      <w:t>0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6C82EF6"/>
    <w:multiLevelType w:val="hybridMultilevel"/>
    <w:tmpl w:val="4CB2CB78"/>
    <w:lvl w:ilvl="0" w:tplc="B3E4D16A">
      <w:start w:val="42"/>
      <w:numFmt w:val="bullet"/>
      <w:lvlText w:val="-"/>
      <w:lvlJc w:val="left"/>
      <w:pPr>
        <w:ind w:left="927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53348D4"/>
    <w:multiLevelType w:val="hybridMultilevel"/>
    <w:tmpl w:val="9C5877E6"/>
    <w:lvl w:ilvl="0" w:tplc="EE6647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69"/>
    <w:rsid w:val="00001B77"/>
    <w:rsid w:val="0000517A"/>
    <w:rsid w:val="00031E72"/>
    <w:rsid w:val="000321DB"/>
    <w:rsid w:val="000404D2"/>
    <w:rsid w:val="00082593"/>
    <w:rsid w:val="000853C0"/>
    <w:rsid w:val="000A1C21"/>
    <w:rsid w:val="000B169B"/>
    <w:rsid w:val="000D15EA"/>
    <w:rsid w:val="000F15EA"/>
    <w:rsid w:val="00100D84"/>
    <w:rsid w:val="00104D17"/>
    <w:rsid w:val="00124C9D"/>
    <w:rsid w:val="00130130"/>
    <w:rsid w:val="00157773"/>
    <w:rsid w:val="0018251A"/>
    <w:rsid w:val="00190272"/>
    <w:rsid w:val="00193244"/>
    <w:rsid w:val="00195C6C"/>
    <w:rsid w:val="00195FED"/>
    <w:rsid w:val="001A00B3"/>
    <w:rsid w:val="001A4BD6"/>
    <w:rsid w:val="001D5A18"/>
    <w:rsid w:val="00254963"/>
    <w:rsid w:val="00256045"/>
    <w:rsid w:val="00280EB8"/>
    <w:rsid w:val="002A6670"/>
    <w:rsid w:val="00303502"/>
    <w:rsid w:val="00325C25"/>
    <w:rsid w:val="00346F67"/>
    <w:rsid w:val="003662DB"/>
    <w:rsid w:val="00372C8F"/>
    <w:rsid w:val="00380ECE"/>
    <w:rsid w:val="00393DDF"/>
    <w:rsid w:val="00397F55"/>
    <w:rsid w:val="003B4454"/>
    <w:rsid w:val="003B4CF1"/>
    <w:rsid w:val="003C2E37"/>
    <w:rsid w:val="003F1415"/>
    <w:rsid w:val="003F4CD8"/>
    <w:rsid w:val="0040144C"/>
    <w:rsid w:val="00403EB7"/>
    <w:rsid w:val="00416050"/>
    <w:rsid w:val="00430BF0"/>
    <w:rsid w:val="00440ECE"/>
    <w:rsid w:val="004672E6"/>
    <w:rsid w:val="00474ED1"/>
    <w:rsid w:val="00485243"/>
    <w:rsid w:val="00493085"/>
    <w:rsid w:val="004A36EC"/>
    <w:rsid w:val="004C0B2D"/>
    <w:rsid w:val="004D163F"/>
    <w:rsid w:val="004E4BFF"/>
    <w:rsid w:val="004F2598"/>
    <w:rsid w:val="00510969"/>
    <w:rsid w:val="005403F7"/>
    <w:rsid w:val="00540632"/>
    <w:rsid w:val="00541CF4"/>
    <w:rsid w:val="005451E8"/>
    <w:rsid w:val="005507F2"/>
    <w:rsid w:val="00551F24"/>
    <w:rsid w:val="00555EF7"/>
    <w:rsid w:val="005759CC"/>
    <w:rsid w:val="00583E0A"/>
    <w:rsid w:val="00597976"/>
    <w:rsid w:val="005A72E1"/>
    <w:rsid w:val="005B1307"/>
    <w:rsid w:val="005C6632"/>
    <w:rsid w:val="005D1C9E"/>
    <w:rsid w:val="00654257"/>
    <w:rsid w:val="0065435A"/>
    <w:rsid w:val="006A0D60"/>
    <w:rsid w:val="006A2DD3"/>
    <w:rsid w:val="006A5AF8"/>
    <w:rsid w:val="006C36CD"/>
    <w:rsid w:val="006F004A"/>
    <w:rsid w:val="00700D1F"/>
    <w:rsid w:val="007205CB"/>
    <w:rsid w:val="00726073"/>
    <w:rsid w:val="00734FE8"/>
    <w:rsid w:val="007360CE"/>
    <w:rsid w:val="00743713"/>
    <w:rsid w:val="00756094"/>
    <w:rsid w:val="00757D12"/>
    <w:rsid w:val="00765103"/>
    <w:rsid w:val="00772315"/>
    <w:rsid w:val="00775157"/>
    <w:rsid w:val="007813AE"/>
    <w:rsid w:val="007A37DB"/>
    <w:rsid w:val="007E189D"/>
    <w:rsid w:val="007E7AAC"/>
    <w:rsid w:val="008051FC"/>
    <w:rsid w:val="00811259"/>
    <w:rsid w:val="00813AA2"/>
    <w:rsid w:val="008173A3"/>
    <w:rsid w:val="00833091"/>
    <w:rsid w:val="0086059C"/>
    <w:rsid w:val="00864589"/>
    <w:rsid w:val="00870FA3"/>
    <w:rsid w:val="00890AFB"/>
    <w:rsid w:val="00890FC4"/>
    <w:rsid w:val="00895905"/>
    <w:rsid w:val="00910EF1"/>
    <w:rsid w:val="009164A9"/>
    <w:rsid w:val="009258CB"/>
    <w:rsid w:val="009273CE"/>
    <w:rsid w:val="0093362E"/>
    <w:rsid w:val="00944563"/>
    <w:rsid w:val="00953160"/>
    <w:rsid w:val="009625D8"/>
    <w:rsid w:val="0098459B"/>
    <w:rsid w:val="00997185"/>
    <w:rsid w:val="009C0DBE"/>
    <w:rsid w:val="009C2458"/>
    <w:rsid w:val="009C4A7B"/>
    <w:rsid w:val="009C6123"/>
    <w:rsid w:val="009F1E3E"/>
    <w:rsid w:val="00A0064B"/>
    <w:rsid w:val="00A1213C"/>
    <w:rsid w:val="00A272FF"/>
    <w:rsid w:val="00A5354B"/>
    <w:rsid w:val="00A71B57"/>
    <w:rsid w:val="00AB42C1"/>
    <w:rsid w:val="00AC516F"/>
    <w:rsid w:val="00AD62CE"/>
    <w:rsid w:val="00AE2926"/>
    <w:rsid w:val="00B0184B"/>
    <w:rsid w:val="00B035CD"/>
    <w:rsid w:val="00B0769D"/>
    <w:rsid w:val="00B17490"/>
    <w:rsid w:val="00B217F8"/>
    <w:rsid w:val="00B332EA"/>
    <w:rsid w:val="00B37A67"/>
    <w:rsid w:val="00B40A53"/>
    <w:rsid w:val="00B45365"/>
    <w:rsid w:val="00B46A65"/>
    <w:rsid w:val="00B60184"/>
    <w:rsid w:val="00B62D20"/>
    <w:rsid w:val="00B733EE"/>
    <w:rsid w:val="00B758EE"/>
    <w:rsid w:val="00B81E75"/>
    <w:rsid w:val="00B91CB0"/>
    <w:rsid w:val="00BB1A2D"/>
    <w:rsid w:val="00BC62DE"/>
    <w:rsid w:val="00BD1A5A"/>
    <w:rsid w:val="00BD7A9B"/>
    <w:rsid w:val="00BD7BE1"/>
    <w:rsid w:val="00BF2260"/>
    <w:rsid w:val="00BF416B"/>
    <w:rsid w:val="00C078FC"/>
    <w:rsid w:val="00C25435"/>
    <w:rsid w:val="00C64E4E"/>
    <w:rsid w:val="00C66E64"/>
    <w:rsid w:val="00C761A0"/>
    <w:rsid w:val="00C85F7E"/>
    <w:rsid w:val="00C90D53"/>
    <w:rsid w:val="00CD47F0"/>
    <w:rsid w:val="00CD5566"/>
    <w:rsid w:val="00CD64D7"/>
    <w:rsid w:val="00CE1D69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A7A0B"/>
    <w:rsid w:val="00DC6427"/>
    <w:rsid w:val="00DD66A1"/>
    <w:rsid w:val="00DE196D"/>
    <w:rsid w:val="00DE4871"/>
    <w:rsid w:val="00DF0CA5"/>
    <w:rsid w:val="00DF6B49"/>
    <w:rsid w:val="00E067C5"/>
    <w:rsid w:val="00E265BF"/>
    <w:rsid w:val="00E32E91"/>
    <w:rsid w:val="00E378D8"/>
    <w:rsid w:val="00E40845"/>
    <w:rsid w:val="00E43A12"/>
    <w:rsid w:val="00E67C67"/>
    <w:rsid w:val="00E67E13"/>
    <w:rsid w:val="00E73314"/>
    <w:rsid w:val="00E77476"/>
    <w:rsid w:val="00E8228B"/>
    <w:rsid w:val="00EE5706"/>
    <w:rsid w:val="00EF373D"/>
    <w:rsid w:val="00F01E9A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4BBE819-914E-4C21-A0C2-80CCAC8A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">
    <w:name w:val="Table_#"/>
    <w:basedOn w:val="Normal"/>
    <w:next w:val="Normal"/>
    <w:rsid w:val="000B169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ListParagraphChar">
    <w:name w:val="List Paragraph Char"/>
    <w:link w:val="ListParagraph"/>
    <w:uiPriority w:val="34"/>
    <w:rsid w:val="000B169B"/>
    <w:rPr>
      <w:rFonts w:ascii="Calibri" w:eastAsia="Times New Roman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19-CL-C-005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209-C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A4CC0-D50A-436B-8424-9026BB10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</Template>
  <TotalTime>1</TotalTime>
  <Pages>3</Pages>
  <Words>971</Words>
  <Characters>356</Characters>
  <Application>Microsoft Office Word</Application>
  <DocSecurity>4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1325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Kong, Hongli</dc:creator>
  <cp:keywords>C2018, C18</cp:keywords>
  <dc:description/>
  <cp:lastModifiedBy>Janin, Patricia</cp:lastModifiedBy>
  <cp:revision>2</cp:revision>
  <cp:lastPrinted>2019-06-07T12:08:00Z</cp:lastPrinted>
  <dcterms:created xsi:type="dcterms:W3CDTF">2019-06-10T08:48:00Z</dcterms:created>
  <dcterms:modified xsi:type="dcterms:W3CDTF">2019-06-10T08:48:00Z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