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5D1FD6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5D1FD6" w:rsidRPr="0080575B">
              <w:rPr>
                <w:rFonts w:cs="Times"/>
                <w:b/>
                <w:bCs/>
                <w:szCs w:val="24"/>
                <w:lang w:val="fr-CH"/>
              </w:rPr>
              <w:t>PL</w:t>
            </w:r>
            <w:r w:rsidR="005D1FD6">
              <w:rPr>
                <w:rFonts w:cs="Times"/>
                <w:b/>
                <w:bCs/>
                <w:szCs w:val="24"/>
                <w:lang w:val="fr-CH"/>
              </w:rPr>
              <w:t> </w:t>
            </w:r>
            <w:r w:rsidR="005D1FD6" w:rsidRPr="0080575B">
              <w:rPr>
                <w:rFonts w:cs="Times"/>
                <w:b/>
                <w:bCs/>
                <w:szCs w:val="24"/>
                <w:lang w:val="fr-CH"/>
              </w:rPr>
              <w:t>1.3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5D1FD6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D12F17">
              <w:rPr>
                <w:b/>
                <w:bCs/>
                <w:lang w:bidi="ar-SY"/>
              </w:rPr>
              <w:t>9</w:t>
            </w:r>
            <w:r w:rsidR="005D1FD6">
              <w:rPr>
                <w:b/>
                <w:bCs/>
                <w:lang w:bidi="ar-SY"/>
              </w:rPr>
              <w:t>2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D12F17" w:rsidP="00D12F17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0C247E">
              <w:rPr>
                <w:b/>
                <w:bCs/>
                <w:lang w:bidi="ar-SY"/>
              </w:rPr>
              <w:t>27</w:t>
            </w:r>
            <w:r w:rsidR="00290728" w:rsidRPr="000C247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C247E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D12F17">
            <w:pPr>
              <w:spacing w:before="20" w:after="20" w:line="340" w:lineRule="exact"/>
              <w:rPr>
                <w:b/>
                <w:bCs/>
                <w:rtl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D12F17">
              <w:rPr>
                <w:rFonts w:hint="cs"/>
                <w:b/>
                <w:bCs/>
                <w:rtl/>
                <w:lang w:bidi="ar-EG"/>
              </w:rPr>
              <w:t>بالفرنسية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D12F17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92734F" w:rsidP="00383829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مساهمة مقدمة من جمهورية كوت ديفوار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92734F" w:rsidP="00156F60">
            <w:pPr>
              <w:pStyle w:val="Title2"/>
              <w:framePr w:hSpace="0" w:wrap="auto" w:yAlign="inline"/>
            </w:pPr>
            <w:r>
              <w:rPr>
                <w:rFonts w:hint="cs"/>
                <w:rtl/>
                <w:lang w:bidi="ar-EG"/>
              </w:rPr>
              <w:t xml:space="preserve">موضوع </w:t>
            </w:r>
            <w:r w:rsidR="00AC2826">
              <w:rPr>
                <w:rFonts w:hint="cs"/>
                <w:rtl/>
              </w:rPr>
              <w:t>المشاورة</w:t>
            </w:r>
            <w:r>
              <w:rPr>
                <w:rtl/>
              </w:rPr>
              <w:t xml:space="preserve"> المفتوحة </w:t>
            </w:r>
            <w:r w:rsidR="001149DB">
              <w:rPr>
                <w:rFonts w:hint="cs"/>
                <w:rtl/>
              </w:rPr>
              <w:t xml:space="preserve">المقبلة </w:t>
            </w:r>
            <w:r>
              <w:rPr>
                <w:rtl/>
              </w:rPr>
              <w:t xml:space="preserve">لفريق العمل التابع للمجلس المعني </w:t>
            </w:r>
            <w:r w:rsidR="00AC2826">
              <w:rPr>
                <w:rFonts w:hint="cs"/>
                <w:rtl/>
              </w:rPr>
              <w:t>بمسائل</w:t>
            </w:r>
            <w:r>
              <w:rPr>
                <w:rtl/>
              </w:rPr>
              <w:t xml:space="preserve"> السياسات</w:t>
            </w:r>
            <w:r w:rsidR="00156F60">
              <w:rPr>
                <w:rFonts w:hint="cs"/>
                <w:rtl/>
              </w:rPr>
              <w:t> </w:t>
            </w:r>
            <w:r>
              <w:rPr>
                <w:rtl/>
              </w:rPr>
              <w:t>العامة الدولية المتعلقة بالإنترنت</w:t>
            </w:r>
            <w:r>
              <w:rPr>
                <w:rFonts w:hint="cs"/>
                <w:rtl/>
              </w:rPr>
              <w:t xml:space="preserve"> </w:t>
            </w:r>
            <w:r>
              <w:t>(CWG-INTERNET)</w:t>
            </w:r>
          </w:p>
        </w:tc>
      </w:tr>
    </w:tbl>
    <w:p w:rsidR="00D12F17" w:rsidRDefault="00D12F17" w:rsidP="00AC2826">
      <w:pPr>
        <w:spacing w:before="840"/>
        <w:rPr>
          <w:lang w:bidi="ar-EG"/>
        </w:rPr>
      </w:pPr>
      <w:bookmarkStart w:id="1" w:name="_GoBack"/>
      <w:bookmarkEnd w:id="1"/>
      <w:r>
        <w:rPr>
          <w:rtl/>
          <w:lang w:bidi="ar-EG"/>
        </w:rPr>
        <w:t xml:space="preserve">يشرفني أن أحيل إلى الدول الأعضاء في المجلس مساهمة مقدمة من </w:t>
      </w:r>
      <w:r w:rsidRPr="00D12F17">
        <w:rPr>
          <w:b/>
          <w:bCs/>
          <w:rtl/>
        </w:rPr>
        <w:t>جمهورية كوت ديفوار</w:t>
      </w:r>
      <w:r>
        <w:rPr>
          <w:rFonts w:hint="cs"/>
          <w:rtl/>
        </w:rPr>
        <w:t>.</w:t>
      </w:r>
    </w:p>
    <w:p w:rsidR="00706D7A" w:rsidRDefault="00D12F17" w:rsidP="00D12F17">
      <w:pPr>
        <w:spacing w:before="1440"/>
        <w:ind w:left="5103"/>
        <w:jc w:val="center"/>
        <w:rPr>
          <w:rtl/>
          <w:lang w:bidi="ar-EG"/>
        </w:rPr>
      </w:pPr>
      <w:r>
        <w:rPr>
          <w:rtl/>
          <w:lang w:bidi="ar-EG"/>
        </w:rPr>
        <w:t>هولين جاو</w:t>
      </w:r>
      <w:r>
        <w:rPr>
          <w:rtl/>
          <w:lang w:bidi="ar-EG"/>
        </w:rPr>
        <w:br/>
        <w:t>الأمين العام</w:t>
      </w:r>
    </w:p>
    <w:p w:rsidR="00D12F17" w:rsidRDefault="00D12F17" w:rsidP="00D12F17">
      <w:pPr>
        <w:rPr>
          <w:rtl/>
        </w:rPr>
      </w:pPr>
      <w:r>
        <w:rPr>
          <w:rtl/>
        </w:rPr>
        <w:br w:type="page"/>
      </w:r>
    </w:p>
    <w:p w:rsidR="00D12F17" w:rsidRDefault="003C4878" w:rsidP="00D12F17">
      <w:pPr>
        <w:pStyle w:val="Source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مساهمة مقدمة من جمهورية كوت ديفوار</w:t>
      </w:r>
    </w:p>
    <w:p w:rsidR="00D12F17" w:rsidRDefault="003C4878" w:rsidP="00AC2826">
      <w:pPr>
        <w:pStyle w:val="Title1"/>
        <w:rPr>
          <w:rtl/>
          <w:lang w:bidi="ar-EG"/>
        </w:rPr>
      </w:pPr>
      <w:r>
        <w:rPr>
          <w:rFonts w:hint="cs"/>
          <w:rtl/>
          <w:lang w:bidi="ar-EG"/>
        </w:rPr>
        <w:t xml:space="preserve">موضوع </w:t>
      </w:r>
      <w:r w:rsidR="00AC2826">
        <w:rPr>
          <w:rFonts w:hint="cs"/>
          <w:color w:val="000000"/>
          <w:rtl/>
        </w:rPr>
        <w:t>المشاورة</w:t>
      </w:r>
      <w:r>
        <w:rPr>
          <w:color w:val="000000"/>
          <w:rtl/>
        </w:rPr>
        <w:t xml:space="preserve"> المفتوحة</w:t>
      </w:r>
      <w:r w:rsidR="003440DD">
        <w:rPr>
          <w:rFonts w:hint="cs"/>
          <w:color w:val="000000"/>
          <w:rtl/>
        </w:rPr>
        <w:t xml:space="preserve"> المقبلة</w:t>
      </w:r>
      <w:r>
        <w:rPr>
          <w:color w:val="000000"/>
          <w:rtl/>
        </w:rPr>
        <w:t xml:space="preserve"> لفريق العمل التابع للمجلس</w:t>
      </w:r>
      <w:r w:rsidRPr="003C4878">
        <w:rPr>
          <w:color w:val="000000"/>
          <w:rtl/>
        </w:rPr>
        <w:t xml:space="preserve"> </w:t>
      </w:r>
      <w:r>
        <w:rPr>
          <w:color w:val="000000"/>
          <w:rtl/>
        </w:rPr>
        <w:t xml:space="preserve">المعني </w:t>
      </w:r>
      <w:r w:rsidR="00AC2826">
        <w:rPr>
          <w:rFonts w:hint="cs"/>
          <w:color w:val="000000"/>
          <w:rtl/>
        </w:rPr>
        <w:t>بمسائل</w:t>
      </w:r>
      <w:r>
        <w:rPr>
          <w:color w:val="000000"/>
          <w:rtl/>
        </w:rPr>
        <w:t xml:space="preserve"> السياسات العامة الدولية</w:t>
      </w:r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>المتعلقة بالإنترنت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(CWG-INTERNET)</w:t>
      </w:r>
    </w:p>
    <w:p w:rsidR="00D12F17" w:rsidRDefault="00D12F17" w:rsidP="00D12F17">
      <w:pPr>
        <w:rPr>
          <w:rtl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Pr="003C4878" w:rsidRDefault="003C4878" w:rsidP="00AC2826">
            <w:pPr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تقترح هذه المساهمة عدة مواضيع </w:t>
            </w:r>
            <w:r w:rsidR="00AC2826">
              <w:rPr>
                <w:rFonts w:hint="cs"/>
                <w:rtl/>
                <w:lang w:bidi="ar-SY"/>
              </w:rPr>
              <w:t>للمشاورة</w:t>
            </w:r>
            <w:r>
              <w:rPr>
                <w:rFonts w:hint="cs"/>
                <w:rtl/>
                <w:lang w:bidi="ar-SY"/>
              </w:rPr>
              <w:t xml:space="preserve"> المفتوحة</w:t>
            </w:r>
            <w:r w:rsidR="004E1D86">
              <w:rPr>
                <w:rFonts w:hint="cs"/>
                <w:rtl/>
              </w:rPr>
              <w:t xml:space="preserve"> المقبلة</w:t>
            </w:r>
            <w:r>
              <w:rPr>
                <w:rFonts w:hint="cs"/>
                <w:rtl/>
                <w:lang w:bidi="ar-SY"/>
              </w:rPr>
              <w:t xml:space="preserve"> لفريق العمل التابع للمجلس المعني </w:t>
            </w:r>
            <w:r w:rsidR="00AC2826">
              <w:rPr>
                <w:rFonts w:hint="cs"/>
                <w:rtl/>
                <w:lang w:bidi="ar-SY"/>
              </w:rPr>
              <w:t>بمسائل</w:t>
            </w:r>
            <w:r>
              <w:rPr>
                <w:rFonts w:hint="cs"/>
                <w:rtl/>
                <w:lang w:bidi="ar-SY"/>
              </w:rPr>
              <w:t xml:space="preserve"> السياسات العامة الدولية المتعلقة بالإنترنت </w:t>
            </w:r>
            <w:r>
              <w:rPr>
                <w:lang w:bidi="ar-SY"/>
              </w:rPr>
              <w:t>(CWG-Internet)</w:t>
            </w:r>
            <w:r>
              <w:rPr>
                <w:rFonts w:hint="cs"/>
                <w:rtl/>
              </w:rPr>
              <w:t>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Pr="001149DB" w:rsidRDefault="007D26FE" w:rsidP="00AC2826">
            <w:pPr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تود</w:t>
            </w:r>
            <w:r w:rsidR="003440DD">
              <w:rPr>
                <w:rFonts w:hint="cs"/>
                <w:rtl/>
                <w:lang w:bidi="ar-SY"/>
              </w:rPr>
              <w:t xml:space="preserve"> كوت ديفوار </w:t>
            </w:r>
            <w:r>
              <w:rPr>
                <w:rFonts w:hint="cs"/>
                <w:rtl/>
                <w:lang w:bidi="ar-SY"/>
              </w:rPr>
              <w:t xml:space="preserve">أن يحيط </w:t>
            </w:r>
            <w:r w:rsidR="003440DD">
              <w:rPr>
                <w:rFonts w:hint="cs"/>
                <w:rtl/>
                <w:lang w:bidi="ar-SY"/>
              </w:rPr>
              <w:t xml:space="preserve">المجلس علماً بهذه المساهمة </w:t>
            </w:r>
            <w:r w:rsidR="00AC2826">
              <w:rPr>
                <w:rFonts w:hint="cs"/>
                <w:rtl/>
                <w:lang w:bidi="ar-SY"/>
              </w:rPr>
              <w:t>في إطار التوجيهات</w:t>
            </w:r>
            <w:r w:rsidR="003440DD">
              <w:rPr>
                <w:rFonts w:hint="cs"/>
                <w:rtl/>
                <w:lang w:bidi="ar-SY"/>
              </w:rPr>
              <w:t xml:space="preserve"> بشأن موضوع </w:t>
            </w:r>
            <w:r w:rsidR="00AC2826">
              <w:rPr>
                <w:rFonts w:hint="cs"/>
                <w:rtl/>
                <w:lang w:bidi="ar-SY"/>
              </w:rPr>
              <w:t>المشاورة</w:t>
            </w:r>
            <w:r w:rsidR="003440DD">
              <w:rPr>
                <w:rFonts w:hint="cs"/>
                <w:rtl/>
                <w:lang w:bidi="ar-SY"/>
              </w:rPr>
              <w:t xml:space="preserve"> المفتوحة </w:t>
            </w:r>
            <w:r w:rsidR="001149DB">
              <w:rPr>
                <w:rFonts w:hint="cs"/>
                <w:rtl/>
                <w:lang w:bidi="ar-SY"/>
              </w:rPr>
              <w:t xml:space="preserve">المقبلة للفريق </w:t>
            </w:r>
            <w:r w:rsidR="001149DB">
              <w:rPr>
                <w:lang w:bidi="ar-SY"/>
              </w:rPr>
              <w:t>CWG-Internet</w:t>
            </w:r>
            <w:r w:rsidR="001149DB">
              <w:rPr>
                <w:rFonts w:hint="cs"/>
                <w:rtl/>
                <w:lang w:bidi="ar-SY"/>
              </w:rPr>
              <w:t>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Default="005D1FD6" w:rsidP="005D1FD6">
            <w:pPr>
              <w:rPr>
                <w:b/>
                <w:bCs/>
                <w:lang w:bidi="ar-SY"/>
              </w:rPr>
            </w:pPr>
            <w:r w:rsidRPr="005D1FD6">
              <w:rPr>
                <w:b/>
                <w:bCs/>
                <w:rtl/>
                <w:lang w:bidi="ar-SY"/>
              </w:rPr>
              <w:t>المراجع</w:t>
            </w:r>
          </w:p>
          <w:p w:rsidR="005D1FD6" w:rsidRPr="00B24DA3" w:rsidRDefault="005D1FD6" w:rsidP="00847D0B">
            <w:pPr>
              <w:spacing w:after="120"/>
              <w:rPr>
                <w:i/>
                <w:iCs/>
                <w:rtl/>
              </w:rPr>
            </w:pPr>
            <w:r w:rsidRPr="00B24DA3">
              <w:rPr>
                <w:rFonts w:hint="cs"/>
                <w:i/>
                <w:iCs/>
                <w:rtl/>
                <w:lang w:bidi="ar-EG"/>
              </w:rPr>
              <w:t>الوثيقة</w:t>
            </w:r>
            <w:r w:rsidR="001149DB" w:rsidRPr="00B24DA3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9" w:history="1">
              <w:r w:rsidR="001149DB" w:rsidRPr="00B24DA3">
                <w:rPr>
                  <w:rStyle w:val="Hyperlink"/>
                  <w:i/>
                  <w:iCs/>
                  <w:lang w:bidi="ar-EG"/>
                </w:rPr>
                <w:t>12/10</w:t>
              </w:r>
              <w:r w:rsidRPr="00B24DA3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</w:t>
              </w:r>
              <w:r w:rsidR="001149DB" w:rsidRPr="00B24DA3">
                <w:rPr>
                  <w:rStyle w:val="Hyperlink"/>
                  <w:rFonts w:hint="cs"/>
                  <w:i/>
                  <w:iCs/>
                  <w:rtl/>
                </w:rPr>
                <w:t xml:space="preserve">الصادرة عن الفريق </w:t>
              </w:r>
              <w:r w:rsidR="00F1510B">
                <w:rPr>
                  <w:rStyle w:val="Hyperlink"/>
                  <w:i/>
                  <w:iCs/>
                </w:rPr>
                <w:t>C</w:t>
              </w:r>
              <w:r w:rsidR="001149DB" w:rsidRPr="00B24DA3">
                <w:rPr>
                  <w:rStyle w:val="Hyperlink"/>
                  <w:i/>
                  <w:iCs/>
                </w:rPr>
                <w:t>WG-Internet</w:t>
              </w:r>
            </w:hyperlink>
          </w:p>
        </w:tc>
      </w:tr>
    </w:tbl>
    <w:p w:rsidR="004E11DC" w:rsidRDefault="006476F6" w:rsidP="00B24DA3">
      <w:pPr>
        <w:pStyle w:val="Headingb"/>
        <w:spacing w:before="480"/>
        <w:rPr>
          <w:rtl/>
          <w:lang w:bidi="ar-EG"/>
        </w:rPr>
      </w:pPr>
      <w:r>
        <w:rPr>
          <w:rFonts w:hint="cs"/>
          <w:rtl/>
          <w:lang w:val="fr-CH" w:bidi="ar-EG"/>
        </w:rPr>
        <w:t>مناقشات</w:t>
      </w:r>
    </w:p>
    <w:p w:rsidR="00D12F17" w:rsidRDefault="00244D21" w:rsidP="00AC2826">
      <w:pPr>
        <w:rPr>
          <w:rtl/>
          <w:lang w:val="fr-CH" w:bidi="ar-EG"/>
        </w:rPr>
      </w:pPr>
      <w:r>
        <w:rPr>
          <w:rFonts w:hint="cs"/>
          <w:rtl/>
          <w:lang w:val="fr-CH" w:bidi="ar-EG"/>
        </w:rPr>
        <w:t xml:space="preserve">لم يتمكن المشاركون في الاجتماع الثاني عشر </w:t>
      </w:r>
      <w:r w:rsidR="00AC2826">
        <w:rPr>
          <w:rFonts w:hint="cs"/>
          <w:rtl/>
          <w:lang w:bidi="ar-SY"/>
        </w:rPr>
        <w:t>لفريق العمل التابع للمجلس المعني بمسائل السياسات العامة الدولية المتعلقة بالإنترنت</w:t>
      </w:r>
      <w:r w:rsidR="00AC2826">
        <w:rPr>
          <w:rFonts w:hint="cs"/>
          <w:rtl/>
          <w:lang w:val="fr-CH" w:bidi="ar-EG"/>
        </w:rPr>
        <w:t xml:space="preserve"> </w:t>
      </w:r>
      <w:r>
        <w:rPr>
          <w:rFonts w:hint="cs"/>
          <w:rtl/>
          <w:lang w:val="fr-CH" w:bidi="ar-EG"/>
        </w:rPr>
        <w:t xml:space="preserve">من التوصل إلى توافق في الآراء بشأن موضوع </w:t>
      </w:r>
      <w:r w:rsidR="00AC2826">
        <w:rPr>
          <w:rFonts w:hint="cs"/>
          <w:rtl/>
          <w:lang w:val="fr-CH" w:bidi="ar-EG"/>
        </w:rPr>
        <w:t>المشاورة</w:t>
      </w:r>
      <w:r>
        <w:rPr>
          <w:rFonts w:hint="cs"/>
          <w:rtl/>
          <w:lang w:val="fr-CH" w:bidi="ar-EG"/>
        </w:rPr>
        <w:t xml:space="preserve"> المفتوحة المقبلة لهذا الفريق. ولذلك، يُدعى المجلس إلى تقديم </w:t>
      </w:r>
      <w:r w:rsidR="00AC2826">
        <w:rPr>
          <w:rFonts w:hint="cs"/>
          <w:rtl/>
          <w:lang w:val="fr-CH" w:bidi="ar-EG"/>
        </w:rPr>
        <w:t>توجيهات</w:t>
      </w:r>
      <w:r>
        <w:rPr>
          <w:rFonts w:hint="cs"/>
          <w:rtl/>
          <w:lang w:val="fr-CH" w:bidi="ar-EG"/>
        </w:rPr>
        <w:t xml:space="preserve"> بشأن موضوع </w:t>
      </w:r>
      <w:r w:rsidR="00AC2826">
        <w:rPr>
          <w:rFonts w:hint="cs"/>
          <w:rtl/>
          <w:lang w:val="fr-CH" w:bidi="ar-EG"/>
        </w:rPr>
        <w:t>المشاورة</w:t>
      </w:r>
      <w:r>
        <w:rPr>
          <w:rFonts w:hint="cs"/>
          <w:rtl/>
          <w:lang w:val="fr-CH" w:bidi="ar-EG"/>
        </w:rPr>
        <w:t xml:space="preserve"> المقبلة.</w:t>
      </w:r>
    </w:p>
    <w:p w:rsidR="00D12F17" w:rsidRPr="006476F6" w:rsidRDefault="006476F6" w:rsidP="00B24DA3">
      <w:pPr>
        <w:pStyle w:val="Headingb"/>
        <w:rPr>
          <w:lang w:bidi="ar-EG"/>
        </w:rPr>
      </w:pPr>
      <w:r>
        <w:rPr>
          <w:rFonts w:hint="cs"/>
          <w:rtl/>
          <w:lang w:bidi="ar-EG"/>
        </w:rPr>
        <w:t>مقترحات</w:t>
      </w:r>
    </w:p>
    <w:p w:rsidR="00D12F17" w:rsidRDefault="006476F6" w:rsidP="00AC2826">
      <w:pPr>
        <w:rPr>
          <w:lang w:val="fr-CH" w:bidi="ar-EG"/>
        </w:rPr>
      </w:pPr>
      <w:r>
        <w:rPr>
          <w:rFonts w:hint="cs"/>
          <w:rtl/>
          <w:lang w:val="fr-CH" w:bidi="ar-EG"/>
        </w:rPr>
        <w:t xml:space="preserve">تقدم كوت ديفوار المقترحات التالية أخذاً تقرير الاجتماع </w:t>
      </w:r>
      <w:r w:rsidR="007D26FE">
        <w:rPr>
          <w:rFonts w:hint="cs"/>
          <w:rtl/>
          <w:lang w:val="fr-CH" w:bidi="ar-EG"/>
        </w:rPr>
        <w:t>السابق</w:t>
      </w:r>
      <w:r w:rsidR="00AC2826">
        <w:rPr>
          <w:rFonts w:hint="cs"/>
          <w:rtl/>
          <w:lang w:val="fr-CH" w:bidi="ar-EG"/>
        </w:rPr>
        <w:t xml:space="preserve"> بعين الاعتبار</w:t>
      </w:r>
      <w:r>
        <w:rPr>
          <w:rFonts w:hint="cs"/>
          <w:rtl/>
          <w:lang w:val="fr-CH" w:bidi="ar-EG"/>
        </w:rPr>
        <w:t>:</w:t>
      </w:r>
    </w:p>
    <w:p w:rsidR="00D12F17" w:rsidRPr="008949C3" w:rsidRDefault="005D1FD6" w:rsidP="00AC2826">
      <w:pPr>
        <w:pStyle w:val="enumlev1"/>
        <w:rPr>
          <w:spacing w:val="-2"/>
          <w:rtl/>
        </w:rPr>
      </w:pPr>
      <w:r w:rsidRPr="008949C3">
        <w:rPr>
          <w:spacing w:val="-2"/>
          <w:rtl/>
        </w:rPr>
        <w:t>•</w:t>
      </w:r>
      <w:r w:rsidRPr="008949C3">
        <w:rPr>
          <w:spacing w:val="-2"/>
          <w:rtl/>
        </w:rPr>
        <w:tab/>
      </w:r>
      <w:r w:rsidR="006476F6" w:rsidRPr="008949C3">
        <w:rPr>
          <w:rFonts w:hint="cs"/>
          <w:spacing w:val="-2"/>
          <w:rtl/>
        </w:rPr>
        <w:t>أثر تكنولوجيات الخدمات المتاحة بحر</w:t>
      </w:r>
      <w:r w:rsidR="00B24DA3" w:rsidRPr="008949C3">
        <w:rPr>
          <w:rFonts w:hint="cs"/>
          <w:spacing w:val="-2"/>
          <w:rtl/>
        </w:rPr>
        <w:t>ّ</w:t>
      </w:r>
      <w:r w:rsidR="006476F6" w:rsidRPr="008949C3">
        <w:rPr>
          <w:rFonts w:hint="cs"/>
          <w:spacing w:val="-2"/>
          <w:rtl/>
        </w:rPr>
        <w:t>ية على الإنترنت</w:t>
      </w:r>
      <w:r w:rsidR="00AC2826" w:rsidRPr="008949C3">
        <w:rPr>
          <w:rFonts w:hint="cs"/>
          <w:spacing w:val="-2"/>
          <w:rtl/>
        </w:rPr>
        <w:t xml:space="preserve"> </w:t>
      </w:r>
      <w:r w:rsidR="00AC2826" w:rsidRPr="008949C3">
        <w:rPr>
          <w:spacing w:val="-2"/>
        </w:rPr>
        <w:t>(OTT)</w:t>
      </w:r>
      <w:r w:rsidR="009874D2" w:rsidRPr="008949C3">
        <w:rPr>
          <w:rFonts w:hint="cs"/>
          <w:spacing w:val="-2"/>
          <w:rtl/>
        </w:rPr>
        <w:t xml:space="preserve"> على التطور المستقبلي للإنترنت والسياسات العامة المرتبطة</w:t>
      </w:r>
      <w:r w:rsidR="00AC2826" w:rsidRPr="008949C3">
        <w:rPr>
          <w:rFonts w:hint="eastAsia"/>
          <w:spacing w:val="-2"/>
          <w:rtl/>
        </w:rPr>
        <w:t> </w:t>
      </w:r>
      <w:r w:rsidR="009874D2" w:rsidRPr="008949C3">
        <w:rPr>
          <w:rFonts w:hint="cs"/>
          <w:spacing w:val="-2"/>
          <w:rtl/>
        </w:rPr>
        <w:t>بها؛</w:t>
      </w:r>
    </w:p>
    <w:p w:rsidR="00290728" w:rsidRDefault="005D1FD6" w:rsidP="007D26FE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9874D2">
        <w:rPr>
          <w:rFonts w:hint="cs"/>
          <w:rtl/>
        </w:rPr>
        <w:t xml:space="preserve">تكلفة توصيلية الإنترنت بالنسبة </w:t>
      </w:r>
      <w:r w:rsidR="007D26FE">
        <w:rPr>
          <w:rFonts w:hint="cs"/>
          <w:rtl/>
        </w:rPr>
        <w:t>ل</w:t>
      </w:r>
      <w:r w:rsidR="009874D2">
        <w:rPr>
          <w:rFonts w:hint="cs"/>
          <w:rtl/>
        </w:rPr>
        <w:t>لبلدان النامية؛</w:t>
      </w:r>
    </w:p>
    <w:p w:rsidR="00840B10" w:rsidRDefault="005D1FD6" w:rsidP="005D1FD6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9874D2">
        <w:rPr>
          <w:rFonts w:hint="cs"/>
          <w:rtl/>
        </w:rPr>
        <w:t>السياسات العامة الدولية المتصلة بإدارة الإنترنت.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ABA" w:rsidRDefault="00284ABA" w:rsidP="006C3242">
      <w:pPr>
        <w:spacing w:before="0" w:line="240" w:lineRule="auto"/>
      </w:pPr>
      <w:r>
        <w:separator/>
      </w:r>
    </w:p>
  </w:endnote>
  <w:endnote w:type="continuationSeparator" w:id="0">
    <w:p w:rsidR="00284ABA" w:rsidRDefault="00284AB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170AC" w:rsidRDefault="006C3242" w:rsidP="005D1FD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FR"/>
      </w:rPr>
    </w:pPr>
    <w:r w:rsidRPr="006170A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6170A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6170A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0D324A" w:rsidRPr="006170AC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P:\ARA\SG\CONSEIL\C19\000\092A.docx</w:t>
    </w:r>
    <w:r w:rsidRPr="006170AC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6170AC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 xml:space="preserve">  </w:t>
    </w:r>
    <w:r w:rsidRPr="006170A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 xml:space="preserve"> (</w:t>
    </w:r>
    <w:r w:rsidR="005D1FD6" w:rsidRPr="006170AC">
      <w:rPr>
        <w:rFonts w:ascii="Calibri" w:hAnsi="Calibri" w:cs="Calibri" w:hint="cs"/>
        <w:color w:val="D9D9D9" w:themeColor="background1" w:themeShade="D9"/>
        <w:sz w:val="16"/>
        <w:szCs w:val="16"/>
        <w:rtl/>
        <w:lang w:val="fr-FR"/>
      </w:rPr>
      <w:t>456065</w:t>
    </w:r>
    <w:r w:rsidRPr="006170A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)</w:t>
    </w:r>
    <w:r w:rsidRPr="006170A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6170A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6170A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6170A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6170AC" w:rsidRPr="006170AC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07.06.19</w:t>
    </w:r>
    <w:r w:rsidRPr="006170AC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6170A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6170A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6170A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6170A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0D324A" w:rsidRPr="006170AC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07.06.19</w:t>
    </w:r>
    <w:r w:rsidRPr="006170AC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ABA" w:rsidRDefault="00284ABA" w:rsidP="006C3242">
      <w:pPr>
        <w:spacing w:before="0" w:line="240" w:lineRule="auto"/>
      </w:pPr>
      <w:r>
        <w:separator/>
      </w:r>
    </w:p>
  </w:footnote>
  <w:footnote w:type="continuationSeparator" w:id="0">
    <w:p w:rsidR="00284ABA" w:rsidRDefault="00284AB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6170AC" w:rsidRDefault="006170AC" w:rsidP="005D1FD6">
    <w:pPr>
      <w:pStyle w:val="Header"/>
      <w:bidi w:val="0"/>
      <w:spacing w:before="120" w:after="240"/>
      <w:jc w:val="center"/>
      <w:rPr>
        <w:rFonts w:cs="Calibri"/>
        <w:color w:val="D9D9D9" w:themeColor="background1" w:themeShade="D9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color w:val="D9D9D9" w:themeColor="background1" w:themeShade="D9"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</w:r>
        <w:r w:rsidR="00447F32" w:rsidRPr="006170AC">
          <w:rPr>
            <w:rFonts w:cs="Calibri"/>
            <w:noProof/>
            <w:sz w:val="20"/>
            <w:szCs w:val="20"/>
          </w:rPr>
          <w:t>C1</w:t>
        </w:r>
        <w:r w:rsidR="00D10CCF" w:rsidRPr="006170AC">
          <w:rPr>
            <w:rFonts w:cs="Calibri"/>
            <w:noProof/>
            <w:sz w:val="20"/>
            <w:szCs w:val="20"/>
          </w:rPr>
          <w:t>9</w:t>
        </w:r>
        <w:r w:rsidR="00447F32" w:rsidRPr="006170AC">
          <w:rPr>
            <w:rFonts w:cs="Calibri"/>
            <w:noProof/>
            <w:sz w:val="20"/>
            <w:szCs w:val="20"/>
          </w:rPr>
          <w:t>/</w:t>
        </w:r>
        <w:r w:rsidR="005D1FD6" w:rsidRPr="006170AC">
          <w:rPr>
            <w:rFonts w:cs="Calibri" w:hint="cs"/>
            <w:noProof/>
            <w:sz w:val="20"/>
            <w:szCs w:val="20"/>
            <w:rtl/>
          </w:rPr>
          <w:t>92</w:t>
        </w:r>
        <w:r w:rsidR="00447F32" w:rsidRPr="006170AC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17"/>
    <w:rsid w:val="0002343C"/>
    <w:rsid w:val="00090574"/>
    <w:rsid w:val="000C1C0E"/>
    <w:rsid w:val="000C247E"/>
    <w:rsid w:val="000C548A"/>
    <w:rsid w:val="000D324A"/>
    <w:rsid w:val="001149DB"/>
    <w:rsid w:val="00156F60"/>
    <w:rsid w:val="001C0169"/>
    <w:rsid w:val="001D1D50"/>
    <w:rsid w:val="001D6745"/>
    <w:rsid w:val="001E446E"/>
    <w:rsid w:val="001E6232"/>
    <w:rsid w:val="002154EE"/>
    <w:rsid w:val="002276D2"/>
    <w:rsid w:val="0023283D"/>
    <w:rsid w:val="00244D21"/>
    <w:rsid w:val="00271C43"/>
    <w:rsid w:val="00284ABA"/>
    <w:rsid w:val="00290728"/>
    <w:rsid w:val="002978F4"/>
    <w:rsid w:val="002B028D"/>
    <w:rsid w:val="002E6541"/>
    <w:rsid w:val="002F2F87"/>
    <w:rsid w:val="00334924"/>
    <w:rsid w:val="003409BC"/>
    <w:rsid w:val="003440DD"/>
    <w:rsid w:val="00357185"/>
    <w:rsid w:val="00383829"/>
    <w:rsid w:val="003C4878"/>
    <w:rsid w:val="003E187D"/>
    <w:rsid w:val="003F4B29"/>
    <w:rsid w:val="0042686F"/>
    <w:rsid w:val="004317D8"/>
    <w:rsid w:val="00434183"/>
    <w:rsid w:val="00443869"/>
    <w:rsid w:val="00447F32"/>
    <w:rsid w:val="004D6EED"/>
    <w:rsid w:val="004E11DC"/>
    <w:rsid w:val="004E1D86"/>
    <w:rsid w:val="00521D8D"/>
    <w:rsid w:val="005409AC"/>
    <w:rsid w:val="00543B8F"/>
    <w:rsid w:val="00552CED"/>
    <w:rsid w:val="0055516A"/>
    <w:rsid w:val="0058491B"/>
    <w:rsid w:val="00592EA5"/>
    <w:rsid w:val="005A3170"/>
    <w:rsid w:val="005D1FD6"/>
    <w:rsid w:val="005F0190"/>
    <w:rsid w:val="006170AC"/>
    <w:rsid w:val="006234DA"/>
    <w:rsid w:val="00645136"/>
    <w:rsid w:val="006476F6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D26FE"/>
    <w:rsid w:val="007D4ACF"/>
    <w:rsid w:val="007F0787"/>
    <w:rsid w:val="00810B7B"/>
    <w:rsid w:val="0082358A"/>
    <w:rsid w:val="008235CD"/>
    <w:rsid w:val="008247DE"/>
    <w:rsid w:val="00840B10"/>
    <w:rsid w:val="00847D0B"/>
    <w:rsid w:val="008513CB"/>
    <w:rsid w:val="008949C3"/>
    <w:rsid w:val="00910169"/>
    <w:rsid w:val="00923B0C"/>
    <w:rsid w:val="0092734F"/>
    <w:rsid w:val="0094021C"/>
    <w:rsid w:val="00952F86"/>
    <w:rsid w:val="00982B28"/>
    <w:rsid w:val="009874D2"/>
    <w:rsid w:val="009D313F"/>
    <w:rsid w:val="00A47A5A"/>
    <w:rsid w:val="00A6683B"/>
    <w:rsid w:val="00A97F94"/>
    <w:rsid w:val="00AC2826"/>
    <w:rsid w:val="00B05BC8"/>
    <w:rsid w:val="00B24DA3"/>
    <w:rsid w:val="00B42F6C"/>
    <w:rsid w:val="00B64B47"/>
    <w:rsid w:val="00C002DE"/>
    <w:rsid w:val="00C53BF8"/>
    <w:rsid w:val="00C66157"/>
    <w:rsid w:val="00C66780"/>
    <w:rsid w:val="00C674FE"/>
    <w:rsid w:val="00C67501"/>
    <w:rsid w:val="00C75633"/>
    <w:rsid w:val="00CE2EE1"/>
    <w:rsid w:val="00CE3349"/>
    <w:rsid w:val="00CF3FFD"/>
    <w:rsid w:val="00D10CCF"/>
    <w:rsid w:val="00D12F17"/>
    <w:rsid w:val="00D22F2E"/>
    <w:rsid w:val="00D77D0F"/>
    <w:rsid w:val="00DA1CF0"/>
    <w:rsid w:val="00DC1E02"/>
    <w:rsid w:val="00DC24B4"/>
    <w:rsid w:val="00DF16DC"/>
    <w:rsid w:val="00E45211"/>
    <w:rsid w:val="00E92863"/>
    <w:rsid w:val="00EB796D"/>
    <w:rsid w:val="00F058DC"/>
    <w:rsid w:val="00F1510B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EA5A306-8BCC-4F59-8873-D434004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AC2826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Em">
    <w:name w:val="Em"/>
    <w:basedOn w:val="Normal"/>
    <w:rsid w:val="005D1FD6"/>
    <w:rPr>
      <w:rFonts w:ascii="Traditional Arabic" w:hAnsi="Traditional Arabic"/>
      <w:lang w:val="fr-CH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blue\dfs\refinfo\REFTXT\REFTXT2019\SG\CONSEIL\C19\000\CWG-Internet%2012\10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6D98-5F76-4EC5-87D8-44B43C64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Republic of Côte d'Ivoire - Topic for CWG-Internet's next open consultations</dc:title>
  <dc:subject>Council 2019</dc:subject>
  <dc:creator>Abdelmessih, George</dc:creator>
  <cp:keywords>C2019, C19</cp:keywords>
  <dc:description/>
  <cp:lastModifiedBy>Brouard, Ricarda</cp:lastModifiedBy>
  <cp:revision>2</cp:revision>
  <cp:lastPrinted>2019-06-07T12:24:00Z</cp:lastPrinted>
  <dcterms:created xsi:type="dcterms:W3CDTF">2019-06-07T16:16:00Z</dcterms:created>
  <dcterms:modified xsi:type="dcterms:W3CDTF">2019-06-07T16:16:00Z</dcterms:modified>
</cp:coreProperties>
</file>