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FA4575">
            <w:pPr>
              <w:spacing w:before="360" w:after="48" w:line="240" w:lineRule="atLeast"/>
              <w:rPr>
                <w:position w:val="6"/>
              </w:rPr>
            </w:pPr>
            <w:bookmarkStart w:id="0" w:name="dc06"/>
            <w:bookmarkStart w:id="1" w:name="_GoBack"/>
            <w:bookmarkEnd w:id="0"/>
            <w:bookmarkEnd w:id="1"/>
            <w:r w:rsidRPr="00E85629">
              <w:rPr>
                <w:b/>
                <w:bCs/>
                <w:position w:val="6"/>
                <w:sz w:val="30"/>
                <w:szCs w:val="30"/>
                <w:lang w:val="fr-CH"/>
              </w:rPr>
              <w:t>Council 201</w:t>
            </w:r>
            <w:r w:rsidR="00FA4575">
              <w:rPr>
                <w:b/>
                <w:bCs/>
                <w:position w:val="6"/>
                <w:sz w:val="30"/>
                <w:szCs w:val="30"/>
                <w:lang w:val="fr-CH"/>
              </w:rPr>
              <w:t>9</w:t>
            </w:r>
            <w:r w:rsidRPr="00E85629">
              <w:rPr>
                <w:rFonts w:cs="Times"/>
                <w:b/>
                <w:position w:val="6"/>
                <w:sz w:val="26"/>
                <w:szCs w:val="26"/>
                <w:lang w:val="en-US"/>
              </w:rPr>
              <w:br/>
            </w:r>
            <w:r w:rsidRPr="00E85629">
              <w:rPr>
                <w:b/>
                <w:bCs/>
                <w:position w:val="6"/>
                <w:szCs w:val="24"/>
                <w:lang w:val="fr-CH"/>
              </w:rPr>
              <w:t xml:space="preserve">Geneva, </w:t>
            </w:r>
            <w:r w:rsidR="00FA4575">
              <w:rPr>
                <w:b/>
                <w:bCs/>
                <w:position w:val="6"/>
                <w:szCs w:val="24"/>
                <w:lang w:val="fr-CH"/>
              </w:rPr>
              <w:t xml:space="preserve">10-20 </w:t>
            </w:r>
            <w:proofErr w:type="spellStart"/>
            <w:r w:rsidR="00FA4575">
              <w:rPr>
                <w:b/>
                <w:bCs/>
                <w:position w:val="6"/>
                <w:szCs w:val="24"/>
                <w:lang w:val="fr-CH"/>
              </w:rPr>
              <w:t>June</w:t>
            </w:r>
            <w:proofErr w:type="spellEnd"/>
            <w:r w:rsidR="00FA4575">
              <w:rPr>
                <w:b/>
                <w:bCs/>
                <w:position w:val="6"/>
                <w:szCs w:val="24"/>
                <w:lang w:val="fr-CH"/>
              </w:rPr>
              <w:t xml:space="preserve"> 2019</w:t>
            </w:r>
          </w:p>
        </w:tc>
        <w:tc>
          <w:tcPr>
            <w:tcW w:w="3120" w:type="dxa"/>
          </w:tcPr>
          <w:p w:rsidR="002A2188" w:rsidRPr="00813E5E" w:rsidRDefault="002A2188" w:rsidP="00464B6C">
            <w:pPr>
              <w:spacing w:before="0" w:line="240" w:lineRule="atLeast"/>
              <w:jc w:val="right"/>
            </w:pPr>
            <w:bookmarkStart w:id="2" w:name="ditulogo"/>
            <w:bookmarkEnd w:id="2"/>
            <w:r w:rsidRPr="00F21593">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D04E39" w:rsidP="00DF5883">
            <w:pPr>
              <w:tabs>
                <w:tab w:val="left" w:pos="851"/>
              </w:tabs>
              <w:spacing w:before="0" w:line="240" w:lineRule="atLeast"/>
              <w:rPr>
                <w:b/>
              </w:rPr>
            </w:pPr>
            <w:bookmarkStart w:id="3" w:name="dmeeting" w:colFirst="0" w:colLast="0"/>
            <w:bookmarkStart w:id="4" w:name="dnum" w:colFirst="1" w:colLast="1"/>
            <w:r>
              <w:rPr>
                <w:b/>
              </w:rPr>
              <w:t xml:space="preserve">Agenda item: </w:t>
            </w:r>
            <w:r w:rsidR="000350C2">
              <w:rPr>
                <w:b/>
              </w:rPr>
              <w:t xml:space="preserve">PL </w:t>
            </w:r>
            <w:r w:rsidR="00A814BE">
              <w:rPr>
                <w:b/>
              </w:rPr>
              <w:t>2.4</w:t>
            </w:r>
          </w:p>
        </w:tc>
        <w:tc>
          <w:tcPr>
            <w:tcW w:w="3120" w:type="dxa"/>
          </w:tcPr>
          <w:p w:rsidR="002A2188" w:rsidRPr="00E85629" w:rsidRDefault="002A2188" w:rsidP="00A814BE">
            <w:pPr>
              <w:tabs>
                <w:tab w:val="left" w:pos="851"/>
              </w:tabs>
              <w:spacing w:before="0" w:line="240" w:lineRule="atLeast"/>
              <w:rPr>
                <w:b/>
              </w:rPr>
            </w:pPr>
            <w:r>
              <w:rPr>
                <w:b/>
              </w:rPr>
              <w:t>Document C1</w:t>
            </w:r>
            <w:r w:rsidR="00FA4575">
              <w:rPr>
                <w:b/>
              </w:rPr>
              <w:t>9</w:t>
            </w:r>
            <w:r>
              <w:rPr>
                <w:b/>
              </w:rPr>
              <w:t>/</w:t>
            </w:r>
            <w:r w:rsidR="00DF5883">
              <w:rPr>
                <w:b/>
              </w:rPr>
              <w:t>10</w:t>
            </w:r>
            <w:r w:rsidR="00A814BE">
              <w:rPr>
                <w:b/>
              </w:rPr>
              <w:t>1</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date" w:colFirst="1" w:colLast="1"/>
            <w:bookmarkEnd w:id="3"/>
            <w:bookmarkEnd w:id="4"/>
          </w:p>
        </w:tc>
        <w:tc>
          <w:tcPr>
            <w:tcW w:w="3120" w:type="dxa"/>
          </w:tcPr>
          <w:p w:rsidR="002A2188" w:rsidRPr="00E85629" w:rsidRDefault="00182367" w:rsidP="00F76111">
            <w:pPr>
              <w:tabs>
                <w:tab w:val="left" w:pos="993"/>
              </w:tabs>
              <w:spacing w:before="0"/>
              <w:rPr>
                <w:b/>
              </w:rPr>
            </w:pPr>
            <w:r>
              <w:rPr>
                <w:b/>
              </w:rPr>
              <w:t>2</w:t>
            </w:r>
            <w:r w:rsidR="00F76111">
              <w:rPr>
                <w:b/>
              </w:rPr>
              <w:t>7</w:t>
            </w:r>
            <w:r>
              <w:rPr>
                <w:b/>
              </w:rPr>
              <w:t xml:space="preserve"> May</w:t>
            </w:r>
            <w:r w:rsidR="002A2188">
              <w:rPr>
                <w:b/>
              </w:rPr>
              <w:t xml:space="preserve"> 201</w:t>
            </w:r>
            <w:r w:rsidR="00FA4575">
              <w:rPr>
                <w:b/>
              </w:rPr>
              <w:t>9</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6" w:name="dorlang" w:colFirst="1" w:colLast="1"/>
            <w:bookmarkEnd w:id="5"/>
          </w:p>
        </w:tc>
        <w:tc>
          <w:tcPr>
            <w:tcW w:w="3120" w:type="dxa"/>
          </w:tcPr>
          <w:p w:rsidR="002A2188" w:rsidRPr="00E85629" w:rsidRDefault="002A2188" w:rsidP="00464B6C">
            <w:pPr>
              <w:tabs>
                <w:tab w:val="left" w:pos="993"/>
              </w:tabs>
              <w:spacing w:before="0"/>
              <w:rPr>
                <w:b/>
              </w:rPr>
            </w:pPr>
            <w:r>
              <w:rPr>
                <w:b/>
              </w:rPr>
              <w:t>Original: English</w:t>
            </w:r>
          </w:p>
        </w:tc>
      </w:tr>
      <w:tr w:rsidR="002A2188" w:rsidRPr="00813E5E" w:rsidTr="00464B6C">
        <w:trPr>
          <w:cantSplit/>
        </w:trPr>
        <w:tc>
          <w:tcPr>
            <w:tcW w:w="10031" w:type="dxa"/>
            <w:gridSpan w:val="2"/>
          </w:tcPr>
          <w:p w:rsidR="002A2188" w:rsidRPr="00813E5E" w:rsidRDefault="00182367" w:rsidP="00464B6C">
            <w:pPr>
              <w:pStyle w:val="Source"/>
            </w:pPr>
            <w:bookmarkStart w:id="7" w:name="dsource" w:colFirst="0" w:colLast="0"/>
            <w:bookmarkEnd w:id="6"/>
            <w:r>
              <w:t>Note</w:t>
            </w:r>
            <w:r w:rsidRPr="00D04E39">
              <w:t xml:space="preserve"> by the Secretary-General</w:t>
            </w:r>
          </w:p>
        </w:tc>
      </w:tr>
      <w:tr w:rsidR="002A2188" w:rsidRPr="00813E5E" w:rsidTr="00464B6C">
        <w:trPr>
          <w:cantSplit/>
        </w:trPr>
        <w:tc>
          <w:tcPr>
            <w:tcW w:w="10031" w:type="dxa"/>
            <w:gridSpan w:val="2"/>
          </w:tcPr>
          <w:p w:rsidR="00182367" w:rsidRPr="00517BEC" w:rsidRDefault="00182367" w:rsidP="00A814BE">
            <w:pPr>
              <w:pStyle w:val="Title1"/>
              <w:rPr>
                <w:szCs w:val="28"/>
              </w:rPr>
            </w:pPr>
            <w:bookmarkStart w:id="8" w:name="dtitle1" w:colFirst="0" w:colLast="0"/>
            <w:bookmarkEnd w:id="7"/>
            <w:r w:rsidRPr="00517BEC">
              <w:rPr>
                <w:szCs w:val="28"/>
              </w:rPr>
              <w:t xml:space="preserve">CONTRIBUTION FROM the </w:t>
            </w:r>
            <w:r w:rsidR="000350C2">
              <w:rPr>
                <w:szCs w:val="28"/>
              </w:rPr>
              <w:t xml:space="preserve">UNITED ARAB EMIRATES AND </w:t>
            </w:r>
            <w:r w:rsidR="00A814BE">
              <w:rPr>
                <w:szCs w:val="28"/>
              </w:rPr>
              <w:br/>
            </w:r>
            <w:r w:rsidR="000350C2">
              <w:rPr>
                <w:szCs w:val="28"/>
              </w:rPr>
              <w:t xml:space="preserve">THE </w:t>
            </w:r>
            <w:r w:rsidR="00F76111" w:rsidRPr="00517BEC">
              <w:rPr>
                <w:szCs w:val="28"/>
              </w:rPr>
              <w:t>KINGDOM OF SAUDI ARABIA</w:t>
            </w:r>
          </w:p>
          <w:p w:rsidR="002A2188" w:rsidRPr="00813E5E" w:rsidRDefault="00A814BE" w:rsidP="000350C2">
            <w:pPr>
              <w:pStyle w:val="Title2"/>
            </w:pPr>
            <w:r>
              <w:rPr>
                <w:lang w:eastAsia="zh-CN"/>
              </w:rPr>
              <w:t>Suggested improvEments TO the work of the Plenipotentiary conference</w:t>
            </w:r>
          </w:p>
        </w:tc>
      </w:tr>
      <w:bookmarkEnd w:id="8"/>
    </w:tbl>
    <w:p w:rsidR="002A2188" w:rsidRDefault="002A2188" w:rsidP="002A2188"/>
    <w:p w:rsidR="00182367" w:rsidRDefault="00182367" w:rsidP="002A2188"/>
    <w:p w:rsidR="00182367" w:rsidRDefault="00182367" w:rsidP="00A814BE">
      <w:r>
        <w:t>I have the honour to transmit to the Member States of the Council a contribution submitted by the</w:t>
      </w:r>
      <w:r w:rsidR="000350C2">
        <w:t xml:space="preserve"> United Arab Emirates and the </w:t>
      </w:r>
      <w:r w:rsidR="00F76111">
        <w:t>Kingdom of Saudi Arabia.</w:t>
      </w:r>
    </w:p>
    <w:p w:rsidR="00182367" w:rsidRDefault="00182367" w:rsidP="00182367">
      <w:pPr>
        <w:tabs>
          <w:tab w:val="clear" w:pos="567"/>
          <w:tab w:val="clear" w:pos="1134"/>
          <w:tab w:val="clear" w:pos="1701"/>
          <w:tab w:val="clear" w:pos="2268"/>
          <w:tab w:val="clear" w:pos="2835"/>
          <w:tab w:val="left" w:pos="6237"/>
        </w:tabs>
        <w:spacing w:before="1080"/>
      </w:pPr>
      <w:r>
        <w:tab/>
        <w:t>Houlin ZHAO</w:t>
      </w:r>
    </w:p>
    <w:p w:rsidR="00182367" w:rsidRPr="00813E5E" w:rsidRDefault="00182367" w:rsidP="00182367">
      <w:pPr>
        <w:tabs>
          <w:tab w:val="clear" w:pos="567"/>
          <w:tab w:val="clear" w:pos="1134"/>
          <w:tab w:val="clear" w:pos="1701"/>
          <w:tab w:val="clear" w:pos="2268"/>
          <w:tab w:val="clear" w:pos="2835"/>
          <w:tab w:val="left" w:pos="6096"/>
        </w:tabs>
        <w:spacing w:before="0"/>
      </w:pPr>
      <w:r>
        <w:tab/>
        <w:t>Secretary-General</w:t>
      </w:r>
    </w:p>
    <w:p w:rsidR="00182367" w:rsidRDefault="00182367" w:rsidP="002A2188"/>
    <w:p w:rsidR="00182367" w:rsidRDefault="00182367">
      <w:pPr>
        <w:tabs>
          <w:tab w:val="clear" w:pos="567"/>
          <w:tab w:val="clear" w:pos="1134"/>
          <w:tab w:val="clear" w:pos="1701"/>
          <w:tab w:val="clear" w:pos="2268"/>
          <w:tab w:val="clear" w:pos="2835"/>
        </w:tabs>
        <w:overflowPunct/>
        <w:autoSpaceDE/>
        <w:autoSpaceDN/>
        <w:adjustRightInd/>
        <w:spacing w:before="0"/>
        <w:textAlignment w:val="auto"/>
      </w:pPr>
      <w:r>
        <w:br w:type="page"/>
      </w:r>
    </w:p>
    <w:p w:rsidR="00182367" w:rsidRDefault="00182367" w:rsidP="00A814BE">
      <w:pPr>
        <w:pStyle w:val="Source"/>
      </w:pPr>
      <w:r>
        <w:lastRenderedPageBreak/>
        <w:t xml:space="preserve">Contribution from the </w:t>
      </w:r>
      <w:r w:rsidR="000350C2">
        <w:t>United Arab Emirates and the Kingdom of Saudi Arabia</w:t>
      </w:r>
    </w:p>
    <w:p w:rsidR="000350C2" w:rsidRDefault="00A814BE" w:rsidP="000350C2">
      <w:pPr>
        <w:pStyle w:val="Title2"/>
        <w:rPr>
          <w:lang w:eastAsia="zh-CN"/>
        </w:rPr>
      </w:pPr>
      <w:r>
        <w:rPr>
          <w:lang w:eastAsia="zh-CN"/>
        </w:rPr>
        <w:t>Suggested improvEments TO the work of the</w:t>
      </w:r>
      <w:r w:rsidR="008F6C81">
        <w:rPr>
          <w:lang w:eastAsia="zh-CN"/>
        </w:rPr>
        <w:t xml:space="preserve"> Plenipotentiary </w:t>
      </w:r>
      <w:r>
        <w:rPr>
          <w:lang w:eastAsia="zh-CN"/>
        </w:rPr>
        <w:t>conference</w:t>
      </w:r>
    </w:p>
    <w:tbl>
      <w:tblPr>
        <w:tblStyle w:val="TableGrid"/>
        <w:tblW w:w="8080" w:type="dxa"/>
        <w:jc w:val="center"/>
        <w:tblLayout w:type="fixed"/>
        <w:tblLook w:val="0000" w:firstRow="0" w:lastRow="0" w:firstColumn="0" w:lastColumn="0" w:noHBand="0" w:noVBand="0"/>
      </w:tblPr>
      <w:tblGrid>
        <w:gridCol w:w="8080"/>
      </w:tblGrid>
      <w:tr w:rsidR="00A814BE" w:rsidRPr="00895626" w:rsidTr="003F3B90">
        <w:trPr>
          <w:trHeight w:val="3372"/>
          <w:jc w:val="center"/>
        </w:trPr>
        <w:tc>
          <w:tcPr>
            <w:tcW w:w="8080" w:type="dxa"/>
          </w:tcPr>
          <w:p w:rsidR="00A814BE" w:rsidRPr="00D65854" w:rsidRDefault="00A814BE" w:rsidP="003F3B90">
            <w:pPr>
              <w:pStyle w:val="Headingb"/>
              <w:spacing w:before="120" w:after="120"/>
              <w:rPr>
                <w:szCs w:val="24"/>
              </w:rPr>
            </w:pPr>
            <w:r w:rsidRPr="00D65854">
              <w:rPr>
                <w:szCs w:val="24"/>
              </w:rPr>
              <w:t>Summary</w:t>
            </w:r>
          </w:p>
          <w:p w:rsidR="00A814BE" w:rsidRPr="0029455F" w:rsidRDefault="00A814BE" w:rsidP="003F3B90">
            <w:pPr>
              <w:spacing w:after="120"/>
              <w:jc w:val="both"/>
              <w:rPr>
                <w:szCs w:val="24"/>
                <w:lang w:val="en-US"/>
              </w:rPr>
            </w:pPr>
            <w:r w:rsidRPr="006C3EC7">
              <w:rPr>
                <w:szCs w:val="24"/>
                <w:lang w:val="en-US"/>
              </w:rPr>
              <w:t xml:space="preserve">This document </w:t>
            </w:r>
            <w:r w:rsidRPr="006C3EC7">
              <w:rPr>
                <w:rFonts w:eastAsia="Arial Unicode MS" w:cstheme="minorHAnsi"/>
                <w:szCs w:val="24"/>
              </w:rPr>
              <w:t xml:space="preserve">proposes </w:t>
            </w:r>
            <w:r>
              <w:rPr>
                <w:rFonts w:eastAsia="Arial Unicode MS" w:cstheme="minorHAnsi"/>
                <w:szCs w:val="24"/>
              </w:rPr>
              <w:t>improvements to the work of the Plenipotentiary Conference based on the experience of the United Arab Emirates at hosting and chairing PP-18.</w:t>
            </w:r>
          </w:p>
          <w:p w:rsidR="00A814BE" w:rsidRPr="006C3EC7" w:rsidRDefault="00A814BE" w:rsidP="003F3B90">
            <w:pPr>
              <w:pStyle w:val="Headingb"/>
              <w:spacing w:before="120" w:after="120"/>
              <w:jc w:val="both"/>
              <w:rPr>
                <w:b w:val="0"/>
                <w:bCs/>
                <w:szCs w:val="24"/>
              </w:rPr>
            </w:pPr>
            <w:r w:rsidRPr="0029455F">
              <w:rPr>
                <w:szCs w:val="24"/>
              </w:rPr>
              <w:t>Action</w:t>
            </w:r>
            <w:r w:rsidRPr="0029455F">
              <w:rPr>
                <w:bCs/>
                <w:szCs w:val="24"/>
              </w:rPr>
              <w:t xml:space="preserve"> </w:t>
            </w:r>
            <w:r w:rsidRPr="0029455F">
              <w:rPr>
                <w:szCs w:val="24"/>
              </w:rPr>
              <w:t>required</w:t>
            </w:r>
          </w:p>
          <w:p w:rsidR="00A814BE" w:rsidRPr="0029455F" w:rsidRDefault="00A814BE" w:rsidP="003F3B90">
            <w:pPr>
              <w:tabs>
                <w:tab w:val="left" w:pos="794"/>
                <w:tab w:val="left" w:pos="1191"/>
                <w:tab w:val="left" w:pos="1588"/>
                <w:tab w:val="left" w:pos="1985"/>
              </w:tabs>
              <w:spacing w:after="120"/>
              <w:ind w:left="34"/>
              <w:jc w:val="both"/>
              <w:rPr>
                <w:rFonts w:asciiTheme="minorHAnsi" w:hAnsiTheme="minorHAnsi"/>
                <w:szCs w:val="24"/>
              </w:rPr>
            </w:pPr>
            <w:r>
              <w:rPr>
                <w:szCs w:val="24"/>
              </w:rPr>
              <w:t>To consider the proposed suggestion in this contribution in the preparation for the next Plenipotentiary Conference (PP-22).</w:t>
            </w:r>
          </w:p>
          <w:p w:rsidR="00A814BE" w:rsidRPr="0029455F" w:rsidRDefault="00A814BE" w:rsidP="003F3B90">
            <w:pPr>
              <w:pStyle w:val="Table"/>
              <w:keepNext w:val="0"/>
              <w:adjustRightInd w:val="0"/>
              <w:snapToGrid w:val="0"/>
              <w:spacing w:before="120"/>
              <w:jc w:val="both"/>
              <w:rPr>
                <w:rFonts w:asciiTheme="minorHAnsi" w:hAnsiTheme="minorHAnsi"/>
                <w:caps w:val="0"/>
                <w:szCs w:val="24"/>
                <w:lang w:val="en-US"/>
              </w:rPr>
            </w:pPr>
            <w:r w:rsidRPr="0029455F">
              <w:rPr>
                <w:rFonts w:asciiTheme="minorHAnsi" w:hAnsiTheme="minorHAnsi"/>
                <w:caps w:val="0"/>
                <w:szCs w:val="24"/>
                <w:lang w:val="en-US"/>
              </w:rPr>
              <w:t>____________</w:t>
            </w:r>
          </w:p>
          <w:p w:rsidR="00A814BE" w:rsidRPr="006C3EC7" w:rsidRDefault="00A814BE" w:rsidP="003F3B90">
            <w:pPr>
              <w:pStyle w:val="Headingb"/>
              <w:spacing w:before="120" w:after="120"/>
              <w:jc w:val="both"/>
              <w:rPr>
                <w:szCs w:val="24"/>
                <w:lang w:val="en-US"/>
              </w:rPr>
            </w:pPr>
            <w:r w:rsidRPr="006C3EC7">
              <w:rPr>
                <w:szCs w:val="24"/>
                <w:lang w:val="en-US"/>
              </w:rPr>
              <w:t>References</w:t>
            </w:r>
          </w:p>
          <w:p w:rsidR="00A814BE" w:rsidRPr="0029455F" w:rsidRDefault="0060035E" w:rsidP="008F6C81">
            <w:pPr>
              <w:snapToGrid w:val="0"/>
              <w:spacing w:after="120"/>
              <w:jc w:val="both"/>
              <w:rPr>
                <w:rFonts w:asciiTheme="minorHAnsi" w:hAnsiTheme="minorHAnsi" w:cs="Arial"/>
                <w:color w:val="0000FF"/>
                <w:sz w:val="22"/>
                <w:szCs w:val="22"/>
                <w:lang w:val="en-US"/>
              </w:rPr>
            </w:pPr>
            <w:hyperlink r:id="rId12" w:history="1">
              <w:r w:rsidR="00A814BE" w:rsidRPr="008F6C81">
                <w:rPr>
                  <w:rStyle w:val="Hyperlink"/>
                  <w:szCs w:val="24"/>
                </w:rPr>
                <w:t>Resolution 77 (Rev. Dubai, 2018)</w:t>
              </w:r>
            </w:hyperlink>
            <w:r w:rsidR="00A814BE">
              <w:rPr>
                <w:szCs w:val="24"/>
              </w:rPr>
              <w:t>,</w:t>
            </w:r>
            <w:r w:rsidR="008F6C81">
              <w:rPr>
                <w:szCs w:val="24"/>
              </w:rPr>
              <w:t xml:space="preserve"> </w:t>
            </w:r>
            <w:hyperlink r:id="rId13" w:history="1">
              <w:r w:rsidR="008F6C81" w:rsidRPr="008F6C81">
                <w:rPr>
                  <w:rStyle w:val="Hyperlink"/>
                  <w:szCs w:val="24"/>
                </w:rPr>
                <w:t>Document C19/4</w:t>
              </w:r>
            </w:hyperlink>
            <w:r w:rsidR="008F6C81">
              <w:rPr>
                <w:szCs w:val="24"/>
              </w:rPr>
              <w:t>: R</w:t>
            </w:r>
            <w:r w:rsidR="00A814BE">
              <w:rPr>
                <w:szCs w:val="24"/>
              </w:rPr>
              <w:t>eport on the twentieth Plenipotentiary C</w:t>
            </w:r>
            <w:r w:rsidR="008F6C81">
              <w:rPr>
                <w:szCs w:val="24"/>
              </w:rPr>
              <w:t>onference (PP</w:t>
            </w:r>
            <w:r w:rsidR="00A814BE" w:rsidRPr="00AF2E44">
              <w:rPr>
                <w:szCs w:val="24"/>
              </w:rPr>
              <w:t>-18)</w:t>
            </w:r>
          </w:p>
        </w:tc>
      </w:tr>
    </w:tbl>
    <w:p w:rsidR="00A814BE" w:rsidRPr="00B41778" w:rsidRDefault="00A814BE" w:rsidP="00A814BE">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lang w:val="en-US"/>
        </w:rPr>
      </w:pPr>
      <w:r>
        <w:rPr>
          <w:rFonts w:asciiTheme="minorHAnsi" w:hAnsiTheme="minorHAnsi"/>
          <w:szCs w:val="28"/>
        </w:rPr>
        <w:t>I</w:t>
      </w:r>
      <w:r>
        <w:rPr>
          <w:rFonts w:asciiTheme="minorHAnsi" w:hAnsiTheme="minorHAnsi"/>
          <w:szCs w:val="28"/>
        </w:rPr>
        <w:tab/>
        <w:t>Introduction</w:t>
      </w:r>
    </w:p>
    <w:p w:rsidR="00A814BE" w:rsidRDefault="00A814BE" w:rsidP="00A814BE">
      <w:pPr>
        <w:pStyle w:val="Normalaftertitle"/>
      </w:pPr>
      <w:r w:rsidRPr="00C53C40">
        <w:rPr>
          <w:rFonts w:asciiTheme="minorHAnsi" w:hAnsiTheme="minorHAnsi"/>
          <w:szCs w:val="24"/>
        </w:rPr>
        <w:t>The Plenipotentiary Conference of the International Telec</w:t>
      </w:r>
      <w:r>
        <w:rPr>
          <w:rFonts w:asciiTheme="minorHAnsi" w:hAnsiTheme="minorHAnsi"/>
          <w:szCs w:val="24"/>
        </w:rPr>
        <w:t>ommunication Union</w:t>
      </w:r>
      <w:r w:rsidRPr="00C53C40">
        <w:rPr>
          <w:rFonts w:asciiTheme="minorHAnsi" w:hAnsiTheme="minorHAnsi"/>
          <w:szCs w:val="24"/>
        </w:rPr>
        <w:t>,</w:t>
      </w:r>
      <w:r>
        <w:rPr>
          <w:rFonts w:asciiTheme="minorHAnsi" w:hAnsiTheme="minorHAnsi"/>
          <w:szCs w:val="24"/>
        </w:rPr>
        <w:t xml:space="preserve"> Resolution 77 </w:t>
      </w:r>
      <w:r w:rsidRPr="00C53C40">
        <w:rPr>
          <w:rFonts w:asciiTheme="minorHAnsi" w:hAnsiTheme="minorHAnsi"/>
          <w:szCs w:val="24"/>
        </w:rPr>
        <w:t>(</w:t>
      </w:r>
      <w:r>
        <w:rPr>
          <w:rFonts w:asciiTheme="minorHAnsi" w:hAnsiTheme="minorHAnsi"/>
          <w:szCs w:val="24"/>
        </w:rPr>
        <w:t xml:space="preserve">Rev. </w:t>
      </w:r>
      <w:r w:rsidRPr="00C53C40">
        <w:rPr>
          <w:rFonts w:asciiTheme="minorHAnsi" w:hAnsiTheme="minorHAnsi"/>
          <w:szCs w:val="24"/>
        </w:rPr>
        <w:t>Dubai, 2018)</w:t>
      </w:r>
      <w:r>
        <w:rPr>
          <w:rFonts w:asciiTheme="minorHAnsi" w:hAnsiTheme="minorHAnsi"/>
          <w:szCs w:val="24"/>
        </w:rPr>
        <w:t xml:space="preserve"> </w:t>
      </w:r>
    </w:p>
    <w:p w:rsidR="00A814BE" w:rsidRPr="000A2ADC" w:rsidRDefault="00A814BE" w:rsidP="00A814BE">
      <w:pPr>
        <w:pStyle w:val="Call"/>
        <w:rPr>
          <w:lang w:val="en-US"/>
        </w:rPr>
      </w:pPr>
      <w:proofErr w:type="gramStart"/>
      <w:r w:rsidRPr="000A2ADC">
        <w:rPr>
          <w:lang w:val="en-US"/>
        </w:rPr>
        <w:t>instructs</w:t>
      </w:r>
      <w:proofErr w:type="gramEnd"/>
      <w:r w:rsidRPr="000A2ADC">
        <w:rPr>
          <w:lang w:val="en-US"/>
        </w:rPr>
        <w:t xml:space="preserve"> the Secretary-General </w:t>
      </w:r>
    </w:p>
    <w:p w:rsidR="00A814BE" w:rsidRPr="000A2ADC" w:rsidRDefault="00A814BE" w:rsidP="00A814BE">
      <w:pPr>
        <w:rPr>
          <w:lang w:val="en-US"/>
        </w:rPr>
      </w:pPr>
      <w:proofErr w:type="gramStart"/>
      <w:r w:rsidRPr="000A2ADC">
        <w:rPr>
          <w:lang w:val="en-US"/>
        </w:rPr>
        <w:t>1</w:t>
      </w:r>
      <w:proofErr w:type="gramEnd"/>
      <w:r w:rsidRPr="000A2ADC">
        <w:rPr>
          <w:lang w:val="en-US"/>
        </w:rPr>
        <w:tab/>
        <w:t>to take appropriate measures to facilitate the most efficient use of time and resources during such conferences;</w:t>
      </w:r>
    </w:p>
    <w:p w:rsidR="00A814BE" w:rsidRPr="00002F05" w:rsidRDefault="00A814BE" w:rsidP="00A814BE">
      <w:r w:rsidRPr="00002F05">
        <w:rPr>
          <w:lang w:val="en-US"/>
        </w:rPr>
        <w:t>2</w:t>
      </w:r>
      <w:r w:rsidRPr="00840F83">
        <w:rPr>
          <w:lang w:val="en-US"/>
        </w:rPr>
        <w:tab/>
      </w:r>
      <w:r w:rsidRPr="00002F05">
        <w:rPr>
          <w:lang w:val="en-US"/>
        </w:rPr>
        <w:t>to g</w:t>
      </w:r>
      <w:r>
        <w:rPr>
          <w:lang w:val="en-US"/>
        </w:rPr>
        <w:t>ive scheduling priority to the study groups and advisory g</w:t>
      </w:r>
      <w:r w:rsidRPr="00002F05">
        <w:rPr>
          <w:lang w:val="en-US"/>
        </w:rPr>
        <w:t xml:space="preserve">roups of the three ITU Sectors, </w:t>
      </w:r>
      <w:r>
        <w:rPr>
          <w:lang w:val="en-US"/>
        </w:rPr>
        <w:t>the Council</w:t>
      </w:r>
      <w:r w:rsidRPr="00002F05">
        <w:rPr>
          <w:lang w:val="en-US"/>
        </w:rPr>
        <w:t xml:space="preserve"> and </w:t>
      </w:r>
      <w:r>
        <w:rPr>
          <w:lang w:val="en-US"/>
        </w:rPr>
        <w:t xml:space="preserve">the </w:t>
      </w:r>
      <w:r w:rsidRPr="00002F05">
        <w:rPr>
          <w:lang w:val="en-US"/>
        </w:rPr>
        <w:t>Counci</w:t>
      </w:r>
      <w:r>
        <w:rPr>
          <w:lang w:val="en-US"/>
        </w:rPr>
        <w:t>l working g</w:t>
      </w:r>
      <w:r w:rsidRPr="00002F05">
        <w:rPr>
          <w:lang w:val="en-US"/>
        </w:rPr>
        <w:t>roups when the m</w:t>
      </w:r>
      <w:r>
        <w:rPr>
          <w:lang w:val="en-US"/>
        </w:rPr>
        <w:t>eetings listed are held at ITU h</w:t>
      </w:r>
      <w:r w:rsidRPr="00002F05">
        <w:rPr>
          <w:lang w:val="en-US"/>
        </w:rPr>
        <w:t>eadquarters;</w:t>
      </w:r>
    </w:p>
    <w:p w:rsidR="00A814BE" w:rsidRPr="000A2ADC" w:rsidRDefault="00A814BE" w:rsidP="00A814BE">
      <w:pPr>
        <w:rPr>
          <w:lang w:val="en-US"/>
        </w:rPr>
      </w:pPr>
      <w:proofErr w:type="gramStart"/>
      <w:r w:rsidRPr="00840F83">
        <w:rPr>
          <w:lang w:val="en-US"/>
        </w:rPr>
        <w:t>3</w:t>
      </w:r>
      <w:proofErr w:type="gramEnd"/>
      <w:r w:rsidRPr="00840F83">
        <w:rPr>
          <w:lang w:val="en-US"/>
        </w:rPr>
        <w:tab/>
        <w:t>to report to the Council on the implementation of this resolution, proposing further</w:t>
      </w:r>
      <w:r w:rsidR="008F6C81">
        <w:rPr>
          <w:lang w:val="en-US"/>
        </w:rPr>
        <w:t xml:space="preserve"> improvements, as appropriate.</w:t>
      </w:r>
    </w:p>
    <w:p w:rsidR="00A814BE" w:rsidRDefault="00A814BE" w:rsidP="00A814BE">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szCs w:val="28"/>
        </w:rPr>
      </w:pPr>
      <w:r>
        <w:rPr>
          <w:rFonts w:asciiTheme="minorHAnsi" w:hAnsiTheme="minorHAnsi"/>
          <w:szCs w:val="28"/>
        </w:rPr>
        <w:t xml:space="preserve">II </w:t>
      </w:r>
      <w:r>
        <w:rPr>
          <w:rFonts w:asciiTheme="minorHAnsi" w:hAnsiTheme="minorHAnsi"/>
          <w:szCs w:val="28"/>
        </w:rPr>
        <w:tab/>
        <w:t>Discussion</w:t>
      </w:r>
    </w:p>
    <w:p w:rsidR="00A814BE" w:rsidRPr="001F72CA" w:rsidRDefault="00A814BE" w:rsidP="008F6C81">
      <w:pPr>
        <w:tabs>
          <w:tab w:val="clear" w:pos="567"/>
          <w:tab w:val="clear" w:pos="1134"/>
          <w:tab w:val="clear" w:pos="1701"/>
          <w:tab w:val="clear" w:pos="2268"/>
          <w:tab w:val="clear" w:pos="2835"/>
        </w:tabs>
        <w:snapToGrid w:val="0"/>
        <w:spacing w:after="120"/>
        <w:jc w:val="both"/>
        <w:rPr>
          <w:lang w:val="en-US"/>
        </w:rPr>
      </w:pPr>
      <w:r w:rsidRPr="001F72CA">
        <w:rPr>
          <w:lang w:val="en-US"/>
        </w:rPr>
        <w:t xml:space="preserve">United Arab Emirates </w:t>
      </w:r>
      <w:proofErr w:type="gramStart"/>
      <w:r w:rsidRPr="001F72CA">
        <w:rPr>
          <w:lang w:val="en-US"/>
        </w:rPr>
        <w:t xml:space="preserve">was </w:t>
      </w:r>
      <w:proofErr w:type="spellStart"/>
      <w:r w:rsidRPr="001F72CA">
        <w:rPr>
          <w:lang w:val="en-US"/>
        </w:rPr>
        <w:t>honoured</w:t>
      </w:r>
      <w:proofErr w:type="spellEnd"/>
      <w:proofErr w:type="gramEnd"/>
      <w:r w:rsidRPr="001F72CA">
        <w:rPr>
          <w:lang w:val="en-US"/>
        </w:rPr>
        <w:t xml:space="preserve"> to host and chair the Plenipotentiary Conference in Dubai last year (PP-18) for the first time. The Conference met its objectives and outputs paved the way for upcoming study cycle of the ITU. Most of the improvements proposed by the secretariat and supported by the Council to </w:t>
      </w:r>
      <w:r w:rsidRPr="001F72CA">
        <w:rPr>
          <w:lang w:val="en-US"/>
        </w:rPr>
        <w:lastRenderedPageBreak/>
        <w:t>PP-18 were implemented as stated in the in the report of the Secr</w:t>
      </w:r>
      <w:r w:rsidR="008F6C81">
        <w:rPr>
          <w:lang w:val="en-US"/>
        </w:rPr>
        <w:t>e</w:t>
      </w:r>
      <w:r w:rsidRPr="001F72CA">
        <w:rPr>
          <w:lang w:val="en-US"/>
        </w:rPr>
        <w:t>tary-General on PP-18 submitted to this Council (</w:t>
      </w:r>
      <w:hyperlink r:id="rId14" w:history="1">
        <w:r w:rsidR="008F6C81" w:rsidRPr="008F6C81">
          <w:rPr>
            <w:rStyle w:val="Hyperlink"/>
            <w:lang w:val="en-US"/>
          </w:rPr>
          <w:t>Document C19/4</w:t>
        </w:r>
      </w:hyperlink>
      <w:r w:rsidRPr="001F72CA">
        <w:rPr>
          <w:lang w:val="en-US"/>
        </w:rPr>
        <w:t>).</w:t>
      </w:r>
    </w:p>
    <w:p w:rsidR="00A814BE" w:rsidRPr="00FC630C" w:rsidRDefault="00A814BE" w:rsidP="00A814BE">
      <w:pPr>
        <w:rPr>
          <w:szCs w:val="24"/>
        </w:rPr>
      </w:pPr>
      <w:r>
        <w:t>Based on the experience of United Arab Emirates as hosting country of the PP-18, the United Arab Emirates</w:t>
      </w:r>
      <w:r w:rsidR="008F6C81">
        <w:t xml:space="preserve"> and Saudi Arabia</w:t>
      </w:r>
      <w:r>
        <w:t xml:space="preserve"> would like to suggest further means of improvements to the work of the Plenipotentiary </w:t>
      </w:r>
      <w:r>
        <w:rPr>
          <w:szCs w:val="24"/>
        </w:rPr>
        <w:t>Conference:</w:t>
      </w:r>
    </w:p>
    <w:p w:rsidR="00A814BE" w:rsidRPr="008F6C81" w:rsidRDefault="00A814BE" w:rsidP="008F6C81">
      <w:pPr>
        <w:pStyle w:val="ListParagraph"/>
        <w:spacing w:before="120" w:line="240" w:lineRule="auto"/>
        <w:contextualSpacing w:val="0"/>
        <w:jc w:val="both"/>
        <w:rPr>
          <w:rFonts w:asciiTheme="minorHAnsi" w:eastAsia="Arial Unicode MS" w:hAnsiTheme="minorHAnsi" w:cstheme="minorHAnsi"/>
          <w:lang w:val="en-GB"/>
        </w:rPr>
      </w:pPr>
      <w:r w:rsidRPr="008F6C81">
        <w:rPr>
          <w:rFonts w:asciiTheme="minorHAnsi" w:hAnsiTheme="minorHAnsi" w:cstheme="minorHAnsi"/>
          <w:b/>
          <w:bCs/>
        </w:rPr>
        <w:t xml:space="preserve">Inter-Regional preparation: </w:t>
      </w:r>
      <w:r w:rsidRPr="008F6C81">
        <w:rPr>
          <w:rFonts w:asciiTheme="minorHAnsi" w:eastAsia="Arial Unicode MS" w:hAnsiTheme="minorHAnsi" w:cstheme="minorHAnsi"/>
          <w:lang w:val="en-GB"/>
        </w:rPr>
        <w:t>Inter-regional coordination and preparation is becoming increasingly important for the Plenipotentiary Conference to develop regional co-operation in area of common interest, facilitate coordination between all regions with regard to major issues, open lines of commu</w:t>
      </w:r>
      <w:r w:rsidR="0060035E">
        <w:rPr>
          <w:rFonts w:asciiTheme="minorHAnsi" w:eastAsia="Arial Unicode MS" w:hAnsiTheme="minorHAnsi" w:cstheme="minorHAnsi"/>
          <w:lang w:val="en-GB"/>
        </w:rPr>
        <w:t>nication between Member States’</w:t>
      </w:r>
      <w:r w:rsidRPr="008F6C81">
        <w:rPr>
          <w:rFonts w:asciiTheme="minorHAnsi" w:eastAsia="Arial Unicode MS" w:hAnsiTheme="minorHAnsi" w:cstheme="minorHAnsi"/>
          <w:lang w:val="en-GB"/>
        </w:rPr>
        <w:t xml:space="preserve"> coordinators and allow for negotiations to begin prior to the start of the Conference.  Such practices </w:t>
      </w:r>
      <w:proofErr w:type="gramStart"/>
      <w:r w:rsidRPr="008F6C81">
        <w:rPr>
          <w:rFonts w:asciiTheme="minorHAnsi" w:eastAsia="Arial Unicode MS" w:hAnsiTheme="minorHAnsi" w:cstheme="minorHAnsi"/>
          <w:lang w:val="en-GB"/>
        </w:rPr>
        <w:t>had been implemented</w:t>
      </w:r>
      <w:proofErr w:type="gramEnd"/>
      <w:r w:rsidRPr="008F6C81">
        <w:rPr>
          <w:rFonts w:asciiTheme="minorHAnsi" w:eastAsia="Arial Unicode MS" w:hAnsiTheme="minorHAnsi" w:cstheme="minorHAnsi"/>
          <w:lang w:val="en-GB"/>
        </w:rPr>
        <w:t xml:space="preserve"> for one of the major ITU conferences, the World </w:t>
      </w:r>
      <w:proofErr w:type="spellStart"/>
      <w:r w:rsidRPr="008F6C81">
        <w:rPr>
          <w:rFonts w:asciiTheme="minorHAnsi" w:eastAsia="Arial Unicode MS" w:hAnsiTheme="minorHAnsi" w:cstheme="minorHAnsi"/>
          <w:lang w:val="en-GB"/>
        </w:rPr>
        <w:t>Radiocommunication</w:t>
      </w:r>
      <w:proofErr w:type="spellEnd"/>
      <w:r w:rsidRPr="008F6C81">
        <w:rPr>
          <w:rFonts w:asciiTheme="minorHAnsi" w:eastAsia="Arial Unicode MS" w:hAnsiTheme="minorHAnsi" w:cstheme="minorHAnsi"/>
          <w:lang w:val="en-GB"/>
        </w:rPr>
        <w:t xml:space="preserve"> Conference 2019 (WRC-19), where three “ITU Inter-Regional Workshops on WRC-19 Preparation” meetings were organized. Regarding PP-18 preparation, three informal inter-regional meetings </w:t>
      </w:r>
      <w:proofErr w:type="gramStart"/>
      <w:r w:rsidRPr="008F6C81">
        <w:rPr>
          <w:rFonts w:asciiTheme="minorHAnsi" w:eastAsia="Arial Unicode MS" w:hAnsiTheme="minorHAnsi" w:cstheme="minorHAnsi"/>
          <w:lang w:val="en-GB"/>
        </w:rPr>
        <w:t>were held</w:t>
      </w:r>
      <w:proofErr w:type="gramEnd"/>
      <w:r w:rsidRPr="008F6C81">
        <w:rPr>
          <w:rFonts w:asciiTheme="minorHAnsi" w:eastAsia="Arial Unicode MS" w:hAnsiTheme="minorHAnsi" w:cstheme="minorHAnsi"/>
          <w:lang w:val="en-GB"/>
        </w:rPr>
        <w:t>: an “informal” informal one during the Council in May, an informal one in July in Geneva, and another informal one in Riyadh, Saudi Arabia, in September 2018.</w:t>
      </w:r>
    </w:p>
    <w:p w:rsidR="00A814BE" w:rsidRPr="008F6C81" w:rsidRDefault="00A814BE" w:rsidP="008F6C81">
      <w:pPr>
        <w:pStyle w:val="ListParagraph"/>
        <w:spacing w:before="120" w:line="240" w:lineRule="auto"/>
        <w:contextualSpacing w:val="0"/>
        <w:jc w:val="both"/>
        <w:rPr>
          <w:rFonts w:asciiTheme="minorHAnsi" w:eastAsia="Arial Unicode MS" w:hAnsiTheme="minorHAnsi" w:cstheme="minorHAnsi"/>
          <w:lang w:val="en-GB"/>
        </w:rPr>
      </w:pPr>
      <w:r w:rsidRPr="008F6C81">
        <w:rPr>
          <w:rFonts w:asciiTheme="minorHAnsi" w:eastAsia="Arial Unicode MS" w:hAnsiTheme="minorHAnsi" w:cstheme="minorHAnsi"/>
          <w:lang w:val="en-GB"/>
        </w:rPr>
        <w:t xml:space="preserve">In the future, it would be advisable to strengthen this process by encouraging the regional groups, as well as Member States who are not part of a Regional Telecommunication Organizations, </w:t>
      </w:r>
      <w:proofErr w:type="gramStart"/>
      <w:r w:rsidRPr="008F6C81">
        <w:rPr>
          <w:rFonts w:asciiTheme="minorHAnsi" w:eastAsia="Arial Unicode MS" w:hAnsiTheme="minorHAnsi" w:cstheme="minorHAnsi"/>
          <w:lang w:val="en-GB"/>
        </w:rPr>
        <w:t>to actively participate</w:t>
      </w:r>
      <w:proofErr w:type="gramEnd"/>
      <w:r w:rsidRPr="008F6C81">
        <w:rPr>
          <w:rFonts w:asciiTheme="minorHAnsi" w:eastAsia="Arial Unicode MS" w:hAnsiTheme="minorHAnsi" w:cstheme="minorHAnsi"/>
          <w:lang w:val="en-GB"/>
        </w:rPr>
        <w:t xml:space="preserve"> in these preparation meetings. In addition to that, the process of inter-regional meetings should be formalized, and be more than mere informal meetings, and tangible outputs be produced in order to reduce the amount of time needed to reach consensus at the Conference. By strengthening this pre-PP coordination and negotiation, it could be a possible approach to save time at the PP.</w:t>
      </w:r>
    </w:p>
    <w:p w:rsidR="00A814BE" w:rsidRPr="008F6C81" w:rsidRDefault="00A814BE" w:rsidP="008F6C81">
      <w:pPr>
        <w:pStyle w:val="ListParagraph"/>
        <w:spacing w:before="120" w:line="240" w:lineRule="auto"/>
        <w:contextualSpacing w:val="0"/>
        <w:jc w:val="both"/>
        <w:rPr>
          <w:rFonts w:asciiTheme="minorHAnsi" w:hAnsiTheme="minorHAnsi" w:cstheme="minorHAnsi"/>
        </w:rPr>
      </w:pPr>
      <w:r w:rsidRPr="008F6C81">
        <w:rPr>
          <w:rFonts w:asciiTheme="minorHAnsi" w:hAnsiTheme="minorHAnsi" w:cstheme="minorHAnsi"/>
          <w:b/>
          <w:bCs/>
        </w:rPr>
        <w:t xml:space="preserve">Reduction of PP duration: </w:t>
      </w:r>
      <w:r w:rsidRPr="008F6C81">
        <w:rPr>
          <w:rFonts w:asciiTheme="minorHAnsi" w:hAnsiTheme="minorHAnsi" w:cstheme="minorHAnsi"/>
        </w:rPr>
        <w:t xml:space="preserve">It would be desirable to reduce the total length of the Conference (by shortening the election process, starting the elections sooner, .etc.) to reduce the financial implications and allow the efficient participation of the delegates during the whole days of the conference. </w:t>
      </w:r>
    </w:p>
    <w:p w:rsidR="00A814BE" w:rsidRPr="008F6C81" w:rsidRDefault="00A814BE" w:rsidP="008F6C81">
      <w:pPr>
        <w:pStyle w:val="ListParagraph"/>
        <w:spacing w:before="120" w:line="240" w:lineRule="auto"/>
        <w:contextualSpacing w:val="0"/>
        <w:jc w:val="both"/>
        <w:rPr>
          <w:rFonts w:asciiTheme="minorHAnsi" w:hAnsiTheme="minorHAnsi" w:cstheme="minorHAnsi"/>
        </w:rPr>
      </w:pPr>
      <w:r w:rsidRPr="008F6C81">
        <w:rPr>
          <w:rFonts w:asciiTheme="minorHAnsi" w:hAnsiTheme="minorHAnsi" w:cstheme="minorHAnsi"/>
          <w:b/>
          <w:bCs/>
        </w:rPr>
        <w:t xml:space="preserve">Preparation and training of delegates: </w:t>
      </w:r>
      <w:r w:rsidRPr="008F6C81">
        <w:rPr>
          <w:rFonts w:asciiTheme="minorHAnsi" w:hAnsiTheme="minorHAnsi" w:cstheme="minorHAnsi"/>
        </w:rPr>
        <w:t xml:space="preserve">Several background documents </w:t>
      </w:r>
      <w:proofErr w:type="gramStart"/>
      <w:r w:rsidRPr="008F6C81">
        <w:rPr>
          <w:rFonts w:asciiTheme="minorHAnsi" w:hAnsiTheme="minorHAnsi" w:cstheme="minorHAnsi"/>
        </w:rPr>
        <w:t>were prepared by the secretariat and posted on the website to provide information on the conference preparatory process, the election process, and the document process</w:t>
      </w:r>
      <w:proofErr w:type="gramEnd"/>
      <w:r w:rsidRPr="008F6C81">
        <w:rPr>
          <w:rFonts w:asciiTheme="minorHAnsi" w:hAnsiTheme="minorHAnsi" w:cstheme="minorHAnsi"/>
        </w:rPr>
        <w:t xml:space="preserve">. United Arab Emirates </w:t>
      </w:r>
      <w:r w:rsidR="008F6C81">
        <w:rPr>
          <w:rFonts w:asciiTheme="minorHAnsi" w:hAnsiTheme="minorHAnsi" w:cstheme="minorHAnsi"/>
        </w:rPr>
        <w:t xml:space="preserve">and Saudi Arabia </w:t>
      </w:r>
      <w:r w:rsidRPr="008F6C81">
        <w:rPr>
          <w:rFonts w:asciiTheme="minorHAnsi" w:hAnsiTheme="minorHAnsi" w:cstheme="minorHAnsi"/>
        </w:rPr>
        <w:t>would also support organizing briefings and trainings during regional preparatory meetings on these topics as well as on the rules of procedures. Moreover, such documents should be available well in advance, and remote participation should be accessible for these trainings, for better far reach of the delegates.</w:t>
      </w:r>
    </w:p>
    <w:p w:rsidR="00A814BE" w:rsidRPr="008F6C81" w:rsidRDefault="00A814BE" w:rsidP="008F6C81">
      <w:pPr>
        <w:pStyle w:val="ListParagraph"/>
        <w:spacing w:before="120" w:line="240" w:lineRule="auto"/>
        <w:contextualSpacing w:val="0"/>
        <w:jc w:val="both"/>
        <w:rPr>
          <w:rFonts w:asciiTheme="minorHAnsi" w:hAnsiTheme="minorHAnsi" w:cstheme="minorHAnsi"/>
        </w:rPr>
      </w:pPr>
      <w:r w:rsidRPr="008F6C81">
        <w:rPr>
          <w:rFonts w:asciiTheme="minorHAnsi" w:hAnsiTheme="minorHAnsi" w:cstheme="minorHAnsi"/>
        </w:rPr>
        <w:lastRenderedPageBreak/>
        <w:t>In the highlighted above, such actions will help the delegates to understanding the process of the conference and strengthening the effective participation of the delegates.</w:t>
      </w:r>
    </w:p>
    <w:p w:rsidR="00A814BE" w:rsidRPr="008F6C81" w:rsidRDefault="00A814BE" w:rsidP="008F6C81">
      <w:pPr>
        <w:pStyle w:val="ListParagraph"/>
        <w:spacing w:before="120" w:line="240" w:lineRule="auto"/>
        <w:contextualSpacing w:val="0"/>
        <w:jc w:val="both"/>
        <w:rPr>
          <w:rFonts w:asciiTheme="minorHAnsi" w:hAnsiTheme="minorHAnsi" w:cstheme="minorHAnsi"/>
        </w:rPr>
      </w:pPr>
      <w:r w:rsidRPr="008F6C81">
        <w:rPr>
          <w:rFonts w:asciiTheme="minorHAnsi" w:hAnsiTheme="minorHAnsi" w:cstheme="minorHAnsi"/>
          <w:b/>
          <w:bCs/>
        </w:rPr>
        <w:t>Green Conference:</w:t>
      </w:r>
      <w:r w:rsidRPr="008F6C81">
        <w:rPr>
          <w:rFonts w:asciiTheme="minorHAnsi" w:hAnsiTheme="minorHAnsi" w:cstheme="minorHAnsi"/>
        </w:rPr>
        <w:t xml:space="preserve"> For the first time ever, in consultation with the UN Greening the Blue team, ITU strove to make PP-18 as "green" as possible. In cooperation with the Host Country, a </w:t>
      </w:r>
      <w:hyperlink r:id="rId15" w:history="1">
        <w:r w:rsidRPr="008F6C81">
          <w:rPr>
            <w:rStyle w:val="Hyperlink"/>
            <w:rFonts w:asciiTheme="minorHAnsi" w:hAnsiTheme="minorHAnsi" w:cstheme="minorHAnsi"/>
          </w:rPr>
          <w:t>number of measures</w:t>
        </w:r>
      </w:hyperlink>
      <w:r w:rsidRPr="008F6C81">
        <w:rPr>
          <w:rFonts w:asciiTheme="minorHAnsi" w:hAnsiTheme="minorHAnsi" w:cstheme="minorHAnsi"/>
        </w:rPr>
        <w:t xml:space="preserve"> </w:t>
      </w:r>
      <w:proofErr w:type="gramStart"/>
      <w:r w:rsidRPr="008F6C81">
        <w:rPr>
          <w:rFonts w:asciiTheme="minorHAnsi" w:hAnsiTheme="minorHAnsi" w:cstheme="minorHAnsi"/>
        </w:rPr>
        <w:t>were taken</w:t>
      </w:r>
      <w:proofErr w:type="gramEnd"/>
      <w:r w:rsidRPr="008F6C81">
        <w:rPr>
          <w:rFonts w:asciiTheme="minorHAnsi" w:hAnsiTheme="minorHAnsi" w:cstheme="minorHAnsi"/>
        </w:rPr>
        <w:t xml:space="preserve"> in this regard concerning travel, accommodation, paper use, energy, the construction of the venue, etc. TRA, ITU, and DWTC received an award by the certification body SGS for compliance with ISO 20121:2012 for Sustainable Events.</w:t>
      </w:r>
    </w:p>
    <w:p w:rsidR="00A814BE" w:rsidRDefault="00A814BE" w:rsidP="0060035E">
      <w:pPr>
        <w:pStyle w:val="Heading1"/>
        <w:keepNext w:val="0"/>
        <w:keepLines w:val="0"/>
        <w:tabs>
          <w:tab w:val="clear" w:pos="567"/>
          <w:tab w:val="clear" w:pos="1134"/>
          <w:tab w:val="clear" w:pos="1701"/>
          <w:tab w:val="clear" w:pos="2268"/>
          <w:tab w:val="clear" w:pos="2835"/>
        </w:tabs>
        <w:snapToGrid w:val="0"/>
        <w:spacing w:before="160" w:after="120"/>
        <w:ind w:left="0" w:firstLine="0"/>
        <w:jc w:val="both"/>
        <w:rPr>
          <w:rFonts w:asciiTheme="minorHAnsi" w:hAnsiTheme="minorHAnsi"/>
          <w:szCs w:val="28"/>
        </w:rPr>
      </w:pPr>
      <w:r>
        <w:rPr>
          <w:rFonts w:asciiTheme="minorHAnsi" w:hAnsiTheme="minorHAnsi"/>
          <w:szCs w:val="28"/>
        </w:rPr>
        <w:t>III</w:t>
      </w:r>
      <w:r>
        <w:rPr>
          <w:rFonts w:asciiTheme="minorHAnsi" w:hAnsiTheme="minorHAnsi"/>
          <w:szCs w:val="28"/>
        </w:rPr>
        <w:tab/>
        <w:t>Proposal</w:t>
      </w:r>
    </w:p>
    <w:p w:rsidR="00A814BE" w:rsidRPr="00FC630C" w:rsidRDefault="00A814BE" w:rsidP="00A814BE">
      <w:pPr>
        <w:jc w:val="both"/>
        <w:rPr>
          <w:rFonts w:asciiTheme="minorHAnsi" w:eastAsia="Arial Unicode MS" w:hAnsiTheme="minorHAnsi" w:cstheme="minorHAnsi"/>
          <w:szCs w:val="24"/>
        </w:rPr>
      </w:pPr>
      <w:r w:rsidRPr="00FC630C">
        <w:rPr>
          <w:rFonts w:asciiTheme="minorHAnsi" w:eastAsia="Arial Unicode MS" w:hAnsiTheme="minorHAnsi" w:cstheme="minorHAnsi"/>
          <w:szCs w:val="24"/>
        </w:rPr>
        <w:t xml:space="preserve">The </w:t>
      </w:r>
      <w:r>
        <w:rPr>
          <w:rFonts w:asciiTheme="minorHAnsi" w:eastAsia="Arial Unicode MS" w:hAnsiTheme="minorHAnsi" w:cstheme="minorHAnsi"/>
          <w:szCs w:val="24"/>
        </w:rPr>
        <w:t>Council</w:t>
      </w:r>
      <w:r w:rsidRPr="00FC630C">
        <w:rPr>
          <w:rFonts w:asciiTheme="minorHAnsi" w:eastAsia="Arial Unicode MS" w:hAnsiTheme="minorHAnsi" w:cstheme="minorHAnsi"/>
          <w:szCs w:val="24"/>
        </w:rPr>
        <w:t xml:space="preserve"> is requested to study </w:t>
      </w:r>
      <w:r>
        <w:rPr>
          <w:rFonts w:asciiTheme="minorHAnsi" w:eastAsia="Arial Unicode MS" w:hAnsiTheme="minorHAnsi" w:cstheme="minorHAnsi"/>
          <w:szCs w:val="24"/>
        </w:rPr>
        <w:t>possibilities through which these improvements, mentioned in this contribution,</w:t>
      </w:r>
      <w:r w:rsidRPr="00FC630C">
        <w:rPr>
          <w:rFonts w:asciiTheme="minorHAnsi" w:eastAsia="Arial Unicode MS" w:hAnsiTheme="minorHAnsi" w:cstheme="minorHAnsi"/>
          <w:szCs w:val="24"/>
        </w:rPr>
        <w:t xml:space="preserve"> may be feasible</w:t>
      </w:r>
      <w:r w:rsidRPr="00794A71">
        <w:rPr>
          <w:rFonts w:asciiTheme="minorHAnsi" w:eastAsia="Arial Unicode MS" w:hAnsiTheme="minorHAnsi" w:cstheme="minorHAnsi"/>
          <w:szCs w:val="24"/>
        </w:rPr>
        <w:t>,</w:t>
      </w:r>
      <w:r w:rsidRPr="00FC630C">
        <w:rPr>
          <w:rFonts w:asciiTheme="minorHAnsi" w:eastAsia="Arial Unicode MS" w:hAnsiTheme="minorHAnsi" w:cstheme="minorHAnsi"/>
          <w:szCs w:val="24"/>
        </w:rPr>
        <w:t xml:space="preserve"> </w:t>
      </w:r>
      <w:r w:rsidRPr="00794A71">
        <w:rPr>
          <w:rFonts w:asciiTheme="minorHAnsi" w:eastAsia="Arial Unicode MS" w:hAnsiTheme="minorHAnsi" w:cstheme="minorHAnsi"/>
          <w:szCs w:val="24"/>
        </w:rPr>
        <w:t xml:space="preserve">including examining any </w:t>
      </w:r>
      <w:proofErr w:type="gramStart"/>
      <w:r w:rsidRPr="00794A71">
        <w:rPr>
          <w:rFonts w:asciiTheme="minorHAnsi" w:eastAsia="Arial Unicode MS" w:hAnsiTheme="minorHAnsi" w:cstheme="minorHAnsi"/>
          <w:szCs w:val="24"/>
        </w:rPr>
        <w:t>procedures which</w:t>
      </w:r>
      <w:proofErr w:type="gramEnd"/>
      <w:r w:rsidRPr="00794A71">
        <w:rPr>
          <w:rFonts w:asciiTheme="minorHAnsi" w:eastAsia="Arial Unicode MS" w:hAnsiTheme="minorHAnsi" w:cstheme="minorHAnsi"/>
          <w:szCs w:val="24"/>
        </w:rPr>
        <w:t xml:space="preserve"> would need to be modified in order to implement such changes</w:t>
      </w:r>
      <w:r w:rsidRPr="00FC630C">
        <w:rPr>
          <w:rFonts w:asciiTheme="minorHAnsi" w:eastAsia="Arial Unicode MS" w:hAnsiTheme="minorHAnsi" w:cstheme="minorHAnsi"/>
          <w:szCs w:val="24"/>
        </w:rPr>
        <w:t xml:space="preserve">.  </w:t>
      </w:r>
      <w:r>
        <w:rPr>
          <w:rFonts w:asciiTheme="minorHAnsi" w:eastAsia="Arial Unicode MS" w:hAnsiTheme="minorHAnsi" w:cstheme="minorHAnsi"/>
          <w:szCs w:val="24"/>
        </w:rPr>
        <w:t xml:space="preserve">The Council </w:t>
      </w:r>
      <w:proofErr w:type="gramStart"/>
      <w:r>
        <w:rPr>
          <w:rFonts w:asciiTheme="minorHAnsi" w:eastAsia="Arial Unicode MS" w:hAnsiTheme="minorHAnsi" w:cstheme="minorHAnsi"/>
          <w:szCs w:val="24"/>
        </w:rPr>
        <w:t>is also requested</w:t>
      </w:r>
      <w:proofErr w:type="gramEnd"/>
      <w:r>
        <w:rPr>
          <w:rFonts w:asciiTheme="minorHAnsi" w:eastAsia="Arial Unicode MS" w:hAnsiTheme="minorHAnsi" w:cstheme="minorHAnsi"/>
          <w:szCs w:val="24"/>
        </w:rPr>
        <w:t xml:space="preserve">, through the legal team, to consider the suggestions for further improvements and submit report on the outcomes to the next Council session. Also, </w:t>
      </w:r>
      <w:r w:rsidRPr="00FC630C">
        <w:rPr>
          <w:rFonts w:asciiTheme="minorHAnsi" w:eastAsia="Arial Unicode MS" w:hAnsiTheme="minorHAnsi" w:cstheme="minorHAnsi"/>
          <w:szCs w:val="24"/>
        </w:rPr>
        <w:t>that the secretariat be requested by the Council to continue putting forward proposals for improving the pr</w:t>
      </w:r>
      <w:r>
        <w:rPr>
          <w:rFonts w:asciiTheme="minorHAnsi" w:eastAsia="Arial Unicode MS" w:hAnsiTheme="minorHAnsi" w:cstheme="minorHAnsi"/>
          <w:szCs w:val="24"/>
        </w:rPr>
        <w:t>eparation and roll-out of the Plenipotentiary Conference</w:t>
      </w:r>
      <w:r w:rsidRPr="00FC630C">
        <w:rPr>
          <w:rFonts w:asciiTheme="minorHAnsi" w:eastAsia="Arial Unicode MS" w:hAnsiTheme="minorHAnsi" w:cstheme="minorHAnsi"/>
          <w:szCs w:val="24"/>
        </w:rPr>
        <w:t xml:space="preserve"> with the view to reduce the duration of the event.</w:t>
      </w:r>
    </w:p>
    <w:p w:rsidR="00820459" w:rsidRPr="00BE3DAE" w:rsidRDefault="00820459" w:rsidP="00820459">
      <w:pPr>
        <w:spacing w:after="120"/>
        <w:jc w:val="center"/>
      </w:pPr>
      <w:r>
        <w:t>__________________</w:t>
      </w:r>
    </w:p>
    <w:sectPr w:rsidR="00820459" w:rsidRPr="00BE3DAE" w:rsidSect="004D1851">
      <w:head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93B" w:rsidRDefault="00F6793B">
      <w:r>
        <w:separator/>
      </w:r>
    </w:p>
  </w:endnote>
  <w:endnote w:type="continuationSeparator" w:id="0">
    <w:p w:rsidR="00F6793B" w:rsidRDefault="00F6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Default="00322D0D" w:rsidP="00FA45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93B" w:rsidRDefault="00F6793B">
      <w:r>
        <w:t>____________________</w:t>
      </w:r>
    </w:p>
  </w:footnote>
  <w:footnote w:type="continuationSeparator" w:id="0">
    <w:p w:rsidR="00F6793B" w:rsidRDefault="00F67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60035E">
      <w:rPr>
        <w:noProof/>
      </w:rPr>
      <w:t>3</w:t>
    </w:r>
    <w:r>
      <w:rPr>
        <w:noProof/>
      </w:rPr>
      <w:fldChar w:fldCharType="end"/>
    </w:r>
  </w:p>
  <w:p w:rsidR="00322D0D" w:rsidRPr="00623AE3" w:rsidRDefault="00FA4575" w:rsidP="00DF5883">
    <w:pPr>
      <w:pStyle w:val="Header"/>
      <w:rPr>
        <w:bCs/>
      </w:rPr>
    </w:pPr>
    <w:r>
      <w:rPr>
        <w:bCs/>
      </w:rPr>
      <w:t>C19</w:t>
    </w:r>
    <w:r w:rsidR="00623AE3" w:rsidRPr="00623AE3">
      <w:rPr>
        <w:bCs/>
      </w:rPr>
      <w:t>/</w:t>
    </w:r>
    <w:r w:rsidR="008F6C81">
      <w:rPr>
        <w:bCs/>
      </w:rPr>
      <w:t>101</w:t>
    </w:r>
    <w:r w:rsidR="00623AE3"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8187B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FAE3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EE15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7054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6EC4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5012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9627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3C6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EE1F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9242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13708"/>
    <w:multiLevelType w:val="hybridMultilevel"/>
    <w:tmpl w:val="861C3F8C"/>
    <w:numStyleLink w:val="ImportedStyle1"/>
  </w:abstractNum>
  <w:abstractNum w:abstractNumId="11" w15:restartNumberingAfterBreak="0">
    <w:nsid w:val="107745E7"/>
    <w:multiLevelType w:val="hybridMultilevel"/>
    <w:tmpl w:val="EA102B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52473"/>
    <w:multiLevelType w:val="multilevel"/>
    <w:tmpl w:val="F1AC0AA4"/>
    <w:lvl w:ilvl="0">
      <w:start w:val="1"/>
      <w:numFmt w:val="decimal"/>
      <w:lvlText w:val="%1."/>
      <w:lvlJc w:val="left"/>
      <w:pPr>
        <w:ind w:left="741" w:hanging="360"/>
      </w:pPr>
    </w:lvl>
    <w:lvl w:ilvl="1">
      <w:start w:val="1"/>
      <w:numFmt w:val="lowerLetter"/>
      <w:lvlText w:val="%2."/>
      <w:lvlJc w:val="left"/>
      <w:pPr>
        <w:ind w:left="1461" w:hanging="360"/>
      </w:pPr>
    </w:lvl>
    <w:lvl w:ilvl="2">
      <w:start w:val="1"/>
      <w:numFmt w:val="lowerRoman"/>
      <w:lvlText w:val="%3."/>
      <w:lvlJc w:val="right"/>
      <w:pPr>
        <w:ind w:left="2181" w:hanging="180"/>
      </w:pPr>
    </w:lvl>
    <w:lvl w:ilvl="3">
      <w:start w:val="1"/>
      <w:numFmt w:val="decimal"/>
      <w:lvlText w:val="%4."/>
      <w:lvlJc w:val="left"/>
      <w:pPr>
        <w:ind w:left="2901" w:hanging="360"/>
      </w:pPr>
    </w:lvl>
    <w:lvl w:ilvl="4">
      <w:start w:val="1"/>
      <w:numFmt w:val="lowerLetter"/>
      <w:lvlText w:val="%5."/>
      <w:lvlJc w:val="left"/>
      <w:pPr>
        <w:ind w:left="3621" w:hanging="360"/>
      </w:pPr>
    </w:lvl>
    <w:lvl w:ilvl="5">
      <w:start w:val="1"/>
      <w:numFmt w:val="lowerRoman"/>
      <w:lvlText w:val="%6."/>
      <w:lvlJc w:val="right"/>
      <w:pPr>
        <w:ind w:left="4341" w:hanging="180"/>
      </w:pPr>
    </w:lvl>
    <w:lvl w:ilvl="6">
      <w:start w:val="1"/>
      <w:numFmt w:val="decimal"/>
      <w:lvlText w:val="%7."/>
      <w:lvlJc w:val="left"/>
      <w:pPr>
        <w:ind w:left="5061" w:hanging="360"/>
      </w:pPr>
    </w:lvl>
    <w:lvl w:ilvl="7">
      <w:start w:val="1"/>
      <w:numFmt w:val="lowerLetter"/>
      <w:lvlText w:val="%8."/>
      <w:lvlJc w:val="left"/>
      <w:pPr>
        <w:ind w:left="5781" w:hanging="360"/>
      </w:pPr>
    </w:lvl>
    <w:lvl w:ilvl="8">
      <w:start w:val="1"/>
      <w:numFmt w:val="lowerRoman"/>
      <w:lvlText w:val="%9."/>
      <w:lvlJc w:val="right"/>
      <w:pPr>
        <w:ind w:left="6501" w:hanging="180"/>
      </w:pPr>
    </w:lvl>
  </w:abstractNum>
  <w:abstractNum w:abstractNumId="13" w15:restartNumberingAfterBreak="0">
    <w:nsid w:val="22265227"/>
    <w:multiLevelType w:val="hybridMultilevel"/>
    <w:tmpl w:val="0DF6ED50"/>
    <w:numStyleLink w:val="ImportedStyle2"/>
  </w:abstractNum>
  <w:abstractNum w:abstractNumId="14" w15:restartNumberingAfterBreak="0">
    <w:nsid w:val="24593587"/>
    <w:multiLevelType w:val="hybridMultilevel"/>
    <w:tmpl w:val="81E257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A540FEC"/>
    <w:multiLevelType w:val="hybridMultilevel"/>
    <w:tmpl w:val="F38E49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BA818AE"/>
    <w:multiLevelType w:val="hybridMultilevel"/>
    <w:tmpl w:val="0DF6ED50"/>
    <w:styleLink w:val="ImportedStyle2"/>
    <w:lvl w:ilvl="0" w:tplc="D72EA14E">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68EF84">
      <w:start w:val="1"/>
      <w:numFmt w:val="lowerLetter"/>
      <w:lvlText w:val="%2."/>
      <w:lvlJc w:val="left"/>
      <w:pPr>
        <w:ind w:left="1134" w:hanging="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881D8E">
      <w:start w:val="1"/>
      <w:numFmt w:val="lowerRoman"/>
      <w:suff w:val="nothing"/>
      <w:lvlText w:val="%3."/>
      <w:lvlJc w:val="left"/>
      <w:pPr>
        <w:ind w:left="1701"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74327C">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7C82C8">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D6C546">
      <w:start w:val="1"/>
      <w:numFmt w:val="lowerRoman"/>
      <w:lvlText w:val="%6."/>
      <w:lvlJc w:val="left"/>
      <w:pPr>
        <w:ind w:left="4167"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E87C92">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D4D48E">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56C7E8">
      <w:start w:val="1"/>
      <w:numFmt w:val="lowerRoman"/>
      <w:lvlText w:val="%9."/>
      <w:lvlJc w:val="left"/>
      <w:pPr>
        <w:ind w:left="6327"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9AF701C"/>
    <w:multiLevelType w:val="hybridMultilevel"/>
    <w:tmpl w:val="402078AC"/>
    <w:styleLink w:val="ImportedStyle4"/>
    <w:lvl w:ilvl="0" w:tplc="FC2828C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AA48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D682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1658E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A79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B068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26EDA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4CBB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B80A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F9A0326"/>
    <w:multiLevelType w:val="hybridMultilevel"/>
    <w:tmpl w:val="402078AC"/>
    <w:numStyleLink w:val="ImportedStyle4"/>
  </w:abstractNum>
  <w:abstractNum w:abstractNumId="19" w15:restartNumberingAfterBreak="0">
    <w:nsid w:val="54807DAA"/>
    <w:multiLevelType w:val="hybridMultilevel"/>
    <w:tmpl w:val="861C3F8C"/>
    <w:styleLink w:val="ImportedStyle1"/>
    <w:lvl w:ilvl="0" w:tplc="7138E73E">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EC4270">
      <w:start w:val="1"/>
      <w:numFmt w:val="lowerLetter"/>
      <w:lvlText w:val="%2."/>
      <w:lvlJc w:val="left"/>
      <w:pPr>
        <w:ind w:left="1134" w:hanging="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D0BFCC">
      <w:start w:val="1"/>
      <w:numFmt w:val="lowerRoman"/>
      <w:suff w:val="nothing"/>
      <w:lvlText w:val="%3."/>
      <w:lvlJc w:val="left"/>
      <w:pPr>
        <w:ind w:left="1701"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A49450">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DEFE54">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309DF2">
      <w:start w:val="1"/>
      <w:numFmt w:val="lowerRoman"/>
      <w:lvlText w:val="%6."/>
      <w:lvlJc w:val="left"/>
      <w:pPr>
        <w:ind w:left="4167"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5A2AC8">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065E2A">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941768">
      <w:start w:val="1"/>
      <w:numFmt w:val="lowerRoman"/>
      <w:lvlText w:val="%9."/>
      <w:lvlJc w:val="left"/>
      <w:pPr>
        <w:ind w:left="6327"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7EA73B6"/>
    <w:multiLevelType w:val="hybridMultilevel"/>
    <w:tmpl w:val="D5E6955A"/>
    <w:lvl w:ilvl="0" w:tplc="F6F6E5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D66EAA"/>
    <w:multiLevelType w:val="hybridMultilevel"/>
    <w:tmpl w:val="6AAE090C"/>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2" w15:restartNumberingAfterBreak="0">
    <w:nsid w:val="642C2EE5"/>
    <w:multiLevelType w:val="hybridMultilevel"/>
    <w:tmpl w:val="100867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1"/>
  </w:num>
  <w:num w:numId="3">
    <w:abstractNumId w:val="22"/>
  </w:num>
  <w:num w:numId="4">
    <w:abstractNumId w:val="14"/>
  </w:num>
  <w:num w:numId="5">
    <w:abstractNumId w:val="15"/>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0"/>
  </w:num>
  <w:num w:numId="17">
    <w:abstractNumId w:val="16"/>
  </w:num>
  <w:num w:numId="18">
    <w:abstractNumId w:val="13"/>
  </w:num>
  <w:num w:numId="19">
    <w:abstractNumId w:val="17"/>
  </w:num>
  <w:num w:numId="20">
    <w:abstractNumId w:val="18"/>
  </w:num>
  <w:num w:numId="21">
    <w:abstractNumId w:val="20"/>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350C2"/>
    <w:rsid w:val="00063016"/>
    <w:rsid w:val="00066795"/>
    <w:rsid w:val="00076AF6"/>
    <w:rsid w:val="00085CF2"/>
    <w:rsid w:val="000B1705"/>
    <w:rsid w:val="000D75B2"/>
    <w:rsid w:val="00107CF3"/>
    <w:rsid w:val="001121F5"/>
    <w:rsid w:val="0012602E"/>
    <w:rsid w:val="001400DC"/>
    <w:rsid w:val="00140CE1"/>
    <w:rsid w:val="0017539C"/>
    <w:rsid w:val="00175AC2"/>
    <w:rsid w:val="0017609F"/>
    <w:rsid w:val="00182367"/>
    <w:rsid w:val="001859E0"/>
    <w:rsid w:val="001C628E"/>
    <w:rsid w:val="001E0F7B"/>
    <w:rsid w:val="002119FD"/>
    <w:rsid w:val="002130E0"/>
    <w:rsid w:val="002270F5"/>
    <w:rsid w:val="00264425"/>
    <w:rsid w:val="00265875"/>
    <w:rsid w:val="0027303B"/>
    <w:rsid w:val="0028109B"/>
    <w:rsid w:val="002A2188"/>
    <w:rsid w:val="002B1F58"/>
    <w:rsid w:val="002C1C7A"/>
    <w:rsid w:val="0030160F"/>
    <w:rsid w:val="00322D0D"/>
    <w:rsid w:val="00356C95"/>
    <w:rsid w:val="003942D4"/>
    <w:rsid w:val="003958A8"/>
    <w:rsid w:val="003C2533"/>
    <w:rsid w:val="0040435A"/>
    <w:rsid w:val="00416A24"/>
    <w:rsid w:val="00431D9E"/>
    <w:rsid w:val="00433CE8"/>
    <w:rsid w:val="00434A5C"/>
    <w:rsid w:val="004544D9"/>
    <w:rsid w:val="00490E72"/>
    <w:rsid w:val="00491157"/>
    <w:rsid w:val="004921C8"/>
    <w:rsid w:val="004C5CCC"/>
    <w:rsid w:val="004D1851"/>
    <w:rsid w:val="004D599D"/>
    <w:rsid w:val="004E2EA5"/>
    <w:rsid w:val="004E3AEB"/>
    <w:rsid w:val="0050223C"/>
    <w:rsid w:val="00517BEC"/>
    <w:rsid w:val="005243FF"/>
    <w:rsid w:val="00564FBC"/>
    <w:rsid w:val="00582442"/>
    <w:rsid w:val="005A1BF1"/>
    <w:rsid w:val="005F3269"/>
    <w:rsid w:val="0060035E"/>
    <w:rsid w:val="00623AE3"/>
    <w:rsid w:val="0064737F"/>
    <w:rsid w:val="006535F1"/>
    <w:rsid w:val="0065557D"/>
    <w:rsid w:val="00662984"/>
    <w:rsid w:val="006716BB"/>
    <w:rsid w:val="00697DCD"/>
    <w:rsid w:val="006B6680"/>
    <w:rsid w:val="006B6DCC"/>
    <w:rsid w:val="006C3442"/>
    <w:rsid w:val="00702DEF"/>
    <w:rsid w:val="00706861"/>
    <w:rsid w:val="0075051B"/>
    <w:rsid w:val="00782891"/>
    <w:rsid w:val="00793188"/>
    <w:rsid w:val="00794D34"/>
    <w:rsid w:val="00813E5E"/>
    <w:rsid w:val="00820459"/>
    <w:rsid w:val="0083581B"/>
    <w:rsid w:val="00864AFF"/>
    <w:rsid w:val="00876949"/>
    <w:rsid w:val="008B4A6A"/>
    <w:rsid w:val="008C7E27"/>
    <w:rsid w:val="008F6C81"/>
    <w:rsid w:val="009173EF"/>
    <w:rsid w:val="00932906"/>
    <w:rsid w:val="00946ED3"/>
    <w:rsid w:val="00961B0B"/>
    <w:rsid w:val="009B38C3"/>
    <w:rsid w:val="009C2E4E"/>
    <w:rsid w:val="009E17BD"/>
    <w:rsid w:val="009E485A"/>
    <w:rsid w:val="00A04CEC"/>
    <w:rsid w:val="00A27F92"/>
    <w:rsid w:val="00A32257"/>
    <w:rsid w:val="00A34A18"/>
    <w:rsid w:val="00A36D20"/>
    <w:rsid w:val="00A55622"/>
    <w:rsid w:val="00A814BE"/>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4BD2"/>
    <w:rsid w:val="00C374DE"/>
    <w:rsid w:val="00C47AD4"/>
    <w:rsid w:val="00C52D81"/>
    <w:rsid w:val="00C55198"/>
    <w:rsid w:val="00CA6393"/>
    <w:rsid w:val="00CB18FF"/>
    <w:rsid w:val="00CD0C08"/>
    <w:rsid w:val="00CE03FB"/>
    <w:rsid w:val="00CE433C"/>
    <w:rsid w:val="00CF33F3"/>
    <w:rsid w:val="00D04E39"/>
    <w:rsid w:val="00D06183"/>
    <w:rsid w:val="00D22C42"/>
    <w:rsid w:val="00D308FD"/>
    <w:rsid w:val="00D65041"/>
    <w:rsid w:val="00DB384B"/>
    <w:rsid w:val="00DF5883"/>
    <w:rsid w:val="00E10E80"/>
    <w:rsid w:val="00E124F0"/>
    <w:rsid w:val="00E33003"/>
    <w:rsid w:val="00E60F04"/>
    <w:rsid w:val="00E854E4"/>
    <w:rsid w:val="00EB0D6F"/>
    <w:rsid w:val="00EB2232"/>
    <w:rsid w:val="00EC5337"/>
    <w:rsid w:val="00F2150A"/>
    <w:rsid w:val="00F231D8"/>
    <w:rsid w:val="00F46C5F"/>
    <w:rsid w:val="00F6793B"/>
    <w:rsid w:val="00F76111"/>
    <w:rsid w:val="00F94A63"/>
    <w:rsid w:val="00FA1C28"/>
    <w:rsid w:val="00FA4575"/>
    <w:rsid w:val="00FB7596"/>
    <w:rsid w:val="00FD719B"/>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None">
    <w:name w:val="None"/>
    <w:rsid w:val="00A34A18"/>
  </w:style>
  <w:style w:type="paragraph" w:customStyle="1" w:styleId="BodyA">
    <w:name w:val="Body A"/>
    <w:rsid w:val="00A34A18"/>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paragraph" w:customStyle="1" w:styleId="BodyAA">
    <w:name w:val="Body A A"/>
    <w:rsid w:val="00A34A18"/>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paragraph" w:styleId="ListParagraph">
    <w:name w:val="List Paragraph"/>
    <w:basedOn w:val="Normal"/>
    <w:link w:val="ListParagraphChar"/>
    <w:uiPriority w:val="34"/>
    <w:qFormat/>
    <w:rsid w:val="00A34A18"/>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imes New Roman" w:eastAsiaTheme="minorHAnsi" w:hAnsi="Times New Roman"/>
      <w:szCs w:val="24"/>
      <w:lang w:val="en-US"/>
    </w:rPr>
  </w:style>
  <w:style w:type="paragraph" w:customStyle="1" w:styleId="Normal1">
    <w:name w:val="Normal1"/>
    <w:rsid w:val="00F76111"/>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lang w:eastAsia="en-US"/>
    </w:rPr>
  </w:style>
  <w:style w:type="numbering" w:customStyle="1" w:styleId="ImportedStyle1">
    <w:name w:val="Imported Style 1"/>
    <w:rsid w:val="00F76111"/>
    <w:pPr>
      <w:numPr>
        <w:numId w:val="15"/>
      </w:numPr>
    </w:pPr>
  </w:style>
  <w:style w:type="numbering" w:customStyle="1" w:styleId="ImportedStyle2">
    <w:name w:val="Imported Style 2"/>
    <w:rsid w:val="00F76111"/>
    <w:pPr>
      <w:numPr>
        <w:numId w:val="17"/>
      </w:numPr>
    </w:pPr>
  </w:style>
  <w:style w:type="numbering" w:customStyle="1" w:styleId="ImportedStyle4">
    <w:name w:val="Imported Style 4"/>
    <w:rsid w:val="00F76111"/>
    <w:pPr>
      <w:numPr>
        <w:numId w:val="19"/>
      </w:numPr>
    </w:pPr>
  </w:style>
  <w:style w:type="character" w:customStyle="1" w:styleId="CallChar">
    <w:name w:val="Call Char"/>
    <w:basedOn w:val="DefaultParagraphFont"/>
    <w:link w:val="Call"/>
    <w:rsid w:val="00DF5883"/>
    <w:rPr>
      <w:rFonts w:ascii="Calibri" w:hAnsi="Calibri"/>
      <w:i/>
      <w:sz w:val="24"/>
      <w:lang w:val="en-GB" w:eastAsia="en-US"/>
    </w:rPr>
  </w:style>
  <w:style w:type="character" w:customStyle="1" w:styleId="NormalaftertitleChar">
    <w:name w:val="Normal after title Char"/>
    <w:basedOn w:val="DefaultParagraphFont"/>
    <w:link w:val="Normalaftertitle"/>
    <w:rsid w:val="00A814BE"/>
    <w:rPr>
      <w:rFonts w:ascii="Calibri" w:hAnsi="Calibri"/>
      <w:sz w:val="24"/>
      <w:lang w:val="en-GB" w:eastAsia="en-US"/>
    </w:rPr>
  </w:style>
  <w:style w:type="character" w:customStyle="1" w:styleId="ListParagraphChar">
    <w:name w:val="List Paragraph Char"/>
    <w:link w:val="ListParagraph"/>
    <w:uiPriority w:val="34"/>
    <w:rsid w:val="00A814BE"/>
    <w:rPr>
      <w:rFonts w:ascii="Times New Roman" w:eastAsiaTheme="minorHAnsi" w:hAnsi="Times New Roman"/>
      <w:sz w:val="24"/>
      <w:szCs w:val="24"/>
      <w:lang w:eastAsia="en-US"/>
    </w:rPr>
  </w:style>
  <w:style w:type="table" w:styleId="TableGrid">
    <w:name w:val="Table Grid"/>
    <w:basedOn w:val="TableNormal"/>
    <w:rsid w:val="00A81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9-CL-C-0004/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council/Documents/basic-texts/RES-077-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web/pp-18/en/page/154-greening-the-p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9-CL-C-0004/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90DCA8CFB2CE4889D8B30E0381F6C5" ma:contentTypeVersion="2" ma:contentTypeDescription="Create a new document." ma:contentTypeScope="" ma:versionID="e107d229a766ff456f736b2882bdb555">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CEE44-D1BF-4F16-9AB3-878D2B930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563869-8225-4C40-B6D7-A55B4C1627C4}">
  <ds:schemaRefs>
    <ds:schemaRef ds:uri="http://schemas.microsoft.com/sharepoint/v3/contenttype/forms"/>
  </ds:schemaRefs>
</ds:datastoreItem>
</file>

<file path=customXml/itemProps3.xml><?xml version="1.0" encoding="utf-8"?>
<ds:datastoreItem xmlns:ds="http://schemas.openxmlformats.org/officeDocument/2006/customXml" ds:itemID="{6A5A6251-995D-4B29-85F0-F2685E0E47D2}">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1aaea1ea-72e4-4374-b05e-72e2f16fb7ae"/>
    <ds:schemaRef ds:uri="http://schemas.microsoft.com/sharepoint/v3"/>
    <ds:schemaRef ds:uri="http://www.w3.org/XML/1998/namespace"/>
  </ds:schemaRefs>
</ds:datastoreItem>
</file>

<file path=customXml/itemProps4.xml><?xml version="1.0" encoding="utf-8"?>
<ds:datastoreItem xmlns:ds="http://schemas.openxmlformats.org/officeDocument/2006/customXml" ds:itemID="{DFD5183B-A4B4-46E1-8D91-C773ED442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Contribution from the USA - Topics CWG-Internet</vt:lpstr>
    </vt:vector>
  </TitlesOfParts>
  <Manager>General Secretariat - Pool</Manager>
  <Company>International Telecommunication Union (ITU)</Company>
  <LinksUpToDate>false</LinksUpToDate>
  <CharactersWithSpaces>6238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USA - Topics CWG-Internet</dc:title>
  <dc:subject>Council 2019</dc:subject>
  <dc:creator>Brouard, Ricarda</dc:creator>
  <cp:keywords>C2019, C19</cp:keywords>
  <dc:description/>
  <cp:lastModifiedBy>Janin, Patricia</cp:lastModifiedBy>
  <cp:revision>3</cp:revision>
  <cp:lastPrinted>2000-07-18T13:30:00Z</cp:lastPrinted>
  <dcterms:created xsi:type="dcterms:W3CDTF">2019-05-28T14:25:00Z</dcterms:created>
  <dcterms:modified xsi:type="dcterms:W3CDTF">2019-05-28T14:25:00Z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0x0101006890DCA8CFB2CE4889D8B30E0381F6C5</vt:lpwstr>
  </property>
</Properties>
</file>