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4C61">
        <w:trPr>
          <w:cantSplit/>
        </w:trPr>
        <w:tc>
          <w:tcPr>
            <w:tcW w:w="6911" w:type="dxa"/>
          </w:tcPr>
          <w:p w:rsidR="00BC7BC0" w:rsidRPr="00CA4C61" w:rsidRDefault="000569B4" w:rsidP="00CF3BF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4C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4C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F3BFA" w:rsidRPr="00CA4C61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CA4C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4C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4C61">
              <w:rPr>
                <w:b/>
                <w:bCs/>
                <w:szCs w:val="22"/>
                <w:lang w:val="ru-RU"/>
              </w:rPr>
              <w:t xml:space="preserve">, </w:t>
            </w:r>
            <w:r w:rsidR="00CF3BFA" w:rsidRPr="00CA4C61">
              <w:rPr>
                <w:b/>
                <w:bCs/>
                <w:lang w:val="ru-RU"/>
              </w:rPr>
              <w:t>10–20 июня 2019</w:t>
            </w:r>
            <w:r w:rsidR="00225368" w:rsidRPr="00CA4C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4C6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A4C61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4C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4C6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4C6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C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4C6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4C6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C6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4C61" w:rsidRDefault="00BC7BC0" w:rsidP="008B4B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4C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4C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076F69" w:rsidRPr="00CA4C61">
              <w:rPr>
                <w:b/>
                <w:lang w:val="ru-RU"/>
              </w:rPr>
              <w:t>PL</w:t>
            </w:r>
            <w:proofErr w:type="spellEnd"/>
            <w:r w:rsidR="00076F69" w:rsidRPr="00CA4C61">
              <w:rPr>
                <w:b/>
                <w:lang w:val="ru-RU"/>
              </w:rPr>
              <w:t xml:space="preserve"> </w:t>
            </w:r>
            <w:r w:rsidR="008B4B2E" w:rsidRPr="00CA4C61">
              <w:rPr>
                <w:b/>
                <w:lang w:val="ru-RU"/>
              </w:rPr>
              <w:t>1</w:t>
            </w:r>
            <w:r w:rsidR="00CF3BFA" w:rsidRPr="00CA4C61">
              <w:rPr>
                <w:b/>
                <w:lang w:val="ru-RU"/>
              </w:rPr>
              <w:t>.4</w:t>
            </w:r>
          </w:p>
        </w:tc>
        <w:tc>
          <w:tcPr>
            <w:tcW w:w="3120" w:type="dxa"/>
          </w:tcPr>
          <w:p w:rsidR="00BC7BC0" w:rsidRPr="00CA4C61" w:rsidRDefault="00BC7BC0" w:rsidP="008B4B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4C61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CA4C61">
              <w:rPr>
                <w:b/>
                <w:bCs/>
                <w:szCs w:val="22"/>
                <w:lang w:val="ru-RU"/>
              </w:rPr>
              <w:t>C</w:t>
            </w:r>
            <w:r w:rsidR="003F099E" w:rsidRPr="00CA4C61">
              <w:rPr>
                <w:b/>
                <w:bCs/>
                <w:szCs w:val="22"/>
                <w:lang w:val="ru-RU"/>
              </w:rPr>
              <w:t>1</w:t>
            </w:r>
            <w:r w:rsidR="00CF3BFA" w:rsidRPr="00CA4C61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CA4C61">
              <w:rPr>
                <w:b/>
                <w:bCs/>
                <w:szCs w:val="22"/>
                <w:lang w:val="ru-RU"/>
              </w:rPr>
              <w:t>/</w:t>
            </w:r>
            <w:r w:rsidR="00CF3BFA" w:rsidRPr="00CA4C61">
              <w:rPr>
                <w:b/>
                <w:bCs/>
                <w:szCs w:val="22"/>
                <w:lang w:val="ru-RU"/>
              </w:rPr>
              <w:t>10</w:t>
            </w:r>
            <w:r w:rsidR="008B4B2E" w:rsidRPr="00CA4C61">
              <w:rPr>
                <w:b/>
                <w:bCs/>
                <w:szCs w:val="22"/>
                <w:lang w:val="ru-RU"/>
              </w:rPr>
              <w:t>2</w:t>
            </w:r>
            <w:r w:rsidRPr="00CA4C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4C61">
        <w:trPr>
          <w:cantSplit/>
          <w:trHeight w:val="23"/>
        </w:trPr>
        <w:tc>
          <w:tcPr>
            <w:tcW w:w="6911" w:type="dxa"/>
            <w:vMerge/>
          </w:tcPr>
          <w:p w:rsidR="00BC7BC0" w:rsidRPr="00CA4C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4C61" w:rsidRDefault="00CF3BFA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C61">
              <w:rPr>
                <w:b/>
                <w:bCs/>
                <w:szCs w:val="22"/>
                <w:lang w:val="ru-RU"/>
              </w:rPr>
              <w:t>27 мая 2019</w:t>
            </w:r>
            <w:r w:rsidR="00BC7BC0" w:rsidRPr="00CA4C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4C61">
        <w:trPr>
          <w:cantSplit/>
          <w:trHeight w:val="23"/>
        </w:trPr>
        <w:tc>
          <w:tcPr>
            <w:tcW w:w="6911" w:type="dxa"/>
            <w:vMerge/>
          </w:tcPr>
          <w:p w:rsidR="00BC7BC0" w:rsidRPr="00CA4C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4C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C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4C61">
        <w:trPr>
          <w:cantSplit/>
        </w:trPr>
        <w:tc>
          <w:tcPr>
            <w:tcW w:w="10031" w:type="dxa"/>
            <w:gridSpan w:val="2"/>
          </w:tcPr>
          <w:p w:rsidR="00BC7BC0" w:rsidRPr="00CA4C61" w:rsidRDefault="00076F69" w:rsidP="00DF0BB0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CA4C61">
              <w:rPr>
                <w:lang w:val="ru-RU"/>
              </w:rPr>
              <w:t>Записка</w:t>
            </w:r>
            <w:r w:rsidR="009D213E" w:rsidRPr="00CA4C61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CA4C61">
        <w:trPr>
          <w:cantSplit/>
        </w:trPr>
        <w:tc>
          <w:tcPr>
            <w:tcW w:w="10031" w:type="dxa"/>
            <w:gridSpan w:val="2"/>
          </w:tcPr>
          <w:p w:rsidR="00CA4C61" w:rsidRPr="00CA4C61" w:rsidRDefault="009D263E" w:rsidP="00CA4C6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CA4C61">
              <w:rPr>
                <w:lang w:val="ru-RU"/>
              </w:rPr>
              <w:t>ВКЛАД ОТ ОБЪЕДИНЕННЫХ АРАБСКИХ ЭМИРАТОВ</w:t>
            </w:r>
            <w:r w:rsidR="00CF3BFA" w:rsidRPr="00CA4C61">
              <w:rPr>
                <w:lang w:val="ru-RU"/>
              </w:rPr>
              <w:t xml:space="preserve"> </w:t>
            </w:r>
            <w:r w:rsidR="00DF0BB0" w:rsidRPr="00CA4C61">
              <w:rPr>
                <w:lang w:val="ru-RU"/>
              </w:rPr>
              <w:br/>
            </w:r>
            <w:r w:rsidR="00CA4C61" w:rsidRPr="00CA4C61">
              <w:rPr>
                <w:lang w:val="ru-RU"/>
              </w:rPr>
              <w:t xml:space="preserve">и </w:t>
            </w:r>
            <w:r w:rsidR="00CF3BFA" w:rsidRPr="00CA4C61">
              <w:rPr>
                <w:lang w:val="ru-RU"/>
              </w:rPr>
              <w:t>королевства саудовская аравия</w:t>
            </w:r>
            <w:r w:rsidR="00CA4C61" w:rsidRPr="00CA4C61">
              <w:rPr>
                <w:lang w:val="ru-RU"/>
              </w:rPr>
              <w:t xml:space="preserve"> </w:t>
            </w:r>
          </w:p>
          <w:p w:rsidR="00BC7BC0" w:rsidRPr="00CA4C61" w:rsidRDefault="00CA4C61" w:rsidP="00DF0BB0">
            <w:pPr>
              <w:pStyle w:val="Title1"/>
              <w:rPr>
                <w:lang w:val="ru-RU"/>
              </w:rPr>
            </w:pPr>
            <w:r w:rsidRPr="00CA4C61">
              <w:rPr>
                <w:lang w:val="ru-RU"/>
              </w:rPr>
              <w:t xml:space="preserve">предложение о работе по видам деятельности, связанным с </w:t>
            </w:r>
            <w:proofErr w:type="spellStart"/>
            <w:r w:rsidRPr="00CA4C61">
              <w:rPr>
                <w:lang w:val="ru-RU"/>
              </w:rPr>
              <w:t>ott</w:t>
            </w:r>
            <w:proofErr w:type="spellEnd"/>
          </w:p>
        </w:tc>
      </w:tr>
    </w:tbl>
    <w:bookmarkEnd w:id="2"/>
    <w:p w:rsidR="009D263E" w:rsidRPr="00CA4C61" w:rsidRDefault="009D263E" w:rsidP="00DF0BB0">
      <w:pPr>
        <w:pStyle w:val="Normalaftertitle"/>
        <w:rPr>
          <w:lang w:val="ru-RU"/>
        </w:rPr>
      </w:pPr>
      <w:r w:rsidRPr="00CA4C61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CA4C61">
        <w:rPr>
          <w:b/>
          <w:bCs/>
          <w:lang w:val="ru-RU"/>
        </w:rPr>
        <w:t>Объединенными Арабскими Эмиратами</w:t>
      </w:r>
      <w:r w:rsidR="00CF3BFA" w:rsidRPr="00CA4C61">
        <w:rPr>
          <w:lang w:val="ru-RU"/>
        </w:rPr>
        <w:t xml:space="preserve"> и </w:t>
      </w:r>
      <w:r w:rsidR="00CF3BFA" w:rsidRPr="00CA4C61">
        <w:rPr>
          <w:b/>
          <w:bCs/>
          <w:lang w:val="ru-RU"/>
        </w:rPr>
        <w:t>Королевством Саудовская Аравия</w:t>
      </w:r>
      <w:r w:rsidRPr="00CA4C61">
        <w:rPr>
          <w:lang w:val="ru-RU"/>
        </w:rPr>
        <w:t>.</w:t>
      </w:r>
    </w:p>
    <w:p w:rsidR="009D263E" w:rsidRPr="00CA4C61" w:rsidRDefault="009D263E" w:rsidP="009D2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rFonts w:asciiTheme="minorHAnsi" w:hAnsiTheme="minorHAnsi" w:cs="Traditional Arabic"/>
          <w:szCs w:val="30"/>
          <w:lang w:val="ru-RU"/>
        </w:rPr>
      </w:pPr>
      <w:r w:rsidRPr="00CA4C61">
        <w:rPr>
          <w:rFonts w:asciiTheme="minorHAnsi" w:hAnsiTheme="minorHAnsi" w:cs="Traditional Arabic"/>
          <w:szCs w:val="30"/>
          <w:lang w:val="ru-RU"/>
        </w:rPr>
        <w:tab/>
      </w:r>
      <w:proofErr w:type="spellStart"/>
      <w:r w:rsidRPr="00CA4C61">
        <w:rPr>
          <w:color w:val="000000"/>
          <w:lang w:val="ru-RU"/>
        </w:rPr>
        <w:t>Хоулинь</w:t>
      </w:r>
      <w:proofErr w:type="spellEnd"/>
      <w:r w:rsidRPr="00CA4C61">
        <w:rPr>
          <w:color w:val="000000"/>
          <w:lang w:val="ru-RU"/>
        </w:rPr>
        <w:t xml:space="preserve"> </w:t>
      </w:r>
      <w:proofErr w:type="spellStart"/>
      <w:r w:rsidRPr="00CA4C61">
        <w:rPr>
          <w:color w:val="000000"/>
          <w:lang w:val="ru-RU"/>
        </w:rPr>
        <w:t>ЧЖАО</w:t>
      </w:r>
      <w:proofErr w:type="spellEnd"/>
      <w:r w:rsidRPr="00CA4C61">
        <w:rPr>
          <w:rFonts w:asciiTheme="minorHAnsi" w:hAnsiTheme="minorHAnsi" w:cs="Traditional Arabic"/>
          <w:szCs w:val="30"/>
          <w:lang w:val="ru-RU"/>
        </w:rPr>
        <w:br/>
      </w:r>
      <w:r w:rsidRPr="00CA4C61">
        <w:rPr>
          <w:rFonts w:asciiTheme="minorHAnsi" w:hAnsiTheme="minorHAnsi" w:cs="Traditional Arabic"/>
          <w:szCs w:val="30"/>
          <w:lang w:val="ru-RU"/>
        </w:rPr>
        <w:tab/>
      </w:r>
      <w:r w:rsidRPr="00CA4C61">
        <w:rPr>
          <w:color w:val="000000"/>
          <w:lang w:val="ru-RU"/>
        </w:rPr>
        <w:t>Генеральный секретарь</w:t>
      </w:r>
    </w:p>
    <w:p w:rsidR="002D2F57" w:rsidRPr="00CA4C61" w:rsidRDefault="009D263E" w:rsidP="00DF0BB0">
      <w:pPr>
        <w:rPr>
          <w:lang w:val="ru-RU"/>
        </w:rPr>
      </w:pPr>
      <w:r w:rsidRPr="00CA4C61">
        <w:rPr>
          <w:lang w:val="ru-RU"/>
        </w:rPr>
        <w:br w:type="page"/>
      </w:r>
    </w:p>
    <w:p w:rsidR="009D263E" w:rsidRPr="00CA4C61" w:rsidRDefault="00DF0BB0" w:rsidP="00CA4C61">
      <w:pPr>
        <w:pStyle w:val="Title1"/>
        <w:rPr>
          <w:lang w:val="ru-RU"/>
        </w:rPr>
      </w:pPr>
      <w:r w:rsidRPr="00CA4C61">
        <w:rPr>
          <w:lang w:val="ru-RU"/>
        </w:rPr>
        <w:lastRenderedPageBreak/>
        <w:t xml:space="preserve">Вклад от Объединенных Арабских Эмиратов </w:t>
      </w:r>
      <w:r w:rsidR="00CA4C61" w:rsidRPr="00CA4C61">
        <w:rPr>
          <w:lang w:val="ru-RU"/>
        </w:rPr>
        <w:br/>
      </w:r>
      <w:r w:rsidRPr="00CA4C61">
        <w:rPr>
          <w:lang w:val="ru-RU"/>
        </w:rPr>
        <w:t>и Королевства Саудовская Аравия</w:t>
      </w:r>
    </w:p>
    <w:p w:rsidR="009D263E" w:rsidRPr="00CA4C61" w:rsidRDefault="00A16DBB" w:rsidP="00DF0BB0">
      <w:pPr>
        <w:pStyle w:val="Title1"/>
        <w:rPr>
          <w:lang w:val="ru-RU"/>
        </w:rPr>
      </w:pPr>
      <w:r w:rsidRPr="00CA4C61">
        <w:rPr>
          <w:lang w:val="ru-RU"/>
        </w:rPr>
        <w:t xml:space="preserve">предложение о работе по видам деятельности, связанным с </w:t>
      </w:r>
      <w:proofErr w:type="spellStart"/>
      <w:r w:rsidRPr="00CA4C61">
        <w:rPr>
          <w:lang w:val="ru-RU"/>
        </w:rPr>
        <w:t>ott</w:t>
      </w:r>
      <w:proofErr w:type="spellEnd"/>
    </w:p>
    <w:p w:rsidR="00DF0BB0" w:rsidRPr="00CA4C61" w:rsidRDefault="00DF0BB0" w:rsidP="00DF0BB0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F0BB0" w:rsidRPr="00CA4C61" w:rsidTr="00B0240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BB0" w:rsidRPr="00CA4C61" w:rsidRDefault="00DF0BB0" w:rsidP="00CA4C61">
            <w:pPr>
              <w:pStyle w:val="Headingb"/>
              <w:rPr>
                <w:lang w:val="ru-RU"/>
              </w:rPr>
            </w:pPr>
            <w:r w:rsidRPr="00CA4C61">
              <w:rPr>
                <w:lang w:val="ru-RU"/>
              </w:rPr>
              <w:t>Резюме</w:t>
            </w:r>
          </w:p>
          <w:p w:rsidR="00DF0BB0" w:rsidRPr="00CA4C61" w:rsidRDefault="00DF0BB0" w:rsidP="00CA4C61">
            <w:pPr>
              <w:rPr>
                <w:lang w:val="ru-RU"/>
              </w:rPr>
            </w:pPr>
            <w:r w:rsidRPr="00CA4C61">
              <w:rPr>
                <w:lang w:val="ru-RU"/>
              </w:rPr>
              <w:t xml:space="preserve">В настоящем документе кратко излагаются позиции, наблюдаемые по теме </w:t>
            </w:r>
            <w:proofErr w:type="spellStart"/>
            <w:r w:rsidRPr="00CA4C61">
              <w:rPr>
                <w:lang w:val="ru-RU"/>
              </w:rPr>
              <w:t>OTT</w:t>
            </w:r>
            <w:proofErr w:type="spellEnd"/>
            <w:r w:rsidRPr="00CA4C61">
              <w:rPr>
                <w:lang w:val="ru-RU"/>
              </w:rPr>
              <w:t>, и предлагаются виды деятельности и ориентация работы в предстоящий исследовательский период 2019–2022 годов.</w:t>
            </w:r>
          </w:p>
          <w:p w:rsidR="00DF0BB0" w:rsidRPr="00CA4C61" w:rsidRDefault="00DF0BB0" w:rsidP="00B0240E">
            <w:pPr>
              <w:pStyle w:val="Headingb"/>
              <w:rPr>
                <w:lang w:val="ru-RU"/>
              </w:rPr>
            </w:pPr>
            <w:r w:rsidRPr="00CA4C61">
              <w:rPr>
                <w:lang w:val="ru-RU"/>
              </w:rPr>
              <w:t>Необходимые действия</w:t>
            </w:r>
          </w:p>
          <w:p w:rsidR="00DF0BB0" w:rsidRPr="00CA4C61" w:rsidRDefault="00DF0BB0" w:rsidP="00CA4C61">
            <w:pPr>
              <w:rPr>
                <w:lang w:val="ru-RU"/>
              </w:rPr>
            </w:pPr>
            <w:r w:rsidRPr="00CA4C61">
              <w:rPr>
                <w:lang w:val="ru-RU"/>
              </w:rPr>
              <w:t>Предложение представляется на рассмотрение Совета.</w:t>
            </w:r>
          </w:p>
          <w:p w:rsidR="00DF0BB0" w:rsidRPr="00CA4C61" w:rsidRDefault="00DF0BB0" w:rsidP="00B0240E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A4C61">
              <w:rPr>
                <w:caps/>
                <w:szCs w:val="22"/>
                <w:lang w:val="ru-RU"/>
              </w:rPr>
              <w:t>____________</w:t>
            </w:r>
          </w:p>
          <w:p w:rsidR="00DF0BB0" w:rsidRPr="00CA4C61" w:rsidRDefault="00DF0BB0" w:rsidP="00CA4C61">
            <w:pPr>
              <w:pStyle w:val="Headingb"/>
              <w:rPr>
                <w:lang w:val="ru-RU"/>
              </w:rPr>
            </w:pPr>
            <w:r w:rsidRPr="00CA4C61">
              <w:rPr>
                <w:lang w:val="ru-RU"/>
              </w:rPr>
              <w:t>Справочные материалы</w:t>
            </w:r>
          </w:p>
          <w:p w:rsidR="00DF0BB0" w:rsidRPr="00CA4C61" w:rsidRDefault="00CA4C61" w:rsidP="00CA4C61">
            <w:pPr>
              <w:rPr>
                <w:lang w:val="ru-RU"/>
              </w:rPr>
            </w:pPr>
            <w:hyperlink r:id="rId8" w:history="1">
              <w:r w:rsidR="00DF0BB0" w:rsidRPr="00CA4C61">
                <w:rPr>
                  <w:rStyle w:val="Hyperlink"/>
                  <w:i/>
                  <w:iCs/>
                  <w:szCs w:val="22"/>
                  <w:lang w:val="ru-RU"/>
                </w:rPr>
                <w:t>Резолюция 206 (Дубай, 2018 г.)</w:t>
              </w:r>
            </w:hyperlink>
          </w:p>
        </w:tc>
      </w:tr>
    </w:tbl>
    <w:p w:rsidR="003D019E" w:rsidRPr="00CA4C61" w:rsidRDefault="003D019E" w:rsidP="00EA43E2">
      <w:pPr>
        <w:pStyle w:val="Headingb"/>
        <w:rPr>
          <w:lang w:val="ru-RU"/>
        </w:rPr>
      </w:pPr>
      <w:r w:rsidRPr="00CA4C61">
        <w:rPr>
          <w:lang w:val="ru-RU"/>
        </w:rPr>
        <w:t>Введение</w:t>
      </w:r>
    </w:p>
    <w:p w:rsidR="00606F80" w:rsidRPr="00CA4C61" w:rsidRDefault="00606F80" w:rsidP="00EA43E2">
      <w:pPr>
        <w:rPr>
          <w:lang w:val="ru-RU"/>
        </w:rPr>
      </w:pPr>
      <w:r w:rsidRPr="00CA4C61">
        <w:rPr>
          <w:lang w:val="ru-RU"/>
        </w:rPr>
        <w:t xml:space="preserve">Услуги </w:t>
      </w:r>
      <w:proofErr w:type="spellStart"/>
      <w:r w:rsidRPr="00CA4C61">
        <w:rPr>
          <w:lang w:val="ru-RU"/>
        </w:rPr>
        <w:t>OTT</w:t>
      </w:r>
      <w:proofErr w:type="spellEnd"/>
      <w:r w:rsidRPr="00CA4C61">
        <w:rPr>
          <w:lang w:val="ru-RU"/>
        </w:rPr>
        <w:t xml:space="preserve"> приобретают все большее значение в стремительно меняющей среде ИКТ ввиду их беспрецедентного роста, который создает ряд регуляторных и политических проблем, требующих безотлагательного рассмотр</w:t>
      </w:r>
      <w:bookmarkStart w:id="3" w:name="_GoBack"/>
      <w:bookmarkEnd w:id="3"/>
      <w:r w:rsidRPr="00CA4C61">
        <w:rPr>
          <w:lang w:val="ru-RU"/>
        </w:rPr>
        <w:t xml:space="preserve">ения. </w:t>
      </w:r>
    </w:p>
    <w:p w:rsidR="00606F80" w:rsidRPr="00CA4C61" w:rsidRDefault="00606F80" w:rsidP="00CA4C61">
      <w:pPr>
        <w:rPr>
          <w:lang w:val="ru-RU"/>
        </w:rPr>
      </w:pPr>
      <w:r w:rsidRPr="00CA4C61">
        <w:rPr>
          <w:lang w:val="ru-RU"/>
        </w:rPr>
        <w:t xml:space="preserve">Компромисс между </w:t>
      </w:r>
      <w:r w:rsidR="00A16DBB" w:rsidRPr="00CA4C61">
        <w:rPr>
          <w:lang w:val="ru-RU"/>
        </w:rPr>
        <w:t>подключением</w:t>
      </w:r>
      <w:r w:rsidRPr="00CA4C61">
        <w:rPr>
          <w:lang w:val="ru-RU"/>
        </w:rPr>
        <w:t xml:space="preserve"> люд</w:t>
      </w:r>
      <w:r w:rsidR="00A16DBB" w:rsidRPr="00CA4C61">
        <w:rPr>
          <w:lang w:val="ru-RU"/>
        </w:rPr>
        <w:t>ей</w:t>
      </w:r>
      <w:r w:rsidRPr="00CA4C61">
        <w:rPr>
          <w:lang w:val="ru-RU"/>
        </w:rPr>
        <w:t xml:space="preserve"> </w:t>
      </w:r>
      <w:r w:rsidR="00A16DBB" w:rsidRPr="00CA4C61">
        <w:rPr>
          <w:lang w:val="ru-RU"/>
        </w:rPr>
        <w:t>к интернету</w:t>
      </w:r>
      <w:r w:rsidRPr="00CA4C61">
        <w:rPr>
          <w:lang w:val="ru-RU"/>
        </w:rPr>
        <w:t>, предоставлением платформы для обмена информацией и совместного использования данных, а также соединением лишенных соединения</w:t>
      </w:r>
      <w:r w:rsidR="00A16DBB" w:rsidRPr="00CA4C61">
        <w:rPr>
          <w:lang w:val="ru-RU"/>
        </w:rPr>
        <w:t xml:space="preserve"> путем преодоления </w:t>
      </w:r>
      <w:r w:rsidRPr="00CA4C61">
        <w:rPr>
          <w:lang w:val="ru-RU"/>
        </w:rPr>
        <w:t>разрыв</w:t>
      </w:r>
      <w:r w:rsidR="00A16DBB" w:rsidRPr="00CA4C61">
        <w:rPr>
          <w:lang w:val="ru-RU"/>
        </w:rPr>
        <w:t>а</w:t>
      </w:r>
      <w:r w:rsidRPr="00CA4C61">
        <w:rPr>
          <w:lang w:val="ru-RU"/>
        </w:rPr>
        <w:t xml:space="preserve"> "последней мили" </w:t>
      </w:r>
      <w:r w:rsidR="00303852" w:rsidRPr="00CA4C61">
        <w:rPr>
          <w:lang w:val="ru-RU"/>
        </w:rPr>
        <w:t xml:space="preserve">и асимметричным экономическим воздействием на традиционную модель электросвязи совместно с регуляторными последствиями и проблемами безопасности, связанными с ними, делают </w:t>
      </w:r>
      <w:proofErr w:type="spellStart"/>
      <w:r w:rsidR="00303852" w:rsidRPr="00CA4C61">
        <w:rPr>
          <w:lang w:val="ru-RU"/>
        </w:rPr>
        <w:t>OTT</w:t>
      </w:r>
      <w:proofErr w:type="spellEnd"/>
      <w:r w:rsidR="00303852" w:rsidRPr="00CA4C61">
        <w:rPr>
          <w:lang w:val="ru-RU"/>
        </w:rPr>
        <w:t xml:space="preserve"> чрезвычайно интересной темой для заинтересованных сторон</w:t>
      </w:r>
      <w:r w:rsidRPr="00CA4C61">
        <w:rPr>
          <w:lang w:val="ru-RU"/>
        </w:rPr>
        <w:t xml:space="preserve">. </w:t>
      </w:r>
    </w:p>
    <w:p w:rsidR="00606F80" w:rsidRPr="00CA4C61" w:rsidRDefault="00303852" w:rsidP="00EA43E2">
      <w:pPr>
        <w:rPr>
          <w:lang w:val="ru-RU"/>
        </w:rPr>
      </w:pPr>
      <w:r w:rsidRPr="00CA4C61">
        <w:rPr>
          <w:lang w:val="ru-RU"/>
        </w:rPr>
        <w:t>У заинтересованных сторон также различные точки зрения на тему услуг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OTT</w:t>
      </w:r>
      <w:proofErr w:type="spellEnd"/>
      <w:r w:rsidRPr="00CA4C61">
        <w:rPr>
          <w:lang w:val="ru-RU"/>
        </w:rPr>
        <w:t xml:space="preserve">, из которых крайние </w:t>
      </w:r>
      <w:r w:rsidR="00DE5D2E" w:rsidRPr="00CA4C61">
        <w:rPr>
          <w:lang w:val="ru-RU"/>
        </w:rPr>
        <w:t>–</w:t>
      </w:r>
      <w:r w:rsidR="00606F80" w:rsidRPr="00CA4C61">
        <w:rPr>
          <w:lang w:val="ru-RU"/>
        </w:rPr>
        <w:t xml:space="preserve"> </w:t>
      </w:r>
      <w:r w:rsidRPr="00CA4C61">
        <w:rPr>
          <w:lang w:val="ru-RU"/>
        </w:rPr>
        <w:t>принцип невмешательства и максимальное регулирование, включающее введение соответствующего сбора</w:t>
      </w:r>
      <w:r w:rsidR="00606F80" w:rsidRPr="00CA4C61">
        <w:rPr>
          <w:lang w:val="ru-RU"/>
        </w:rPr>
        <w:t>.</w:t>
      </w:r>
    </w:p>
    <w:p w:rsidR="00606F80" w:rsidRPr="00CA4C61" w:rsidRDefault="00303852" w:rsidP="00EA43E2">
      <w:pPr>
        <w:rPr>
          <w:lang w:val="ru-RU"/>
        </w:rPr>
      </w:pPr>
      <w:r w:rsidRPr="00CA4C61">
        <w:rPr>
          <w:lang w:val="ru-RU"/>
        </w:rPr>
        <w:t>Это было очевидно на ПК</w:t>
      </w:r>
      <w:r w:rsidRPr="00CA4C61">
        <w:rPr>
          <w:lang w:val="ru-RU"/>
        </w:rPr>
        <w:noBreakHyphen/>
        <w:t>18 МСЭ, прошедшей в Дубае в октябре-ноябре, где после продолжительных обсуждений и дискуссий была принята Резолюция </w:t>
      </w:r>
      <w:r w:rsidR="00606F80" w:rsidRPr="00CA4C61">
        <w:rPr>
          <w:lang w:val="ru-RU"/>
        </w:rPr>
        <w:t>206 (</w:t>
      </w:r>
      <w:r w:rsidRPr="00CA4C61">
        <w:rPr>
          <w:lang w:val="ru-RU"/>
        </w:rPr>
        <w:t>Дубай</w:t>
      </w:r>
      <w:r w:rsidR="00606F80" w:rsidRPr="00CA4C61">
        <w:rPr>
          <w:lang w:val="ru-RU"/>
        </w:rPr>
        <w:t>, 2018</w:t>
      </w:r>
      <w:r w:rsidRPr="00CA4C61">
        <w:rPr>
          <w:lang w:val="ru-RU"/>
        </w:rPr>
        <w:t> г.</w:t>
      </w:r>
      <w:r w:rsidR="00606F80" w:rsidRPr="00CA4C61">
        <w:rPr>
          <w:lang w:val="ru-RU"/>
        </w:rPr>
        <w:t>).</w:t>
      </w:r>
    </w:p>
    <w:p w:rsidR="00606F80" w:rsidRPr="00CA4C61" w:rsidRDefault="00BC5309" w:rsidP="00EA43E2">
      <w:pPr>
        <w:rPr>
          <w:lang w:val="ru-RU"/>
        </w:rPr>
      </w:pPr>
      <w:r w:rsidRPr="00CA4C61">
        <w:rPr>
          <w:lang w:val="ru-RU"/>
        </w:rPr>
        <w:t xml:space="preserve">В Резолюции 206 </w:t>
      </w:r>
      <w:r w:rsidR="00606F80" w:rsidRPr="00CA4C61">
        <w:rPr>
          <w:lang w:val="ru-RU"/>
        </w:rPr>
        <w:t>(</w:t>
      </w:r>
      <w:r w:rsidRPr="00CA4C61">
        <w:rPr>
          <w:lang w:val="ru-RU"/>
        </w:rPr>
        <w:t>Дубай</w:t>
      </w:r>
      <w:r w:rsidR="00606F80" w:rsidRPr="00CA4C61">
        <w:rPr>
          <w:lang w:val="ru-RU"/>
        </w:rPr>
        <w:t>, 2018</w:t>
      </w:r>
      <w:r w:rsidRPr="00CA4C61">
        <w:rPr>
          <w:lang w:val="ru-RU"/>
        </w:rPr>
        <w:t> г.</w:t>
      </w:r>
      <w:r w:rsidR="00606F80" w:rsidRPr="00CA4C61">
        <w:rPr>
          <w:lang w:val="ru-RU"/>
        </w:rPr>
        <w:t>)</w:t>
      </w:r>
      <w:r w:rsidR="001A19E4" w:rsidRPr="00CA4C61">
        <w:rPr>
          <w:lang w:val="ru-RU"/>
        </w:rPr>
        <w:t xml:space="preserve"> ПК</w:t>
      </w:r>
      <w:r w:rsidR="001A19E4" w:rsidRPr="00CA4C61">
        <w:rPr>
          <w:lang w:val="ru-RU"/>
        </w:rPr>
        <w:noBreakHyphen/>
        <w:t>18</w:t>
      </w:r>
      <w:r w:rsidR="00606F80" w:rsidRPr="00CA4C61">
        <w:rPr>
          <w:lang w:val="ru-RU"/>
        </w:rPr>
        <w:t xml:space="preserve"> </w:t>
      </w:r>
      <w:r w:rsidRPr="00CA4C61">
        <w:rPr>
          <w:i/>
          <w:iCs/>
          <w:lang w:val="ru-RU"/>
        </w:rPr>
        <w:t xml:space="preserve">поручается </w:t>
      </w:r>
      <w:r w:rsidRPr="00CA4C61">
        <w:rPr>
          <w:lang w:val="ru-RU"/>
        </w:rPr>
        <w:t>Генеральному секретарю</w:t>
      </w:r>
      <w:r w:rsidR="00CA4C61" w:rsidRPr="00CA4C61">
        <w:rPr>
          <w:lang w:val="ru-RU"/>
        </w:rPr>
        <w:t>:</w:t>
      </w:r>
      <w:r w:rsidR="00606F80" w:rsidRPr="00CA4C61">
        <w:rPr>
          <w:lang w:val="ru-RU"/>
        </w:rPr>
        <w:t xml:space="preserve"> </w:t>
      </w:r>
    </w:p>
    <w:p w:rsidR="00BC5309" w:rsidRPr="00CA4C61" w:rsidRDefault="00BC5309" w:rsidP="00EA43E2">
      <w:pPr>
        <w:pStyle w:val="enumlev1"/>
        <w:rPr>
          <w:lang w:val="ru-RU"/>
        </w:rPr>
      </w:pPr>
      <w:r w:rsidRPr="00CA4C61">
        <w:rPr>
          <w:lang w:val="ru-RU"/>
        </w:rPr>
        <w:t>1</w:t>
      </w:r>
      <w:r w:rsidRPr="00CA4C61">
        <w:rPr>
          <w:lang w:val="ru-RU"/>
        </w:rPr>
        <w:tab/>
      </w:r>
      <w:r w:rsidRPr="00CA4C61">
        <w:rPr>
          <w:i/>
          <w:iCs/>
          <w:lang w:val="ru-RU"/>
        </w:rPr>
        <w:t>продолжать сотрудничество и взаимодействие с другими соответствующими организациями и заинтересованными сторонами, а также рассмотреть возможность сотрудничества между членами МСЭ и членами других организаций для достижения целей настоящей Резолюции</w:t>
      </w:r>
      <w:r w:rsidRPr="00CA4C61">
        <w:rPr>
          <w:lang w:val="ru-RU"/>
        </w:rPr>
        <w:t>;</w:t>
      </w:r>
    </w:p>
    <w:p w:rsidR="00BC5309" w:rsidRPr="00CA4C61" w:rsidRDefault="00BC5309" w:rsidP="00EA43E2">
      <w:pPr>
        <w:pStyle w:val="enumlev1"/>
        <w:rPr>
          <w:lang w:val="ru-RU"/>
        </w:rPr>
      </w:pPr>
      <w:r w:rsidRPr="00CA4C61">
        <w:rPr>
          <w:lang w:val="ru-RU"/>
        </w:rPr>
        <w:t>2</w:t>
      </w:r>
      <w:r w:rsidRPr="00CA4C61">
        <w:rPr>
          <w:lang w:val="ru-RU"/>
        </w:rPr>
        <w:tab/>
      </w:r>
      <w:r w:rsidRPr="00CA4C61">
        <w:rPr>
          <w:i/>
          <w:iCs/>
          <w:lang w:val="ru-RU"/>
        </w:rPr>
        <w:t xml:space="preserve">способствовать формированию условий для сотрудничества между соответствующими заинтересованными сторонами по программам создания потенциала в целях распространения информации о передовом опыте и технических указаний, касающихся </w:t>
      </w:r>
      <w:proofErr w:type="spellStart"/>
      <w:r w:rsidRPr="00CA4C61">
        <w:rPr>
          <w:i/>
          <w:iCs/>
          <w:lang w:val="ru-RU"/>
        </w:rPr>
        <w:t>ОТТ</w:t>
      </w:r>
      <w:proofErr w:type="spellEnd"/>
      <w:r w:rsidRPr="00CA4C61">
        <w:rPr>
          <w:i/>
          <w:iCs/>
          <w:lang w:val="ru-RU"/>
        </w:rPr>
        <w:t>, особенно для развивающихся стран</w:t>
      </w:r>
      <w:r w:rsidRPr="00CA4C61">
        <w:rPr>
          <w:lang w:val="ru-RU"/>
        </w:rPr>
        <w:t>;</w:t>
      </w:r>
    </w:p>
    <w:p w:rsidR="00606F80" w:rsidRPr="00CA4C61" w:rsidRDefault="00BC5309" w:rsidP="00EA43E2">
      <w:pPr>
        <w:pStyle w:val="enumlev1"/>
        <w:rPr>
          <w:lang w:val="ru-RU"/>
        </w:rPr>
      </w:pPr>
      <w:r w:rsidRPr="00CA4C61">
        <w:rPr>
          <w:lang w:val="ru-RU"/>
        </w:rPr>
        <w:t>3</w:t>
      </w:r>
      <w:r w:rsidRPr="00CA4C61">
        <w:rPr>
          <w:lang w:val="ru-RU"/>
        </w:rPr>
        <w:tab/>
      </w:r>
      <w:r w:rsidRPr="00CA4C61">
        <w:rPr>
          <w:i/>
          <w:iCs/>
          <w:lang w:val="ru-RU"/>
        </w:rPr>
        <w:t>представлять Совету ежегодный отчет о деятельности, осуществляемой в соответствии с настоящей Резолюцией</w:t>
      </w:r>
      <w:r w:rsidR="00606F80" w:rsidRPr="00CA4C61">
        <w:rPr>
          <w:rFonts w:eastAsia="Calibri"/>
          <w:lang w:val="ru-RU"/>
        </w:rPr>
        <w:t>.</w:t>
      </w:r>
    </w:p>
    <w:p w:rsidR="00606F80" w:rsidRPr="00CA4C61" w:rsidRDefault="00BC5309" w:rsidP="00EA43E2">
      <w:pPr>
        <w:rPr>
          <w:lang w:val="ru-RU"/>
        </w:rPr>
      </w:pPr>
      <w:r w:rsidRPr="00CA4C61">
        <w:rPr>
          <w:lang w:val="ru-RU"/>
        </w:rPr>
        <w:t>Соответствующие исследовательские комиссии МСЭ</w:t>
      </w:r>
      <w:r w:rsidR="00606F80" w:rsidRPr="00CA4C61">
        <w:rPr>
          <w:lang w:val="ru-RU"/>
        </w:rPr>
        <w:t xml:space="preserve">-D </w:t>
      </w:r>
      <w:r w:rsidRPr="00CA4C61">
        <w:rPr>
          <w:lang w:val="ru-RU"/>
        </w:rPr>
        <w:t>и МСЭ</w:t>
      </w:r>
      <w:r w:rsidR="00606F80" w:rsidRPr="00CA4C61">
        <w:rPr>
          <w:lang w:val="ru-RU"/>
        </w:rPr>
        <w:t xml:space="preserve">-T </w:t>
      </w:r>
      <w:r w:rsidRPr="00CA4C61">
        <w:rPr>
          <w:lang w:val="ru-RU"/>
        </w:rPr>
        <w:t>занимаются вопросом услуг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OTT</w:t>
      </w:r>
      <w:proofErr w:type="spellEnd"/>
      <w:r w:rsidR="00606F80" w:rsidRPr="00CA4C61">
        <w:rPr>
          <w:lang w:val="ru-RU"/>
        </w:rPr>
        <w:t xml:space="preserve"> </w:t>
      </w:r>
      <w:r w:rsidRPr="00CA4C61">
        <w:rPr>
          <w:lang w:val="ru-RU"/>
        </w:rPr>
        <w:t xml:space="preserve">в своих областях и разрабатывают по ним </w:t>
      </w:r>
      <w:r w:rsidR="00220B54" w:rsidRPr="00CA4C61">
        <w:rPr>
          <w:lang w:val="ru-RU"/>
        </w:rPr>
        <w:t>Рекомендации</w:t>
      </w:r>
      <w:r w:rsidR="00606F80" w:rsidRPr="00CA4C61">
        <w:rPr>
          <w:lang w:val="ru-RU"/>
        </w:rPr>
        <w:t xml:space="preserve">. </w:t>
      </w:r>
      <w:r w:rsidR="00220B54" w:rsidRPr="00CA4C61">
        <w:rPr>
          <w:lang w:val="ru-RU"/>
        </w:rPr>
        <w:t>Единственное рабочее определение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OTT</w:t>
      </w:r>
      <w:proofErr w:type="spellEnd"/>
      <w:r w:rsidR="00220B54" w:rsidRPr="00CA4C61">
        <w:rPr>
          <w:lang w:val="ru-RU"/>
        </w:rPr>
        <w:t xml:space="preserve">, </w:t>
      </w:r>
      <w:r w:rsidR="00220B54" w:rsidRPr="00CA4C61">
        <w:rPr>
          <w:lang w:val="ru-RU"/>
        </w:rPr>
        <w:lastRenderedPageBreak/>
        <w:t>выработанное МСЭ, содержится в Рекомендации МСЭ-Т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D.262</w:t>
      </w:r>
      <w:proofErr w:type="spellEnd"/>
      <w:r w:rsidR="00606F80" w:rsidRPr="00CA4C61">
        <w:rPr>
          <w:lang w:val="ru-RU"/>
        </w:rPr>
        <w:t xml:space="preserve"> (</w:t>
      </w:r>
      <w:r w:rsidR="00220B54" w:rsidRPr="00CA4C61">
        <w:rPr>
          <w:lang w:val="ru-RU"/>
        </w:rPr>
        <w:t>ранее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D.OTT</w:t>
      </w:r>
      <w:proofErr w:type="spellEnd"/>
      <w:r w:rsidR="00606F80" w:rsidRPr="00CA4C61">
        <w:rPr>
          <w:lang w:val="ru-RU"/>
        </w:rPr>
        <w:t xml:space="preserve">) </w:t>
      </w:r>
      <w:r w:rsidR="00FE7F95" w:rsidRPr="00CA4C61">
        <w:rPr>
          <w:i/>
          <w:iCs/>
          <w:color w:val="000000"/>
          <w:lang w:val="ru-RU"/>
        </w:rPr>
        <w:t xml:space="preserve">Основа для сотрудничества в сфере услуг </w:t>
      </w:r>
      <w:proofErr w:type="spellStart"/>
      <w:r w:rsidR="00FE7F95" w:rsidRPr="00CA4C61">
        <w:rPr>
          <w:i/>
          <w:iCs/>
          <w:color w:val="000000"/>
          <w:lang w:val="ru-RU"/>
        </w:rPr>
        <w:t>OTT</w:t>
      </w:r>
      <w:proofErr w:type="spellEnd"/>
      <w:r w:rsidR="00606F80" w:rsidRPr="00CA4C61">
        <w:rPr>
          <w:lang w:val="ru-RU"/>
        </w:rPr>
        <w:t>.</w:t>
      </w:r>
    </w:p>
    <w:p w:rsidR="00606F80" w:rsidRPr="00CA4C61" w:rsidRDefault="00FE7F95" w:rsidP="00EA43E2">
      <w:pPr>
        <w:pStyle w:val="Headingb"/>
        <w:rPr>
          <w:lang w:val="ru-RU"/>
        </w:rPr>
      </w:pPr>
      <w:r w:rsidRPr="00CA4C61">
        <w:rPr>
          <w:lang w:val="ru-RU"/>
        </w:rPr>
        <w:t>Предложение</w:t>
      </w:r>
    </w:p>
    <w:p w:rsidR="00606F80" w:rsidRPr="00CA4C61" w:rsidRDefault="00FE7F95" w:rsidP="00EA43E2">
      <w:pPr>
        <w:rPr>
          <w:lang w:val="ru-RU"/>
        </w:rPr>
      </w:pPr>
      <w:r w:rsidRPr="00CA4C61">
        <w:rPr>
          <w:lang w:val="ru-RU"/>
        </w:rPr>
        <w:t>Администрации ОАЭ и Саудовской Аравии</w:t>
      </w:r>
      <w:r w:rsidR="009F318F" w:rsidRPr="00CA4C61">
        <w:rPr>
          <w:lang w:val="ru-RU"/>
        </w:rPr>
        <w:t xml:space="preserve"> считают, что </w:t>
      </w:r>
      <w:proofErr w:type="spellStart"/>
      <w:r w:rsidR="00606F80" w:rsidRPr="00CA4C61">
        <w:rPr>
          <w:lang w:val="ru-RU"/>
        </w:rPr>
        <w:t>OTT</w:t>
      </w:r>
      <w:proofErr w:type="spellEnd"/>
      <w:r w:rsidR="00606F80" w:rsidRPr="00CA4C61">
        <w:rPr>
          <w:lang w:val="ru-RU"/>
        </w:rPr>
        <w:t xml:space="preserve"> </w:t>
      </w:r>
      <w:r w:rsidR="009F318F" w:rsidRPr="00CA4C61">
        <w:rPr>
          <w:lang w:val="ru-RU"/>
        </w:rPr>
        <w:t>являются одной из важных тем, представляющих интерес для сообщества ИКТ</w:t>
      </w:r>
      <w:r w:rsidR="00F2785F" w:rsidRPr="00CA4C61">
        <w:rPr>
          <w:lang w:val="ru-RU"/>
        </w:rPr>
        <w:t>, и, поскольку МСЭ является межправительственной организацией, это наиболее подходящий форум для обсуждения таких тем</w:t>
      </w:r>
      <w:r w:rsidR="00606F80" w:rsidRPr="00CA4C61">
        <w:rPr>
          <w:lang w:val="ru-RU"/>
        </w:rPr>
        <w:t xml:space="preserve">. </w:t>
      </w:r>
      <w:r w:rsidR="00F2785F" w:rsidRPr="00CA4C61">
        <w:rPr>
          <w:lang w:val="ru-RU"/>
        </w:rPr>
        <w:t>В связи с этим данные администрации предлагают следующее</w:t>
      </w:r>
      <w:r w:rsidR="00606F80" w:rsidRPr="00CA4C61">
        <w:rPr>
          <w:lang w:val="ru-RU"/>
        </w:rPr>
        <w:t>: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2C6DD9" w:rsidRPr="00CA4C61">
        <w:rPr>
          <w:lang w:val="ru-RU"/>
        </w:rPr>
        <w:t xml:space="preserve">Из вкладов, представленных на различные собрания МСЭ и связанные с ними форумы, очевидно, что отсутствует ясность по вопросу масштаба различных форм воздействия </w:t>
      </w:r>
      <w:proofErr w:type="spellStart"/>
      <w:r w:rsidR="002C6DD9" w:rsidRPr="00CA4C61">
        <w:rPr>
          <w:lang w:val="ru-RU"/>
        </w:rPr>
        <w:t>OTT</w:t>
      </w:r>
      <w:proofErr w:type="spellEnd"/>
      <w:r w:rsidR="002C6DD9" w:rsidRPr="00CA4C61">
        <w:rPr>
          <w:lang w:val="ru-RU"/>
        </w:rPr>
        <w:t xml:space="preserve">, в том числе </w:t>
      </w:r>
      <w:r w:rsidR="00A60269" w:rsidRPr="00CA4C61">
        <w:rPr>
          <w:lang w:val="ru-RU"/>
        </w:rPr>
        <w:t>по экономическому, социальному воздействию, а также воздействию в сфере безопасности таких услуг в рамках национальных систем администраций</w:t>
      </w:r>
      <w:r w:rsidR="00606F80" w:rsidRPr="00CA4C61">
        <w:rPr>
          <w:lang w:val="ru-RU"/>
        </w:rPr>
        <w:t xml:space="preserve">. </w:t>
      </w:r>
      <w:r w:rsidR="00147CC5" w:rsidRPr="00CA4C61">
        <w:rPr>
          <w:lang w:val="ru-RU"/>
        </w:rPr>
        <w:t>Это также очевидно и, следовательно, это отражено в возможных рекомендуемых решениях</w:t>
      </w:r>
      <w:r w:rsidR="00606F80" w:rsidRPr="00CA4C61">
        <w:rPr>
          <w:lang w:val="ru-RU"/>
        </w:rPr>
        <w:t xml:space="preserve">. </w:t>
      </w:r>
      <w:r w:rsidR="00147CC5" w:rsidRPr="00CA4C61">
        <w:rPr>
          <w:lang w:val="ru-RU"/>
        </w:rPr>
        <w:t xml:space="preserve">Ввиду этого МСЭ следует </w:t>
      </w:r>
      <w:r w:rsidR="00A16DBB" w:rsidRPr="00CA4C61">
        <w:rPr>
          <w:lang w:val="ru-RU"/>
        </w:rPr>
        <w:t>в экстренном порядке расширить</w:t>
      </w:r>
      <w:r w:rsidR="00147CC5" w:rsidRPr="00CA4C61">
        <w:rPr>
          <w:lang w:val="ru-RU"/>
        </w:rPr>
        <w:t xml:space="preserve"> </w:t>
      </w:r>
      <w:r w:rsidR="007476B4" w:rsidRPr="00CA4C61">
        <w:rPr>
          <w:lang w:val="ru-RU"/>
        </w:rPr>
        <w:t xml:space="preserve">свои предложения </w:t>
      </w:r>
      <w:r w:rsidR="00CF06B5" w:rsidRPr="00CA4C61">
        <w:rPr>
          <w:lang w:val="ru-RU"/>
        </w:rPr>
        <w:t>по с</w:t>
      </w:r>
      <w:r w:rsidR="000D2E0E" w:rsidRPr="00CA4C61">
        <w:rPr>
          <w:lang w:val="ru-RU"/>
        </w:rPr>
        <w:t>о</w:t>
      </w:r>
      <w:r w:rsidR="00CF06B5" w:rsidRPr="00CA4C61">
        <w:rPr>
          <w:lang w:val="ru-RU"/>
        </w:rPr>
        <w:t xml:space="preserve">зданию </w:t>
      </w:r>
      <w:r w:rsidR="006441C9" w:rsidRPr="00CA4C61">
        <w:rPr>
          <w:lang w:val="ru-RU"/>
        </w:rPr>
        <w:t xml:space="preserve">потенциала по общей теме услуг </w:t>
      </w:r>
      <w:proofErr w:type="spellStart"/>
      <w:r w:rsidR="00606F80" w:rsidRPr="00CA4C61">
        <w:rPr>
          <w:lang w:val="ru-RU"/>
        </w:rPr>
        <w:t>OTT</w:t>
      </w:r>
      <w:proofErr w:type="spellEnd"/>
      <w:r w:rsidR="006441C9" w:rsidRPr="00CA4C61">
        <w:rPr>
          <w:lang w:val="ru-RU"/>
        </w:rPr>
        <w:t>, в особенности в развивающихся и наименее развитых странах</w:t>
      </w:r>
      <w:r w:rsidR="00606F80" w:rsidRPr="00CA4C61">
        <w:rPr>
          <w:lang w:val="ru-RU"/>
        </w:rPr>
        <w:t xml:space="preserve">. 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A16DBB" w:rsidRPr="00CA4C61">
        <w:rPr>
          <w:lang w:val="ru-RU"/>
        </w:rPr>
        <w:t>Предлагаемые п</w:t>
      </w:r>
      <w:r w:rsidR="00FA3FDE" w:rsidRPr="00CA4C61">
        <w:rPr>
          <w:lang w:val="ru-RU"/>
        </w:rPr>
        <w:t xml:space="preserve">рограммы по созданию потенциала должны </w:t>
      </w:r>
      <w:r w:rsidR="00A16DBB" w:rsidRPr="00CA4C61">
        <w:rPr>
          <w:lang w:val="ru-RU"/>
        </w:rPr>
        <w:t>предоставляться</w:t>
      </w:r>
      <w:r w:rsidR="00FA3FDE" w:rsidRPr="00CA4C61">
        <w:rPr>
          <w:lang w:val="ru-RU"/>
        </w:rPr>
        <w:t xml:space="preserve"> в каждом регионе и учитывать проблемы этого региона, принимая во внимание различающиеся географические и рыночные условия</w:t>
      </w:r>
      <w:r w:rsidR="00606F80" w:rsidRPr="00CA4C61">
        <w:rPr>
          <w:lang w:val="ru-RU"/>
        </w:rPr>
        <w:t>.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FA3FDE" w:rsidRPr="00CA4C61">
        <w:rPr>
          <w:lang w:val="ru-RU"/>
        </w:rPr>
        <w:t>Место проведения этих программ по созданию потенциала можно совмещать с другими региональными мероприятиями МСЭ для снижения затрат</w:t>
      </w:r>
      <w:r w:rsidR="00606F80" w:rsidRPr="00CA4C61">
        <w:rPr>
          <w:lang w:val="ru-RU"/>
        </w:rPr>
        <w:t>.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FA3FDE" w:rsidRPr="00CA4C61">
        <w:rPr>
          <w:lang w:val="ru-RU"/>
        </w:rPr>
        <w:t>Генеральный секретарь МСЭ в своем ежегодном отчете Совету должен четко определять основные пункты и ключевые задачи, которые МСЭ хочет решить по этой теме, в том числе создание потенциала, объединение заинтересованных сторон и сотрудничество с другими организациями системы ООН и международными организациями</w:t>
      </w:r>
      <w:r w:rsidR="00606F80" w:rsidRPr="00CA4C61">
        <w:rPr>
          <w:lang w:val="ru-RU"/>
        </w:rPr>
        <w:t xml:space="preserve">. 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7D31C5" w:rsidRPr="00CA4C61">
        <w:rPr>
          <w:lang w:val="ru-RU"/>
        </w:rPr>
        <w:t>Соответствующие отчеты в МСЭ-Т и МСЭ-D по теме услуг</w:t>
      </w:r>
      <w:r w:rsidR="00606F80" w:rsidRPr="00CA4C61">
        <w:rPr>
          <w:lang w:val="ru-RU"/>
        </w:rPr>
        <w:t xml:space="preserve"> </w:t>
      </w:r>
      <w:proofErr w:type="spellStart"/>
      <w:r w:rsidR="00606F80" w:rsidRPr="00CA4C61">
        <w:rPr>
          <w:lang w:val="ru-RU"/>
        </w:rPr>
        <w:t>OTT</w:t>
      </w:r>
      <w:proofErr w:type="spellEnd"/>
      <w:r w:rsidR="00606F80" w:rsidRPr="00CA4C61">
        <w:rPr>
          <w:lang w:val="ru-RU"/>
        </w:rPr>
        <w:t xml:space="preserve"> </w:t>
      </w:r>
      <w:r w:rsidR="007D31C5" w:rsidRPr="00CA4C61">
        <w:rPr>
          <w:lang w:val="ru-RU"/>
        </w:rPr>
        <w:t>должны обновляться на ежегодной/регулярной основе после обсуждений на ПК</w:t>
      </w:r>
      <w:r w:rsidR="007D31C5" w:rsidRPr="00CA4C61">
        <w:rPr>
          <w:lang w:val="ru-RU"/>
        </w:rPr>
        <w:noBreakHyphen/>
        <w:t>18</w:t>
      </w:r>
      <w:r w:rsidR="00606F80" w:rsidRPr="00CA4C61">
        <w:rPr>
          <w:lang w:val="ru-RU"/>
        </w:rPr>
        <w:t xml:space="preserve">. </w:t>
      </w:r>
    </w:p>
    <w:p w:rsidR="00606F80" w:rsidRPr="00CA4C61" w:rsidRDefault="00EA43E2" w:rsidP="00EA43E2">
      <w:pPr>
        <w:pStyle w:val="enumlev1"/>
        <w:rPr>
          <w:lang w:val="ru-RU"/>
        </w:rPr>
      </w:pPr>
      <w:r w:rsidRPr="00CA4C61">
        <w:rPr>
          <w:rFonts w:cs="Calibri"/>
          <w:lang w:val="ru-RU"/>
        </w:rPr>
        <w:t>•</w:t>
      </w:r>
      <w:r w:rsidRPr="00CA4C61">
        <w:rPr>
          <w:lang w:val="ru-RU"/>
        </w:rPr>
        <w:tab/>
      </w:r>
      <w:r w:rsidR="007D31C5" w:rsidRPr="00CA4C61">
        <w:rPr>
          <w:lang w:val="ru-RU"/>
        </w:rPr>
        <w:t>МСЭ следует принимать участие в сближении различных позиций заинтересованных сторон в текущем исследовательском цикле, организуя несколько встреч многих заинтересованных сторон с четкой целью уменьшения расхождений и распространения концепции сосуществования среди заинтересованных сторон</w:t>
      </w:r>
      <w:r w:rsidR="00606F80" w:rsidRPr="00CA4C61">
        <w:rPr>
          <w:lang w:val="ru-RU"/>
        </w:rPr>
        <w:t xml:space="preserve">. </w:t>
      </w:r>
    </w:p>
    <w:p w:rsidR="00EA43E2" w:rsidRPr="00CA4C61" w:rsidRDefault="00EA43E2" w:rsidP="00EA43E2">
      <w:pPr>
        <w:spacing w:before="720"/>
        <w:jc w:val="center"/>
        <w:rPr>
          <w:lang w:val="ru-RU"/>
        </w:rPr>
      </w:pPr>
      <w:r w:rsidRPr="00CA4C61">
        <w:rPr>
          <w:lang w:val="ru-RU"/>
        </w:rPr>
        <w:t>______________</w:t>
      </w:r>
    </w:p>
    <w:sectPr w:rsidR="00EA43E2" w:rsidRPr="00CA4C61" w:rsidSect="00E631D3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79" w:rsidRDefault="002C7679">
      <w:r>
        <w:separator/>
      </w:r>
    </w:p>
  </w:endnote>
  <w:endnote w:type="continuationSeparator" w:id="0">
    <w:p w:rsidR="002C7679" w:rsidRDefault="002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Pr="009D263E" w:rsidRDefault="009D263E" w:rsidP="00685506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685506">
      <w:rPr>
        <w:lang w:val="fr-CH"/>
      </w:rPr>
      <w:t>P:\RUS\SG\CONSEIL\C19\100\102R.docx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685506">
      <w:rPr>
        <w:lang w:val="fr-CH"/>
      </w:rPr>
      <w:t>456081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C61">
      <w:t>03.06.19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CF1879" w:rsidRDefault="00CF1879" w:rsidP="00685506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685506">
      <w:rPr>
        <w:lang w:val="fr-CH"/>
      </w:rPr>
      <w:t>P:\RUS\SG\CONSEIL\C19\100\102R.docx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685506">
      <w:rPr>
        <w:lang w:val="fr-CH"/>
      </w:rPr>
      <w:t>456081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C61">
      <w:t>03.06.19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79" w:rsidRDefault="002C7679">
      <w:r>
        <w:t>____________________</w:t>
      </w:r>
    </w:p>
  </w:footnote>
  <w:footnote w:type="continuationSeparator" w:id="0">
    <w:p w:rsidR="002C7679" w:rsidRDefault="002C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A4C61">
      <w:rPr>
        <w:noProof/>
      </w:rPr>
      <w:t>3</w:t>
    </w:r>
    <w:r>
      <w:rPr>
        <w:noProof/>
      </w:rPr>
      <w:fldChar w:fldCharType="end"/>
    </w:r>
  </w:p>
  <w:p w:rsidR="00C86BEF" w:rsidRDefault="00C86BEF" w:rsidP="008B4B2E">
    <w:pPr>
      <w:pStyle w:val="Header"/>
    </w:pPr>
    <w:r>
      <w:t>C1</w:t>
    </w:r>
    <w:r w:rsidR="00425ABE">
      <w:rPr>
        <w:lang w:val="ru-RU"/>
      </w:rPr>
      <w:t>9</w:t>
    </w:r>
    <w:r>
      <w:t>/</w:t>
    </w:r>
    <w:r w:rsidR="00425ABE">
      <w:rPr>
        <w:lang w:val="ru-RU"/>
      </w:rPr>
      <w:t>10</w:t>
    </w:r>
    <w:r w:rsidR="008B4B2E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B7DA1"/>
    <w:multiLevelType w:val="hybridMultilevel"/>
    <w:tmpl w:val="BAB415D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D57"/>
    <w:multiLevelType w:val="hybridMultilevel"/>
    <w:tmpl w:val="55E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1D51"/>
    <w:multiLevelType w:val="hybridMultilevel"/>
    <w:tmpl w:val="C9F45286"/>
    <w:lvl w:ilvl="0" w:tplc="997CAA8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12BCE"/>
    <w:rsid w:val="0002183E"/>
    <w:rsid w:val="00042B56"/>
    <w:rsid w:val="00042B81"/>
    <w:rsid w:val="00043BD2"/>
    <w:rsid w:val="000569B4"/>
    <w:rsid w:val="00073F78"/>
    <w:rsid w:val="00076F69"/>
    <w:rsid w:val="00080E82"/>
    <w:rsid w:val="000A1C46"/>
    <w:rsid w:val="000C3180"/>
    <w:rsid w:val="000C3B40"/>
    <w:rsid w:val="000D2E0E"/>
    <w:rsid w:val="000E568E"/>
    <w:rsid w:val="000E69C5"/>
    <w:rsid w:val="000F61EE"/>
    <w:rsid w:val="00110323"/>
    <w:rsid w:val="0011457B"/>
    <w:rsid w:val="00133D2B"/>
    <w:rsid w:val="00141999"/>
    <w:rsid w:val="00144D40"/>
    <w:rsid w:val="0014734F"/>
    <w:rsid w:val="00147CC5"/>
    <w:rsid w:val="00154A31"/>
    <w:rsid w:val="0015710D"/>
    <w:rsid w:val="00163A32"/>
    <w:rsid w:val="00181CF7"/>
    <w:rsid w:val="00187AEF"/>
    <w:rsid w:val="00192B41"/>
    <w:rsid w:val="001A19E4"/>
    <w:rsid w:val="001B7B09"/>
    <w:rsid w:val="001E5F60"/>
    <w:rsid w:val="001E6719"/>
    <w:rsid w:val="001F53AC"/>
    <w:rsid w:val="002133D3"/>
    <w:rsid w:val="00220B54"/>
    <w:rsid w:val="00225368"/>
    <w:rsid w:val="00227564"/>
    <w:rsid w:val="00227FF0"/>
    <w:rsid w:val="00243D2F"/>
    <w:rsid w:val="002614A1"/>
    <w:rsid w:val="002757C0"/>
    <w:rsid w:val="002904FF"/>
    <w:rsid w:val="00291EB6"/>
    <w:rsid w:val="00294184"/>
    <w:rsid w:val="002C6DD9"/>
    <w:rsid w:val="002C7679"/>
    <w:rsid w:val="002D2F57"/>
    <w:rsid w:val="002D48C5"/>
    <w:rsid w:val="002E4CA7"/>
    <w:rsid w:val="00303852"/>
    <w:rsid w:val="003154E0"/>
    <w:rsid w:val="00323669"/>
    <w:rsid w:val="00357B7A"/>
    <w:rsid w:val="003A609E"/>
    <w:rsid w:val="003A786C"/>
    <w:rsid w:val="003C6704"/>
    <w:rsid w:val="003D019E"/>
    <w:rsid w:val="003F099E"/>
    <w:rsid w:val="003F235E"/>
    <w:rsid w:val="004023E0"/>
    <w:rsid w:val="00403795"/>
    <w:rsid w:val="00403DD8"/>
    <w:rsid w:val="00421030"/>
    <w:rsid w:val="00425ABE"/>
    <w:rsid w:val="0045686C"/>
    <w:rsid w:val="0047457F"/>
    <w:rsid w:val="004915A3"/>
    <w:rsid w:val="004918C4"/>
    <w:rsid w:val="00497703"/>
    <w:rsid w:val="004A0374"/>
    <w:rsid w:val="004A45B5"/>
    <w:rsid w:val="004D0129"/>
    <w:rsid w:val="004D347A"/>
    <w:rsid w:val="004D65E7"/>
    <w:rsid w:val="00503BA9"/>
    <w:rsid w:val="00566343"/>
    <w:rsid w:val="00575BFA"/>
    <w:rsid w:val="00592798"/>
    <w:rsid w:val="00596DA6"/>
    <w:rsid w:val="005A64D5"/>
    <w:rsid w:val="005D51A4"/>
    <w:rsid w:val="00601994"/>
    <w:rsid w:val="00606F80"/>
    <w:rsid w:val="006441C9"/>
    <w:rsid w:val="00660D03"/>
    <w:rsid w:val="00685506"/>
    <w:rsid w:val="0069087E"/>
    <w:rsid w:val="00691B11"/>
    <w:rsid w:val="006A13D2"/>
    <w:rsid w:val="006C4C8A"/>
    <w:rsid w:val="006C7107"/>
    <w:rsid w:val="006E2D42"/>
    <w:rsid w:val="006E6943"/>
    <w:rsid w:val="00703676"/>
    <w:rsid w:val="00707304"/>
    <w:rsid w:val="00732269"/>
    <w:rsid w:val="007360EA"/>
    <w:rsid w:val="007476B4"/>
    <w:rsid w:val="00751754"/>
    <w:rsid w:val="00785ABD"/>
    <w:rsid w:val="00786AC8"/>
    <w:rsid w:val="007A2DD4"/>
    <w:rsid w:val="007C382D"/>
    <w:rsid w:val="007C6415"/>
    <w:rsid w:val="007D31C5"/>
    <w:rsid w:val="007D38B5"/>
    <w:rsid w:val="007E7EA0"/>
    <w:rsid w:val="00807255"/>
    <w:rsid w:val="0081023E"/>
    <w:rsid w:val="0081469F"/>
    <w:rsid w:val="008173AA"/>
    <w:rsid w:val="00840A14"/>
    <w:rsid w:val="008450C9"/>
    <w:rsid w:val="00853C4F"/>
    <w:rsid w:val="00864915"/>
    <w:rsid w:val="008854D1"/>
    <w:rsid w:val="008B4B2E"/>
    <w:rsid w:val="008B62B4"/>
    <w:rsid w:val="008D2D7B"/>
    <w:rsid w:val="008E0737"/>
    <w:rsid w:val="008E32F5"/>
    <w:rsid w:val="008F0F78"/>
    <w:rsid w:val="008F7C2C"/>
    <w:rsid w:val="00917C75"/>
    <w:rsid w:val="00921B14"/>
    <w:rsid w:val="00940E96"/>
    <w:rsid w:val="009509EF"/>
    <w:rsid w:val="00950C92"/>
    <w:rsid w:val="0097434C"/>
    <w:rsid w:val="00984AC5"/>
    <w:rsid w:val="00995803"/>
    <w:rsid w:val="009B0BAE"/>
    <w:rsid w:val="009B12D1"/>
    <w:rsid w:val="009C1C89"/>
    <w:rsid w:val="009D213E"/>
    <w:rsid w:val="009D263E"/>
    <w:rsid w:val="009D603A"/>
    <w:rsid w:val="009E0B07"/>
    <w:rsid w:val="009E3A11"/>
    <w:rsid w:val="009F0212"/>
    <w:rsid w:val="009F318F"/>
    <w:rsid w:val="009F3448"/>
    <w:rsid w:val="00A01CF9"/>
    <w:rsid w:val="00A16DBB"/>
    <w:rsid w:val="00A60269"/>
    <w:rsid w:val="00A63C55"/>
    <w:rsid w:val="00A71773"/>
    <w:rsid w:val="00A96253"/>
    <w:rsid w:val="00AC7278"/>
    <w:rsid w:val="00AE2C85"/>
    <w:rsid w:val="00AE6871"/>
    <w:rsid w:val="00AF62A0"/>
    <w:rsid w:val="00B12A37"/>
    <w:rsid w:val="00B41343"/>
    <w:rsid w:val="00B42B01"/>
    <w:rsid w:val="00B46734"/>
    <w:rsid w:val="00B62B97"/>
    <w:rsid w:val="00B63EF2"/>
    <w:rsid w:val="00B93723"/>
    <w:rsid w:val="00B93A4F"/>
    <w:rsid w:val="00BA4192"/>
    <w:rsid w:val="00BA68E8"/>
    <w:rsid w:val="00BA7D89"/>
    <w:rsid w:val="00BC077E"/>
    <w:rsid w:val="00BC0D39"/>
    <w:rsid w:val="00BC48C4"/>
    <w:rsid w:val="00BC5309"/>
    <w:rsid w:val="00BC7BC0"/>
    <w:rsid w:val="00BD0E2B"/>
    <w:rsid w:val="00BD57B7"/>
    <w:rsid w:val="00BE63E2"/>
    <w:rsid w:val="00C1128F"/>
    <w:rsid w:val="00C114A3"/>
    <w:rsid w:val="00C2205E"/>
    <w:rsid w:val="00C427B6"/>
    <w:rsid w:val="00C64FE7"/>
    <w:rsid w:val="00C717ED"/>
    <w:rsid w:val="00C72751"/>
    <w:rsid w:val="00C8335C"/>
    <w:rsid w:val="00C86BEF"/>
    <w:rsid w:val="00CA4C61"/>
    <w:rsid w:val="00CA61DA"/>
    <w:rsid w:val="00CC1501"/>
    <w:rsid w:val="00CD2009"/>
    <w:rsid w:val="00CF06B5"/>
    <w:rsid w:val="00CF1879"/>
    <w:rsid w:val="00CF3BFA"/>
    <w:rsid w:val="00CF629C"/>
    <w:rsid w:val="00CF7DE5"/>
    <w:rsid w:val="00D04C9C"/>
    <w:rsid w:val="00D92EEA"/>
    <w:rsid w:val="00DA568A"/>
    <w:rsid w:val="00DA5B84"/>
    <w:rsid w:val="00DA5D4E"/>
    <w:rsid w:val="00DD77AE"/>
    <w:rsid w:val="00DE5D2E"/>
    <w:rsid w:val="00DF0BB0"/>
    <w:rsid w:val="00DF68E5"/>
    <w:rsid w:val="00E176BA"/>
    <w:rsid w:val="00E423EC"/>
    <w:rsid w:val="00E4525B"/>
    <w:rsid w:val="00E46AFD"/>
    <w:rsid w:val="00E55121"/>
    <w:rsid w:val="00E631D3"/>
    <w:rsid w:val="00E7771D"/>
    <w:rsid w:val="00E96219"/>
    <w:rsid w:val="00EA43E2"/>
    <w:rsid w:val="00EA49BA"/>
    <w:rsid w:val="00EB4FCB"/>
    <w:rsid w:val="00EC4BC6"/>
    <w:rsid w:val="00EC6BC5"/>
    <w:rsid w:val="00EE2A6A"/>
    <w:rsid w:val="00EE597D"/>
    <w:rsid w:val="00EF1B4D"/>
    <w:rsid w:val="00EF68B7"/>
    <w:rsid w:val="00F1758C"/>
    <w:rsid w:val="00F2785F"/>
    <w:rsid w:val="00F35898"/>
    <w:rsid w:val="00F376B2"/>
    <w:rsid w:val="00F5225B"/>
    <w:rsid w:val="00F553A8"/>
    <w:rsid w:val="00F94FE9"/>
    <w:rsid w:val="00FA3FDE"/>
    <w:rsid w:val="00FB78E5"/>
    <w:rsid w:val="00FD12F0"/>
    <w:rsid w:val="00FD5636"/>
    <w:rsid w:val="00FE5701"/>
    <w:rsid w:val="00FE7F95"/>
    <w:rsid w:val="00FF2F3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DF099DB5-4769-47D0-B874-8C51F0D3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  <w:style w:type="paragraph" w:customStyle="1" w:styleId="Table">
    <w:name w:val="Table_#"/>
    <w:basedOn w:val="Normal"/>
    <w:next w:val="Normal"/>
    <w:rsid w:val="00425AB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table" w:styleId="TableGrid">
    <w:name w:val="Table Grid"/>
    <w:basedOn w:val="TableNormal"/>
    <w:rsid w:val="0042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3D019E"/>
    <w:rPr>
      <w:rFonts w:ascii="Calibri" w:hAnsi="Calibri"/>
      <w:i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3D019E"/>
    <w:rPr>
      <w:rFonts w:ascii="Times New Roman" w:eastAsiaTheme="minorEastAsia" w:hAnsi="Times New Roman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206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34</TotalTime>
  <Pages>3</Pages>
  <Words>617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Maloletkova, Svetlana</cp:lastModifiedBy>
  <cp:revision>10</cp:revision>
  <cp:lastPrinted>2018-04-11T07:17:00Z</cp:lastPrinted>
  <dcterms:created xsi:type="dcterms:W3CDTF">2019-05-31T09:16:00Z</dcterms:created>
  <dcterms:modified xsi:type="dcterms:W3CDTF">2019-06-03T15:10:00Z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