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972BB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972BB">
              <w:rPr>
                <w:b/>
                <w:bCs/>
                <w:szCs w:val="24"/>
                <w:lang w:eastAsia="zh-CN"/>
              </w:rPr>
              <w:t>104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972BB" w:rsidP="000B169B">
            <w:pPr>
              <w:pStyle w:val="Title1"/>
              <w:rPr>
                <w:lang w:eastAsia="zh-CN"/>
              </w:rPr>
            </w:pPr>
            <w:r w:rsidRPr="005972BB">
              <w:rPr>
                <w:rFonts w:hint="eastAsia"/>
                <w:szCs w:val="28"/>
                <w:lang w:eastAsia="zh-CN"/>
              </w:rPr>
              <w:t>印度</w:t>
            </w:r>
            <w:r>
              <w:rPr>
                <w:rFonts w:hint="eastAsia"/>
                <w:szCs w:val="28"/>
                <w:lang w:eastAsia="zh-CN"/>
              </w:rPr>
              <w:t>（</w:t>
            </w:r>
            <w:r w:rsidRPr="005972BB">
              <w:rPr>
                <w:rFonts w:hint="eastAsia"/>
                <w:szCs w:val="28"/>
                <w:lang w:eastAsia="zh-CN"/>
              </w:rPr>
              <w:t>共和国</w:t>
            </w:r>
            <w:r>
              <w:rPr>
                <w:rFonts w:hint="eastAsia"/>
                <w:szCs w:val="28"/>
                <w:lang w:eastAsia="zh-CN"/>
              </w:rPr>
              <w:t>）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:rsidR="000B169B" w:rsidRPr="000B169B" w:rsidRDefault="005972BB" w:rsidP="003F4CD8">
            <w:pPr>
              <w:pStyle w:val="Title2"/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关于落实</w:t>
            </w:r>
            <w:r w:rsidRPr="005972BB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131</w:t>
            </w:r>
            <w:r w:rsidRPr="005972BB"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年，迪拜，修订版）的</w:t>
            </w:r>
            <w:r w:rsidRPr="005972BB">
              <w:rPr>
                <w:rFonts w:hint="eastAsia"/>
                <w:lang w:eastAsia="zh-CN"/>
              </w:rPr>
              <w:t>进展报告</w:t>
            </w:r>
            <w:r>
              <w:rPr>
                <w:rFonts w:hint="eastAsia"/>
                <w:lang w:eastAsia="zh-CN"/>
              </w:rPr>
              <w:t>的提案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5972B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5972BB">
        <w:rPr>
          <w:rFonts w:hint="eastAsia"/>
          <w:lang w:eastAsia="zh-CN"/>
        </w:rPr>
        <w:t>印度（共和国）</w:t>
      </w:r>
      <w:r>
        <w:rPr>
          <w:rFonts w:hint="eastAsia"/>
          <w:lang w:val="en-US" w:eastAsia="zh-CN"/>
        </w:rPr>
        <w:t>提交的一份文稿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0B169B" w:rsidP="008051FC">
      <w:pPr>
        <w:pStyle w:val="Title2"/>
        <w:spacing w:before="240" w:after="360"/>
        <w:rPr>
          <w:highlight w:val="lightGray"/>
          <w:lang w:eastAsia="zh-CN"/>
        </w:rPr>
      </w:pPr>
    </w:p>
    <w:tbl>
      <w:tblPr>
        <w:tblStyle w:val="TableGrid"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0B169B" w:rsidTr="00676752">
        <w:trPr>
          <w:trHeight w:val="3372"/>
          <w:jc w:val="center"/>
        </w:trPr>
        <w:tc>
          <w:tcPr>
            <w:tcW w:w="8080" w:type="dxa"/>
          </w:tcPr>
          <w:p w:rsidR="000B169B" w:rsidRPr="00AD6A1A" w:rsidRDefault="003F4CD8" w:rsidP="008051FC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 w:rsidRPr="00AD6A1A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概要</w:t>
            </w:r>
          </w:p>
          <w:p w:rsidR="000B169B" w:rsidRPr="00AD6A1A" w:rsidRDefault="005972BB" w:rsidP="008051FC">
            <w:pPr>
              <w:spacing w:after="120"/>
              <w:ind w:firstLineChars="200" w:firstLine="480"/>
              <w:jc w:val="both"/>
              <w:rPr>
                <w:szCs w:val="24"/>
                <w:lang w:val="en-US" w:eastAsia="zh-CN"/>
              </w:rPr>
            </w:pPr>
            <w:bookmarkStart w:id="2" w:name="lt_pId020"/>
            <w:r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本文稿寻求</w:t>
            </w:r>
            <w:r w:rsidR="00035B82"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关于</w:t>
            </w:r>
            <w:r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落实第131决议（2018年，迪拜，修订版）</w:t>
            </w:r>
            <w:r w:rsidR="00035B82"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所取得的进展</w:t>
            </w:r>
            <w:r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。</w:t>
            </w:r>
            <w:bookmarkEnd w:id="2"/>
          </w:p>
          <w:p w:rsidR="000B169B" w:rsidRPr="00AD6A1A" w:rsidRDefault="003F4CD8" w:rsidP="008051FC">
            <w:pPr>
              <w:pStyle w:val="Headingb"/>
              <w:spacing w:before="120" w:after="120"/>
              <w:jc w:val="both"/>
              <w:rPr>
                <w:b w:val="0"/>
                <w:bCs/>
                <w:szCs w:val="24"/>
                <w:lang w:eastAsia="zh-CN"/>
              </w:rPr>
            </w:pPr>
            <w:bookmarkStart w:id="3" w:name="lt_pId021"/>
            <w:r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需采取行动</w:t>
            </w:r>
            <w:bookmarkEnd w:id="3"/>
          </w:p>
          <w:p w:rsidR="000B169B" w:rsidRPr="00AD6A1A" w:rsidRDefault="00530A5F" w:rsidP="008051FC">
            <w:pPr>
              <w:spacing w:after="120"/>
              <w:ind w:left="34" w:firstLineChars="200" w:firstLine="480"/>
              <w:jc w:val="both"/>
              <w:rPr>
                <w:rFonts w:asciiTheme="minorHAnsi" w:hAnsiTheme="minorHAnsi"/>
                <w:szCs w:val="24"/>
                <w:lang w:eastAsia="zh-CN"/>
              </w:rPr>
            </w:pPr>
            <w:bookmarkStart w:id="4" w:name="lt_pId022"/>
            <w:r w:rsidRPr="00AD6A1A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印度共和国请理事会</w:t>
            </w:r>
            <w:r w:rsidRPr="00AD6A1A">
              <w:rPr>
                <w:rFonts w:asciiTheme="minorEastAsia" w:eastAsiaTheme="minorEastAsia" w:hAnsiTheme="minorEastAsia" w:hint="eastAsia"/>
                <w:b/>
                <w:bCs/>
                <w:szCs w:val="24"/>
                <w:lang w:eastAsia="zh-CN"/>
              </w:rPr>
              <w:t>注意</w:t>
            </w:r>
            <w:r w:rsidRPr="00AD6A1A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本文稿的内容并</w:t>
            </w:r>
            <w:r w:rsidRPr="00AD6A1A">
              <w:rPr>
                <w:rFonts w:asciiTheme="minorEastAsia" w:eastAsiaTheme="minorEastAsia" w:hAnsiTheme="minorEastAsia" w:hint="eastAsia"/>
                <w:b/>
                <w:bCs/>
                <w:szCs w:val="24"/>
                <w:lang w:eastAsia="zh-CN"/>
              </w:rPr>
              <w:t>通过</w:t>
            </w:r>
            <w:r w:rsidRPr="00AD6A1A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本提案</w:t>
            </w:r>
            <w:r w:rsidR="003F4CD8" w:rsidRPr="00AD6A1A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。</w:t>
            </w:r>
            <w:bookmarkEnd w:id="4"/>
          </w:p>
          <w:p w:rsidR="000B169B" w:rsidRPr="00AD6A1A" w:rsidRDefault="000B169B" w:rsidP="008051F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en-US" w:eastAsia="zh-CN"/>
              </w:rPr>
            </w:pPr>
            <w:r w:rsidRPr="00AD6A1A">
              <w:rPr>
                <w:rFonts w:asciiTheme="minorHAnsi" w:hAnsiTheme="minorHAnsi"/>
                <w:caps w:val="0"/>
                <w:szCs w:val="24"/>
                <w:lang w:val="en-US" w:eastAsia="zh-CN"/>
              </w:rPr>
              <w:t>____________</w:t>
            </w:r>
          </w:p>
          <w:p w:rsidR="000B169B" w:rsidRPr="00AD6A1A" w:rsidRDefault="003F4CD8" w:rsidP="008051FC">
            <w:pPr>
              <w:pStyle w:val="Headingb"/>
              <w:spacing w:before="120" w:after="120"/>
              <w:jc w:val="both"/>
              <w:rPr>
                <w:szCs w:val="24"/>
                <w:lang w:val="en-US" w:eastAsia="zh-CN"/>
              </w:rPr>
            </w:pPr>
            <w:bookmarkStart w:id="5" w:name="lt_pId024"/>
            <w:r w:rsidRPr="00AD6A1A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参考文件</w:t>
            </w:r>
            <w:bookmarkEnd w:id="5"/>
          </w:p>
          <w:p w:rsidR="000B169B" w:rsidRPr="00AD6A1A" w:rsidRDefault="00530A5F" w:rsidP="00AD6A1A">
            <w:pPr>
              <w:snapToGrid w:val="0"/>
              <w:spacing w:after="120"/>
              <w:jc w:val="both"/>
              <w:rPr>
                <w:rFonts w:ascii="STKaiti" w:eastAsia="STKaiti" w:hAnsi="STKaiti"/>
                <w:szCs w:val="24"/>
                <w:lang w:eastAsia="zh-CN"/>
              </w:rPr>
            </w:pPr>
            <w:bookmarkStart w:id="6" w:name="lt_pId025"/>
            <w:r w:rsidRPr="00AD6A1A">
              <w:rPr>
                <w:rFonts w:ascii="STKaiti" w:eastAsia="STKaiti" w:hAnsi="STKaiti" w:hint="eastAsia"/>
                <w:szCs w:val="24"/>
                <w:lang w:eastAsia="zh-CN"/>
              </w:rPr>
              <w:t>2018年全权代表大会</w:t>
            </w:r>
            <w:r w:rsidRPr="00AD6A1A">
              <w:rPr>
                <w:rFonts w:ascii="STKaiti" w:eastAsia="STKaiti" w:hAnsi="STKaiti"/>
                <w:szCs w:val="24"/>
                <w:lang w:eastAsia="zh-CN"/>
              </w:rPr>
              <w:t>（PP-18</w:t>
            </w:r>
            <w:bookmarkEnd w:id="6"/>
            <w:r w:rsidR="008051FC" w:rsidRPr="00AD6A1A">
              <w:rPr>
                <w:rFonts w:ascii="STKaiti" w:eastAsia="STKaiti" w:hAnsi="STKaiti"/>
                <w:szCs w:val="24"/>
                <w:lang w:eastAsia="zh-CN"/>
              </w:rPr>
              <w:t>）</w:t>
            </w:r>
            <w:hyperlink r:id="rId9" w:history="1">
              <w:r w:rsidRPr="00AD6A1A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第131号决议（2018年，迪拜，修订版）</w:t>
              </w:r>
            </w:hyperlink>
          </w:p>
          <w:p w:rsidR="00530A5F" w:rsidRPr="003F4CD8" w:rsidRDefault="00530A5F" w:rsidP="00AD6A1A">
            <w:pPr>
              <w:snapToGrid w:val="0"/>
              <w:spacing w:before="0"/>
              <w:jc w:val="both"/>
              <w:rPr>
                <w:rFonts w:ascii="STKaiti" w:eastAsia="STKaiti" w:hAnsi="STKaiti" w:cs="Arial"/>
                <w:color w:val="0000FF"/>
                <w:sz w:val="22"/>
                <w:szCs w:val="22"/>
                <w:lang w:val="en-US" w:eastAsia="zh-CN"/>
              </w:rPr>
            </w:pPr>
            <w:r w:rsidRPr="00AD6A1A">
              <w:rPr>
                <w:rFonts w:ascii="STKaiti" w:eastAsia="STKaiti" w:hAnsi="STKaiti" w:cs="Arial" w:hint="eastAsia"/>
                <w:szCs w:val="24"/>
                <w:lang w:val="en-US" w:eastAsia="zh-CN"/>
              </w:rPr>
              <w:t>世界电信发展大会（WTDC-17）</w:t>
            </w:r>
            <w:hyperlink r:id="rId10" w:history="1">
              <w:r w:rsidRPr="00AD6A1A">
                <w:rPr>
                  <w:rStyle w:val="Hyperlink"/>
                  <w:rFonts w:ascii="STKaiti" w:eastAsia="STKaiti" w:hAnsi="STKaiti" w:cs="Arial" w:hint="eastAsia"/>
                  <w:szCs w:val="24"/>
                  <w:lang w:val="en-US" w:eastAsia="zh-CN"/>
                </w:rPr>
                <w:t>《布宜诺斯艾利斯宣言》</w:t>
              </w:r>
            </w:hyperlink>
          </w:p>
        </w:tc>
      </w:tr>
    </w:tbl>
    <w:p w:rsidR="000B169B" w:rsidRPr="00B41778" w:rsidRDefault="003F4CD8" w:rsidP="00AD6A1A">
      <w:pPr>
        <w:pStyle w:val="Headingb"/>
        <w:rPr>
          <w:lang w:val="en-US" w:eastAsia="zh-CN"/>
        </w:rPr>
      </w:pPr>
      <w:bookmarkStart w:id="7" w:name="lt_pId027"/>
      <w:r>
        <w:rPr>
          <w:rFonts w:hint="eastAsia"/>
          <w:lang w:eastAsia="zh-CN"/>
        </w:rPr>
        <w:t>引言</w:t>
      </w:r>
      <w:bookmarkEnd w:id="7"/>
    </w:p>
    <w:p w:rsidR="00530A5F" w:rsidRDefault="00530A5F" w:rsidP="00AD6A1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jc w:val="both"/>
        <w:rPr>
          <w:szCs w:val="24"/>
          <w:lang w:val="en-US" w:eastAsia="zh-CN"/>
        </w:rPr>
      </w:pPr>
      <w:bookmarkStart w:id="8" w:name="lt_pId036"/>
      <w:r w:rsidRPr="00530A5F">
        <w:rPr>
          <w:rFonts w:hint="eastAsia"/>
          <w:szCs w:val="24"/>
          <w:lang w:val="en-US" w:eastAsia="zh-CN"/>
        </w:rPr>
        <w:t>WTDC-17</w:t>
      </w:r>
      <w:r w:rsidRPr="00530A5F">
        <w:rPr>
          <w:rFonts w:hint="eastAsia"/>
          <w:szCs w:val="24"/>
          <w:lang w:val="en-US" w:eastAsia="zh-CN"/>
        </w:rPr>
        <w:t>通过的《布宜诺斯艾利斯宣言》指出：“对于成员国和私营部门而言，衡量信息社会和制定适当且具有可比性并按性别分列的指标</w:t>
      </w:r>
      <w:r w:rsidRPr="00530A5F">
        <w:rPr>
          <w:rFonts w:hint="eastAsia"/>
          <w:szCs w:val="24"/>
          <w:lang w:val="en-US" w:eastAsia="zh-CN"/>
        </w:rPr>
        <w:t>/</w:t>
      </w:r>
      <w:r w:rsidRPr="00530A5F">
        <w:rPr>
          <w:rFonts w:hint="eastAsia"/>
          <w:szCs w:val="24"/>
          <w:lang w:val="en-US" w:eastAsia="zh-CN"/>
        </w:rPr>
        <w:t>统计数据、并且对</w:t>
      </w:r>
      <w:r w:rsidRPr="00530A5F">
        <w:rPr>
          <w:rFonts w:hint="eastAsia"/>
          <w:szCs w:val="24"/>
          <w:lang w:val="en-US" w:eastAsia="zh-CN"/>
        </w:rPr>
        <w:t>ICT</w:t>
      </w:r>
      <w:r w:rsidRPr="00530A5F">
        <w:rPr>
          <w:rFonts w:hint="eastAsia"/>
          <w:szCs w:val="24"/>
          <w:lang w:val="en-US" w:eastAsia="zh-CN"/>
        </w:rPr>
        <w:t>趋势进行分析均很重要，前者可确定需要公共政策介入的差距，而后者则需确定和寻找投资机遇，而且应特别关注用于监控《</w:t>
      </w:r>
      <w:r w:rsidRPr="00530A5F">
        <w:rPr>
          <w:rFonts w:hint="eastAsia"/>
          <w:szCs w:val="24"/>
          <w:lang w:val="en-US" w:eastAsia="zh-CN"/>
        </w:rPr>
        <w:t>2030</w:t>
      </w:r>
      <w:r w:rsidRPr="00530A5F">
        <w:rPr>
          <w:rFonts w:hint="eastAsia"/>
          <w:szCs w:val="24"/>
          <w:lang w:val="en-US" w:eastAsia="zh-CN"/>
        </w:rPr>
        <w:t>年可持续发展议程》落实情况的工具”</w:t>
      </w:r>
      <w:r>
        <w:rPr>
          <w:rFonts w:hint="eastAsia"/>
          <w:szCs w:val="24"/>
          <w:lang w:val="en-US" w:eastAsia="zh-CN"/>
        </w:rPr>
        <w:t>。</w:t>
      </w:r>
    </w:p>
    <w:p w:rsidR="00530A5F" w:rsidRDefault="00530A5F" w:rsidP="00AD6A1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jc w:val="both"/>
        <w:rPr>
          <w:szCs w:val="24"/>
          <w:lang w:val="en-US" w:eastAsia="zh-CN"/>
        </w:rPr>
      </w:pPr>
      <w:r>
        <w:rPr>
          <w:szCs w:val="24"/>
          <w:lang w:val="en-US" w:eastAsia="zh-CN"/>
        </w:rPr>
        <w:t>PP-18</w:t>
      </w:r>
      <w:r>
        <w:rPr>
          <w:rFonts w:hint="eastAsia"/>
          <w:szCs w:val="24"/>
          <w:lang w:val="en-US" w:eastAsia="zh-CN"/>
        </w:rPr>
        <w:t>通过了第</w:t>
      </w:r>
      <w:r>
        <w:rPr>
          <w:rFonts w:hint="eastAsia"/>
          <w:szCs w:val="24"/>
          <w:lang w:val="en-US" w:eastAsia="zh-CN"/>
        </w:rPr>
        <w:t>131</w:t>
      </w:r>
      <w:r>
        <w:rPr>
          <w:rFonts w:hint="eastAsia"/>
          <w:szCs w:val="24"/>
          <w:lang w:val="en-US" w:eastAsia="zh-CN"/>
        </w:rPr>
        <w:t>号决议（</w:t>
      </w:r>
      <w:r>
        <w:rPr>
          <w:rFonts w:hint="eastAsia"/>
          <w:szCs w:val="24"/>
          <w:lang w:val="en-US" w:eastAsia="zh-CN"/>
        </w:rPr>
        <w:t>2018</w:t>
      </w:r>
      <w:r>
        <w:rPr>
          <w:rFonts w:hint="eastAsia"/>
          <w:szCs w:val="24"/>
          <w:lang w:val="en-US" w:eastAsia="zh-CN"/>
        </w:rPr>
        <w:t>年，迪拜，修订版），内</w:t>
      </w:r>
      <w:r w:rsidRPr="00530A5F">
        <w:rPr>
          <w:rFonts w:hint="eastAsia"/>
          <w:szCs w:val="24"/>
          <w:lang w:val="en-US" w:eastAsia="zh-CN"/>
        </w:rPr>
        <w:t>含多项措施</w:t>
      </w:r>
      <w:r>
        <w:rPr>
          <w:rFonts w:hint="eastAsia"/>
          <w:szCs w:val="24"/>
          <w:lang w:val="en-US" w:eastAsia="zh-CN"/>
        </w:rPr>
        <w:t>，</w:t>
      </w:r>
      <w:r w:rsidRPr="00867946">
        <w:rPr>
          <w:rFonts w:ascii="SimSun" w:hAnsi="SimSun" w:hint="eastAsia"/>
          <w:szCs w:val="24"/>
          <w:lang w:val="en-US" w:eastAsia="zh-CN"/>
        </w:rPr>
        <w:t>包括</w:t>
      </w:r>
      <w:r w:rsidRPr="00530A5F">
        <w:rPr>
          <w:rFonts w:ascii="STKaiti" w:eastAsia="STKaiti" w:hAnsi="STKaiti" w:hint="eastAsia"/>
          <w:szCs w:val="24"/>
          <w:lang w:val="en-US" w:eastAsia="zh-CN"/>
        </w:rPr>
        <w:t>国际电联应加强与其他参与电信/ICT相关统计数据收集的国际组织的协调并通过衡量ICT促发展伙伴关系制定一套标准指标，完善电信/ICT数据和指</w:t>
      </w:r>
      <w:bookmarkStart w:id="9" w:name="_GoBack"/>
      <w:bookmarkEnd w:id="9"/>
      <w:r w:rsidRPr="00530A5F">
        <w:rPr>
          <w:rFonts w:ascii="STKaiti" w:eastAsia="STKaiti" w:hAnsi="STKaiti" w:hint="eastAsia"/>
          <w:szCs w:val="24"/>
          <w:lang w:val="en-US" w:eastAsia="zh-CN"/>
        </w:rPr>
        <w:t>标的质量、可比性、可提供性和可靠性，使其有助于制定电信/ICT领域的战略和国家、区域以及国际公共政策</w:t>
      </w:r>
      <w:r w:rsidRPr="00530A5F">
        <w:rPr>
          <w:rFonts w:hint="eastAsia"/>
          <w:szCs w:val="24"/>
          <w:lang w:val="en-US" w:eastAsia="zh-CN"/>
        </w:rPr>
        <w:t>；</w:t>
      </w:r>
    </w:p>
    <w:p w:rsidR="00530A5F" w:rsidRDefault="00C734AE" w:rsidP="00AD6A1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并且责成</w:t>
      </w:r>
      <w:r w:rsidR="00702F96">
        <w:rPr>
          <w:rFonts w:hint="eastAsia"/>
          <w:szCs w:val="24"/>
          <w:lang w:val="en-US" w:eastAsia="zh-CN"/>
        </w:rPr>
        <w:t>电信发展局</w:t>
      </w:r>
      <w:r w:rsidRPr="00C734AE">
        <w:rPr>
          <w:rFonts w:ascii="STKaiti" w:eastAsia="STKaiti" w:hAnsi="STKaiti" w:hint="eastAsia"/>
          <w:szCs w:val="24"/>
          <w:lang w:val="en-US" w:eastAsia="zh-CN"/>
        </w:rPr>
        <w:t>就本决议的落实进展向国际电联理事会提交报告，特别介绍IDI和IPB的结构以及计算方法审议工作方面的进展</w:t>
      </w:r>
      <w:r>
        <w:rPr>
          <w:rFonts w:hint="eastAsia"/>
          <w:szCs w:val="24"/>
          <w:lang w:val="en-US" w:eastAsia="zh-CN"/>
        </w:rPr>
        <w:t>。</w:t>
      </w:r>
    </w:p>
    <w:bookmarkEnd w:id="8"/>
    <w:p w:rsidR="000B169B" w:rsidRDefault="00C734AE" w:rsidP="00AD6A1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45365" w:rsidRPr="00910EF1" w:rsidRDefault="00702F96" w:rsidP="008051FC">
      <w:pPr>
        <w:ind w:firstLineChars="200" w:firstLine="480"/>
        <w:rPr>
          <w:szCs w:val="24"/>
          <w:lang w:eastAsia="zh-CN"/>
        </w:rPr>
      </w:pPr>
      <w:r w:rsidRPr="00702F96">
        <w:rPr>
          <w:rFonts w:hint="eastAsia"/>
          <w:szCs w:val="24"/>
          <w:lang w:eastAsia="zh-CN"/>
        </w:rPr>
        <w:t>鉴于上述情况</w:t>
      </w:r>
      <w:r>
        <w:rPr>
          <w:rFonts w:hint="eastAsia"/>
          <w:szCs w:val="24"/>
          <w:lang w:eastAsia="zh-CN"/>
        </w:rPr>
        <w:t>，可与成员</w:t>
      </w:r>
      <w:r w:rsidR="00867946">
        <w:rPr>
          <w:rFonts w:hint="eastAsia"/>
          <w:szCs w:val="24"/>
          <w:lang w:eastAsia="zh-CN"/>
        </w:rPr>
        <w:t>分享</w:t>
      </w:r>
      <w:r w:rsidRPr="00702F96">
        <w:rPr>
          <w:rFonts w:hint="eastAsia"/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落实</w:t>
      </w:r>
      <w:r w:rsidRPr="00702F96">
        <w:rPr>
          <w:rFonts w:hint="eastAsia"/>
          <w:szCs w:val="24"/>
          <w:lang w:eastAsia="zh-CN"/>
        </w:rPr>
        <w:t>第</w:t>
      </w:r>
      <w:r w:rsidRPr="00702F96">
        <w:rPr>
          <w:rFonts w:hint="eastAsia"/>
          <w:szCs w:val="24"/>
          <w:lang w:eastAsia="zh-CN"/>
        </w:rPr>
        <w:t>131</w:t>
      </w:r>
      <w:r>
        <w:rPr>
          <w:rFonts w:hint="eastAsia"/>
          <w:szCs w:val="24"/>
          <w:lang w:eastAsia="zh-CN"/>
        </w:rPr>
        <w:t>号决议的进展</w:t>
      </w:r>
      <w:r w:rsidRPr="00702F96">
        <w:rPr>
          <w:rFonts w:hint="eastAsia"/>
          <w:szCs w:val="24"/>
          <w:lang w:eastAsia="zh-CN"/>
        </w:rPr>
        <w:t>的报告</w:t>
      </w:r>
      <w:r>
        <w:rPr>
          <w:rFonts w:hint="eastAsia"/>
          <w:szCs w:val="24"/>
          <w:lang w:eastAsia="zh-CN"/>
        </w:rPr>
        <w:t>。</w:t>
      </w:r>
    </w:p>
    <w:p w:rsidR="004C0B2D" w:rsidRDefault="004C0B2D" w:rsidP="008051FC">
      <w:pPr>
        <w:rPr>
          <w:lang w:eastAsia="zh-CN"/>
        </w:rPr>
      </w:pPr>
    </w:p>
    <w:p w:rsidR="00AD6A1A" w:rsidRPr="00280EB8" w:rsidRDefault="00AD6A1A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14" w:rsidRDefault="00E87114">
      <w:r>
        <w:separator/>
      </w:r>
    </w:p>
  </w:endnote>
  <w:endnote w:type="continuationSeparator" w:id="0">
    <w:p w:rsidR="00E87114" w:rsidRDefault="00E8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6B52B5" w:rsidP="0014650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D6A1A">
      <w:t>P:\CHI\SG\CONSEIL\C19\100\104C.docx</w:t>
    </w:r>
    <w:r>
      <w:fldChar w:fldCharType="end"/>
    </w:r>
    <w:r w:rsidR="00AD6A1A">
      <w:t xml:space="preserve"> (456084</w:t>
    </w:r>
    <w:r w:rsidR="000B169B">
      <w:t>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40A53" w:rsidP="000B1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14" w:rsidRDefault="00E87114">
      <w:r>
        <w:t>____________________</w:t>
      </w:r>
    </w:p>
  </w:footnote>
  <w:footnote w:type="continuationSeparator" w:id="0">
    <w:p w:rsidR="00E87114" w:rsidRDefault="00E8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6B52B5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5972BB">
      <w:rPr>
        <w:lang w:eastAsia="zh-CN"/>
      </w:rPr>
      <w:t>104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35B82"/>
    <w:rsid w:val="000404D2"/>
    <w:rsid w:val="000853C0"/>
    <w:rsid w:val="000A1C21"/>
    <w:rsid w:val="000B169B"/>
    <w:rsid w:val="000D15EA"/>
    <w:rsid w:val="00100D84"/>
    <w:rsid w:val="00124C9D"/>
    <w:rsid w:val="00130130"/>
    <w:rsid w:val="0014650F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C0B2D"/>
    <w:rsid w:val="004D163F"/>
    <w:rsid w:val="004E4BFF"/>
    <w:rsid w:val="004F2598"/>
    <w:rsid w:val="00510969"/>
    <w:rsid w:val="00524D50"/>
    <w:rsid w:val="00530A5F"/>
    <w:rsid w:val="005403F7"/>
    <w:rsid w:val="00540632"/>
    <w:rsid w:val="00541CF4"/>
    <w:rsid w:val="005451E8"/>
    <w:rsid w:val="005507F2"/>
    <w:rsid w:val="005759CC"/>
    <w:rsid w:val="005972BB"/>
    <w:rsid w:val="005A72E1"/>
    <w:rsid w:val="005C6632"/>
    <w:rsid w:val="005D1C9E"/>
    <w:rsid w:val="00654257"/>
    <w:rsid w:val="0065435A"/>
    <w:rsid w:val="006A2DD3"/>
    <w:rsid w:val="006A5AF8"/>
    <w:rsid w:val="006B52B5"/>
    <w:rsid w:val="006C36CD"/>
    <w:rsid w:val="006C6683"/>
    <w:rsid w:val="00700D1F"/>
    <w:rsid w:val="00702F96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051FC"/>
    <w:rsid w:val="00811259"/>
    <w:rsid w:val="00813AA2"/>
    <w:rsid w:val="008173A3"/>
    <w:rsid w:val="0086059C"/>
    <w:rsid w:val="00864589"/>
    <w:rsid w:val="00867946"/>
    <w:rsid w:val="00890AFB"/>
    <w:rsid w:val="00890FC4"/>
    <w:rsid w:val="00895905"/>
    <w:rsid w:val="00910EF1"/>
    <w:rsid w:val="009164A9"/>
    <w:rsid w:val="009258CB"/>
    <w:rsid w:val="009273CE"/>
    <w:rsid w:val="0093362E"/>
    <w:rsid w:val="00944563"/>
    <w:rsid w:val="00953160"/>
    <w:rsid w:val="009625D8"/>
    <w:rsid w:val="0098459B"/>
    <w:rsid w:val="00997185"/>
    <w:rsid w:val="009C0DBE"/>
    <w:rsid w:val="009C2458"/>
    <w:rsid w:val="009C4A7B"/>
    <w:rsid w:val="009C6123"/>
    <w:rsid w:val="009F1E3E"/>
    <w:rsid w:val="00A0064B"/>
    <w:rsid w:val="00A1213C"/>
    <w:rsid w:val="00A272FF"/>
    <w:rsid w:val="00A461C0"/>
    <w:rsid w:val="00A5354B"/>
    <w:rsid w:val="00A71B57"/>
    <w:rsid w:val="00AB42C1"/>
    <w:rsid w:val="00AC516F"/>
    <w:rsid w:val="00AD6A1A"/>
    <w:rsid w:val="00AE2926"/>
    <w:rsid w:val="00B0184B"/>
    <w:rsid w:val="00B035CD"/>
    <w:rsid w:val="00B0769D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34AE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78D8"/>
    <w:rsid w:val="00E40845"/>
    <w:rsid w:val="00E43A12"/>
    <w:rsid w:val="00E67C67"/>
    <w:rsid w:val="00E77476"/>
    <w:rsid w:val="00E8228B"/>
    <w:rsid w:val="00E87114"/>
    <w:rsid w:val="00EC050A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d/md/14/wtdc17/c/D14-WTDC17-C-0117!!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31-C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38EF-5BB5-4902-9BAE-29135FEE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0</TotalTime>
  <Pages>2</Pages>
  <Words>601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Janin, Patricia</cp:lastModifiedBy>
  <cp:revision>2</cp:revision>
  <cp:lastPrinted>2019-06-07T06:45:00Z</cp:lastPrinted>
  <dcterms:created xsi:type="dcterms:W3CDTF">2019-06-07T08:55:00Z</dcterms:created>
  <dcterms:modified xsi:type="dcterms:W3CDTF">2019-06-07T08:55:00Z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