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6E0754">
            <w:pPr>
              <w:spacing w:before="360" w:after="48" w:line="240" w:lineRule="atLeast"/>
              <w:jc w:val="both"/>
              <w:rPr>
                <w:position w:val="6"/>
              </w:rPr>
            </w:pPr>
            <w:bookmarkStart w:id="0" w:name="dc06"/>
            <w:bookmarkEnd w:id="0"/>
            <w:r w:rsidRPr="00E85629">
              <w:rPr>
                <w:b/>
                <w:bCs/>
                <w:position w:val="6"/>
                <w:sz w:val="30"/>
                <w:szCs w:val="30"/>
                <w:lang w:val="fr-CH"/>
              </w:rPr>
              <w:t>Council 201</w:t>
            </w:r>
            <w:r w:rsidR="00FB1279">
              <w:rPr>
                <w:b/>
                <w:bCs/>
                <w:position w:val="6"/>
                <w:sz w:val="30"/>
                <w:szCs w:val="30"/>
                <w:lang w:val="fr-CH"/>
              </w:rPr>
              <w:t>9</w:t>
            </w:r>
            <w:r w:rsidRPr="00E85629">
              <w:rPr>
                <w:rFonts w:cs="Times"/>
                <w:b/>
                <w:position w:val="6"/>
                <w:sz w:val="26"/>
                <w:szCs w:val="26"/>
                <w:lang w:val="en-US"/>
              </w:rPr>
              <w:br/>
            </w:r>
            <w:r w:rsidRPr="00E85629">
              <w:rPr>
                <w:b/>
                <w:bCs/>
                <w:position w:val="6"/>
                <w:szCs w:val="24"/>
                <w:lang w:val="fr-CH"/>
              </w:rPr>
              <w:t>Geneva, 1</w:t>
            </w:r>
            <w:r w:rsidR="00FB1279">
              <w:rPr>
                <w:b/>
                <w:bCs/>
                <w:position w:val="6"/>
                <w:szCs w:val="24"/>
                <w:lang w:val="fr-CH"/>
              </w:rPr>
              <w:t>0</w:t>
            </w:r>
            <w:r w:rsidRPr="00E85629">
              <w:rPr>
                <w:b/>
                <w:bCs/>
                <w:position w:val="6"/>
                <w:szCs w:val="24"/>
                <w:lang w:val="fr-CH"/>
              </w:rPr>
              <w:t>-2</w:t>
            </w:r>
            <w:r w:rsidR="00FB1279">
              <w:rPr>
                <w:b/>
                <w:bCs/>
                <w:position w:val="6"/>
                <w:szCs w:val="24"/>
                <w:lang w:val="fr-CH"/>
              </w:rPr>
              <w:t>0</w:t>
            </w:r>
            <w:r w:rsidRPr="00E85629">
              <w:rPr>
                <w:b/>
                <w:bCs/>
                <w:position w:val="6"/>
                <w:szCs w:val="24"/>
                <w:lang w:val="fr-CH"/>
              </w:rPr>
              <w:t xml:space="preserve"> </w:t>
            </w:r>
            <w:proofErr w:type="spellStart"/>
            <w:r w:rsidR="00FB1279">
              <w:rPr>
                <w:b/>
                <w:bCs/>
                <w:position w:val="6"/>
                <w:szCs w:val="24"/>
                <w:lang w:val="fr-CH"/>
              </w:rPr>
              <w:t>June</w:t>
            </w:r>
            <w:proofErr w:type="spellEnd"/>
            <w:r w:rsidRPr="00E85629">
              <w:rPr>
                <w:b/>
                <w:bCs/>
                <w:position w:val="6"/>
                <w:szCs w:val="24"/>
                <w:lang w:val="fr-CH"/>
              </w:rPr>
              <w:t xml:space="preserve"> 201</w:t>
            </w:r>
            <w:r w:rsidR="00FB1279">
              <w:rPr>
                <w:b/>
                <w:bCs/>
                <w:position w:val="6"/>
                <w:szCs w:val="24"/>
                <w:lang w:val="fr-CH"/>
              </w:rPr>
              <w:t>9</w:t>
            </w:r>
          </w:p>
        </w:tc>
        <w:tc>
          <w:tcPr>
            <w:tcW w:w="3120" w:type="dxa"/>
          </w:tcPr>
          <w:p w:rsidR="002A2188" w:rsidRPr="00813E5E" w:rsidRDefault="002A2188" w:rsidP="006E0754">
            <w:pPr>
              <w:spacing w:before="0" w:line="240" w:lineRule="atLeast"/>
              <w:jc w:val="both"/>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6E0754">
            <w:pPr>
              <w:spacing w:before="0" w:after="48" w:line="240" w:lineRule="atLeast"/>
              <w:jc w:val="both"/>
              <w:rPr>
                <w:b/>
                <w:smallCaps/>
                <w:szCs w:val="24"/>
              </w:rPr>
            </w:pPr>
          </w:p>
        </w:tc>
        <w:tc>
          <w:tcPr>
            <w:tcW w:w="3120" w:type="dxa"/>
            <w:tcBorders>
              <w:bottom w:val="single" w:sz="12" w:space="0" w:color="auto"/>
            </w:tcBorders>
          </w:tcPr>
          <w:p w:rsidR="002A2188" w:rsidRPr="00813E5E" w:rsidRDefault="002A2188" w:rsidP="006E0754">
            <w:pPr>
              <w:spacing w:before="0" w:line="240" w:lineRule="atLeast"/>
              <w:jc w:val="both"/>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6E0754">
            <w:pPr>
              <w:spacing w:before="0" w:line="240" w:lineRule="atLeast"/>
              <w:jc w:val="both"/>
              <w:rPr>
                <w:b/>
                <w:smallCaps/>
                <w:szCs w:val="24"/>
              </w:rPr>
            </w:pPr>
          </w:p>
        </w:tc>
        <w:tc>
          <w:tcPr>
            <w:tcW w:w="3120" w:type="dxa"/>
            <w:tcBorders>
              <w:top w:val="single" w:sz="12" w:space="0" w:color="auto"/>
            </w:tcBorders>
          </w:tcPr>
          <w:p w:rsidR="002A2188" w:rsidRPr="00813E5E" w:rsidRDefault="002A2188" w:rsidP="006E0754">
            <w:pPr>
              <w:spacing w:before="0" w:line="240" w:lineRule="atLeast"/>
              <w:jc w:val="both"/>
              <w:rPr>
                <w:szCs w:val="24"/>
              </w:rPr>
            </w:pPr>
          </w:p>
        </w:tc>
      </w:tr>
      <w:tr w:rsidR="002A2188" w:rsidRPr="00813E5E" w:rsidTr="00464B6C">
        <w:trPr>
          <w:cantSplit/>
          <w:trHeight w:val="23"/>
        </w:trPr>
        <w:tc>
          <w:tcPr>
            <w:tcW w:w="6911" w:type="dxa"/>
            <w:vMerge w:val="restart"/>
          </w:tcPr>
          <w:p w:rsidR="002A2188" w:rsidRPr="00E85629" w:rsidRDefault="002A2188" w:rsidP="006E0754">
            <w:pPr>
              <w:tabs>
                <w:tab w:val="left" w:pos="851"/>
              </w:tabs>
              <w:spacing w:line="240" w:lineRule="atLeast"/>
              <w:jc w:val="both"/>
              <w:rPr>
                <w:b/>
              </w:rPr>
            </w:pPr>
            <w:bookmarkStart w:id="2" w:name="dmeeting" w:colFirst="0" w:colLast="0"/>
            <w:bookmarkStart w:id="3" w:name="dnum" w:colFirst="1" w:colLast="1"/>
          </w:p>
        </w:tc>
        <w:tc>
          <w:tcPr>
            <w:tcW w:w="3120" w:type="dxa"/>
          </w:tcPr>
          <w:p w:rsidR="002A2188" w:rsidRPr="00E85629" w:rsidRDefault="002A2188" w:rsidP="006E0754">
            <w:pPr>
              <w:tabs>
                <w:tab w:val="left" w:pos="851"/>
              </w:tabs>
              <w:spacing w:before="0" w:line="240" w:lineRule="atLeast"/>
              <w:jc w:val="both"/>
              <w:rPr>
                <w:b/>
              </w:rPr>
            </w:pPr>
            <w:r>
              <w:rPr>
                <w:b/>
              </w:rPr>
              <w:t>Document C1</w:t>
            </w:r>
            <w:r w:rsidR="00FB1279">
              <w:rPr>
                <w:b/>
              </w:rPr>
              <w:t>9</w:t>
            </w:r>
            <w:r w:rsidR="0085200A">
              <w:rPr>
                <w:b/>
              </w:rPr>
              <w:t>/11</w:t>
            </w:r>
            <w:r w:rsidR="005738E7">
              <w:rPr>
                <w:b/>
              </w:rPr>
              <w:t>5</w:t>
            </w:r>
            <w:r>
              <w:rPr>
                <w:b/>
              </w:rPr>
              <w:t>-E</w:t>
            </w:r>
          </w:p>
        </w:tc>
      </w:tr>
      <w:tr w:rsidR="002A2188" w:rsidRPr="00813E5E" w:rsidTr="00464B6C">
        <w:trPr>
          <w:cantSplit/>
          <w:trHeight w:val="23"/>
        </w:trPr>
        <w:tc>
          <w:tcPr>
            <w:tcW w:w="6911" w:type="dxa"/>
            <w:vMerge/>
          </w:tcPr>
          <w:p w:rsidR="002A2188" w:rsidRPr="00813E5E" w:rsidRDefault="002A2188" w:rsidP="006E0754">
            <w:pPr>
              <w:tabs>
                <w:tab w:val="left" w:pos="851"/>
              </w:tabs>
              <w:spacing w:line="240" w:lineRule="atLeast"/>
              <w:jc w:val="both"/>
              <w:rPr>
                <w:b/>
              </w:rPr>
            </w:pPr>
            <w:bookmarkStart w:id="4" w:name="ddate" w:colFirst="1" w:colLast="1"/>
            <w:bookmarkEnd w:id="2"/>
            <w:bookmarkEnd w:id="3"/>
          </w:p>
        </w:tc>
        <w:tc>
          <w:tcPr>
            <w:tcW w:w="3120" w:type="dxa"/>
          </w:tcPr>
          <w:p w:rsidR="002A2188" w:rsidRPr="00E85629" w:rsidRDefault="00263BC1" w:rsidP="00D50F37">
            <w:pPr>
              <w:tabs>
                <w:tab w:val="left" w:pos="993"/>
              </w:tabs>
              <w:spacing w:before="0"/>
              <w:jc w:val="both"/>
              <w:rPr>
                <w:b/>
              </w:rPr>
            </w:pPr>
            <w:r>
              <w:rPr>
                <w:b/>
              </w:rPr>
              <w:t>1</w:t>
            </w:r>
            <w:r w:rsidR="00D50F37">
              <w:rPr>
                <w:b/>
              </w:rPr>
              <w:t>9</w:t>
            </w:r>
            <w:r w:rsidR="0085200A">
              <w:rPr>
                <w:b/>
              </w:rPr>
              <w:t xml:space="preserve"> </w:t>
            </w:r>
            <w:bookmarkStart w:id="5" w:name="_GoBack"/>
            <w:r w:rsidR="00D50F37">
              <w:rPr>
                <w:b/>
              </w:rPr>
              <w:t>July</w:t>
            </w:r>
            <w:bookmarkEnd w:id="5"/>
            <w:r w:rsidR="002A2188">
              <w:rPr>
                <w:b/>
              </w:rPr>
              <w:t xml:space="preserve"> 201</w:t>
            </w:r>
            <w:r w:rsidR="00FB1279">
              <w:rPr>
                <w:b/>
              </w:rPr>
              <w:t>9</w:t>
            </w:r>
          </w:p>
        </w:tc>
      </w:tr>
      <w:tr w:rsidR="002A2188" w:rsidRPr="00813E5E" w:rsidTr="00464B6C">
        <w:trPr>
          <w:cantSplit/>
          <w:trHeight w:val="23"/>
        </w:trPr>
        <w:tc>
          <w:tcPr>
            <w:tcW w:w="6911" w:type="dxa"/>
            <w:vMerge/>
          </w:tcPr>
          <w:p w:rsidR="002A2188" w:rsidRPr="00813E5E" w:rsidRDefault="002A2188" w:rsidP="006E0754">
            <w:pPr>
              <w:tabs>
                <w:tab w:val="left" w:pos="851"/>
              </w:tabs>
              <w:spacing w:line="240" w:lineRule="atLeast"/>
              <w:jc w:val="both"/>
              <w:rPr>
                <w:b/>
              </w:rPr>
            </w:pPr>
            <w:bookmarkStart w:id="6" w:name="dorlang" w:colFirst="1" w:colLast="1"/>
            <w:bookmarkEnd w:id="4"/>
          </w:p>
        </w:tc>
        <w:tc>
          <w:tcPr>
            <w:tcW w:w="3120" w:type="dxa"/>
          </w:tcPr>
          <w:p w:rsidR="002A2188" w:rsidRPr="00E85629" w:rsidRDefault="002A2188" w:rsidP="006E0754">
            <w:pPr>
              <w:tabs>
                <w:tab w:val="left" w:pos="993"/>
              </w:tabs>
              <w:spacing w:before="0"/>
              <w:jc w:val="both"/>
              <w:rPr>
                <w:b/>
              </w:rPr>
            </w:pPr>
            <w:r>
              <w:rPr>
                <w:b/>
              </w:rPr>
              <w:t>Original: English</w:t>
            </w:r>
          </w:p>
        </w:tc>
      </w:tr>
      <w:tr w:rsidR="002A2188" w:rsidRPr="00813E5E" w:rsidTr="00464B6C">
        <w:trPr>
          <w:cantSplit/>
        </w:trPr>
        <w:tc>
          <w:tcPr>
            <w:tcW w:w="10031" w:type="dxa"/>
            <w:gridSpan w:val="2"/>
          </w:tcPr>
          <w:p w:rsidR="0085200A" w:rsidRPr="0085200A" w:rsidRDefault="0085200A" w:rsidP="006E0754">
            <w:pPr>
              <w:pStyle w:val="Title1"/>
            </w:pPr>
            <w:bookmarkStart w:id="7" w:name="dsource" w:colFirst="0" w:colLast="0"/>
            <w:bookmarkEnd w:id="6"/>
            <w:r w:rsidRPr="0085200A">
              <w:t>SUMMARY RECORD</w:t>
            </w:r>
          </w:p>
          <w:p w:rsidR="0085200A" w:rsidRPr="0085200A" w:rsidRDefault="0085200A" w:rsidP="006E0754">
            <w:pPr>
              <w:pStyle w:val="Title1"/>
            </w:pPr>
            <w:r w:rsidRPr="0085200A">
              <w:t>OF THE</w:t>
            </w:r>
          </w:p>
          <w:p w:rsidR="002A2188" w:rsidRPr="00813E5E" w:rsidRDefault="005738E7" w:rsidP="006E0754">
            <w:pPr>
              <w:pStyle w:val="Source"/>
              <w:spacing w:before="240"/>
            </w:pPr>
            <w:r>
              <w:rPr>
                <w:b w:val="0"/>
              </w:rPr>
              <w:t>FOURTH</w:t>
            </w:r>
            <w:r w:rsidRPr="0085200A">
              <w:rPr>
                <w:b w:val="0"/>
              </w:rPr>
              <w:t xml:space="preserve"> </w:t>
            </w:r>
            <w:r w:rsidR="0085200A" w:rsidRPr="0085200A">
              <w:rPr>
                <w:b w:val="0"/>
              </w:rPr>
              <w:t>PLENARY MEETING</w:t>
            </w:r>
          </w:p>
        </w:tc>
      </w:tr>
      <w:tr w:rsidR="002A2188" w:rsidRPr="00813E5E" w:rsidTr="00464B6C">
        <w:trPr>
          <w:cantSplit/>
        </w:trPr>
        <w:tc>
          <w:tcPr>
            <w:tcW w:w="10031" w:type="dxa"/>
            <w:gridSpan w:val="2"/>
          </w:tcPr>
          <w:p w:rsidR="002A2188" w:rsidRPr="005118C8" w:rsidRDefault="005738E7" w:rsidP="006E0754">
            <w:pPr>
              <w:pStyle w:val="Title1"/>
              <w:rPr>
                <w:sz w:val="24"/>
                <w:szCs w:val="24"/>
              </w:rPr>
            </w:pPr>
            <w:bookmarkStart w:id="8" w:name="dtitle1" w:colFirst="0" w:colLast="0"/>
            <w:bookmarkEnd w:id="7"/>
            <w:r w:rsidRPr="005738E7">
              <w:rPr>
                <w:caps w:val="0"/>
                <w:sz w:val="24"/>
                <w:szCs w:val="24"/>
              </w:rPr>
              <w:t>Thursday, 13 June 2019, from 1435 to 1740 hours</w:t>
            </w:r>
          </w:p>
        </w:tc>
      </w:tr>
      <w:tr w:rsidR="0085200A" w:rsidRPr="00813E5E" w:rsidTr="00464B6C">
        <w:trPr>
          <w:cantSplit/>
        </w:trPr>
        <w:tc>
          <w:tcPr>
            <w:tcW w:w="10031" w:type="dxa"/>
            <w:gridSpan w:val="2"/>
          </w:tcPr>
          <w:p w:rsidR="0085200A" w:rsidRPr="0085200A" w:rsidRDefault="00263BC1" w:rsidP="006E0754">
            <w:pPr>
              <w:jc w:val="center"/>
              <w:rPr>
                <w:rFonts w:asciiTheme="minorHAnsi" w:hAnsiTheme="minorHAnsi"/>
                <w:szCs w:val="24"/>
              </w:rPr>
            </w:pPr>
            <w:r>
              <w:rPr>
                <w:b/>
                <w:bCs/>
              </w:rPr>
              <w:t xml:space="preserve">Acting </w:t>
            </w:r>
            <w:r w:rsidR="0085200A" w:rsidRPr="000217D7">
              <w:rPr>
                <w:b/>
                <w:bCs/>
              </w:rPr>
              <w:t xml:space="preserve">Chairman: </w:t>
            </w:r>
            <w:r w:rsidR="0085200A" w:rsidRPr="000217D7">
              <w:rPr>
                <w:rFonts w:asciiTheme="minorHAnsi" w:hAnsiTheme="minorHAnsi"/>
                <w:szCs w:val="24"/>
              </w:rPr>
              <w:t xml:space="preserve"> </w:t>
            </w:r>
            <w:r w:rsidR="0085200A">
              <w:rPr>
                <w:rFonts w:asciiTheme="minorHAnsi" w:hAnsiTheme="minorHAnsi"/>
                <w:szCs w:val="24"/>
              </w:rPr>
              <w:t>Mr</w:t>
            </w:r>
            <w:r w:rsidR="0085200A" w:rsidRPr="000217D7">
              <w:rPr>
                <w:rFonts w:asciiTheme="minorHAnsi" w:hAnsiTheme="minorHAnsi"/>
                <w:szCs w:val="24"/>
              </w:rPr>
              <w:t xml:space="preserve"> </w:t>
            </w:r>
            <w:r w:rsidR="0085200A">
              <w:rPr>
                <w:rFonts w:asciiTheme="minorHAnsi" w:hAnsiTheme="minorHAnsi"/>
                <w:szCs w:val="24"/>
              </w:rPr>
              <w:t>F</w:t>
            </w:r>
            <w:r w:rsidR="0085200A" w:rsidRPr="000217D7">
              <w:rPr>
                <w:rFonts w:asciiTheme="minorHAnsi" w:hAnsiTheme="minorHAnsi"/>
                <w:szCs w:val="24"/>
              </w:rPr>
              <w:t xml:space="preserve">. </w:t>
            </w:r>
            <w:r w:rsidR="0085200A">
              <w:rPr>
                <w:rFonts w:asciiTheme="minorHAnsi" w:hAnsiTheme="minorHAnsi"/>
                <w:szCs w:val="24"/>
              </w:rPr>
              <w:t>BIGI</w:t>
            </w:r>
            <w:r w:rsidR="0085200A" w:rsidRPr="000217D7">
              <w:rPr>
                <w:rFonts w:asciiTheme="minorHAnsi" w:hAnsiTheme="minorHAnsi"/>
                <w:szCs w:val="24"/>
              </w:rPr>
              <w:t xml:space="preserve"> (Italy)</w:t>
            </w:r>
          </w:p>
        </w:tc>
      </w:tr>
      <w:bookmarkEnd w:id="8"/>
    </w:tbl>
    <w:p w:rsidR="0085200A" w:rsidRDefault="0085200A" w:rsidP="00263BC1">
      <w:pPr>
        <w:spacing w:before="840"/>
        <w:jc w:val="both"/>
      </w:pPr>
    </w:p>
    <w:tbl>
      <w:tblPr>
        <w:tblW w:w="5221" w:type="pct"/>
        <w:tblLook w:val="0000" w:firstRow="0" w:lastRow="0" w:firstColumn="0" w:lastColumn="0" w:noHBand="0" w:noVBand="0"/>
      </w:tblPr>
      <w:tblGrid>
        <w:gridCol w:w="505"/>
        <w:gridCol w:w="7575"/>
        <w:gridCol w:w="1985"/>
      </w:tblGrid>
      <w:tr w:rsidR="005738E7" w:rsidRPr="00224CB8" w:rsidTr="000E4B1E">
        <w:tc>
          <w:tcPr>
            <w:tcW w:w="251" w:type="pct"/>
          </w:tcPr>
          <w:p w:rsidR="005738E7" w:rsidRPr="00224CB8" w:rsidRDefault="005738E7" w:rsidP="000E4B1E">
            <w:pPr>
              <w:pStyle w:val="toc0"/>
              <w:spacing w:after="120"/>
            </w:pPr>
            <w:r>
              <w:rPr>
                <w:b w:val="0"/>
              </w:rPr>
              <w:br w:type="page"/>
            </w:r>
            <w:r>
              <w:rPr>
                <w:b w:val="0"/>
              </w:rPr>
              <w:br w:type="page"/>
            </w:r>
          </w:p>
        </w:tc>
        <w:tc>
          <w:tcPr>
            <w:tcW w:w="3763" w:type="pct"/>
          </w:tcPr>
          <w:p w:rsidR="005738E7" w:rsidRPr="00224CB8" w:rsidRDefault="005738E7" w:rsidP="000E4B1E">
            <w:pPr>
              <w:pStyle w:val="toc0"/>
              <w:spacing w:after="120"/>
            </w:pPr>
            <w:r w:rsidRPr="00224CB8">
              <w:t>Subjects discussed</w:t>
            </w:r>
          </w:p>
        </w:tc>
        <w:tc>
          <w:tcPr>
            <w:tcW w:w="986" w:type="pct"/>
          </w:tcPr>
          <w:p w:rsidR="005738E7" w:rsidRPr="00224CB8" w:rsidRDefault="005738E7" w:rsidP="000E4B1E">
            <w:pPr>
              <w:pStyle w:val="toc0"/>
              <w:spacing w:after="120"/>
              <w:jc w:val="center"/>
            </w:pPr>
            <w:r w:rsidRPr="00224CB8">
              <w:t>Documents</w:t>
            </w:r>
          </w:p>
        </w:tc>
      </w:tr>
      <w:tr w:rsidR="005738E7" w:rsidRPr="00224CB8" w:rsidTr="000E4B1E">
        <w:tc>
          <w:tcPr>
            <w:tcW w:w="251" w:type="pct"/>
          </w:tcPr>
          <w:p w:rsidR="005738E7" w:rsidRPr="00224CB8" w:rsidRDefault="005738E7" w:rsidP="000E4B1E">
            <w:r w:rsidRPr="00224CB8">
              <w:t>1</w:t>
            </w:r>
          </w:p>
        </w:tc>
        <w:tc>
          <w:tcPr>
            <w:tcW w:w="3763" w:type="pct"/>
          </w:tcPr>
          <w:p w:rsidR="005738E7" w:rsidRPr="00224CB8" w:rsidRDefault="005738E7" w:rsidP="000E4B1E">
            <w:r>
              <w:t>Statement by the Secretary-General of the National Broadcasting and Telecommunications Commission of Thailand</w:t>
            </w:r>
          </w:p>
        </w:tc>
        <w:tc>
          <w:tcPr>
            <w:tcW w:w="986" w:type="pct"/>
          </w:tcPr>
          <w:p w:rsidR="005738E7" w:rsidRPr="00224CB8" w:rsidRDefault="005738E7" w:rsidP="000E4B1E">
            <w:pPr>
              <w:jc w:val="center"/>
            </w:pPr>
            <w:r>
              <w:t>-</w:t>
            </w:r>
          </w:p>
        </w:tc>
      </w:tr>
      <w:tr w:rsidR="005738E7" w:rsidRPr="00224CB8" w:rsidTr="000E4B1E">
        <w:tc>
          <w:tcPr>
            <w:tcW w:w="251" w:type="pct"/>
          </w:tcPr>
          <w:p w:rsidR="005738E7" w:rsidRPr="00224CB8" w:rsidRDefault="005738E7" w:rsidP="000E4B1E">
            <w:r w:rsidRPr="00224CB8">
              <w:t>2</w:t>
            </w:r>
          </w:p>
        </w:tc>
        <w:tc>
          <w:tcPr>
            <w:tcW w:w="3763" w:type="pct"/>
          </w:tcPr>
          <w:p w:rsidR="005738E7" w:rsidRPr="00224CB8" w:rsidRDefault="005738E7" w:rsidP="000E4B1E">
            <w:r>
              <w:t xml:space="preserve">ITU activities on strengthening the role of ITU in building confidence and security in the use of ICTs </w:t>
            </w:r>
          </w:p>
        </w:tc>
        <w:tc>
          <w:tcPr>
            <w:tcW w:w="986" w:type="pct"/>
          </w:tcPr>
          <w:p w:rsidR="005738E7" w:rsidRPr="00224CB8" w:rsidRDefault="00210C81" w:rsidP="000E4B1E">
            <w:pPr>
              <w:jc w:val="center"/>
            </w:pPr>
            <w:hyperlink r:id="rId9" w:history="1">
              <w:r w:rsidR="005738E7" w:rsidRPr="005738E7">
                <w:rPr>
                  <w:rStyle w:val="Hyperlink"/>
                </w:rPr>
                <w:t>C19/18</w:t>
              </w:r>
            </w:hyperlink>
            <w:r w:rsidR="005738E7">
              <w:t xml:space="preserve">, </w:t>
            </w:r>
            <w:hyperlink r:id="rId10" w:history="1">
              <w:r w:rsidR="005738E7" w:rsidRPr="005738E7">
                <w:rPr>
                  <w:rStyle w:val="Hyperlink"/>
                </w:rPr>
                <w:t>C19/58</w:t>
              </w:r>
            </w:hyperlink>
            <w:r w:rsidR="005738E7">
              <w:t xml:space="preserve">, </w:t>
            </w:r>
            <w:hyperlink r:id="rId11" w:history="1">
              <w:r w:rsidR="005738E7" w:rsidRPr="005738E7">
                <w:rPr>
                  <w:rStyle w:val="Hyperlink"/>
                </w:rPr>
                <w:t>C19/103</w:t>
              </w:r>
            </w:hyperlink>
            <w:r w:rsidR="005738E7">
              <w:t xml:space="preserve"> </w:t>
            </w:r>
          </w:p>
        </w:tc>
      </w:tr>
      <w:tr w:rsidR="005738E7" w:rsidRPr="00224CB8" w:rsidTr="000E4B1E">
        <w:tc>
          <w:tcPr>
            <w:tcW w:w="251" w:type="pct"/>
          </w:tcPr>
          <w:p w:rsidR="005738E7" w:rsidRPr="00224CB8" w:rsidRDefault="005738E7" w:rsidP="000E4B1E">
            <w:r>
              <w:t>3</w:t>
            </w:r>
          </w:p>
        </w:tc>
        <w:tc>
          <w:tcPr>
            <w:tcW w:w="3763" w:type="pct"/>
          </w:tcPr>
          <w:p w:rsidR="005738E7" w:rsidRPr="00224CB8" w:rsidRDefault="005738E7" w:rsidP="000E4B1E">
            <w:r w:rsidRPr="00213569">
              <w:t>Report on the outcomes of</w:t>
            </w:r>
            <w:r>
              <w:t xml:space="preserve"> the </w:t>
            </w:r>
            <w:r w:rsidRPr="00213569">
              <w:t>CWG-WSIS&amp;SDG activities since Council 2018</w:t>
            </w:r>
            <w:r>
              <w:t xml:space="preserve"> (continued)</w:t>
            </w:r>
          </w:p>
        </w:tc>
        <w:tc>
          <w:tcPr>
            <w:tcW w:w="986" w:type="pct"/>
          </w:tcPr>
          <w:p w:rsidR="005738E7" w:rsidRPr="00224CB8" w:rsidRDefault="00210C81" w:rsidP="000E4B1E">
            <w:pPr>
              <w:jc w:val="center"/>
            </w:pPr>
            <w:hyperlink r:id="rId12" w:history="1">
              <w:r w:rsidR="005738E7" w:rsidRPr="005738E7">
                <w:rPr>
                  <w:rStyle w:val="Hyperlink"/>
                </w:rPr>
                <w:t>C19/DT/5</w:t>
              </w:r>
            </w:hyperlink>
          </w:p>
        </w:tc>
      </w:tr>
      <w:tr w:rsidR="005738E7" w:rsidRPr="00224CB8" w:rsidTr="000E4B1E">
        <w:tc>
          <w:tcPr>
            <w:tcW w:w="251" w:type="pct"/>
          </w:tcPr>
          <w:p w:rsidR="005738E7" w:rsidRPr="00224CB8" w:rsidRDefault="005738E7" w:rsidP="000E4B1E">
            <w:r>
              <w:t>4</w:t>
            </w:r>
          </w:p>
        </w:tc>
        <w:tc>
          <w:tcPr>
            <w:tcW w:w="3763" w:type="pct"/>
          </w:tcPr>
          <w:p w:rsidR="005738E7" w:rsidRPr="00224CB8" w:rsidRDefault="005738E7" w:rsidP="000E4B1E">
            <w:r>
              <w:t>R</w:t>
            </w:r>
            <w:r w:rsidRPr="004A7E7C">
              <w:t xml:space="preserve">eport </w:t>
            </w:r>
            <w:r>
              <w:t>on</w:t>
            </w:r>
            <w:r w:rsidRPr="004A7E7C">
              <w:t xml:space="preserve"> WSIS </w:t>
            </w:r>
            <w:r>
              <w:t>i</w:t>
            </w:r>
            <w:r w:rsidRPr="004A7E7C">
              <w:t xml:space="preserve">mplementation and </w:t>
            </w:r>
            <w:r>
              <w:t xml:space="preserve">the </w:t>
            </w:r>
            <w:r w:rsidRPr="004A7E7C">
              <w:t xml:space="preserve">2030 Agenda for Sustainable Development </w:t>
            </w:r>
          </w:p>
        </w:tc>
        <w:tc>
          <w:tcPr>
            <w:tcW w:w="986" w:type="pct"/>
          </w:tcPr>
          <w:p w:rsidR="005738E7" w:rsidRPr="00224CB8" w:rsidRDefault="00210C81" w:rsidP="000E4B1E">
            <w:pPr>
              <w:jc w:val="center"/>
            </w:pPr>
            <w:hyperlink r:id="rId13" w:history="1">
              <w:r w:rsidR="005738E7" w:rsidRPr="005738E7">
                <w:rPr>
                  <w:rStyle w:val="Hyperlink"/>
                </w:rPr>
                <w:t>C19/53</w:t>
              </w:r>
            </w:hyperlink>
            <w:r w:rsidR="005738E7">
              <w:t xml:space="preserve">, </w:t>
            </w:r>
            <w:hyperlink r:id="rId14" w:history="1">
              <w:r w:rsidR="005738E7" w:rsidRPr="005738E7">
                <w:rPr>
                  <w:rStyle w:val="Hyperlink"/>
                </w:rPr>
                <w:t>C19/98</w:t>
              </w:r>
            </w:hyperlink>
          </w:p>
        </w:tc>
      </w:tr>
      <w:tr w:rsidR="005738E7" w:rsidRPr="00224CB8" w:rsidTr="000E4B1E">
        <w:tc>
          <w:tcPr>
            <w:tcW w:w="251" w:type="pct"/>
          </w:tcPr>
          <w:p w:rsidR="005738E7" w:rsidRDefault="005738E7" w:rsidP="000E4B1E">
            <w:r>
              <w:t>5</w:t>
            </w:r>
          </w:p>
        </w:tc>
        <w:tc>
          <w:tcPr>
            <w:tcW w:w="3763" w:type="pct"/>
          </w:tcPr>
          <w:p w:rsidR="005738E7" w:rsidRPr="00224CB8" w:rsidRDefault="005738E7" w:rsidP="000E4B1E">
            <w:r>
              <w:t>Preparations for the 2021 World Telecommunication Development Conference (WTDC-21)</w:t>
            </w:r>
          </w:p>
        </w:tc>
        <w:tc>
          <w:tcPr>
            <w:tcW w:w="986" w:type="pct"/>
          </w:tcPr>
          <w:p w:rsidR="005738E7" w:rsidRPr="00224CB8" w:rsidRDefault="00210C81" w:rsidP="000E4B1E">
            <w:pPr>
              <w:jc w:val="center"/>
            </w:pPr>
            <w:hyperlink r:id="rId15" w:history="1">
              <w:r w:rsidR="005738E7" w:rsidRPr="005738E7">
                <w:rPr>
                  <w:rStyle w:val="Hyperlink"/>
                </w:rPr>
                <w:t>C19/30</w:t>
              </w:r>
            </w:hyperlink>
          </w:p>
        </w:tc>
      </w:tr>
    </w:tbl>
    <w:p w:rsidR="0085200A" w:rsidRDefault="0085200A" w:rsidP="006E0754">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bookmarkStart w:id="9" w:name="dstart"/>
      <w:bookmarkStart w:id="10" w:name="dbreak"/>
      <w:bookmarkEnd w:id="9"/>
      <w:bookmarkEnd w:id="10"/>
      <w:r>
        <w:rPr>
          <w:lang w:val="en-US"/>
        </w:rPr>
        <w:br w:type="page"/>
      </w:r>
    </w:p>
    <w:p w:rsidR="005738E7" w:rsidRPr="00BA3C71" w:rsidRDefault="005738E7" w:rsidP="00BA3C71">
      <w:pPr>
        <w:tabs>
          <w:tab w:val="clear" w:pos="567"/>
          <w:tab w:val="clear" w:pos="1134"/>
          <w:tab w:val="clear" w:pos="1701"/>
          <w:tab w:val="clear" w:pos="2268"/>
          <w:tab w:val="clear" w:pos="2835"/>
        </w:tabs>
        <w:overflowPunct/>
        <w:autoSpaceDE/>
        <w:autoSpaceDN/>
        <w:snapToGrid w:val="0"/>
        <w:spacing w:after="120"/>
        <w:ind w:left="709" w:hanging="709"/>
        <w:jc w:val="both"/>
        <w:textAlignment w:val="auto"/>
        <w:rPr>
          <w:rFonts w:asciiTheme="minorHAnsi" w:hAnsiTheme="minorHAnsi"/>
          <w:b/>
          <w:bCs/>
          <w:sz w:val="26"/>
          <w:szCs w:val="26"/>
          <w:lang w:val="en-CA"/>
        </w:rPr>
      </w:pPr>
      <w:r w:rsidRPr="00BA3C71">
        <w:rPr>
          <w:rFonts w:asciiTheme="minorHAnsi" w:hAnsiTheme="minorHAnsi"/>
          <w:b/>
          <w:bCs/>
          <w:sz w:val="26"/>
          <w:szCs w:val="26"/>
          <w:lang w:val="en-CA"/>
        </w:rPr>
        <w:lastRenderedPageBreak/>
        <w:t>1</w:t>
      </w:r>
      <w:r w:rsidRPr="00BA3C71">
        <w:rPr>
          <w:rFonts w:asciiTheme="minorHAnsi" w:hAnsiTheme="minorHAnsi"/>
          <w:b/>
          <w:bCs/>
          <w:sz w:val="26"/>
          <w:szCs w:val="26"/>
          <w:lang w:val="en-CA"/>
        </w:rPr>
        <w:tab/>
        <w:t>Statement by the Secretary-General of the National Broadcasting and Telecommunications Commission of Thailand</w:t>
      </w:r>
    </w:p>
    <w:p w:rsidR="005738E7" w:rsidRPr="00F255BE" w:rsidRDefault="005738E7" w:rsidP="00BA3C71">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F255BE">
        <w:rPr>
          <w:rFonts w:asciiTheme="minorHAnsi" w:hAnsiTheme="minorHAnsi"/>
          <w:szCs w:val="24"/>
          <w:lang w:val="en-CA"/>
        </w:rPr>
        <w:t>1.1</w:t>
      </w:r>
      <w:r w:rsidRPr="00F255BE">
        <w:rPr>
          <w:rFonts w:asciiTheme="minorHAnsi" w:hAnsiTheme="minorHAnsi"/>
          <w:szCs w:val="24"/>
          <w:lang w:val="en-CA"/>
        </w:rPr>
        <w:tab/>
        <w:t>The Secretary-General of Thailand's National Broadcasting and Telecommunications Commission (NBTC), which had replaced the Ministry of Digital Economy and Society as the Thai Administration in April 2018, provided an overview of the administration's 2019 activities in the telecommunication</w:t>
      </w:r>
      <w:r>
        <w:rPr>
          <w:rFonts w:asciiTheme="minorHAnsi" w:hAnsiTheme="minorHAnsi"/>
          <w:szCs w:val="24"/>
          <w:lang w:val="en-CA"/>
        </w:rPr>
        <w:t>s</w:t>
      </w:r>
      <w:r w:rsidRPr="00F255BE">
        <w:rPr>
          <w:rFonts w:asciiTheme="minorHAnsi" w:hAnsiTheme="minorHAnsi"/>
          <w:szCs w:val="24"/>
          <w:lang w:val="en-CA"/>
        </w:rPr>
        <w:t xml:space="preserve"> field and assured the Council of its ongoing collaboration. Referring to a recent incident of misconduct at the ITU Regional Office for Asia and the Pacific in Bangkok involving ITU and NBTC staff members, he said that NBTC would work with ITU, the Anti-Money Laundering Office, </w:t>
      </w:r>
      <w:proofErr w:type="gramStart"/>
      <w:r w:rsidRPr="00F255BE">
        <w:rPr>
          <w:rFonts w:asciiTheme="minorHAnsi" w:hAnsiTheme="minorHAnsi"/>
          <w:szCs w:val="24"/>
          <w:lang w:val="en-CA"/>
        </w:rPr>
        <w:t>the</w:t>
      </w:r>
      <w:proofErr w:type="gramEnd"/>
      <w:r w:rsidRPr="00F255BE">
        <w:rPr>
          <w:rFonts w:asciiTheme="minorHAnsi" w:hAnsiTheme="minorHAnsi"/>
          <w:szCs w:val="24"/>
          <w:lang w:val="en-CA"/>
        </w:rPr>
        <w:t xml:space="preserve"> Office of the Attorney General</w:t>
      </w:r>
      <w:r w:rsidR="00BA3C71">
        <w:rPr>
          <w:rFonts w:asciiTheme="minorHAnsi" w:hAnsiTheme="minorHAnsi"/>
          <w:szCs w:val="24"/>
          <w:lang w:val="en-CA"/>
        </w:rPr>
        <w:t>,</w:t>
      </w:r>
      <w:r w:rsidRPr="00F255BE">
        <w:rPr>
          <w:rFonts w:asciiTheme="minorHAnsi" w:hAnsiTheme="minorHAnsi"/>
          <w:szCs w:val="24"/>
          <w:lang w:val="en-CA"/>
        </w:rPr>
        <w:t xml:space="preserve"> and other relevant Thai agencies to ensure that the perpetrator</w:t>
      </w:r>
      <w:r>
        <w:rPr>
          <w:rFonts w:asciiTheme="minorHAnsi" w:hAnsiTheme="minorHAnsi"/>
          <w:szCs w:val="24"/>
          <w:lang w:val="en-CA"/>
        </w:rPr>
        <w:t>s were found and justice served.</w:t>
      </w:r>
    </w:p>
    <w:p w:rsidR="005738E7" w:rsidRPr="00F255BE" w:rsidRDefault="005738E7" w:rsidP="00BA3C71">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F255BE">
        <w:rPr>
          <w:rFonts w:asciiTheme="minorHAnsi" w:hAnsiTheme="minorHAnsi"/>
          <w:szCs w:val="24"/>
          <w:lang w:val="en-CA"/>
        </w:rPr>
        <w:t>1.2</w:t>
      </w:r>
      <w:r w:rsidRPr="00F255BE">
        <w:rPr>
          <w:rFonts w:asciiTheme="minorHAnsi" w:hAnsiTheme="minorHAnsi"/>
          <w:szCs w:val="24"/>
          <w:lang w:val="en-CA"/>
        </w:rPr>
        <w:tab/>
        <w:t>The Secretary-General said that he was pleased to observe that the Thai Administration shared the secretariat's zero-tolerance attitude towards fraud. He expressed appreciation for the proposal to relocate the ITU Regional Office to NBTC premises, a move that would be beneficial for all concerned.</w:t>
      </w:r>
    </w:p>
    <w:p w:rsidR="005738E7" w:rsidRPr="00BA3C71" w:rsidRDefault="005738E7" w:rsidP="00BA3C71">
      <w:pPr>
        <w:tabs>
          <w:tab w:val="clear" w:pos="567"/>
          <w:tab w:val="clear" w:pos="1134"/>
          <w:tab w:val="clear" w:pos="1701"/>
          <w:tab w:val="clear" w:pos="2268"/>
          <w:tab w:val="clear" w:pos="2835"/>
        </w:tabs>
        <w:snapToGrid w:val="0"/>
        <w:spacing w:before="360" w:after="120"/>
        <w:ind w:left="709" w:hanging="709"/>
        <w:jc w:val="both"/>
        <w:rPr>
          <w:rFonts w:asciiTheme="minorHAnsi" w:hAnsiTheme="minorHAnsi"/>
          <w:b/>
          <w:bCs/>
          <w:sz w:val="26"/>
          <w:szCs w:val="26"/>
          <w:lang w:val="en-CA"/>
        </w:rPr>
      </w:pPr>
      <w:r w:rsidRPr="00BA3C71">
        <w:rPr>
          <w:rFonts w:asciiTheme="minorHAnsi" w:hAnsiTheme="minorHAnsi"/>
          <w:b/>
          <w:bCs/>
          <w:sz w:val="26"/>
          <w:szCs w:val="26"/>
          <w:lang w:val="en-CA"/>
        </w:rPr>
        <w:t>2</w:t>
      </w:r>
      <w:r w:rsidRPr="00BA3C71">
        <w:rPr>
          <w:rFonts w:asciiTheme="minorHAnsi" w:hAnsiTheme="minorHAnsi"/>
          <w:b/>
          <w:bCs/>
          <w:sz w:val="26"/>
          <w:szCs w:val="26"/>
          <w:lang w:val="en-CA"/>
        </w:rPr>
        <w:tab/>
        <w:t xml:space="preserve">ITU activities on strengthening the role of ITU in building confidence and security in the use of ICTs (Documents </w:t>
      </w:r>
      <w:hyperlink r:id="rId16" w:history="1">
        <w:r w:rsidRPr="00BA3C71">
          <w:rPr>
            <w:rStyle w:val="Hyperlink"/>
            <w:rFonts w:asciiTheme="minorHAnsi" w:hAnsiTheme="minorHAnsi"/>
            <w:b/>
            <w:bCs/>
            <w:sz w:val="26"/>
            <w:szCs w:val="26"/>
            <w:lang w:val="en-CA"/>
          </w:rPr>
          <w:t>C19/18</w:t>
        </w:r>
      </w:hyperlink>
      <w:r w:rsidRPr="00BA3C71">
        <w:rPr>
          <w:rFonts w:asciiTheme="minorHAnsi" w:hAnsiTheme="minorHAnsi"/>
          <w:b/>
          <w:bCs/>
          <w:sz w:val="26"/>
          <w:szCs w:val="26"/>
          <w:lang w:val="en-CA"/>
        </w:rPr>
        <w:t>,</w:t>
      </w:r>
      <w:r w:rsidRPr="00BA3C71">
        <w:rPr>
          <w:sz w:val="26"/>
          <w:szCs w:val="26"/>
        </w:rPr>
        <w:t xml:space="preserve"> </w:t>
      </w:r>
      <w:hyperlink r:id="rId17" w:history="1">
        <w:r w:rsidRPr="00BA3C71">
          <w:rPr>
            <w:rStyle w:val="Hyperlink"/>
            <w:rFonts w:asciiTheme="minorHAnsi" w:hAnsiTheme="minorHAnsi"/>
            <w:b/>
            <w:bCs/>
            <w:sz w:val="26"/>
            <w:szCs w:val="26"/>
            <w:lang w:val="en-CA"/>
          </w:rPr>
          <w:t>C19/58</w:t>
        </w:r>
      </w:hyperlink>
      <w:r w:rsidRPr="00BA3C71">
        <w:rPr>
          <w:rFonts w:asciiTheme="minorHAnsi" w:hAnsiTheme="minorHAnsi"/>
          <w:b/>
          <w:bCs/>
          <w:sz w:val="26"/>
          <w:szCs w:val="26"/>
          <w:lang w:val="en-CA"/>
        </w:rPr>
        <w:t xml:space="preserve"> and </w:t>
      </w:r>
      <w:hyperlink r:id="rId18" w:history="1">
        <w:r w:rsidRPr="00BA3C71">
          <w:rPr>
            <w:rStyle w:val="Hyperlink"/>
            <w:rFonts w:asciiTheme="minorHAnsi" w:hAnsiTheme="minorHAnsi"/>
            <w:b/>
            <w:bCs/>
            <w:sz w:val="26"/>
            <w:szCs w:val="26"/>
            <w:lang w:val="en-CA"/>
          </w:rPr>
          <w:t>C19/103</w:t>
        </w:r>
      </w:hyperlink>
      <w:r w:rsidRPr="00BA3C71">
        <w:rPr>
          <w:rFonts w:asciiTheme="minorHAnsi" w:hAnsiTheme="minorHAnsi"/>
          <w:b/>
          <w:bCs/>
          <w:sz w:val="26"/>
          <w:szCs w:val="26"/>
          <w:lang w:val="en-CA"/>
        </w:rPr>
        <w:t>)</w:t>
      </w:r>
    </w:p>
    <w:p w:rsidR="005738E7" w:rsidRPr="00F255BE" w:rsidRDefault="005738E7" w:rsidP="00BA3C71">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F255BE">
        <w:rPr>
          <w:rFonts w:asciiTheme="minorHAnsi" w:hAnsiTheme="minorHAnsi"/>
          <w:szCs w:val="24"/>
          <w:lang w:val="en-CA"/>
        </w:rPr>
        <w:t>2.1</w:t>
      </w:r>
      <w:r w:rsidRPr="00F255BE">
        <w:rPr>
          <w:rFonts w:asciiTheme="minorHAnsi" w:hAnsiTheme="minorHAnsi"/>
          <w:szCs w:val="24"/>
          <w:lang w:val="en-CA"/>
        </w:rPr>
        <w:tab/>
        <w:t>A representative of the secretariat introduced Document C19/18, which summarized ITU activities and initiatives in respect of Resolution 130 (Rev. Dubai, 2018), ITU's role as sole facilitator for WSIS Action Line C5 and other decisions by the membership on the role of ITU in building confidence and security in the use of ICTs.</w:t>
      </w:r>
    </w:p>
    <w:p w:rsidR="005738E7" w:rsidRPr="00F255BE" w:rsidRDefault="005738E7" w:rsidP="00BA3C71">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F255BE">
        <w:rPr>
          <w:rFonts w:asciiTheme="minorHAnsi" w:hAnsiTheme="minorHAnsi"/>
          <w:szCs w:val="24"/>
          <w:lang w:val="en-CA"/>
        </w:rPr>
        <w:t>2.2</w:t>
      </w:r>
      <w:r w:rsidRPr="00F255BE">
        <w:rPr>
          <w:rFonts w:asciiTheme="minorHAnsi" w:hAnsiTheme="minorHAnsi"/>
          <w:szCs w:val="24"/>
          <w:lang w:val="en-CA"/>
        </w:rPr>
        <w:tab/>
        <w:t>The councillor from Indonesia announced that the Ministry of Communication and Information Technology, working in collaboration with the ITU Area Office for South-East Asia, would be organizing a regional cybersecurity workshop in Jakarta from 26 to 28 August 2019.</w:t>
      </w:r>
    </w:p>
    <w:p w:rsidR="005738E7" w:rsidRPr="00F255BE" w:rsidRDefault="005738E7" w:rsidP="009A3FFE">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F255BE">
        <w:rPr>
          <w:rFonts w:asciiTheme="minorHAnsi" w:hAnsiTheme="minorHAnsi"/>
          <w:szCs w:val="24"/>
          <w:lang w:val="en-CA"/>
        </w:rPr>
        <w:t>2.3</w:t>
      </w:r>
      <w:r w:rsidRPr="00F255BE">
        <w:rPr>
          <w:rFonts w:asciiTheme="minorHAnsi" w:hAnsiTheme="minorHAnsi"/>
          <w:szCs w:val="24"/>
          <w:lang w:val="en-CA"/>
        </w:rPr>
        <w:tab/>
        <w:t>In reply to a query from one councillor</w:t>
      </w:r>
      <w:r w:rsidR="009A3FFE">
        <w:rPr>
          <w:rFonts w:asciiTheme="minorHAnsi" w:hAnsiTheme="minorHAnsi"/>
          <w:szCs w:val="24"/>
          <w:lang w:val="en-CA"/>
        </w:rPr>
        <w:t xml:space="preserve"> regardin</w:t>
      </w:r>
      <w:r w:rsidR="009A3FFE">
        <w:rPr>
          <w:rFonts w:asciiTheme="minorHAnsi" w:hAnsiTheme="minorHAnsi"/>
          <w:szCs w:val="24"/>
          <w:lang w:val="en-CA"/>
        </w:rPr>
        <w:t>g the work</w:t>
      </w:r>
      <w:r w:rsidR="009A3FFE" w:rsidRPr="009A3FFE">
        <w:t xml:space="preserve"> </w:t>
      </w:r>
      <w:r w:rsidR="009A3FFE" w:rsidRPr="009A3FFE">
        <w:rPr>
          <w:rFonts w:asciiTheme="minorHAnsi" w:hAnsiTheme="minorHAnsi"/>
          <w:szCs w:val="24"/>
          <w:lang w:val="en-CA"/>
        </w:rPr>
        <w:t>being done by ITU-D Study Group 2 on Question 3.2</w:t>
      </w:r>
      <w:r w:rsidRPr="00F255BE">
        <w:rPr>
          <w:rFonts w:asciiTheme="minorHAnsi" w:hAnsiTheme="minorHAnsi"/>
          <w:szCs w:val="24"/>
          <w:lang w:val="en-CA"/>
        </w:rPr>
        <w:t>, a representative of the secretariat s</w:t>
      </w:r>
      <w:r w:rsidR="009A3FFE">
        <w:rPr>
          <w:rFonts w:asciiTheme="minorHAnsi" w:hAnsiTheme="minorHAnsi"/>
          <w:szCs w:val="24"/>
          <w:lang w:val="en-CA"/>
        </w:rPr>
        <w:t xml:space="preserve">tated that this </w:t>
      </w:r>
      <w:r w:rsidRPr="00F255BE">
        <w:rPr>
          <w:rFonts w:asciiTheme="minorHAnsi" w:hAnsiTheme="minorHAnsi"/>
          <w:szCs w:val="24"/>
          <w:lang w:val="en-CA"/>
        </w:rPr>
        <w:t xml:space="preserve"> was mentioned in §5.2 of the document.</w:t>
      </w:r>
    </w:p>
    <w:p w:rsidR="005738E7" w:rsidRPr="00F255BE" w:rsidRDefault="005738E7" w:rsidP="00364DD5">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F255BE">
        <w:rPr>
          <w:rFonts w:asciiTheme="minorHAnsi" w:hAnsiTheme="minorHAnsi"/>
          <w:szCs w:val="24"/>
          <w:lang w:val="en-CA"/>
        </w:rPr>
        <w:t>2.4</w:t>
      </w:r>
      <w:r w:rsidRPr="00F255BE">
        <w:rPr>
          <w:rFonts w:asciiTheme="minorHAnsi" w:hAnsiTheme="minorHAnsi"/>
          <w:szCs w:val="24"/>
          <w:lang w:val="en-CA"/>
        </w:rPr>
        <w:tab/>
        <w:t>The Acting Chairman invited the Council to note Document C19/18.</w:t>
      </w:r>
    </w:p>
    <w:p w:rsidR="005738E7" w:rsidRPr="00F255BE" w:rsidRDefault="005738E7" w:rsidP="00BA3C71">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F255BE">
        <w:rPr>
          <w:rFonts w:asciiTheme="minorHAnsi" w:hAnsiTheme="minorHAnsi"/>
          <w:szCs w:val="24"/>
          <w:lang w:val="en-CA"/>
        </w:rPr>
        <w:t>2.5</w:t>
      </w:r>
      <w:r w:rsidRPr="00F255BE">
        <w:rPr>
          <w:rFonts w:asciiTheme="minorHAnsi" w:hAnsiTheme="minorHAnsi"/>
          <w:szCs w:val="24"/>
          <w:lang w:val="en-CA"/>
        </w:rPr>
        <w:tab/>
        <w:t xml:space="preserve">It was so </w:t>
      </w:r>
      <w:r w:rsidRPr="00F255BE">
        <w:rPr>
          <w:rFonts w:asciiTheme="minorHAnsi" w:hAnsiTheme="minorHAnsi"/>
          <w:b/>
          <w:bCs/>
          <w:szCs w:val="24"/>
          <w:lang w:val="en-CA"/>
        </w:rPr>
        <w:t>agreed</w:t>
      </w:r>
      <w:r w:rsidRPr="00F255BE">
        <w:rPr>
          <w:rFonts w:asciiTheme="minorHAnsi" w:hAnsiTheme="minorHAnsi"/>
          <w:szCs w:val="24"/>
          <w:lang w:val="en-CA"/>
        </w:rPr>
        <w:t>.</w:t>
      </w:r>
    </w:p>
    <w:p w:rsidR="005738E7" w:rsidRPr="00F255BE" w:rsidRDefault="005738E7" w:rsidP="00BA3C71">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F255BE">
        <w:rPr>
          <w:rFonts w:asciiTheme="minorHAnsi" w:hAnsiTheme="minorHAnsi"/>
          <w:szCs w:val="24"/>
          <w:lang w:val="en-CA"/>
        </w:rPr>
        <w:t>2.6</w:t>
      </w:r>
      <w:r w:rsidRPr="00F255BE">
        <w:rPr>
          <w:rFonts w:asciiTheme="minorHAnsi" w:hAnsiTheme="minorHAnsi"/>
          <w:szCs w:val="24"/>
          <w:lang w:val="en-CA"/>
        </w:rPr>
        <w:tab/>
        <w:t xml:space="preserve">The councillor from the United Arab Emirates introduced Document C19/103, which contained a proposal submitted jointly by his country and Saudi Arabia to request the Director of BDT to update the Guidelines for Children on Child Online Protection with children, parents, teachers, manufacturers and policy-makers in mind, in the six official languages of the Union. </w:t>
      </w:r>
    </w:p>
    <w:p w:rsidR="005738E7" w:rsidRPr="00F255BE" w:rsidRDefault="005738E7" w:rsidP="00BA3C71">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F255BE">
        <w:rPr>
          <w:rFonts w:asciiTheme="minorHAnsi" w:hAnsiTheme="minorHAnsi"/>
          <w:szCs w:val="24"/>
          <w:lang w:val="en-CA"/>
        </w:rPr>
        <w:t>2.7</w:t>
      </w:r>
      <w:r w:rsidRPr="00F255BE">
        <w:rPr>
          <w:rFonts w:asciiTheme="minorHAnsi" w:hAnsiTheme="minorHAnsi"/>
          <w:szCs w:val="24"/>
          <w:lang w:val="en-CA"/>
        </w:rPr>
        <w:tab/>
        <w:t>Several councillors expressed support for the proposal.</w:t>
      </w:r>
    </w:p>
    <w:p w:rsidR="005738E7" w:rsidRPr="00F255BE" w:rsidRDefault="005738E7" w:rsidP="00050A27">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F255BE">
        <w:rPr>
          <w:rFonts w:asciiTheme="minorHAnsi" w:hAnsiTheme="minorHAnsi"/>
          <w:szCs w:val="24"/>
          <w:lang w:val="en-CA"/>
        </w:rPr>
        <w:t>2.8</w:t>
      </w:r>
      <w:r w:rsidRPr="00F255BE">
        <w:rPr>
          <w:rFonts w:asciiTheme="minorHAnsi" w:hAnsiTheme="minorHAnsi"/>
          <w:szCs w:val="24"/>
          <w:lang w:val="en-CA"/>
        </w:rPr>
        <w:tab/>
        <w:t xml:space="preserve">The Director of BDT welcomed the proposal, which was in line with a number of resolutions and decisions. In reply to a query from one councillor, she confirmed that the Guidelines </w:t>
      </w:r>
      <w:proofErr w:type="gramStart"/>
      <w:r w:rsidRPr="00F255BE">
        <w:rPr>
          <w:rFonts w:asciiTheme="minorHAnsi" w:hAnsiTheme="minorHAnsi"/>
          <w:szCs w:val="24"/>
          <w:lang w:val="en-CA"/>
        </w:rPr>
        <w:t xml:space="preserve">would be updated and produced in all six languages within the context of </w:t>
      </w:r>
      <w:r w:rsidR="00050A27">
        <w:rPr>
          <w:rFonts w:asciiTheme="minorHAnsi" w:hAnsiTheme="minorHAnsi"/>
          <w:szCs w:val="24"/>
          <w:lang w:val="en-CA"/>
        </w:rPr>
        <w:t>ITU’s</w:t>
      </w:r>
      <w:r w:rsidR="00050A27" w:rsidRPr="00F255BE">
        <w:rPr>
          <w:rFonts w:asciiTheme="minorHAnsi" w:hAnsiTheme="minorHAnsi"/>
          <w:szCs w:val="24"/>
          <w:lang w:val="en-CA"/>
        </w:rPr>
        <w:t xml:space="preserve"> </w:t>
      </w:r>
      <w:r w:rsidRPr="00F255BE">
        <w:rPr>
          <w:rFonts w:asciiTheme="minorHAnsi" w:hAnsiTheme="minorHAnsi"/>
          <w:szCs w:val="24"/>
          <w:lang w:val="en-CA"/>
        </w:rPr>
        <w:t>Child Online Protection (COP) Initiative and in close cooperation with CWG-COP.</w:t>
      </w:r>
      <w:proofErr w:type="gramEnd"/>
    </w:p>
    <w:p w:rsidR="005738E7" w:rsidRPr="00F255BE" w:rsidRDefault="005738E7" w:rsidP="00BA3C71">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F255BE">
        <w:rPr>
          <w:rFonts w:asciiTheme="minorHAnsi" w:hAnsiTheme="minorHAnsi"/>
          <w:szCs w:val="24"/>
          <w:lang w:val="en-CA"/>
        </w:rPr>
        <w:t>2.9</w:t>
      </w:r>
      <w:r w:rsidRPr="00F255BE">
        <w:rPr>
          <w:rFonts w:asciiTheme="minorHAnsi" w:hAnsiTheme="minorHAnsi"/>
          <w:szCs w:val="24"/>
          <w:lang w:val="en-CA"/>
        </w:rPr>
        <w:tab/>
        <w:t xml:space="preserve">The Council </w:t>
      </w:r>
      <w:r w:rsidRPr="00F255BE">
        <w:rPr>
          <w:rFonts w:asciiTheme="minorHAnsi" w:hAnsiTheme="minorHAnsi"/>
          <w:b/>
          <w:bCs/>
          <w:szCs w:val="24"/>
          <w:lang w:val="en-CA"/>
        </w:rPr>
        <w:t>noted</w:t>
      </w:r>
      <w:r w:rsidRPr="00F255BE">
        <w:rPr>
          <w:rFonts w:asciiTheme="minorHAnsi" w:hAnsiTheme="minorHAnsi"/>
          <w:szCs w:val="24"/>
          <w:lang w:val="en-CA"/>
        </w:rPr>
        <w:t xml:space="preserve"> Document C19/103 and </w:t>
      </w:r>
      <w:r w:rsidRPr="00F255BE">
        <w:rPr>
          <w:rFonts w:asciiTheme="minorHAnsi" w:hAnsiTheme="minorHAnsi"/>
          <w:b/>
          <w:bCs/>
          <w:szCs w:val="24"/>
          <w:lang w:val="en-CA"/>
        </w:rPr>
        <w:t>requested</w:t>
      </w:r>
      <w:r w:rsidRPr="00F255BE">
        <w:rPr>
          <w:rFonts w:asciiTheme="minorHAnsi" w:hAnsiTheme="minorHAnsi"/>
          <w:szCs w:val="24"/>
          <w:lang w:val="en-CA"/>
        </w:rPr>
        <w:t xml:space="preserve"> BDT to take account of the proposal in its work related to the COP Initiative and to update the Guidelines accordingly.</w:t>
      </w:r>
    </w:p>
    <w:p w:rsidR="005738E7" w:rsidRPr="00F255BE" w:rsidRDefault="005738E7" w:rsidP="00231743">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proofErr w:type="gramStart"/>
      <w:r w:rsidRPr="00F255BE">
        <w:rPr>
          <w:rFonts w:asciiTheme="minorHAnsi" w:hAnsiTheme="minorHAnsi"/>
          <w:szCs w:val="24"/>
          <w:lang w:val="en-CA"/>
        </w:rPr>
        <w:t>2.10</w:t>
      </w:r>
      <w:r w:rsidRPr="00F255BE">
        <w:rPr>
          <w:rFonts w:asciiTheme="minorHAnsi" w:hAnsiTheme="minorHAnsi"/>
          <w:szCs w:val="24"/>
          <w:lang w:val="en-CA"/>
        </w:rPr>
        <w:tab/>
        <w:t xml:space="preserve">A representative of the secretariat introduced Document C19/58, which contained a report by the former Chairman of the High-Level Experts Group on Cybersecurity (HLEG), at the request of </w:t>
      </w:r>
      <w:r w:rsidRPr="00F255BE">
        <w:rPr>
          <w:rFonts w:asciiTheme="minorHAnsi" w:hAnsiTheme="minorHAnsi"/>
          <w:szCs w:val="24"/>
          <w:lang w:val="en-CA"/>
        </w:rPr>
        <w:lastRenderedPageBreak/>
        <w:t>the Secretary-General, following the deliberations at PP-18 on the inclusion in Resolution 130 of a provision (</w:t>
      </w:r>
      <w:r>
        <w:rPr>
          <w:rFonts w:asciiTheme="minorHAnsi" w:hAnsiTheme="minorHAnsi"/>
          <w:szCs w:val="24"/>
          <w:lang w:val="en-CA"/>
        </w:rPr>
        <w:t xml:space="preserve">ultimately adopted as </w:t>
      </w:r>
      <w:r w:rsidRPr="00F255BE">
        <w:rPr>
          <w:rFonts w:asciiTheme="minorHAnsi" w:hAnsiTheme="minorHAnsi"/>
          <w:i/>
          <w:iCs/>
          <w:szCs w:val="24"/>
          <w:lang w:val="en-CA"/>
        </w:rPr>
        <w:t>resolves</w:t>
      </w:r>
      <w:r>
        <w:rPr>
          <w:rFonts w:asciiTheme="minorHAnsi" w:hAnsiTheme="minorHAnsi"/>
          <w:szCs w:val="24"/>
          <w:lang w:val="en-CA"/>
        </w:rPr>
        <w:t xml:space="preserve"> 12</w:t>
      </w:r>
      <w:r w:rsidRPr="00F255BE">
        <w:rPr>
          <w:rFonts w:asciiTheme="minorHAnsi" w:hAnsiTheme="minorHAnsi"/>
          <w:szCs w:val="24"/>
          <w:lang w:val="en-CA"/>
        </w:rPr>
        <w:t xml:space="preserve">) allowing ITU to </w:t>
      </w:r>
      <w:r w:rsidR="00231743">
        <w:rPr>
          <w:rFonts w:asciiTheme="minorHAnsi" w:hAnsiTheme="minorHAnsi"/>
          <w:szCs w:val="24"/>
          <w:lang w:val="en-CA"/>
        </w:rPr>
        <w:t>continue to utilize</w:t>
      </w:r>
      <w:r w:rsidRPr="00F255BE">
        <w:rPr>
          <w:rFonts w:asciiTheme="minorHAnsi" w:hAnsiTheme="minorHAnsi"/>
          <w:szCs w:val="24"/>
          <w:lang w:val="en-CA"/>
        </w:rPr>
        <w:t xml:space="preserve"> the Global Cybersecurity Agenda (GCA) in its work to build confidence and security in the use of ICTs.</w:t>
      </w:r>
      <w:proofErr w:type="gramEnd"/>
      <w:r w:rsidRPr="00F255BE">
        <w:rPr>
          <w:rFonts w:asciiTheme="minorHAnsi" w:hAnsiTheme="minorHAnsi"/>
          <w:szCs w:val="24"/>
          <w:lang w:val="en-CA"/>
        </w:rPr>
        <w:t xml:space="preserve"> </w:t>
      </w:r>
    </w:p>
    <w:p w:rsidR="005738E7" w:rsidRPr="00F255BE" w:rsidRDefault="005738E7" w:rsidP="00BA3C71">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F255BE">
        <w:rPr>
          <w:rFonts w:asciiTheme="minorHAnsi" w:hAnsiTheme="minorHAnsi"/>
          <w:szCs w:val="24"/>
          <w:lang w:val="en-CA"/>
        </w:rPr>
        <w:t>2.11</w:t>
      </w:r>
      <w:r w:rsidRPr="00F255BE">
        <w:rPr>
          <w:rFonts w:asciiTheme="minorHAnsi" w:hAnsiTheme="minorHAnsi"/>
          <w:szCs w:val="24"/>
          <w:lang w:val="en-CA"/>
        </w:rPr>
        <w:tab/>
        <w:t xml:space="preserve">Two councillors expressed support for the former HLEG Chairman's recommendation in Document C19/58 that appropriate guidelines </w:t>
      </w:r>
      <w:proofErr w:type="gramStart"/>
      <w:r w:rsidRPr="00F255BE">
        <w:rPr>
          <w:rFonts w:asciiTheme="minorHAnsi" w:hAnsiTheme="minorHAnsi"/>
          <w:szCs w:val="24"/>
          <w:lang w:val="en-CA"/>
        </w:rPr>
        <w:t xml:space="preserve">be further </w:t>
      </w:r>
      <w:r>
        <w:rPr>
          <w:rFonts w:asciiTheme="minorHAnsi" w:hAnsiTheme="minorHAnsi"/>
          <w:szCs w:val="24"/>
          <w:lang w:val="en-CA"/>
        </w:rPr>
        <w:t>elaborated</w:t>
      </w:r>
      <w:proofErr w:type="gramEnd"/>
      <w:r>
        <w:rPr>
          <w:rFonts w:asciiTheme="minorHAnsi" w:hAnsiTheme="minorHAnsi"/>
          <w:szCs w:val="24"/>
          <w:lang w:val="en-CA"/>
        </w:rPr>
        <w:t xml:space="preserve"> </w:t>
      </w:r>
      <w:r w:rsidRPr="00F255BE">
        <w:rPr>
          <w:rFonts w:asciiTheme="minorHAnsi" w:hAnsiTheme="minorHAnsi"/>
          <w:szCs w:val="24"/>
          <w:lang w:val="en-CA"/>
        </w:rPr>
        <w:t xml:space="preserve">for the utilization of the GCA. </w:t>
      </w:r>
    </w:p>
    <w:p w:rsidR="005738E7" w:rsidRPr="00F255BE" w:rsidRDefault="005738E7" w:rsidP="002C4F61">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F255BE">
        <w:rPr>
          <w:rFonts w:asciiTheme="minorHAnsi" w:hAnsiTheme="minorHAnsi"/>
          <w:szCs w:val="24"/>
          <w:lang w:val="en-CA"/>
        </w:rPr>
        <w:t>2.12</w:t>
      </w:r>
      <w:r w:rsidRPr="00F255BE">
        <w:rPr>
          <w:rFonts w:asciiTheme="minorHAnsi" w:hAnsiTheme="minorHAnsi"/>
          <w:szCs w:val="24"/>
          <w:lang w:val="en-CA"/>
        </w:rPr>
        <w:tab/>
        <w:t xml:space="preserve">One councillor said that it would be useful to know how the GCA framework </w:t>
      </w:r>
      <w:proofErr w:type="gramStart"/>
      <w:r w:rsidRPr="00F255BE">
        <w:rPr>
          <w:rFonts w:asciiTheme="minorHAnsi" w:hAnsiTheme="minorHAnsi"/>
          <w:szCs w:val="24"/>
          <w:lang w:val="en-CA"/>
        </w:rPr>
        <w:t>was currently utilized</w:t>
      </w:r>
      <w:proofErr w:type="gramEnd"/>
      <w:r w:rsidRPr="00F255BE">
        <w:rPr>
          <w:rFonts w:asciiTheme="minorHAnsi" w:hAnsiTheme="minorHAnsi"/>
          <w:szCs w:val="24"/>
          <w:lang w:val="en-CA"/>
        </w:rPr>
        <w:t xml:space="preserve"> at ITU, in order to identify any gaps. That information </w:t>
      </w:r>
      <w:proofErr w:type="gramStart"/>
      <w:r w:rsidRPr="00F255BE">
        <w:rPr>
          <w:rFonts w:asciiTheme="minorHAnsi" w:hAnsiTheme="minorHAnsi"/>
          <w:szCs w:val="24"/>
          <w:lang w:val="en-CA"/>
        </w:rPr>
        <w:t>could be reported</w:t>
      </w:r>
      <w:proofErr w:type="gramEnd"/>
      <w:r w:rsidRPr="00F255BE">
        <w:rPr>
          <w:rFonts w:asciiTheme="minorHAnsi" w:hAnsiTheme="minorHAnsi"/>
          <w:szCs w:val="24"/>
          <w:lang w:val="en-CA"/>
        </w:rPr>
        <w:t xml:space="preserve"> to Council-20. She also asked whether the </w:t>
      </w:r>
      <w:r w:rsidR="002C4F61">
        <w:rPr>
          <w:rFonts w:asciiTheme="minorHAnsi" w:hAnsiTheme="minorHAnsi"/>
          <w:szCs w:val="24"/>
          <w:lang w:val="en-CA"/>
        </w:rPr>
        <w:t xml:space="preserve">guidelines for utilizing the </w:t>
      </w:r>
      <w:r w:rsidRPr="00F255BE">
        <w:rPr>
          <w:rFonts w:asciiTheme="minorHAnsi" w:hAnsiTheme="minorHAnsi"/>
          <w:szCs w:val="24"/>
          <w:lang w:val="en-CA"/>
        </w:rPr>
        <w:t xml:space="preserve">GCA would be </w:t>
      </w:r>
      <w:proofErr w:type="gramStart"/>
      <w:r w:rsidR="002C4F61">
        <w:rPr>
          <w:rFonts w:asciiTheme="minorHAnsi" w:hAnsiTheme="minorHAnsi"/>
          <w:szCs w:val="24"/>
          <w:lang w:val="en-CA"/>
        </w:rPr>
        <w:t xml:space="preserve">elaborated </w:t>
      </w:r>
      <w:r w:rsidRPr="00F255BE">
        <w:rPr>
          <w:rFonts w:asciiTheme="minorHAnsi" w:hAnsiTheme="minorHAnsi"/>
          <w:szCs w:val="24"/>
          <w:lang w:val="en-CA"/>
        </w:rPr>
        <w:t xml:space="preserve"> in</w:t>
      </w:r>
      <w:proofErr w:type="gramEnd"/>
      <w:r w:rsidRPr="00F255BE">
        <w:rPr>
          <w:rFonts w:asciiTheme="minorHAnsi" w:hAnsiTheme="minorHAnsi"/>
          <w:szCs w:val="24"/>
          <w:lang w:val="en-CA"/>
        </w:rPr>
        <w:t xml:space="preserve"> consultation with the membership or by the secretariat, which would then submit the updated version to the Council. Another councillor agreed that the report </w:t>
      </w:r>
      <w:proofErr w:type="gramStart"/>
      <w:r w:rsidRPr="00F255BE">
        <w:rPr>
          <w:rFonts w:asciiTheme="minorHAnsi" w:hAnsiTheme="minorHAnsi"/>
          <w:szCs w:val="24"/>
          <w:lang w:val="en-CA"/>
        </w:rPr>
        <w:t>should be produced</w:t>
      </w:r>
      <w:proofErr w:type="gramEnd"/>
      <w:r w:rsidRPr="00F255BE">
        <w:rPr>
          <w:rFonts w:asciiTheme="minorHAnsi" w:hAnsiTheme="minorHAnsi"/>
          <w:szCs w:val="24"/>
          <w:lang w:val="en-CA"/>
        </w:rPr>
        <w:t xml:space="preserve"> before the guidelines, as it would provide information on how the GCA framework was used. Other councillors considered that the two processes </w:t>
      </w:r>
      <w:proofErr w:type="gramStart"/>
      <w:r w:rsidRPr="00F255BE">
        <w:rPr>
          <w:rFonts w:asciiTheme="minorHAnsi" w:hAnsiTheme="minorHAnsi"/>
          <w:szCs w:val="24"/>
          <w:lang w:val="en-CA"/>
        </w:rPr>
        <w:t>should be carried out</w:t>
      </w:r>
      <w:proofErr w:type="gramEnd"/>
      <w:r w:rsidRPr="00F255BE">
        <w:rPr>
          <w:rFonts w:asciiTheme="minorHAnsi" w:hAnsiTheme="minorHAnsi"/>
          <w:szCs w:val="24"/>
          <w:lang w:val="en-CA"/>
        </w:rPr>
        <w:t xml:space="preserve"> in parallel.</w:t>
      </w:r>
    </w:p>
    <w:p w:rsidR="005738E7" w:rsidRPr="00F255BE" w:rsidRDefault="005738E7" w:rsidP="009272FA">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F255BE">
        <w:rPr>
          <w:rFonts w:asciiTheme="minorHAnsi" w:hAnsiTheme="minorHAnsi"/>
          <w:szCs w:val="24"/>
          <w:lang w:val="en-CA"/>
        </w:rPr>
        <w:t>2.13</w:t>
      </w:r>
      <w:r w:rsidRPr="00F255BE">
        <w:rPr>
          <w:rFonts w:asciiTheme="minorHAnsi" w:hAnsiTheme="minorHAnsi"/>
          <w:szCs w:val="24"/>
          <w:lang w:val="en-CA"/>
        </w:rPr>
        <w:tab/>
        <w:t xml:space="preserve">The Secretary-General, recalling that the former HLEG Chairman remained at ITU's disposal, suggested that councillors engage in informal consultations on the way forward and report back to the Plenary before the end of the current session. </w:t>
      </w:r>
    </w:p>
    <w:p w:rsidR="005738E7" w:rsidRPr="00F255BE" w:rsidRDefault="005738E7" w:rsidP="00BA3C71">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F255BE">
        <w:rPr>
          <w:rFonts w:asciiTheme="minorHAnsi" w:hAnsiTheme="minorHAnsi"/>
          <w:szCs w:val="24"/>
          <w:lang w:val="en-CA"/>
        </w:rPr>
        <w:t>2.14</w:t>
      </w:r>
      <w:r w:rsidRPr="00F255BE">
        <w:rPr>
          <w:rFonts w:asciiTheme="minorHAnsi" w:hAnsiTheme="minorHAnsi"/>
          <w:szCs w:val="24"/>
          <w:lang w:val="en-CA"/>
        </w:rPr>
        <w:tab/>
        <w:t>One councillor endorsed the proposal to hold informal consultations, which should take account of the deliberations at PP-18 on Resolution 130 and on the continued use of the GCA.</w:t>
      </w:r>
      <w:r w:rsidRPr="00F255BE">
        <w:rPr>
          <w:rFonts w:asciiTheme="minorHAnsi" w:hAnsiTheme="minorHAnsi"/>
          <w:szCs w:val="24"/>
          <w:lang w:val="en-CA"/>
        </w:rPr>
        <w:tab/>
        <w:t xml:space="preserve">In that respect, the councillor from Ghana, who had chaired the </w:t>
      </w:r>
      <w:r>
        <w:rPr>
          <w:rFonts w:asciiTheme="minorHAnsi" w:hAnsiTheme="minorHAnsi"/>
          <w:szCs w:val="24"/>
          <w:lang w:val="en-CA"/>
        </w:rPr>
        <w:t>g</w:t>
      </w:r>
      <w:r w:rsidRPr="00F255BE">
        <w:rPr>
          <w:rFonts w:asciiTheme="minorHAnsi" w:hAnsiTheme="minorHAnsi"/>
          <w:szCs w:val="24"/>
          <w:lang w:val="en-CA"/>
        </w:rPr>
        <w:t xml:space="preserve">roup </w:t>
      </w:r>
      <w:r>
        <w:rPr>
          <w:rFonts w:asciiTheme="minorHAnsi" w:hAnsiTheme="minorHAnsi"/>
          <w:szCs w:val="24"/>
          <w:lang w:val="en-CA"/>
        </w:rPr>
        <w:t xml:space="preserve">working </w:t>
      </w:r>
      <w:r w:rsidRPr="00F255BE">
        <w:rPr>
          <w:rFonts w:asciiTheme="minorHAnsi" w:hAnsiTheme="minorHAnsi"/>
          <w:szCs w:val="24"/>
          <w:lang w:val="en-CA"/>
        </w:rPr>
        <w:t xml:space="preserve">on Resolution 130 at PP-18, referred the Council to the minutes of the seventeenth plenary meeting of PP-18 (PP-18 Document 174). The possibility of updating the GCA had been deliberated at length, and the reference thereto ultimately left out of the resolution on the understanding that the Secretary-General would ask the former HLEG Chairman to draw up the report </w:t>
      </w:r>
      <w:r>
        <w:rPr>
          <w:rFonts w:asciiTheme="minorHAnsi" w:hAnsiTheme="minorHAnsi"/>
          <w:szCs w:val="24"/>
          <w:lang w:val="en-CA"/>
        </w:rPr>
        <w:t xml:space="preserve">now </w:t>
      </w:r>
      <w:r w:rsidRPr="00F255BE">
        <w:rPr>
          <w:rFonts w:asciiTheme="minorHAnsi" w:hAnsiTheme="minorHAnsi"/>
          <w:szCs w:val="24"/>
          <w:lang w:val="en-CA"/>
        </w:rPr>
        <w:t>before the Council.</w:t>
      </w:r>
    </w:p>
    <w:p w:rsidR="005738E7" w:rsidRPr="00F255BE" w:rsidRDefault="005738E7" w:rsidP="00BA3C71">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F255BE">
        <w:rPr>
          <w:rFonts w:asciiTheme="minorHAnsi" w:hAnsiTheme="minorHAnsi"/>
          <w:szCs w:val="24"/>
          <w:lang w:val="en-CA"/>
        </w:rPr>
        <w:t>2.1</w:t>
      </w:r>
      <w:r>
        <w:rPr>
          <w:rFonts w:asciiTheme="minorHAnsi" w:hAnsiTheme="minorHAnsi"/>
          <w:szCs w:val="24"/>
          <w:lang w:val="en-CA"/>
        </w:rPr>
        <w:t>5</w:t>
      </w:r>
      <w:r w:rsidRPr="00F255BE">
        <w:rPr>
          <w:rFonts w:asciiTheme="minorHAnsi" w:hAnsiTheme="minorHAnsi"/>
          <w:szCs w:val="24"/>
          <w:lang w:val="en-CA"/>
        </w:rPr>
        <w:tab/>
        <w:t xml:space="preserve">The Acting Chairman invited Council members to hold informal consultations, to be coordinated by the Vice-Chairman of the Council, on how to proceed and to </w:t>
      </w:r>
      <w:proofErr w:type="gramStart"/>
      <w:r w:rsidRPr="00F255BE">
        <w:rPr>
          <w:rFonts w:asciiTheme="minorHAnsi" w:hAnsiTheme="minorHAnsi"/>
          <w:szCs w:val="24"/>
          <w:lang w:val="en-CA"/>
        </w:rPr>
        <w:t>report back</w:t>
      </w:r>
      <w:proofErr w:type="gramEnd"/>
      <w:r w:rsidRPr="00F255BE">
        <w:rPr>
          <w:rFonts w:asciiTheme="minorHAnsi" w:hAnsiTheme="minorHAnsi"/>
          <w:szCs w:val="24"/>
          <w:lang w:val="en-CA"/>
        </w:rPr>
        <w:t xml:space="preserve"> to the Plenary.</w:t>
      </w:r>
    </w:p>
    <w:p w:rsidR="005738E7" w:rsidRPr="00F255BE" w:rsidRDefault="005738E7" w:rsidP="00BA3C71">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F255BE">
        <w:rPr>
          <w:rFonts w:asciiTheme="minorHAnsi" w:hAnsiTheme="minorHAnsi"/>
          <w:szCs w:val="24"/>
          <w:lang w:val="en-CA"/>
        </w:rPr>
        <w:t>2.1</w:t>
      </w:r>
      <w:r>
        <w:rPr>
          <w:rFonts w:asciiTheme="minorHAnsi" w:hAnsiTheme="minorHAnsi"/>
          <w:szCs w:val="24"/>
          <w:lang w:val="en-CA"/>
        </w:rPr>
        <w:t>6</w:t>
      </w:r>
      <w:r w:rsidRPr="00F255BE">
        <w:rPr>
          <w:rFonts w:asciiTheme="minorHAnsi" w:hAnsiTheme="minorHAnsi"/>
          <w:szCs w:val="24"/>
          <w:lang w:val="en-CA"/>
        </w:rPr>
        <w:tab/>
        <w:t xml:space="preserve">It was so </w:t>
      </w:r>
      <w:r w:rsidRPr="00F255BE">
        <w:rPr>
          <w:rFonts w:asciiTheme="minorHAnsi" w:hAnsiTheme="minorHAnsi"/>
          <w:b/>
          <w:bCs/>
          <w:szCs w:val="24"/>
          <w:lang w:val="en-CA"/>
        </w:rPr>
        <w:t>agreed</w:t>
      </w:r>
      <w:r w:rsidRPr="00F255BE">
        <w:rPr>
          <w:rFonts w:asciiTheme="minorHAnsi" w:hAnsiTheme="minorHAnsi"/>
          <w:szCs w:val="24"/>
          <w:lang w:val="en-CA"/>
        </w:rPr>
        <w:t>.</w:t>
      </w:r>
    </w:p>
    <w:p w:rsidR="005738E7" w:rsidRPr="00BA3C71" w:rsidRDefault="005738E7" w:rsidP="00BA3C71">
      <w:pPr>
        <w:tabs>
          <w:tab w:val="clear" w:pos="567"/>
          <w:tab w:val="clear" w:pos="1134"/>
          <w:tab w:val="clear" w:pos="1701"/>
          <w:tab w:val="clear" w:pos="2268"/>
          <w:tab w:val="clear" w:pos="2835"/>
        </w:tabs>
        <w:snapToGrid w:val="0"/>
        <w:spacing w:before="360" w:after="120"/>
        <w:ind w:left="709" w:hanging="709"/>
        <w:jc w:val="both"/>
        <w:rPr>
          <w:rFonts w:asciiTheme="minorHAnsi" w:hAnsiTheme="minorHAnsi"/>
          <w:b/>
          <w:bCs/>
          <w:sz w:val="26"/>
          <w:szCs w:val="26"/>
          <w:lang w:val="en-CA"/>
        </w:rPr>
      </w:pPr>
      <w:r w:rsidRPr="00BA3C71">
        <w:rPr>
          <w:rFonts w:asciiTheme="minorHAnsi" w:hAnsiTheme="minorHAnsi"/>
          <w:b/>
          <w:bCs/>
          <w:sz w:val="26"/>
          <w:szCs w:val="26"/>
          <w:lang w:val="en-CA"/>
        </w:rPr>
        <w:t>3</w:t>
      </w:r>
      <w:r w:rsidRPr="00BA3C71">
        <w:rPr>
          <w:rFonts w:asciiTheme="minorHAnsi" w:hAnsiTheme="minorHAnsi"/>
          <w:b/>
          <w:bCs/>
          <w:sz w:val="26"/>
          <w:szCs w:val="26"/>
          <w:lang w:val="en-CA"/>
        </w:rPr>
        <w:tab/>
        <w:t xml:space="preserve">Report on the outcomes of the CWG-WSIS&amp;SDG activities since Council 2018 (continued) (Document </w:t>
      </w:r>
      <w:hyperlink r:id="rId19" w:history="1">
        <w:r w:rsidRPr="00BA3C71">
          <w:rPr>
            <w:rStyle w:val="Hyperlink"/>
            <w:rFonts w:asciiTheme="minorHAnsi" w:hAnsiTheme="minorHAnsi"/>
            <w:b/>
            <w:bCs/>
            <w:sz w:val="26"/>
            <w:szCs w:val="26"/>
            <w:lang w:val="en-CA"/>
          </w:rPr>
          <w:t>C19/DT/5</w:t>
        </w:r>
      </w:hyperlink>
      <w:r w:rsidRPr="00BA3C71">
        <w:rPr>
          <w:rFonts w:asciiTheme="minorHAnsi" w:hAnsiTheme="minorHAnsi"/>
          <w:b/>
          <w:bCs/>
          <w:sz w:val="26"/>
          <w:szCs w:val="26"/>
          <w:lang w:val="en-CA"/>
        </w:rPr>
        <w:t>)</w:t>
      </w:r>
    </w:p>
    <w:p w:rsidR="005738E7" w:rsidRPr="00F255BE" w:rsidRDefault="005738E7" w:rsidP="00BA3C71">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F255BE">
        <w:rPr>
          <w:rFonts w:asciiTheme="minorHAnsi" w:hAnsiTheme="minorHAnsi"/>
          <w:szCs w:val="24"/>
          <w:lang w:val="en-CA"/>
        </w:rPr>
        <w:t>3.1</w:t>
      </w:r>
      <w:r w:rsidRPr="00F255BE">
        <w:rPr>
          <w:rFonts w:asciiTheme="minorHAnsi" w:hAnsiTheme="minorHAnsi"/>
          <w:szCs w:val="24"/>
          <w:lang w:val="en-CA"/>
        </w:rPr>
        <w:tab/>
        <w:t xml:space="preserve">The Council </w:t>
      </w:r>
      <w:r w:rsidRPr="00F255BE">
        <w:rPr>
          <w:rFonts w:asciiTheme="minorHAnsi" w:hAnsiTheme="minorHAnsi"/>
          <w:b/>
          <w:bCs/>
          <w:szCs w:val="24"/>
          <w:lang w:val="en-CA"/>
        </w:rPr>
        <w:t>approved</w:t>
      </w:r>
      <w:r w:rsidRPr="00F255BE">
        <w:rPr>
          <w:rFonts w:asciiTheme="minorHAnsi" w:hAnsiTheme="minorHAnsi"/>
          <w:szCs w:val="24"/>
          <w:lang w:val="en-CA"/>
        </w:rPr>
        <w:t xml:space="preserve"> the revision to Resolution 1332 in Document C19/DT/5. </w:t>
      </w:r>
    </w:p>
    <w:p w:rsidR="005738E7" w:rsidRPr="00BA3C71" w:rsidRDefault="005738E7" w:rsidP="00BA3C71">
      <w:pPr>
        <w:tabs>
          <w:tab w:val="clear" w:pos="567"/>
          <w:tab w:val="clear" w:pos="1134"/>
          <w:tab w:val="clear" w:pos="1701"/>
          <w:tab w:val="clear" w:pos="2268"/>
          <w:tab w:val="clear" w:pos="2835"/>
        </w:tabs>
        <w:snapToGrid w:val="0"/>
        <w:spacing w:before="360" w:after="120"/>
        <w:ind w:left="709" w:hanging="709"/>
        <w:jc w:val="both"/>
        <w:rPr>
          <w:rFonts w:asciiTheme="minorHAnsi" w:hAnsiTheme="minorHAnsi"/>
          <w:b/>
          <w:bCs/>
          <w:sz w:val="26"/>
          <w:szCs w:val="26"/>
          <w:lang w:val="en-CA"/>
        </w:rPr>
      </w:pPr>
      <w:r w:rsidRPr="00BA3C71">
        <w:rPr>
          <w:rFonts w:asciiTheme="minorHAnsi" w:hAnsiTheme="minorHAnsi"/>
          <w:b/>
          <w:bCs/>
          <w:sz w:val="26"/>
          <w:szCs w:val="26"/>
          <w:lang w:val="en-CA"/>
        </w:rPr>
        <w:t>4</w:t>
      </w:r>
      <w:r w:rsidRPr="00BA3C71">
        <w:rPr>
          <w:rFonts w:asciiTheme="minorHAnsi" w:hAnsiTheme="minorHAnsi"/>
          <w:b/>
          <w:bCs/>
          <w:sz w:val="26"/>
          <w:szCs w:val="26"/>
          <w:lang w:val="en-CA"/>
        </w:rPr>
        <w:tab/>
        <w:t xml:space="preserve">Report on WSIS implementation and the 2030 Agenda for Sustainable Development (Documents </w:t>
      </w:r>
      <w:hyperlink r:id="rId20" w:history="1">
        <w:r w:rsidRPr="00BA3C71">
          <w:rPr>
            <w:rStyle w:val="Hyperlink"/>
            <w:rFonts w:asciiTheme="minorHAnsi" w:hAnsiTheme="minorHAnsi"/>
            <w:b/>
            <w:bCs/>
            <w:sz w:val="26"/>
            <w:szCs w:val="26"/>
            <w:lang w:val="en-CA"/>
          </w:rPr>
          <w:t>C19/53</w:t>
        </w:r>
      </w:hyperlink>
      <w:r w:rsidRPr="00BA3C71">
        <w:rPr>
          <w:rFonts w:asciiTheme="minorHAnsi" w:hAnsiTheme="minorHAnsi"/>
          <w:b/>
          <w:bCs/>
          <w:sz w:val="26"/>
          <w:szCs w:val="26"/>
          <w:lang w:val="en-CA"/>
        </w:rPr>
        <w:t xml:space="preserve"> and </w:t>
      </w:r>
      <w:hyperlink r:id="rId21" w:history="1">
        <w:r w:rsidRPr="00BA3C71">
          <w:rPr>
            <w:rStyle w:val="Hyperlink"/>
            <w:rFonts w:asciiTheme="minorHAnsi" w:hAnsiTheme="minorHAnsi"/>
            <w:b/>
            <w:bCs/>
            <w:sz w:val="26"/>
            <w:szCs w:val="26"/>
            <w:lang w:val="en-CA"/>
          </w:rPr>
          <w:t>C19/98</w:t>
        </w:r>
      </w:hyperlink>
      <w:r w:rsidRPr="00BA3C71">
        <w:rPr>
          <w:rFonts w:asciiTheme="minorHAnsi" w:hAnsiTheme="minorHAnsi"/>
          <w:b/>
          <w:bCs/>
          <w:sz w:val="26"/>
          <w:szCs w:val="26"/>
          <w:lang w:val="en-CA"/>
        </w:rPr>
        <w:t>)</w:t>
      </w:r>
    </w:p>
    <w:p w:rsidR="005738E7" w:rsidRPr="00F255BE" w:rsidRDefault="005738E7" w:rsidP="00BA3C71">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F255BE">
        <w:rPr>
          <w:rFonts w:asciiTheme="minorHAnsi" w:hAnsiTheme="minorHAnsi"/>
          <w:szCs w:val="24"/>
          <w:lang w:val="en-CA"/>
        </w:rPr>
        <w:t>4.1</w:t>
      </w:r>
      <w:r w:rsidRPr="00F255BE">
        <w:rPr>
          <w:rFonts w:asciiTheme="minorHAnsi" w:hAnsiTheme="minorHAnsi"/>
          <w:szCs w:val="24"/>
          <w:lang w:val="en-CA"/>
        </w:rPr>
        <w:tab/>
        <w:t xml:space="preserve">A representative of the secretariat introduced Document C19/53, which provided detailed information on ITU activities in the context of WSIS implementation and the 2030 Agenda for Sustainable Development. </w:t>
      </w:r>
    </w:p>
    <w:p w:rsidR="005738E7" w:rsidRPr="00F255BE" w:rsidRDefault="005738E7" w:rsidP="00BA3C71">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F255BE">
        <w:rPr>
          <w:rFonts w:asciiTheme="minorHAnsi" w:hAnsiTheme="minorHAnsi"/>
          <w:szCs w:val="24"/>
          <w:lang w:val="en-CA"/>
        </w:rPr>
        <w:t>4.2</w:t>
      </w:r>
      <w:r w:rsidRPr="00F255BE">
        <w:rPr>
          <w:rFonts w:asciiTheme="minorHAnsi" w:hAnsiTheme="minorHAnsi"/>
          <w:szCs w:val="24"/>
          <w:lang w:val="en-CA"/>
        </w:rPr>
        <w:tab/>
        <w:t>One councillor said that ITU should continue to play a pivotal role in that context.</w:t>
      </w:r>
    </w:p>
    <w:p w:rsidR="005738E7" w:rsidRPr="00F255BE" w:rsidRDefault="005738E7" w:rsidP="00BA3C71">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F255BE">
        <w:rPr>
          <w:rFonts w:asciiTheme="minorHAnsi" w:hAnsiTheme="minorHAnsi"/>
          <w:szCs w:val="24"/>
          <w:lang w:val="en-CA"/>
        </w:rPr>
        <w:t>4.3</w:t>
      </w:r>
      <w:r w:rsidRPr="00F255BE">
        <w:rPr>
          <w:rFonts w:asciiTheme="minorHAnsi" w:hAnsiTheme="minorHAnsi"/>
          <w:szCs w:val="24"/>
          <w:lang w:val="en-CA"/>
        </w:rPr>
        <w:tab/>
        <w:t xml:space="preserve">The Council </w:t>
      </w:r>
      <w:r w:rsidRPr="00F255BE">
        <w:rPr>
          <w:rFonts w:asciiTheme="minorHAnsi" w:hAnsiTheme="minorHAnsi"/>
          <w:b/>
          <w:bCs/>
          <w:szCs w:val="24"/>
          <w:lang w:val="en-CA"/>
        </w:rPr>
        <w:t xml:space="preserve">noted </w:t>
      </w:r>
      <w:r w:rsidRPr="00F255BE">
        <w:rPr>
          <w:rFonts w:asciiTheme="minorHAnsi" w:hAnsiTheme="minorHAnsi"/>
          <w:szCs w:val="24"/>
          <w:lang w:val="en-CA"/>
        </w:rPr>
        <w:t>Document C19/53.</w:t>
      </w:r>
    </w:p>
    <w:p w:rsidR="005738E7" w:rsidRPr="00F255BE" w:rsidRDefault="005738E7" w:rsidP="00BA3C71">
      <w:pPr>
        <w:tabs>
          <w:tab w:val="clear" w:pos="567"/>
          <w:tab w:val="clear" w:pos="1134"/>
          <w:tab w:val="clear" w:pos="1701"/>
          <w:tab w:val="clear" w:pos="2268"/>
          <w:tab w:val="clear" w:pos="2835"/>
        </w:tabs>
        <w:snapToGrid w:val="0"/>
        <w:spacing w:after="120"/>
        <w:jc w:val="both"/>
        <w:rPr>
          <w:szCs w:val="24"/>
        </w:rPr>
      </w:pPr>
      <w:r w:rsidRPr="00F255BE">
        <w:rPr>
          <w:szCs w:val="24"/>
          <w:lang w:val="en-CA"/>
        </w:rPr>
        <w:t>4.4</w:t>
      </w:r>
      <w:r w:rsidRPr="00F255BE">
        <w:rPr>
          <w:szCs w:val="24"/>
          <w:lang w:val="en-CA"/>
        </w:rPr>
        <w:tab/>
      </w:r>
      <w:r w:rsidRPr="00F255BE">
        <w:rPr>
          <w:szCs w:val="24"/>
        </w:rPr>
        <w:t xml:space="preserve">The councillor from Saudi Arabia introduced Document C19/98, which contained a proposal to instruct the Director of BDT, with the help of an independent external management consultancy, to conduct a feasibility study on establishing a capacity-building institute in ITU, and to submit a detailed plan </w:t>
      </w:r>
      <w:proofErr w:type="gramStart"/>
      <w:r w:rsidRPr="00F255BE">
        <w:rPr>
          <w:szCs w:val="24"/>
        </w:rPr>
        <w:t>on the requirements to the Council for consideration at its next session</w:t>
      </w:r>
      <w:proofErr w:type="gramEnd"/>
      <w:r w:rsidRPr="00F255BE">
        <w:rPr>
          <w:szCs w:val="24"/>
        </w:rPr>
        <w:t>.</w:t>
      </w:r>
    </w:p>
    <w:p w:rsidR="005738E7" w:rsidRPr="00F255BE" w:rsidRDefault="005738E7" w:rsidP="00BA3C71">
      <w:pPr>
        <w:tabs>
          <w:tab w:val="clear" w:pos="567"/>
          <w:tab w:val="clear" w:pos="1134"/>
          <w:tab w:val="clear" w:pos="1701"/>
          <w:tab w:val="clear" w:pos="2268"/>
          <w:tab w:val="clear" w:pos="2835"/>
        </w:tabs>
        <w:snapToGrid w:val="0"/>
        <w:spacing w:after="120"/>
        <w:jc w:val="both"/>
        <w:rPr>
          <w:szCs w:val="24"/>
        </w:rPr>
      </w:pPr>
      <w:r w:rsidRPr="00F255BE">
        <w:rPr>
          <w:szCs w:val="24"/>
        </w:rPr>
        <w:lastRenderedPageBreak/>
        <w:t>4.5</w:t>
      </w:r>
      <w:r w:rsidRPr="00F255BE">
        <w:rPr>
          <w:szCs w:val="24"/>
        </w:rPr>
        <w:tab/>
        <w:t>Councillors emphasized the importance of ITU’s capacity-building activities, in particular for developing countries and LDCs. A number of councillors sought clarification regarding how such an institute would complement the good work alre</w:t>
      </w:r>
      <w:r>
        <w:rPr>
          <w:szCs w:val="24"/>
        </w:rPr>
        <w:t>ady undertaken through the ITU A</w:t>
      </w:r>
      <w:r w:rsidRPr="00F255BE">
        <w:rPr>
          <w:szCs w:val="24"/>
        </w:rPr>
        <w:t xml:space="preserve">cademy and centres of excellence, possible duplication of activity, and financial implications. One councillor suggested that, in view of the potentially significant budgetary impact, the proposal </w:t>
      </w:r>
      <w:proofErr w:type="gramStart"/>
      <w:r w:rsidRPr="00F255BE">
        <w:rPr>
          <w:szCs w:val="24"/>
        </w:rPr>
        <w:t>should be discussed</w:t>
      </w:r>
      <w:proofErr w:type="gramEnd"/>
      <w:r w:rsidRPr="00F255BE">
        <w:rPr>
          <w:szCs w:val="24"/>
        </w:rPr>
        <w:t xml:space="preserve"> by the plenipotentiary conference. Other councillors expressed support for the proposal, noting </w:t>
      </w:r>
      <w:r>
        <w:rPr>
          <w:szCs w:val="24"/>
        </w:rPr>
        <w:t xml:space="preserve">its </w:t>
      </w:r>
      <w:r w:rsidRPr="00F255BE">
        <w:rPr>
          <w:szCs w:val="24"/>
        </w:rPr>
        <w:t xml:space="preserve">potential benefits. It </w:t>
      </w:r>
      <w:proofErr w:type="gramStart"/>
      <w:r w:rsidRPr="00F255BE">
        <w:rPr>
          <w:szCs w:val="24"/>
        </w:rPr>
        <w:t>was suggested</w:t>
      </w:r>
      <w:proofErr w:type="gramEnd"/>
      <w:r w:rsidRPr="00F255BE">
        <w:rPr>
          <w:szCs w:val="24"/>
        </w:rPr>
        <w:t xml:space="preserve"> that the views of all Member States should be sought through the study and that ITU might wish to learn from the experience of other agencies in the United Nations system that had undertaken similar initiatives. One councillor proposed that an analysis of capacity-building activities </w:t>
      </w:r>
      <w:proofErr w:type="gramStart"/>
      <w:r w:rsidRPr="00F255BE">
        <w:rPr>
          <w:szCs w:val="24"/>
        </w:rPr>
        <w:t>should be undertaken</w:t>
      </w:r>
      <w:proofErr w:type="gramEnd"/>
      <w:r w:rsidRPr="00F255BE">
        <w:rPr>
          <w:szCs w:val="24"/>
        </w:rPr>
        <w:t xml:space="preserve"> within the framework of TDAG. Another councillor suggested that, should an external management consultancy be hired for the study, the matter might be included in the elements for review of the ITU regional presence set out in the annex to Resolution 25 (Rev. Dubai, 2018) so that the regions could identify their capacity-building requirements.</w:t>
      </w:r>
    </w:p>
    <w:p w:rsidR="005738E7" w:rsidRPr="00F255BE" w:rsidRDefault="005738E7" w:rsidP="00BA3C71">
      <w:pPr>
        <w:tabs>
          <w:tab w:val="clear" w:pos="567"/>
          <w:tab w:val="clear" w:pos="1134"/>
          <w:tab w:val="clear" w:pos="1701"/>
          <w:tab w:val="clear" w:pos="2268"/>
          <w:tab w:val="clear" w:pos="2835"/>
        </w:tabs>
        <w:snapToGrid w:val="0"/>
        <w:spacing w:after="120"/>
        <w:jc w:val="both"/>
        <w:rPr>
          <w:szCs w:val="24"/>
        </w:rPr>
      </w:pPr>
      <w:r w:rsidRPr="00F255BE">
        <w:rPr>
          <w:szCs w:val="24"/>
        </w:rPr>
        <w:t>4.6</w:t>
      </w:r>
      <w:r w:rsidRPr="00F255BE">
        <w:rPr>
          <w:szCs w:val="24"/>
        </w:rPr>
        <w:tab/>
        <w:t xml:space="preserve">The councillor from Saudi Arabia emphasized that the Council </w:t>
      </w:r>
      <w:proofErr w:type="gramStart"/>
      <w:r w:rsidRPr="00F255BE">
        <w:rPr>
          <w:szCs w:val="24"/>
        </w:rPr>
        <w:t>was not being requested</w:t>
      </w:r>
      <w:proofErr w:type="gramEnd"/>
      <w:r w:rsidRPr="00F255BE">
        <w:rPr>
          <w:szCs w:val="24"/>
        </w:rPr>
        <w:t xml:space="preserve"> to take a decision on the establishment of a capacity-building institute at ITU at the present juncture, rather to instruct the Director of BDT to conduct a feasibility study. </w:t>
      </w:r>
      <w:proofErr w:type="gramStart"/>
      <w:r w:rsidRPr="00F255BE">
        <w:rPr>
          <w:szCs w:val="24"/>
        </w:rPr>
        <w:t>Related financial matters could be considered subsequently by the Council</w:t>
      </w:r>
      <w:proofErr w:type="gramEnd"/>
      <w:r w:rsidRPr="00F255BE">
        <w:rPr>
          <w:szCs w:val="24"/>
        </w:rPr>
        <w:t>.</w:t>
      </w:r>
    </w:p>
    <w:p w:rsidR="005738E7" w:rsidRPr="00F255BE" w:rsidRDefault="005738E7" w:rsidP="00BA3C71">
      <w:pPr>
        <w:tabs>
          <w:tab w:val="clear" w:pos="567"/>
          <w:tab w:val="clear" w:pos="1134"/>
          <w:tab w:val="clear" w:pos="1701"/>
          <w:tab w:val="clear" w:pos="2268"/>
          <w:tab w:val="clear" w:pos="2835"/>
        </w:tabs>
        <w:snapToGrid w:val="0"/>
        <w:spacing w:after="120"/>
        <w:jc w:val="both"/>
        <w:rPr>
          <w:szCs w:val="24"/>
        </w:rPr>
      </w:pPr>
      <w:r w:rsidRPr="00F255BE">
        <w:rPr>
          <w:szCs w:val="24"/>
        </w:rPr>
        <w:t>4.7</w:t>
      </w:r>
      <w:r w:rsidRPr="00F255BE">
        <w:rPr>
          <w:szCs w:val="24"/>
        </w:rPr>
        <w:tab/>
        <w:t>The Director of BDT said that there was clear consensus on the importance of capacity building. BDT was running over one hundred courses through the cen</w:t>
      </w:r>
      <w:r>
        <w:rPr>
          <w:szCs w:val="24"/>
        </w:rPr>
        <w:t>tres of excellence and the ITU A</w:t>
      </w:r>
      <w:r w:rsidRPr="00F255BE">
        <w:rPr>
          <w:szCs w:val="24"/>
        </w:rPr>
        <w:t>cademy, and stood ready to explore all options to better serve the needs of the membership.</w:t>
      </w:r>
    </w:p>
    <w:p w:rsidR="005738E7" w:rsidRPr="00F255BE" w:rsidRDefault="005738E7" w:rsidP="009A3FFE">
      <w:pPr>
        <w:tabs>
          <w:tab w:val="clear" w:pos="567"/>
          <w:tab w:val="clear" w:pos="1134"/>
          <w:tab w:val="clear" w:pos="1701"/>
          <w:tab w:val="clear" w:pos="2268"/>
          <w:tab w:val="clear" w:pos="2835"/>
        </w:tabs>
        <w:snapToGrid w:val="0"/>
        <w:spacing w:after="120"/>
        <w:jc w:val="both"/>
        <w:rPr>
          <w:szCs w:val="24"/>
        </w:rPr>
      </w:pPr>
      <w:r w:rsidRPr="00F255BE">
        <w:rPr>
          <w:szCs w:val="24"/>
        </w:rPr>
        <w:t>4.8</w:t>
      </w:r>
      <w:r w:rsidRPr="00F255BE">
        <w:rPr>
          <w:szCs w:val="24"/>
        </w:rPr>
        <w:tab/>
        <w:t xml:space="preserve">The Acting Chairman proposed that the Council note Document C19/98 and recognize the importance of capacity building. He further proposed that the Director of BDT </w:t>
      </w:r>
      <w:proofErr w:type="gramStart"/>
      <w:r w:rsidRPr="00F255BE">
        <w:rPr>
          <w:szCs w:val="24"/>
        </w:rPr>
        <w:t>should be instructed</w:t>
      </w:r>
      <w:proofErr w:type="gramEnd"/>
      <w:r w:rsidRPr="00F255BE">
        <w:rPr>
          <w:szCs w:val="24"/>
        </w:rPr>
        <w:t xml:space="preserve"> to undertake an in-depth analysis and review of current training and capacity-building activities undertaken by </w:t>
      </w:r>
      <w:r w:rsidR="00FB0397">
        <w:rPr>
          <w:szCs w:val="24"/>
        </w:rPr>
        <w:t xml:space="preserve">the </w:t>
      </w:r>
      <w:r w:rsidR="00FB0397" w:rsidRPr="00FB0397">
        <w:rPr>
          <w:szCs w:val="24"/>
        </w:rPr>
        <w:t>Group on Capacity Building Initiatives</w:t>
      </w:r>
      <w:r w:rsidR="00FB0397">
        <w:rPr>
          <w:szCs w:val="24"/>
        </w:rPr>
        <w:t>,</w:t>
      </w:r>
      <w:r>
        <w:rPr>
          <w:szCs w:val="24"/>
        </w:rPr>
        <w:t xml:space="preserve"> the ITU Ac</w:t>
      </w:r>
      <w:r w:rsidRPr="00F255BE">
        <w:rPr>
          <w:szCs w:val="24"/>
        </w:rPr>
        <w:t>ademy and centres of excellence, and report to Council-20 on the results of the study and on the possible creation of a capacity-building institute in ITU.</w:t>
      </w:r>
    </w:p>
    <w:p w:rsidR="005738E7" w:rsidRPr="00F255BE" w:rsidRDefault="005738E7" w:rsidP="00BA3C71">
      <w:pPr>
        <w:tabs>
          <w:tab w:val="clear" w:pos="567"/>
          <w:tab w:val="clear" w:pos="1134"/>
          <w:tab w:val="clear" w:pos="1701"/>
          <w:tab w:val="clear" w:pos="2268"/>
          <w:tab w:val="clear" w:pos="2835"/>
        </w:tabs>
        <w:snapToGrid w:val="0"/>
        <w:spacing w:after="120"/>
        <w:jc w:val="both"/>
        <w:rPr>
          <w:szCs w:val="24"/>
        </w:rPr>
      </w:pPr>
      <w:r w:rsidRPr="00F255BE">
        <w:rPr>
          <w:szCs w:val="24"/>
        </w:rPr>
        <w:t>4.9</w:t>
      </w:r>
      <w:r w:rsidRPr="00F255BE">
        <w:rPr>
          <w:szCs w:val="24"/>
        </w:rPr>
        <w:tab/>
        <w:t xml:space="preserve">It was so </w:t>
      </w:r>
      <w:r w:rsidRPr="00F255BE">
        <w:rPr>
          <w:b/>
          <w:bCs/>
          <w:szCs w:val="24"/>
        </w:rPr>
        <w:t>agreed</w:t>
      </w:r>
      <w:r w:rsidRPr="00F255BE">
        <w:rPr>
          <w:szCs w:val="24"/>
        </w:rPr>
        <w:t>.</w:t>
      </w:r>
    </w:p>
    <w:p w:rsidR="005738E7" w:rsidRPr="00F255BE" w:rsidRDefault="005738E7" w:rsidP="00BA3C71">
      <w:pPr>
        <w:tabs>
          <w:tab w:val="clear" w:pos="567"/>
          <w:tab w:val="clear" w:pos="1134"/>
          <w:tab w:val="clear" w:pos="1701"/>
          <w:tab w:val="clear" w:pos="2268"/>
          <w:tab w:val="clear" w:pos="2835"/>
        </w:tabs>
        <w:snapToGrid w:val="0"/>
        <w:spacing w:after="120"/>
        <w:jc w:val="both"/>
        <w:rPr>
          <w:szCs w:val="24"/>
        </w:rPr>
      </w:pPr>
      <w:r w:rsidRPr="00F255BE">
        <w:rPr>
          <w:szCs w:val="24"/>
        </w:rPr>
        <w:t>4.10</w:t>
      </w:r>
      <w:r w:rsidRPr="00F255BE">
        <w:rPr>
          <w:szCs w:val="24"/>
        </w:rPr>
        <w:tab/>
        <w:t xml:space="preserve">The councillor from Saudi Arabia said that the Director of BDT </w:t>
      </w:r>
      <w:proofErr w:type="gramStart"/>
      <w:r w:rsidRPr="00F255BE">
        <w:rPr>
          <w:szCs w:val="24"/>
        </w:rPr>
        <w:t>should be permitted</w:t>
      </w:r>
      <w:proofErr w:type="gramEnd"/>
      <w:r w:rsidRPr="00F255BE">
        <w:rPr>
          <w:szCs w:val="24"/>
        </w:rPr>
        <w:t xml:space="preserve"> to use the necessary financial resources should an external management consultancy be required for the study.</w:t>
      </w:r>
    </w:p>
    <w:p w:rsidR="005738E7" w:rsidRPr="00F255BE" w:rsidRDefault="005738E7" w:rsidP="00BA3C71">
      <w:pPr>
        <w:tabs>
          <w:tab w:val="clear" w:pos="567"/>
          <w:tab w:val="clear" w:pos="1134"/>
          <w:tab w:val="clear" w:pos="1701"/>
          <w:tab w:val="clear" w:pos="2268"/>
          <w:tab w:val="clear" w:pos="2835"/>
        </w:tabs>
        <w:snapToGrid w:val="0"/>
        <w:spacing w:after="120"/>
        <w:jc w:val="both"/>
        <w:rPr>
          <w:szCs w:val="24"/>
        </w:rPr>
      </w:pPr>
      <w:r w:rsidRPr="00F255BE">
        <w:rPr>
          <w:szCs w:val="24"/>
        </w:rPr>
        <w:t>4.11</w:t>
      </w:r>
      <w:r w:rsidRPr="00F255BE">
        <w:rPr>
          <w:szCs w:val="24"/>
        </w:rPr>
        <w:tab/>
        <w:t>The Acting Ch</w:t>
      </w:r>
      <w:r>
        <w:rPr>
          <w:szCs w:val="24"/>
        </w:rPr>
        <w:t>airman said that the decision on</w:t>
      </w:r>
      <w:r w:rsidRPr="00F255BE">
        <w:rPr>
          <w:szCs w:val="24"/>
        </w:rPr>
        <w:t xml:space="preserve"> whether or not to engage an external management consultancy </w:t>
      </w:r>
      <w:proofErr w:type="gramStart"/>
      <w:r w:rsidRPr="00F255BE">
        <w:rPr>
          <w:szCs w:val="24"/>
        </w:rPr>
        <w:t>should be left</w:t>
      </w:r>
      <w:proofErr w:type="gramEnd"/>
      <w:r w:rsidRPr="00F255BE">
        <w:rPr>
          <w:szCs w:val="24"/>
        </w:rPr>
        <w:t xml:space="preserve"> to the discretion of the Director of BDT</w:t>
      </w:r>
      <w:r w:rsidR="009A3FFE">
        <w:rPr>
          <w:szCs w:val="24"/>
        </w:rPr>
        <w:t xml:space="preserve"> within available financial resources</w:t>
      </w:r>
      <w:r w:rsidRPr="00F255BE">
        <w:rPr>
          <w:szCs w:val="24"/>
        </w:rPr>
        <w:t>.</w:t>
      </w:r>
    </w:p>
    <w:p w:rsidR="005738E7" w:rsidRPr="00BA3C71" w:rsidRDefault="005738E7" w:rsidP="00BA3C71">
      <w:pPr>
        <w:tabs>
          <w:tab w:val="clear" w:pos="567"/>
          <w:tab w:val="clear" w:pos="1134"/>
          <w:tab w:val="clear" w:pos="1701"/>
          <w:tab w:val="clear" w:pos="2268"/>
          <w:tab w:val="clear" w:pos="2835"/>
        </w:tabs>
        <w:snapToGrid w:val="0"/>
        <w:spacing w:before="360" w:after="120"/>
        <w:ind w:left="709" w:hanging="709"/>
        <w:jc w:val="both"/>
        <w:rPr>
          <w:b/>
          <w:bCs/>
          <w:sz w:val="26"/>
          <w:szCs w:val="26"/>
        </w:rPr>
      </w:pPr>
      <w:r w:rsidRPr="00BA3C71">
        <w:rPr>
          <w:b/>
          <w:bCs/>
          <w:sz w:val="26"/>
          <w:szCs w:val="26"/>
        </w:rPr>
        <w:t>5</w:t>
      </w:r>
      <w:r w:rsidRPr="00BA3C71">
        <w:rPr>
          <w:b/>
          <w:bCs/>
          <w:sz w:val="26"/>
          <w:szCs w:val="26"/>
        </w:rPr>
        <w:tab/>
        <w:t xml:space="preserve">Preparations for the 2021 World Telecommunication Development Conference (WTDC-21) (Document </w:t>
      </w:r>
      <w:hyperlink r:id="rId22" w:history="1">
        <w:r w:rsidRPr="00BA3C71">
          <w:rPr>
            <w:rStyle w:val="Hyperlink"/>
            <w:b/>
            <w:bCs/>
            <w:sz w:val="26"/>
            <w:szCs w:val="26"/>
          </w:rPr>
          <w:t>C19/30</w:t>
        </w:r>
      </w:hyperlink>
      <w:r w:rsidRPr="00BA3C71">
        <w:rPr>
          <w:b/>
          <w:bCs/>
          <w:sz w:val="26"/>
          <w:szCs w:val="26"/>
        </w:rPr>
        <w:t>)</w:t>
      </w:r>
    </w:p>
    <w:p w:rsidR="005738E7" w:rsidRPr="00F255BE" w:rsidRDefault="005738E7" w:rsidP="00BA3C71">
      <w:pPr>
        <w:tabs>
          <w:tab w:val="clear" w:pos="567"/>
          <w:tab w:val="clear" w:pos="1134"/>
          <w:tab w:val="clear" w:pos="1701"/>
          <w:tab w:val="clear" w:pos="2268"/>
          <w:tab w:val="clear" w:pos="2835"/>
        </w:tabs>
        <w:snapToGrid w:val="0"/>
        <w:spacing w:after="120"/>
        <w:jc w:val="both"/>
        <w:rPr>
          <w:szCs w:val="24"/>
        </w:rPr>
      </w:pPr>
      <w:r w:rsidRPr="00F255BE">
        <w:rPr>
          <w:szCs w:val="24"/>
        </w:rPr>
        <w:t>5.1</w:t>
      </w:r>
      <w:r w:rsidRPr="00F255BE">
        <w:rPr>
          <w:szCs w:val="24"/>
        </w:rPr>
        <w:tab/>
        <w:t xml:space="preserve">The Director of BDT introduced Document C19/30, which informed the Council of the invitation from Ethiopia to hold WTDC-21 in Addis Ababa from </w:t>
      </w:r>
      <w:proofErr w:type="gramStart"/>
      <w:r w:rsidRPr="00F255BE">
        <w:rPr>
          <w:szCs w:val="24"/>
        </w:rPr>
        <w:t>8</w:t>
      </w:r>
      <w:proofErr w:type="gramEnd"/>
      <w:r w:rsidRPr="00F255BE">
        <w:rPr>
          <w:szCs w:val="24"/>
        </w:rPr>
        <w:t xml:space="preserve"> to 19 November 2021, and of </w:t>
      </w:r>
      <w:r w:rsidRPr="00BA3C71">
        <w:rPr>
          <w:spacing w:val="2"/>
          <w:szCs w:val="24"/>
        </w:rPr>
        <w:t xml:space="preserve">preparations for the conference. The Council </w:t>
      </w:r>
      <w:proofErr w:type="gramStart"/>
      <w:r w:rsidRPr="00BA3C71">
        <w:rPr>
          <w:spacing w:val="2"/>
          <w:szCs w:val="24"/>
        </w:rPr>
        <w:t>was invited</w:t>
      </w:r>
      <w:proofErr w:type="gramEnd"/>
      <w:r w:rsidRPr="00BA3C71">
        <w:rPr>
          <w:spacing w:val="2"/>
          <w:szCs w:val="24"/>
        </w:rPr>
        <w:t xml:space="preserve"> to decide on the place and dates of WTDC-21,</w:t>
      </w:r>
      <w:r w:rsidRPr="00F255BE">
        <w:rPr>
          <w:szCs w:val="24"/>
        </w:rPr>
        <w:t xml:space="preserve"> subject to the concurrence of the majority of the Member States of the Union, and </w:t>
      </w:r>
      <w:r>
        <w:rPr>
          <w:szCs w:val="24"/>
        </w:rPr>
        <w:t xml:space="preserve">therefore </w:t>
      </w:r>
      <w:r w:rsidRPr="00F255BE">
        <w:rPr>
          <w:szCs w:val="24"/>
        </w:rPr>
        <w:t>to adopt the draft decision set out in Annex 3 to the document.</w:t>
      </w:r>
    </w:p>
    <w:p w:rsidR="005738E7" w:rsidRPr="00F255BE" w:rsidRDefault="005738E7" w:rsidP="00BA3C71">
      <w:pPr>
        <w:tabs>
          <w:tab w:val="clear" w:pos="567"/>
          <w:tab w:val="clear" w:pos="1134"/>
          <w:tab w:val="clear" w:pos="1701"/>
          <w:tab w:val="clear" w:pos="2268"/>
          <w:tab w:val="clear" w:pos="2835"/>
        </w:tabs>
        <w:snapToGrid w:val="0"/>
        <w:spacing w:after="120"/>
        <w:jc w:val="both"/>
        <w:rPr>
          <w:szCs w:val="24"/>
        </w:rPr>
      </w:pPr>
      <w:r w:rsidRPr="00F255BE">
        <w:rPr>
          <w:szCs w:val="24"/>
        </w:rPr>
        <w:t>5.2</w:t>
      </w:r>
      <w:r w:rsidRPr="00F255BE">
        <w:rPr>
          <w:szCs w:val="24"/>
        </w:rPr>
        <w:tab/>
        <w:t xml:space="preserve">The Minister of Innovation and Technology of Ethiopia, noting the importance of telecommunications development for economic development and prosperity, said that his country </w:t>
      </w:r>
      <w:r w:rsidRPr="00F255BE">
        <w:rPr>
          <w:szCs w:val="24"/>
        </w:rPr>
        <w:lastRenderedPageBreak/>
        <w:t>had extensive experience in holding international conferences and would be delighted to host the first WTDC on the African continent</w:t>
      </w:r>
      <w:r>
        <w:rPr>
          <w:szCs w:val="24"/>
        </w:rPr>
        <w:t>,</w:t>
      </w:r>
      <w:r w:rsidRPr="00F255BE">
        <w:rPr>
          <w:szCs w:val="24"/>
        </w:rPr>
        <w:t xml:space="preserve"> in November 2021. </w:t>
      </w:r>
    </w:p>
    <w:p w:rsidR="005738E7" w:rsidRPr="00F255BE" w:rsidRDefault="005738E7" w:rsidP="00BA3C71">
      <w:pPr>
        <w:tabs>
          <w:tab w:val="clear" w:pos="567"/>
          <w:tab w:val="clear" w:pos="1134"/>
          <w:tab w:val="clear" w:pos="1701"/>
          <w:tab w:val="clear" w:pos="2268"/>
          <w:tab w:val="clear" w:pos="2835"/>
        </w:tabs>
        <w:snapToGrid w:val="0"/>
        <w:spacing w:after="120"/>
        <w:jc w:val="both"/>
        <w:rPr>
          <w:szCs w:val="24"/>
        </w:rPr>
      </w:pPr>
      <w:r w:rsidRPr="00F255BE">
        <w:rPr>
          <w:szCs w:val="24"/>
        </w:rPr>
        <w:t>5.3</w:t>
      </w:r>
      <w:r w:rsidRPr="00F255BE">
        <w:rPr>
          <w:szCs w:val="24"/>
        </w:rPr>
        <w:tab/>
        <w:t xml:space="preserve">A short video presentation </w:t>
      </w:r>
      <w:proofErr w:type="gramStart"/>
      <w:r w:rsidRPr="00F255BE">
        <w:rPr>
          <w:szCs w:val="24"/>
        </w:rPr>
        <w:t>showcasing</w:t>
      </w:r>
      <w:proofErr w:type="gramEnd"/>
      <w:r w:rsidRPr="00F255BE">
        <w:rPr>
          <w:szCs w:val="24"/>
        </w:rPr>
        <w:t xml:space="preserve"> the city of Addis Ababa and the rich history and culture of Ethiopia was shown.</w:t>
      </w:r>
    </w:p>
    <w:p w:rsidR="005738E7" w:rsidRPr="00F255BE" w:rsidRDefault="005738E7" w:rsidP="00BA3C71">
      <w:pPr>
        <w:tabs>
          <w:tab w:val="clear" w:pos="567"/>
          <w:tab w:val="clear" w:pos="1134"/>
          <w:tab w:val="clear" w:pos="1701"/>
          <w:tab w:val="clear" w:pos="2268"/>
          <w:tab w:val="clear" w:pos="2835"/>
        </w:tabs>
        <w:snapToGrid w:val="0"/>
        <w:spacing w:after="120"/>
        <w:jc w:val="both"/>
        <w:rPr>
          <w:szCs w:val="24"/>
        </w:rPr>
      </w:pPr>
      <w:r w:rsidRPr="00F255BE">
        <w:rPr>
          <w:szCs w:val="24"/>
        </w:rPr>
        <w:t>5.4</w:t>
      </w:r>
      <w:r w:rsidRPr="00F255BE">
        <w:rPr>
          <w:szCs w:val="24"/>
        </w:rPr>
        <w:tab/>
        <w:t>All councillors taking the floor thanked the Government of Ethiopia for its generous invitation, and many noted that Addis Ababa was a proven and successful international conference venue. The holding of the first WTDC in Africa would send a strong signal to the international community and have a positive bearing on telecommunications development on the continent. Some councillors welcomed the suggestions made concerning preparations</w:t>
      </w:r>
      <w:r>
        <w:rPr>
          <w:szCs w:val="24"/>
        </w:rPr>
        <w:t xml:space="preserve"> and roll-out</w:t>
      </w:r>
      <w:r w:rsidRPr="00F255BE">
        <w:rPr>
          <w:szCs w:val="24"/>
        </w:rPr>
        <w:t xml:space="preserve">, namely to run policy statements in parallel with committee meetings; organize dialogue sessions/round tables one day prior to the WTDC opening; and hold RPMs back-to-back with other regional preparatory meetings. </w:t>
      </w:r>
    </w:p>
    <w:p w:rsidR="005738E7" w:rsidRPr="00F255BE" w:rsidRDefault="005738E7" w:rsidP="00BA3C71">
      <w:pPr>
        <w:tabs>
          <w:tab w:val="clear" w:pos="567"/>
          <w:tab w:val="clear" w:pos="1134"/>
          <w:tab w:val="clear" w:pos="1701"/>
          <w:tab w:val="clear" w:pos="2268"/>
          <w:tab w:val="clear" w:pos="2835"/>
        </w:tabs>
        <w:snapToGrid w:val="0"/>
        <w:spacing w:after="120"/>
        <w:jc w:val="both"/>
        <w:rPr>
          <w:szCs w:val="24"/>
        </w:rPr>
      </w:pPr>
      <w:r w:rsidRPr="00F255BE">
        <w:rPr>
          <w:szCs w:val="24"/>
        </w:rPr>
        <w:t>5.5</w:t>
      </w:r>
      <w:r w:rsidRPr="00F255BE">
        <w:rPr>
          <w:szCs w:val="24"/>
        </w:rPr>
        <w:tab/>
        <w:t xml:space="preserve">The Acting Chairman said that the Council expressed its gratitude to the Government of Ethiopia for its invitation to host WTDC-21. </w:t>
      </w:r>
    </w:p>
    <w:p w:rsidR="005738E7" w:rsidRPr="00F255BE" w:rsidRDefault="005738E7" w:rsidP="00BA3C71">
      <w:pPr>
        <w:tabs>
          <w:tab w:val="clear" w:pos="567"/>
          <w:tab w:val="clear" w:pos="1134"/>
          <w:tab w:val="clear" w:pos="1701"/>
          <w:tab w:val="clear" w:pos="2268"/>
          <w:tab w:val="clear" w:pos="2835"/>
        </w:tabs>
        <w:snapToGrid w:val="0"/>
        <w:spacing w:after="120"/>
        <w:jc w:val="both"/>
        <w:rPr>
          <w:szCs w:val="24"/>
        </w:rPr>
      </w:pPr>
      <w:r w:rsidRPr="00F255BE">
        <w:rPr>
          <w:szCs w:val="24"/>
        </w:rPr>
        <w:t>5.6</w:t>
      </w:r>
      <w:r w:rsidRPr="00F255BE">
        <w:rPr>
          <w:szCs w:val="24"/>
        </w:rPr>
        <w:tab/>
        <w:t xml:space="preserve">The Council </w:t>
      </w:r>
      <w:r w:rsidRPr="00F255BE">
        <w:rPr>
          <w:b/>
          <w:bCs/>
          <w:szCs w:val="24"/>
        </w:rPr>
        <w:t>decided</w:t>
      </w:r>
      <w:r w:rsidRPr="00F255BE">
        <w:rPr>
          <w:szCs w:val="24"/>
        </w:rPr>
        <w:t xml:space="preserve"> that WTDC-21 would be held in Addis Ababa from </w:t>
      </w:r>
      <w:proofErr w:type="gramStart"/>
      <w:r w:rsidRPr="00F255BE">
        <w:rPr>
          <w:szCs w:val="24"/>
        </w:rPr>
        <w:t>8</w:t>
      </w:r>
      <w:proofErr w:type="gramEnd"/>
      <w:r w:rsidRPr="00F255BE">
        <w:rPr>
          <w:szCs w:val="24"/>
        </w:rPr>
        <w:t xml:space="preserve"> to 19 November 2021, subject to the concurrence of the majority of ITU Member States in accordance with No.</w:t>
      </w:r>
      <w:r w:rsidR="00BA3C71">
        <w:rPr>
          <w:szCs w:val="24"/>
        </w:rPr>
        <w:t> </w:t>
      </w:r>
      <w:r w:rsidRPr="00F255BE">
        <w:rPr>
          <w:szCs w:val="24"/>
        </w:rPr>
        <w:t>42 of the ITU Convention</w:t>
      </w:r>
      <w:r>
        <w:rPr>
          <w:szCs w:val="24"/>
        </w:rPr>
        <w:t>,</w:t>
      </w:r>
      <w:r w:rsidRPr="00F255BE">
        <w:rPr>
          <w:szCs w:val="24"/>
        </w:rPr>
        <w:t xml:space="preserve"> and </w:t>
      </w:r>
      <w:r w:rsidRPr="00F255BE">
        <w:rPr>
          <w:b/>
          <w:bCs/>
          <w:szCs w:val="24"/>
        </w:rPr>
        <w:t>adopted</w:t>
      </w:r>
      <w:r w:rsidRPr="00F255BE">
        <w:rPr>
          <w:szCs w:val="24"/>
        </w:rPr>
        <w:t xml:space="preserve"> the draft decision in Annex 3 to Document C19/30. </w:t>
      </w:r>
    </w:p>
    <w:p w:rsidR="005738E7" w:rsidRPr="00F255BE" w:rsidRDefault="005738E7" w:rsidP="00BA3C71">
      <w:pPr>
        <w:tabs>
          <w:tab w:val="clear" w:pos="567"/>
          <w:tab w:val="clear" w:pos="1134"/>
          <w:tab w:val="clear" w:pos="1701"/>
          <w:tab w:val="clear" w:pos="2268"/>
          <w:tab w:val="clear" w:pos="2835"/>
        </w:tabs>
        <w:snapToGrid w:val="0"/>
        <w:spacing w:after="120"/>
        <w:jc w:val="both"/>
        <w:rPr>
          <w:szCs w:val="24"/>
        </w:rPr>
      </w:pPr>
      <w:r w:rsidRPr="00F255BE">
        <w:rPr>
          <w:szCs w:val="24"/>
        </w:rPr>
        <w:t>5.7</w:t>
      </w:r>
      <w:r w:rsidRPr="00F255BE">
        <w:rPr>
          <w:szCs w:val="24"/>
        </w:rPr>
        <w:tab/>
        <w:t xml:space="preserve">The Secretary-General expressed his personal appreciation to the Government of Ethiopia for its invitation to host WTDC-21. He recalled that the proposal had met with immediate and unquestioning support from the outset, </w:t>
      </w:r>
      <w:proofErr w:type="gramStart"/>
      <w:r w:rsidRPr="00F255BE">
        <w:rPr>
          <w:szCs w:val="24"/>
        </w:rPr>
        <w:t>not only from the Ambassador and the</w:t>
      </w:r>
      <w:proofErr w:type="gramEnd"/>
      <w:r w:rsidRPr="00F255BE">
        <w:rPr>
          <w:szCs w:val="24"/>
        </w:rPr>
        <w:t xml:space="preserve"> Minister of Innovation and Technology, but also from the President of Ethiopia herself. He thanked councillors for their unanimous endorsement and looked forward to a successful WTDC-21 in Addis Ababa. </w:t>
      </w:r>
    </w:p>
    <w:p w:rsidR="0085200A" w:rsidRPr="00C13907" w:rsidRDefault="0085200A" w:rsidP="006E0754">
      <w:pPr>
        <w:tabs>
          <w:tab w:val="clear" w:pos="567"/>
          <w:tab w:val="clear" w:pos="1134"/>
          <w:tab w:val="clear" w:pos="1701"/>
          <w:tab w:val="clear" w:pos="2268"/>
          <w:tab w:val="clear" w:pos="2835"/>
          <w:tab w:val="left" w:pos="6521"/>
        </w:tabs>
        <w:snapToGrid w:val="0"/>
        <w:spacing w:before="600"/>
        <w:jc w:val="both"/>
        <w:rPr>
          <w:szCs w:val="24"/>
        </w:rPr>
      </w:pPr>
      <w:r w:rsidRPr="00C13907">
        <w:rPr>
          <w:szCs w:val="24"/>
        </w:rPr>
        <w:t>The Secretary-General:</w:t>
      </w:r>
      <w:r w:rsidRPr="00C13907">
        <w:rPr>
          <w:szCs w:val="24"/>
        </w:rPr>
        <w:tab/>
        <w:t xml:space="preserve">The </w:t>
      </w:r>
      <w:r w:rsidR="00263BC1">
        <w:rPr>
          <w:szCs w:val="24"/>
        </w:rPr>
        <w:t xml:space="preserve">Acting </w:t>
      </w:r>
      <w:r w:rsidRPr="00C13907">
        <w:rPr>
          <w:szCs w:val="24"/>
        </w:rPr>
        <w:t>Chairman:</w:t>
      </w:r>
    </w:p>
    <w:p w:rsidR="0085200A" w:rsidRDefault="0085200A" w:rsidP="006E0754">
      <w:pPr>
        <w:tabs>
          <w:tab w:val="clear" w:pos="567"/>
          <w:tab w:val="clear" w:pos="1134"/>
          <w:tab w:val="clear" w:pos="1701"/>
          <w:tab w:val="clear" w:pos="2268"/>
          <w:tab w:val="clear" w:pos="2835"/>
          <w:tab w:val="left" w:pos="6521"/>
        </w:tabs>
        <w:snapToGrid w:val="0"/>
        <w:spacing w:before="0" w:after="120"/>
        <w:jc w:val="both"/>
        <w:rPr>
          <w:szCs w:val="24"/>
        </w:rPr>
      </w:pPr>
      <w:r w:rsidRPr="00C13907">
        <w:rPr>
          <w:szCs w:val="24"/>
        </w:rPr>
        <w:t>H. ZHAO</w:t>
      </w:r>
      <w:r w:rsidRPr="00C13907">
        <w:rPr>
          <w:szCs w:val="24"/>
        </w:rPr>
        <w:tab/>
      </w:r>
      <w:r>
        <w:rPr>
          <w:szCs w:val="24"/>
        </w:rPr>
        <w:t>F. BIGI</w:t>
      </w:r>
    </w:p>
    <w:p w:rsidR="00264425" w:rsidRPr="002A2188" w:rsidRDefault="0085200A" w:rsidP="006E0754">
      <w:pPr>
        <w:spacing w:before="840"/>
        <w:jc w:val="center"/>
        <w:rPr>
          <w:lang w:val="en-US"/>
        </w:rPr>
      </w:pPr>
      <w:r>
        <w:t>___________________</w:t>
      </w:r>
    </w:p>
    <w:sectPr w:rsidR="00264425" w:rsidRPr="002A2188" w:rsidSect="004D1851">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C3B" w:rsidRDefault="007A7C3B">
      <w:r>
        <w:separator/>
      </w:r>
    </w:p>
  </w:endnote>
  <w:endnote w:type="continuationSeparator" w:id="0">
    <w:p w:rsidR="007A7C3B" w:rsidRDefault="007A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BD39C8" w:rsidRDefault="006E0754">
    <w:pPr>
      <w:pStyle w:val="Footer"/>
      <w:rPr>
        <w:color w:val="D9D9D9" w:themeColor="background1" w:themeShade="D9"/>
      </w:rPr>
    </w:pPr>
    <w:r w:rsidRPr="00BD39C8">
      <w:rPr>
        <w:color w:val="D9D9D9" w:themeColor="background1" w:themeShade="D9"/>
      </w:rPr>
      <w:fldChar w:fldCharType="begin"/>
    </w:r>
    <w:r w:rsidRPr="00BD39C8">
      <w:rPr>
        <w:color w:val="D9D9D9" w:themeColor="background1" w:themeShade="D9"/>
      </w:rPr>
      <w:instrText xml:space="preserve"> FILENAME \p  \* MERGEFORMAT </w:instrText>
    </w:r>
    <w:r w:rsidRPr="00BD39C8">
      <w:rPr>
        <w:color w:val="D9D9D9" w:themeColor="background1" w:themeShade="D9"/>
      </w:rPr>
      <w:fldChar w:fldCharType="separate"/>
    </w:r>
    <w:r w:rsidR="007D2A52" w:rsidRPr="00BD39C8">
      <w:rPr>
        <w:color w:val="D9D9D9" w:themeColor="background1" w:themeShade="D9"/>
      </w:rPr>
      <w:t>Document4</w:t>
    </w:r>
    <w:r w:rsidRPr="00BD39C8">
      <w:rPr>
        <w:color w:val="D9D9D9" w:themeColor="background1" w:themeShade="D9"/>
      </w:rPr>
      <w:fldChar w:fldCharType="end"/>
    </w:r>
    <w:r w:rsidR="00CB18FF" w:rsidRPr="00BD39C8">
      <w:rPr>
        <w:color w:val="D9D9D9" w:themeColor="background1" w:themeShade="D9"/>
      </w:rPr>
      <w:tab/>
    </w:r>
    <w:r w:rsidR="00864AFF" w:rsidRPr="00BD39C8">
      <w:rPr>
        <w:color w:val="D9D9D9" w:themeColor="background1" w:themeShade="D9"/>
      </w:rPr>
      <w:fldChar w:fldCharType="begin"/>
    </w:r>
    <w:r w:rsidR="00CB18FF" w:rsidRPr="00BD39C8">
      <w:rPr>
        <w:color w:val="D9D9D9" w:themeColor="background1" w:themeShade="D9"/>
      </w:rPr>
      <w:instrText xml:space="preserve"> SAVEDATE \@ DD.MM.YY </w:instrText>
    </w:r>
    <w:r w:rsidR="00864AFF" w:rsidRPr="00BD39C8">
      <w:rPr>
        <w:color w:val="D9D9D9" w:themeColor="background1" w:themeShade="D9"/>
      </w:rPr>
      <w:fldChar w:fldCharType="separate"/>
    </w:r>
    <w:r w:rsidR="00D50F37">
      <w:rPr>
        <w:color w:val="D9D9D9" w:themeColor="background1" w:themeShade="D9"/>
      </w:rPr>
      <w:t>19.07.19</w:t>
    </w:r>
    <w:r w:rsidR="00864AFF" w:rsidRPr="00BD39C8">
      <w:rPr>
        <w:color w:val="D9D9D9" w:themeColor="background1" w:themeShade="D9"/>
      </w:rPr>
      <w:fldChar w:fldCharType="end"/>
    </w:r>
    <w:r w:rsidR="00CB18FF" w:rsidRPr="00BD39C8">
      <w:rPr>
        <w:color w:val="D9D9D9" w:themeColor="background1" w:themeShade="D9"/>
      </w:rPr>
      <w:tab/>
    </w:r>
    <w:r w:rsidR="00864AFF" w:rsidRPr="00BD39C8">
      <w:rPr>
        <w:color w:val="D9D9D9" w:themeColor="background1" w:themeShade="D9"/>
      </w:rPr>
      <w:fldChar w:fldCharType="begin"/>
    </w:r>
    <w:r w:rsidR="00CB18FF" w:rsidRPr="00BD39C8">
      <w:rPr>
        <w:color w:val="D9D9D9" w:themeColor="background1" w:themeShade="D9"/>
      </w:rPr>
      <w:instrText xml:space="preserve"> PRINTDATE \@ DD.MM.YY </w:instrText>
    </w:r>
    <w:r w:rsidR="00864AFF" w:rsidRPr="00BD39C8">
      <w:rPr>
        <w:color w:val="D9D9D9" w:themeColor="background1" w:themeShade="D9"/>
      </w:rPr>
      <w:fldChar w:fldCharType="separate"/>
    </w:r>
    <w:r w:rsidR="007D2A52" w:rsidRPr="00BD39C8">
      <w:rPr>
        <w:color w:val="D9D9D9" w:themeColor="background1" w:themeShade="D9"/>
      </w:rPr>
      <w:t>18.07.00</w:t>
    </w:r>
    <w:r w:rsidR="00864AFF" w:rsidRPr="00BD39C8">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BD39C8" w:rsidRDefault="006E0754">
    <w:pPr>
      <w:pStyle w:val="Footer"/>
      <w:rPr>
        <w:color w:val="D9D9D9" w:themeColor="background1" w:themeShade="D9"/>
      </w:rPr>
    </w:pPr>
    <w:r w:rsidRPr="00BD39C8">
      <w:rPr>
        <w:color w:val="D9D9D9" w:themeColor="background1" w:themeShade="D9"/>
      </w:rPr>
      <w:fldChar w:fldCharType="begin"/>
    </w:r>
    <w:r w:rsidRPr="00BD39C8">
      <w:rPr>
        <w:color w:val="D9D9D9" w:themeColor="background1" w:themeShade="D9"/>
      </w:rPr>
      <w:instrText xml:space="preserve"> FILENAME \p  \* MERGEFORMAT </w:instrText>
    </w:r>
    <w:r w:rsidRPr="00BD39C8">
      <w:rPr>
        <w:color w:val="D9D9D9" w:themeColor="background1" w:themeShade="D9"/>
      </w:rPr>
      <w:fldChar w:fldCharType="separate"/>
    </w:r>
    <w:r w:rsidR="007D2A52" w:rsidRPr="00BD39C8">
      <w:rPr>
        <w:color w:val="D9D9D9" w:themeColor="background1" w:themeShade="D9"/>
      </w:rPr>
      <w:t>Document4</w:t>
    </w:r>
    <w:r w:rsidRPr="00BD39C8">
      <w:rPr>
        <w:color w:val="D9D9D9" w:themeColor="background1" w:themeShade="D9"/>
      </w:rPr>
      <w:fldChar w:fldCharType="end"/>
    </w:r>
    <w:r w:rsidR="00322D0D" w:rsidRPr="00BD39C8">
      <w:rPr>
        <w:color w:val="D9D9D9" w:themeColor="background1" w:themeShade="D9"/>
      </w:rPr>
      <w:tab/>
    </w:r>
    <w:r w:rsidR="00864AFF" w:rsidRPr="00BD39C8">
      <w:rPr>
        <w:color w:val="D9D9D9" w:themeColor="background1" w:themeShade="D9"/>
      </w:rPr>
      <w:fldChar w:fldCharType="begin"/>
    </w:r>
    <w:r w:rsidR="00322D0D" w:rsidRPr="00BD39C8">
      <w:rPr>
        <w:color w:val="D9D9D9" w:themeColor="background1" w:themeShade="D9"/>
      </w:rPr>
      <w:instrText xml:space="preserve"> SAVEDATE \@ DD.MM.YY </w:instrText>
    </w:r>
    <w:r w:rsidR="00864AFF" w:rsidRPr="00BD39C8">
      <w:rPr>
        <w:color w:val="D9D9D9" w:themeColor="background1" w:themeShade="D9"/>
      </w:rPr>
      <w:fldChar w:fldCharType="separate"/>
    </w:r>
    <w:r w:rsidR="00D50F37">
      <w:rPr>
        <w:color w:val="D9D9D9" w:themeColor="background1" w:themeShade="D9"/>
      </w:rPr>
      <w:t>19.07.19</w:t>
    </w:r>
    <w:r w:rsidR="00864AFF" w:rsidRPr="00BD39C8">
      <w:rPr>
        <w:color w:val="D9D9D9" w:themeColor="background1" w:themeShade="D9"/>
      </w:rPr>
      <w:fldChar w:fldCharType="end"/>
    </w:r>
    <w:r w:rsidR="00322D0D" w:rsidRPr="00BD39C8">
      <w:rPr>
        <w:color w:val="D9D9D9" w:themeColor="background1" w:themeShade="D9"/>
      </w:rPr>
      <w:tab/>
    </w:r>
    <w:r w:rsidR="00864AFF" w:rsidRPr="00BD39C8">
      <w:rPr>
        <w:color w:val="D9D9D9" w:themeColor="background1" w:themeShade="D9"/>
      </w:rPr>
      <w:fldChar w:fldCharType="begin"/>
    </w:r>
    <w:r w:rsidR="00322D0D" w:rsidRPr="00BD39C8">
      <w:rPr>
        <w:color w:val="D9D9D9" w:themeColor="background1" w:themeShade="D9"/>
      </w:rPr>
      <w:instrText xml:space="preserve"> PRINTDATE \@ DD.MM.YY </w:instrText>
    </w:r>
    <w:r w:rsidR="00864AFF" w:rsidRPr="00BD39C8">
      <w:rPr>
        <w:color w:val="D9D9D9" w:themeColor="background1" w:themeShade="D9"/>
      </w:rPr>
      <w:fldChar w:fldCharType="separate"/>
    </w:r>
    <w:r w:rsidR="007D2A52" w:rsidRPr="00BD39C8">
      <w:rPr>
        <w:color w:val="D9D9D9" w:themeColor="background1" w:themeShade="D9"/>
      </w:rPr>
      <w:t>18.07.00</w:t>
    </w:r>
    <w:r w:rsidR="00864AFF" w:rsidRPr="00BD39C8">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C3B" w:rsidRDefault="007A7C3B">
      <w:r>
        <w:t>____________________</w:t>
      </w:r>
    </w:p>
  </w:footnote>
  <w:footnote w:type="continuationSeparator" w:id="0">
    <w:p w:rsidR="007A7C3B" w:rsidRDefault="007A7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210C81">
      <w:rPr>
        <w:noProof/>
      </w:rPr>
      <w:t>5</w:t>
    </w:r>
    <w:r>
      <w:rPr>
        <w:noProof/>
      </w:rPr>
      <w:fldChar w:fldCharType="end"/>
    </w:r>
  </w:p>
  <w:p w:rsidR="00322D0D" w:rsidRPr="00623AE3" w:rsidRDefault="00623AE3" w:rsidP="00FB1279">
    <w:pPr>
      <w:pStyle w:val="Header"/>
      <w:rPr>
        <w:bCs/>
      </w:rPr>
    </w:pPr>
    <w:r w:rsidRPr="00623AE3">
      <w:rPr>
        <w:bCs/>
      </w:rPr>
      <w:t>C1</w:t>
    </w:r>
    <w:r w:rsidR="00FB1279">
      <w:rPr>
        <w:bCs/>
      </w:rPr>
      <w:t>9</w:t>
    </w:r>
    <w:r w:rsidR="00AC34E5">
      <w:rPr>
        <w:bCs/>
      </w:rPr>
      <w:t>/115</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52"/>
    <w:rsid w:val="00015AFD"/>
    <w:rsid w:val="000210D4"/>
    <w:rsid w:val="00050A27"/>
    <w:rsid w:val="00063016"/>
    <w:rsid w:val="00066795"/>
    <w:rsid w:val="00073550"/>
    <w:rsid w:val="00076AF6"/>
    <w:rsid w:val="00085CF2"/>
    <w:rsid w:val="000B1705"/>
    <w:rsid w:val="000D75B2"/>
    <w:rsid w:val="00107B68"/>
    <w:rsid w:val="001121F5"/>
    <w:rsid w:val="0012638A"/>
    <w:rsid w:val="001400DC"/>
    <w:rsid w:val="00140CE1"/>
    <w:rsid w:val="0017539C"/>
    <w:rsid w:val="00175AC2"/>
    <w:rsid w:val="0017609F"/>
    <w:rsid w:val="001C628E"/>
    <w:rsid w:val="001E0F7B"/>
    <w:rsid w:val="00210C81"/>
    <w:rsid w:val="002119FD"/>
    <w:rsid w:val="002130E0"/>
    <w:rsid w:val="00231743"/>
    <w:rsid w:val="00263BC1"/>
    <w:rsid w:val="00264425"/>
    <w:rsid w:val="00265875"/>
    <w:rsid w:val="0027303B"/>
    <w:rsid w:val="0028109B"/>
    <w:rsid w:val="002A2188"/>
    <w:rsid w:val="002B1F58"/>
    <w:rsid w:val="002C1C7A"/>
    <w:rsid w:val="002C4F61"/>
    <w:rsid w:val="0030160F"/>
    <w:rsid w:val="00322D0D"/>
    <w:rsid w:val="00364DD5"/>
    <w:rsid w:val="003942D4"/>
    <w:rsid w:val="003958A8"/>
    <w:rsid w:val="003C2533"/>
    <w:rsid w:val="0040435A"/>
    <w:rsid w:val="00416A24"/>
    <w:rsid w:val="00416F9A"/>
    <w:rsid w:val="00431D9E"/>
    <w:rsid w:val="00433CE8"/>
    <w:rsid w:val="00434A5C"/>
    <w:rsid w:val="0045054D"/>
    <w:rsid w:val="004544D9"/>
    <w:rsid w:val="00490E72"/>
    <w:rsid w:val="00491157"/>
    <w:rsid w:val="004921C8"/>
    <w:rsid w:val="004D1851"/>
    <w:rsid w:val="004D599D"/>
    <w:rsid w:val="004E2EA5"/>
    <w:rsid w:val="004E3AEB"/>
    <w:rsid w:val="0050223C"/>
    <w:rsid w:val="005118C8"/>
    <w:rsid w:val="005243FF"/>
    <w:rsid w:val="00564FBC"/>
    <w:rsid w:val="005738E7"/>
    <w:rsid w:val="00582442"/>
    <w:rsid w:val="005F3269"/>
    <w:rsid w:val="00623AE3"/>
    <w:rsid w:val="0064737F"/>
    <w:rsid w:val="006535F1"/>
    <w:rsid w:val="0065557D"/>
    <w:rsid w:val="0066019F"/>
    <w:rsid w:val="00662984"/>
    <w:rsid w:val="006716BB"/>
    <w:rsid w:val="006B6680"/>
    <w:rsid w:val="006B6DCC"/>
    <w:rsid w:val="006D23D0"/>
    <w:rsid w:val="006E0754"/>
    <w:rsid w:val="00702DEF"/>
    <w:rsid w:val="00706861"/>
    <w:rsid w:val="0075051B"/>
    <w:rsid w:val="00771646"/>
    <w:rsid w:val="00793188"/>
    <w:rsid w:val="00794D34"/>
    <w:rsid w:val="007A7C3B"/>
    <w:rsid w:val="007B275C"/>
    <w:rsid w:val="007D2A52"/>
    <w:rsid w:val="007F355D"/>
    <w:rsid w:val="00813E5E"/>
    <w:rsid w:val="0083581B"/>
    <w:rsid w:val="008458BA"/>
    <w:rsid w:val="0085200A"/>
    <w:rsid w:val="00864AFF"/>
    <w:rsid w:val="008B4A6A"/>
    <w:rsid w:val="008C7E27"/>
    <w:rsid w:val="009161A5"/>
    <w:rsid w:val="009173EF"/>
    <w:rsid w:val="009272FA"/>
    <w:rsid w:val="00932906"/>
    <w:rsid w:val="00961B0B"/>
    <w:rsid w:val="009A3FFE"/>
    <w:rsid w:val="009B38C3"/>
    <w:rsid w:val="009E17BD"/>
    <w:rsid w:val="009E485A"/>
    <w:rsid w:val="00A04CEC"/>
    <w:rsid w:val="00A13A81"/>
    <w:rsid w:val="00A27F92"/>
    <w:rsid w:val="00A32257"/>
    <w:rsid w:val="00A36D20"/>
    <w:rsid w:val="00A55622"/>
    <w:rsid w:val="00A83502"/>
    <w:rsid w:val="00AC34E5"/>
    <w:rsid w:val="00AD15B3"/>
    <w:rsid w:val="00AE3DF2"/>
    <w:rsid w:val="00AF6E49"/>
    <w:rsid w:val="00B04A67"/>
    <w:rsid w:val="00B0583C"/>
    <w:rsid w:val="00B40A81"/>
    <w:rsid w:val="00B44910"/>
    <w:rsid w:val="00B72267"/>
    <w:rsid w:val="00B76EB6"/>
    <w:rsid w:val="00B7737B"/>
    <w:rsid w:val="00B824C8"/>
    <w:rsid w:val="00BA3C71"/>
    <w:rsid w:val="00BC251A"/>
    <w:rsid w:val="00BD032B"/>
    <w:rsid w:val="00BD39C8"/>
    <w:rsid w:val="00BE2640"/>
    <w:rsid w:val="00C01189"/>
    <w:rsid w:val="00C2358C"/>
    <w:rsid w:val="00C374DE"/>
    <w:rsid w:val="00C47AD4"/>
    <w:rsid w:val="00C52D81"/>
    <w:rsid w:val="00C55198"/>
    <w:rsid w:val="00CA6393"/>
    <w:rsid w:val="00CB18FF"/>
    <w:rsid w:val="00CD0C08"/>
    <w:rsid w:val="00CE03FB"/>
    <w:rsid w:val="00CE433C"/>
    <w:rsid w:val="00CF33F3"/>
    <w:rsid w:val="00D06183"/>
    <w:rsid w:val="00D17C74"/>
    <w:rsid w:val="00D22C42"/>
    <w:rsid w:val="00D50F37"/>
    <w:rsid w:val="00D65041"/>
    <w:rsid w:val="00DB384B"/>
    <w:rsid w:val="00E10E80"/>
    <w:rsid w:val="00E124F0"/>
    <w:rsid w:val="00E22DA7"/>
    <w:rsid w:val="00E60F04"/>
    <w:rsid w:val="00E854E4"/>
    <w:rsid w:val="00EB0D6F"/>
    <w:rsid w:val="00EB2232"/>
    <w:rsid w:val="00EC5337"/>
    <w:rsid w:val="00F2150A"/>
    <w:rsid w:val="00F231D8"/>
    <w:rsid w:val="00F378D5"/>
    <w:rsid w:val="00F46C5F"/>
    <w:rsid w:val="00F94A63"/>
    <w:rsid w:val="00FA1C28"/>
    <w:rsid w:val="00FB0397"/>
    <w:rsid w:val="00FB1279"/>
    <w:rsid w:val="00FB732D"/>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ABE08CC-082F-4C5C-B9ED-622DFE1B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364DD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64DD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9-CL-C-0053/en" TargetMode="External"/><Relationship Id="rId18" Type="http://schemas.openxmlformats.org/officeDocument/2006/relationships/hyperlink" Target="https://www.itu.int/md/S19-CL-C-0103/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S19-CL-C-0098/en" TargetMode="External"/><Relationship Id="rId7" Type="http://schemas.openxmlformats.org/officeDocument/2006/relationships/endnotes" Target="endnotes.xml"/><Relationship Id="rId12" Type="http://schemas.openxmlformats.org/officeDocument/2006/relationships/hyperlink" Target="https://www.itu.int/md/S19-CL-190610-TD-GEN-0005/en" TargetMode="External"/><Relationship Id="rId17" Type="http://schemas.openxmlformats.org/officeDocument/2006/relationships/hyperlink" Target="https://www.itu.int/md/S19-CL-C-0058/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S19-CL-C-0018/en" TargetMode="External"/><Relationship Id="rId20" Type="http://schemas.openxmlformats.org/officeDocument/2006/relationships/hyperlink" Target="https://www.itu.int/md/S19-CL-C-005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103/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19-CL-C-0030/en" TargetMode="External"/><Relationship Id="rId23" Type="http://schemas.openxmlformats.org/officeDocument/2006/relationships/header" Target="header1.xml"/><Relationship Id="rId10" Type="http://schemas.openxmlformats.org/officeDocument/2006/relationships/hyperlink" Target="https://www.itu.int/md/S19-CL-C-0058/en" TargetMode="External"/><Relationship Id="rId19" Type="http://schemas.openxmlformats.org/officeDocument/2006/relationships/hyperlink" Target="https://www.itu.int/md/S19-CL-190610-TD-GEN-0005/en" TargetMode="External"/><Relationship Id="rId4" Type="http://schemas.openxmlformats.org/officeDocument/2006/relationships/settings" Target="settings.xml"/><Relationship Id="rId9" Type="http://schemas.openxmlformats.org/officeDocument/2006/relationships/hyperlink" Target="https://www.itu.int/md/S19-CL-C-0018/en" TargetMode="External"/><Relationship Id="rId14" Type="http://schemas.openxmlformats.org/officeDocument/2006/relationships/hyperlink" Target="https://www.itu.int/md/S19-CL-C-0098/en" TargetMode="External"/><Relationship Id="rId22" Type="http://schemas.openxmlformats.org/officeDocument/2006/relationships/hyperlink" Target="https://www.itu.int/md/S19-CL-C-0030/en"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78DFA-8D9D-4806-AD08-F489202BC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Template>
  <TotalTime>1</TotalTime>
  <Pages>5</Pages>
  <Words>1972</Words>
  <Characters>11622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Summary record of the fourth Plenary Meeting</vt:lpstr>
    </vt:vector>
  </TitlesOfParts>
  <Manager>General Secretariat - Pool</Manager>
  <Company>International Telecommunication Union (ITU)</Company>
  <LinksUpToDate>false</LinksUpToDate>
  <CharactersWithSpaces>13567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fourth Plenary Meeting</dc:title>
  <dc:subject>Council 2019</dc:subject>
  <dc:creator>Brouard, Ricarda</dc:creator>
  <cp:keywords>C2019, C19</cp:keywords>
  <dc:description/>
  <cp:lastModifiedBy>Janin, Patricia</cp:lastModifiedBy>
  <cp:revision>3</cp:revision>
  <cp:lastPrinted>2000-07-18T13:30:00Z</cp:lastPrinted>
  <dcterms:created xsi:type="dcterms:W3CDTF">2019-07-22T05:56:00Z</dcterms:created>
  <dcterms:modified xsi:type="dcterms:W3CDTF">2019-07-22T05:57:00Z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