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881FC1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881FC1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881FC1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881FC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881FC1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881FC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881FC1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520F36" w:rsidRDefault="00520F36" w:rsidP="00881F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E37FE7">
              <w:rPr>
                <w:b/>
                <w:bCs/>
              </w:rPr>
              <w:t>116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881FC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E37FE7" w:rsidP="0066586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19 </w:t>
            </w:r>
            <w:r w:rsidR="0066586E">
              <w:rPr>
                <w:b/>
                <w:bCs/>
              </w:rPr>
              <w:t>juillet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881FC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881F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Default="00E37FE7" w:rsidP="00881FC1">
            <w:pPr>
              <w:pStyle w:val="Title1"/>
              <w:spacing w:before="480"/>
            </w:pPr>
            <w:bookmarkStart w:id="6" w:name="dtitle1" w:colFirst="0" w:colLast="0"/>
            <w:bookmarkEnd w:id="5"/>
            <w:r>
              <w:rPr>
                <w:caps w:val="0"/>
              </w:rPr>
              <w:t>COMPTE RENDU</w:t>
            </w:r>
          </w:p>
          <w:p w:rsidR="00E37FE7" w:rsidRDefault="00E37FE7" w:rsidP="00881FC1">
            <w:pPr>
              <w:pStyle w:val="Title2"/>
            </w:pPr>
            <w:r>
              <w:rPr>
                <w:caps w:val="0"/>
              </w:rPr>
              <w:t xml:space="preserve">DE LA </w:t>
            </w:r>
          </w:p>
          <w:p w:rsidR="00E37FE7" w:rsidRPr="00E37FE7" w:rsidRDefault="00E37FE7" w:rsidP="00881FC1">
            <w:pPr>
              <w:pStyle w:val="Title3"/>
            </w:pPr>
            <w:r>
              <w:t>CINQUIÈME SÉANCE PLÉNIÈRE</w:t>
            </w:r>
          </w:p>
        </w:tc>
      </w:tr>
      <w:tr w:rsidR="00E37FE7" w:rsidRPr="0092392D">
        <w:trPr>
          <w:cantSplit/>
        </w:trPr>
        <w:tc>
          <w:tcPr>
            <w:tcW w:w="10173" w:type="dxa"/>
            <w:gridSpan w:val="2"/>
          </w:tcPr>
          <w:p w:rsidR="00E37FE7" w:rsidRDefault="00E37FE7" w:rsidP="00881FC1">
            <w:pPr>
              <w:spacing w:before="240"/>
              <w:jc w:val="center"/>
            </w:pPr>
            <w:r>
              <w:t>Lundi 17 juin 2019, de 9 h 35 à 12 h 45</w:t>
            </w:r>
          </w:p>
        </w:tc>
      </w:tr>
      <w:tr w:rsidR="00E37FE7" w:rsidRPr="0092392D">
        <w:trPr>
          <w:cantSplit/>
        </w:trPr>
        <w:tc>
          <w:tcPr>
            <w:tcW w:w="10173" w:type="dxa"/>
            <w:gridSpan w:val="2"/>
          </w:tcPr>
          <w:p w:rsidR="00E37FE7" w:rsidRDefault="00E37FE7" w:rsidP="00881FC1">
            <w:pPr>
              <w:spacing w:before="240"/>
              <w:jc w:val="center"/>
            </w:pPr>
            <w:r w:rsidRPr="00E37FE7">
              <w:rPr>
                <w:b/>
                <w:bCs/>
              </w:rPr>
              <w:t>Président faisant fonction</w:t>
            </w:r>
            <w:r>
              <w:t>: M. F. BIGI (Italie)</w:t>
            </w:r>
          </w:p>
        </w:tc>
      </w:tr>
      <w:bookmarkEnd w:id="6"/>
    </w:tbl>
    <w:p w:rsidR="00E37FE7" w:rsidRPr="003C4D74" w:rsidRDefault="00E37FE7" w:rsidP="00881FC1">
      <w:pPr>
        <w:spacing w:before="840"/>
        <w:jc w:val="both"/>
        <w:rPr>
          <w:lang w:val="fr-CH"/>
        </w:rPr>
      </w:pPr>
    </w:p>
    <w:tbl>
      <w:tblPr>
        <w:tblW w:w="5221" w:type="pct"/>
        <w:tblLook w:val="0000" w:firstRow="0" w:lastRow="0" w:firstColumn="0" w:lastColumn="0" w:noHBand="0" w:noVBand="0"/>
      </w:tblPr>
      <w:tblGrid>
        <w:gridCol w:w="505"/>
        <w:gridCol w:w="7575"/>
        <w:gridCol w:w="1985"/>
      </w:tblGrid>
      <w:tr w:rsidR="00E37FE7" w:rsidRPr="00224CB8" w:rsidTr="00BE273B">
        <w:tc>
          <w:tcPr>
            <w:tcW w:w="251" w:type="pct"/>
          </w:tcPr>
          <w:p w:rsidR="00E37FE7" w:rsidRPr="003C4D74" w:rsidRDefault="00E37FE7" w:rsidP="00881FC1">
            <w:pPr>
              <w:pStyle w:val="toc0"/>
              <w:spacing w:after="120"/>
              <w:rPr>
                <w:lang w:val="fr-CH"/>
              </w:rPr>
            </w:pPr>
            <w:r w:rsidRPr="003C4D74">
              <w:rPr>
                <w:b w:val="0"/>
                <w:lang w:val="fr-CH"/>
              </w:rPr>
              <w:br w:type="page"/>
            </w:r>
            <w:r w:rsidRPr="003C4D74">
              <w:rPr>
                <w:b w:val="0"/>
                <w:lang w:val="fr-CH"/>
              </w:rPr>
              <w:br w:type="page"/>
            </w:r>
          </w:p>
        </w:tc>
        <w:tc>
          <w:tcPr>
            <w:tcW w:w="3763" w:type="pct"/>
          </w:tcPr>
          <w:p w:rsidR="00E37FE7" w:rsidRPr="00224CB8" w:rsidRDefault="00E37FE7" w:rsidP="00881FC1">
            <w:pPr>
              <w:pStyle w:val="toc0"/>
              <w:spacing w:after="120"/>
            </w:pPr>
            <w:r w:rsidRPr="009B0D1A">
              <w:t>Sujets traités</w:t>
            </w:r>
          </w:p>
        </w:tc>
        <w:tc>
          <w:tcPr>
            <w:tcW w:w="986" w:type="pct"/>
          </w:tcPr>
          <w:p w:rsidR="00E37FE7" w:rsidRPr="00224CB8" w:rsidRDefault="00E37FE7" w:rsidP="00881FC1">
            <w:pPr>
              <w:pStyle w:val="toc0"/>
              <w:spacing w:after="120"/>
              <w:jc w:val="center"/>
            </w:pPr>
            <w:r w:rsidRPr="00224CB8">
              <w:t>Documents</w:t>
            </w:r>
          </w:p>
        </w:tc>
      </w:tr>
      <w:tr w:rsidR="00E37FE7" w:rsidRPr="00224CB8" w:rsidTr="00BE273B">
        <w:tc>
          <w:tcPr>
            <w:tcW w:w="251" w:type="pct"/>
          </w:tcPr>
          <w:p w:rsidR="00E37FE7" w:rsidRDefault="00E37FE7" w:rsidP="00881FC1">
            <w:pPr>
              <w:pStyle w:val="toc0"/>
              <w:spacing w:after="120"/>
              <w:rPr>
                <w:b w:val="0"/>
              </w:rPr>
            </w:pPr>
          </w:p>
        </w:tc>
        <w:tc>
          <w:tcPr>
            <w:tcW w:w="3763" w:type="pct"/>
          </w:tcPr>
          <w:p w:rsidR="00E37FE7" w:rsidRPr="00224CB8" w:rsidRDefault="00E37FE7" w:rsidP="00881FC1">
            <w:pPr>
              <w:pStyle w:val="toc0"/>
              <w:spacing w:after="120"/>
            </w:pPr>
          </w:p>
        </w:tc>
        <w:tc>
          <w:tcPr>
            <w:tcW w:w="986" w:type="pct"/>
          </w:tcPr>
          <w:p w:rsidR="00E37FE7" w:rsidRPr="00224CB8" w:rsidRDefault="00E37FE7" w:rsidP="00881FC1">
            <w:pPr>
              <w:pStyle w:val="toc0"/>
              <w:spacing w:after="120"/>
              <w:jc w:val="center"/>
            </w:pPr>
          </w:p>
        </w:tc>
      </w:tr>
      <w:tr w:rsidR="00E37FE7" w:rsidRPr="00224CB8" w:rsidTr="00BE273B">
        <w:tc>
          <w:tcPr>
            <w:tcW w:w="251" w:type="pct"/>
          </w:tcPr>
          <w:p w:rsidR="00E37FE7" w:rsidRDefault="00E37FE7" w:rsidP="00881FC1">
            <w:pPr>
              <w:pStyle w:val="toc0"/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763" w:type="pct"/>
          </w:tcPr>
          <w:p w:rsidR="00E37FE7" w:rsidRPr="00E37FE7" w:rsidRDefault="00E37FE7" w:rsidP="00881FC1">
            <w:pPr>
              <w:pStyle w:val="toc0"/>
              <w:spacing w:after="120"/>
              <w:rPr>
                <w:b w:val="0"/>
                <w:bCs/>
                <w:lang w:val="fr-CH"/>
              </w:rPr>
            </w:pPr>
            <w:r w:rsidRPr="00E37FE7">
              <w:rPr>
                <w:b w:val="0"/>
                <w:bCs/>
                <w:lang w:val="fr-CH"/>
              </w:rPr>
              <w:t xml:space="preserve">Présentation du rapport du Groupe de haut niveau des Nations Unies sur la coopération numérique </w:t>
            </w:r>
          </w:p>
        </w:tc>
        <w:tc>
          <w:tcPr>
            <w:tcW w:w="986" w:type="pct"/>
          </w:tcPr>
          <w:p w:rsidR="00E37FE7" w:rsidRPr="00E37FE7" w:rsidRDefault="00E37FE7" w:rsidP="00881FC1">
            <w:pPr>
              <w:pStyle w:val="toc0"/>
              <w:spacing w:after="120"/>
              <w:jc w:val="center"/>
              <w:rPr>
                <w:b w:val="0"/>
                <w:bCs/>
              </w:rPr>
            </w:pPr>
            <w:r w:rsidRPr="00E37FE7">
              <w:rPr>
                <w:b w:val="0"/>
                <w:bCs/>
              </w:rPr>
              <w:t>–</w:t>
            </w:r>
          </w:p>
        </w:tc>
      </w:tr>
      <w:tr w:rsidR="00E37FE7" w:rsidRPr="00224CB8" w:rsidTr="00BE273B">
        <w:tc>
          <w:tcPr>
            <w:tcW w:w="251" w:type="pct"/>
          </w:tcPr>
          <w:p w:rsidR="00E37FE7" w:rsidRDefault="00E37FE7" w:rsidP="00881FC1">
            <w:pPr>
              <w:pStyle w:val="toc0"/>
              <w:spacing w:after="12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763" w:type="pct"/>
          </w:tcPr>
          <w:p w:rsidR="00E37FE7" w:rsidRPr="00E37FE7" w:rsidRDefault="00E37FE7" w:rsidP="00881FC1">
            <w:pPr>
              <w:pStyle w:val="toc0"/>
              <w:spacing w:after="120"/>
              <w:rPr>
                <w:b w:val="0"/>
                <w:bCs/>
                <w:lang w:val="fr-CH"/>
              </w:rPr>
            </w:pPr>
            <w:r w:rsidRPr="00E37FE7">
              <w:rPr>
                <w:b w:val="0"/>
                <w:bCs/>
                <w:lang w:val="fr-CH"/>
              </w:rPr>
              <w:t>Activités de l</w:t>
            </w:r>
            <w:r w:rsidR="00AA41B1">
              <w:rPr>
                <w:b w:val="0"/>
                <w:bCs/>
                <w:lang w:val="fr-CH"/>
              </w:rPr>
              <w:t>'</w:t>
            </w:r>
            <w:r w:rsidRPr="00E37FE7">
              <w:rPr>
                <w:b w:val="0"/>
                <w:bCs/>
                <w:lang w:val="fr-CH"/>
              </w:rPr>
              <w:t>UIT relatives à la Résolution 70 (Rév. Dubaï, 2018) de la Conférence de plénipotentiaires</w:t>
            </w:r>
          </w:p>
        </w:tc>
        <w:tc>
          <w:tcPr>
            <w:tcW w:w="986" w:type="pct"/>
          </w:tcPr>
          <w:p w:rsidR="00E37FE7" w:rsidRPr="00E42F51" w:rsidRDefault="00AA41B1" w:rsidP="00881FC1">
            <w:pPr>
              <w:pStyle w:val="toc0"/>
              <w:spacing w:before="240" w:after="120"/>
              <w:jc w:val="center"/>
              <w:rPr>
                <w:bCs/>
              </w:rPr>
            </w:pPr>
            <w:hyperlink r:id="rId8" w:history="1">
              <w:r w:rsidR="00E37FE7" w:rsidRPr="00DE14EC">
                <w:rPr>
                  <w:rStyle w:val="Hyperlink"/>
                  <w:b w:val="0"/>
                  <w:bCs/>
                </w:rPr>
                <w:t>C19/6</w:t>
              </w:r>
            </w:hyperlink>
          </w:p>
        </w:tc>
      </w:tr>
      <w:tr w:rsidR="00E37FE7" w:rsidRPr="00224CB8" w:rsidTr="00BE273B">
        <w:tc>
          <w:tcPr>
            <w:tcW w:w="251" w:type="pct"/>
          </w:tcPr>
          <w:p w:rsidR="00E37FE7" w:rsidRDefault="00E37FE7" w:rsidP="00881FC1">
            <w:pPr>
              <w:pStyle w:val="toc0"/>
              <w:spacing w:after="12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763" w:type="pct"/>
          </w:tcPr>
          <w:p w:rsidR="00E37FE7" w:rsidRPr="00E37FE7" w:rsidRDefault="00E37FE7" w:rsidP="00881FC1">
            <w:pPr>
              <w:pStyle w:val="toc0"/>
              <w:spacing w:after="120"/>
              <w:rPr>
                <w:b w:val="0"/>
                <w:bCs/>
                <w:lang w:val="fr-CH"/>
              </w:rPr>
            </w:pPr>
            <w:r w:rsidRPr="00E37FE7">
              <w:rPr>
                <w:b w:val="0"/>
                <w:bCs/>
                <w:color w:val="000000"/>
                <w:lang w:val="fr-CH"/>
              </w:rPr>
              <w:t>Travaux préparatoires en vue de l</w:t>
            </w:r>
            <w:r w:rsidR="00AA41B1">
              <w:rPr>
                <w:b w:val="0"/>
                <w:bCs/>
                <w:color w:val="000000"/>
                <w:lang w:val="fr-CH"/>
              </w:rPr>
              <w:t>'</w:t>
            </w:r>
            <w:r w:rsidRPr="00E37FE7">
              <w:rPr>
                <w:b w:val="0"/>
                <w:bCs/>
                <w:color w:val="000000"/>
                <w:lang w:val="fr-CH"/>
              </w:rPr>
              <w:t>Assemblée mondiale de normalisation des télécommunications de 2020</w:t>
            </w:r>
            <w:r>
              <w:rPr>
                <w:b w:val="0"/>
                <w:bCs/>
                <w:lang w:val="fr-CH"/>
              </w:rPr>
              <w:t xml:space="preserve"> </w:t>
            </w:r>
            <w:r w:rsidRPr="00E37FE7">
              <w:rPr>
                <w:b w:val="0"/>
                <w:bCs/>
                <w:lang w:val="fr-CH"/>
              </w:rPr>
              <w:t>(suite)</w:t>
            </w:r>
          </w:p>
        </w:tc>
        <w:tc>
          <w:tcPr>
            <w:tcW w:w="986" w:type="pct"/>
          </w:tcPr>
          <w:p w:rsidR="00E37FE7" w:rsidRPr="00E42F51" w:rsidRDefault="00AA41B1" w:rsidP="00881FC1">
            <w:pPr>
              <w:pStyle w:val="toc0"/>
              <w:spacing w:before="240" w:after="120"/>
              <w:jc w:val="center"/>
              <w:rPr>
                <w:b w:val="0"/>
                <w:bCs/>
              </w:rPr>
            </w:pPr>
            <w:hyperlink r:id="rId9" w:history="1">
              <w:r w:rsidR="00E37FE7" w:rsidRPr="00DE14EC">
                <w:rPr>
                  <w:rStyle w:val="Hyperlink"/>
                  <w:b w:val="0"/>
                  <w:bCs/>
                </w:rPr>
                <w:t>C19/68</w:t>
              </w:r>
            </w:hyperlink>
          </w:p>
        </w:tc>
      </w:tr>
      <w:tr w:rsidR="00E37FE7" w:rsidRPr="00224CB8" w:rsidTr="00BE273B">
        <w:tc>
          <w:tcPr>
            <w:tcW w:w="251" w:type="pct"/>
          </w:tcPr>
          <w:p w:rsidR="00E37FE7" w:rsidRDefault="00E37FE7" w:rsidP="00881FC1">
            <w:pPr>
              <w:pStyle w:val="toc0"/>
              <w:spacing w:after="12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763" w:type="pct"/>
          </w:tcPr>
          <w:p w:rsidR="00E37FE7" w:rsidRPr="00E37FE7" w:rsidRDefault="00E37FE7" w:rsidP="00881FC1">
            <w:pPr>
              <w:pStyle w:val="toc0"/>
              <w:spacing w:after="120"/>
              <w:rPr>
                <w:b w:val="0"/>
                <w:bCs/>
              </w:rPr>
            </w:pPr>
            <w:r w:rsidRPr="00E37FE7">
              <w:rPr>
                <w:b w:val="0"/>
                <w:bCs/>
                <w:color w:val="000000"/>
              </w:rPr>
              <w:t xml:space="preserve">Manifestations </w:t>
            </w:r>
            <w:r w:rsidRPr="00E37FE7">
              <w:rPr>
                <w:b w:val="0"/>
                <w:bCs/>
              </w:rPr>
              <w:t>ITU Telecom World</w:t>
            </w:r>
            <w:r>
              <w:rPr>
                <w:b w:val="0"/>
                <w:bCs/>
              </w:rPr>
              <w:t xml:space="preserve"> </w:t>
            </w:r>
          </w:p>
        </w:tc>
        <w:tc>
          <w:tcPr>
            <w:tcW w:w="986" w:type="pct"/>
          </w:tcPr>
          <w:p w:rsidR="00E37FE7" w:rsidRPr="00E42F51" w:rsidRDefault="00AA41B1" w:rsidP="00881FC1">
            <w:pPr>
              <w:pStyle w:val="toc0"/>
              <w:spacing w:before="240" w:after="120"/>
              <w:jc w:val="center"/>
              <w:rPr>
                <w:b w:val="0"/>
                <w:bCs/>
              </w:rPr>
            </w:pPr>
            <w:hyperlink r:id="rId10" w:history="1">
              <w:r w:rsidR="00E37FE7" w:rsidRPr="00DE14EC">
                <w:rPr>
                  <w:rStyle w:val="Hyperlink"/>
                  <w:b w:val="0"/>
                  <w:bCs/>
                </w:rPr>
                <w:t>C19/19</w:t>
              </w:r>
            </w:hyperlink>
          </w:p>
        </w:tc>
      </w:tr>
      <w:tr w:rsidR="00E37FE7" w:rsidRPr="00224CB8" w:rsidTr="00BE273B">
        <w:tc>
          <w:tcPr>
            <w:tcW w:w="251" w:type="pct"/>
          </w:tcPr>
          <w:p w:rsidR="00E37FE7" w:rsidRDefault="00E37FE7" w:rsidP="00881FC1">
            <w:pPr>
              <w:pStyle w:val="toc0"/>
              <w:spacing w:after="12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763" w:type="pct"/>
          </w:tcPr>
          <w:p w:rsidR="00E37FE7" w:rsidRPr="00E37FE7" w:rsidRDefault="00E37FE7" w:rsidP="00881FC1">
            <w:pPr>
              <w:pStyle w:val="toc0"/>
              <w:spacing w:after="120"/>
              <w:rPr>
                <w:b w:val="0"/>
                <w:bCs/>
                <w:lang w:val="fr-CH"/>
              </w:rPr>
            </w:pPr>
            <w:r w:rsidRPr="00E37FE7">
              <w:rPr>
                <w:b w:val="0"/>
                <w:bCs/>
                <w:color w:val="000000"/>
                <w:lang w:val="fr-CH"/>
              </w:rPr>
              <w:t>Rapport du Groupe de travail du Conseil</w:t>
            </w:r>
            <w:r>
              <w:rPr>
                <w:b w:val="0"/>
                <w:bCs/>
                <w:color w:val="000000"/>
                <w:lang w:val="fr-CH"/>
              </w:rPr>
              <w:t xml:space="preserve"> </w:t>
            </w:r>
            <w:r w:rsidRPr="00E37FE7">
              <w:rPr>
                <w:b w:val="0"/>
                <w:bCs/>
                <w:color w:val="000000"/>
                <w:lang w:val="fr-CH"/>
              </w:rPr>
              <w:t>sur les langues (GTC-LANG)</w:t>
            </w:r>
            <w:r>
              <w:rPr>
                <w:b w:val="0"/>
                <w:bCs/>
                <w:color w:val="000000"/>
                <w:lang w:val="fr-CH"/>
              </w:rPr>
              <w:t xml:space="preserve"> </w:t>
            </w:r>
            <w:r w:rsidRPr="00E37FE7">
              <w:rPr>
                <w:b w:val="0"/>
                <w:bCs/>
                <w:color w:val="000000"/>
                <w:lang w:val="fr-CH"/>
              </w:rPr>
              <w:t xml:space="preserve">et plan détaillé </w:t>
            </w:r>
            <w:r>
              <w:rPr>
                <w:b w:val="0"/>
                <w:bCs/>
                <w:color w:val="000000"/>
                <w:lang w:val="fr-CH"/>
              </w:rPr>
              <w:t xml:space="preserve">concernant </w:t>
            </w:r>
            <w:r w:rsidRPr="00E37FE7">
              <w:rPr>
                <w:b w:val="0"/>
                <w:bCs/>
                <w:color w:val="000000"/>
                <w:lang w:val="fr-CH"/>
              </w:rPr>
              <w:t>des projets pilotes relatifs à d</w:t>
            </w:r>
            <w:r w:rsidR="00AA41B1">
              <w:rPr>
                <w:b w:val="0"/>
                <w:bCs/>
                <w:color w:val="000000"/>
                <w:lang w:val="fr-CH"/>
              </w:rPr>
              <w:t>'</w:t>
            </w:r>
            <w:r w:rsidRPr="00E37FE7">
              <w:rPr>
                <w:b w:val="0"/>
                <w:bCs/>
                <w:color w:val="000000"/>
                <w:lang w:val="fr-CH"/>
              </w:rPr>
              <w:t>autres méthodes de traduction, d</w:t>
            </w:r>
            <w:r w:rsidR="00AA41B1">
              <w:rPr>
                <w:b w:val="0"/>
                <w:bCs/>
                <w:color w:val="000000"/>
                <w:lang w:val="fr-CH"/>
              </w:rPr>
              <w:t>'</w:t>
            </w:r>
            <w:r w:rsidRPr="00E37FE7">
              <w:rPr>
                <w:b w:val="0"/>
                <w:bCs/>
                <w:color w:val="000000"/>
                <w:lang w:val="fr-CH"/>
              </w:rPr>
              <w:t>interprétation et de sous-titrage</w:t>
            </w:r>
            <w:r>
              <w:rPr>
                <w:b w:val="0"/>
                <w:bCs/>
                <w:lang w:val="fr-CH"/>
              </w:rPr>
              <w:t xml:space="preserve"> </w:t>
            </w:r>
          </w:p>
        </w:tc>
        <w:tc>
          <w:tcPr>
            <w:tcW w:w="986" w:type="pct"/>
          </w:tcPr>
          <w:p w:rsidR="00E37FE7" w:rsidRDefault="00AA41B1" w:rsidP="00C9258C">
            <w:pPr>
              <w:pStyle w:val="toc0"/>
              <w:spacing w:before="240" w:after="120"/>
              <w:jc w:val="center"/>
            </w:pPr>
            <w:hyperlink r:id="rId11" w:history="1">
              <w:r w:rsidR="00E37FE7" w:rsidRPr="00DE14EC">
                <w:rPr>
                  <w:rStyle w:val="Hyperlink"/>
                  <w:b w:val="0"/>
                  <w:bCs/>
                </w:rPr>
                <w:t>C19/12</w:t>
              </w:r>
            </w:hyperlink>
            <w:r w:rsidR="00C9258C">
              <w:rPr>
                <w:b w:val="0"/>
                <w:bCs/>
              </w:rPr>
              <w:t>,</w:t>
            </w:r>
            <w:r w:rsidR="00C9258C">
              <w:rPr>
                <w:b w:val="0"/>
                <w:bCs/>
              </w:rPr>
              <w:br/>
            </w:r>
            <w:hyperlink r:id="rId12" w:history="1">
              <w:r w:rsidR="00A02DF7" w:rsidRPr="00C9258C">
                <w:rPr>
                  <w:rStyle w:val="Hyperlink"/>
                  <w:b w:val="0"/>
                  <w:lang w:val="fr-CH"/>
                </w:rPr>
                <w:t>C19/14</w:t>
              </w:r>
              <w:r w:rsidR="00E37FE7" w:rsidRPr="00C9258C">
                <w:rPr>
                  <w:rStyle w:val="Hyperlink"/>
                  <w:b w:val="0"/>
                  <w:lang w:val="fr-CH"/>
                </w:rPr>
                <w:t>(Rév.1)</w:t>
              </w:r>
              <w:r w:rsidR="00E37FE7" w:rsidRPr="00C9258C">
                <w:rPr>
                  <w:rStyle w:val="Hyperlink"/>
                  <w:b w:val="0"/>
                  <w:color w:val="auto"/>
                  <w:u w:val="none"/>
                  <w:lang w:val="fr-CH"/>
                </w:rPr>
                <w:t>,</w:t>
              </w:r>
            </w:hyperlink>
            <w:r w:rsidR="00E37FE7" w:rsidRPr="00C9258C">
              <w:rPr>
                <w:b w:val="0"/>
                <w:lang w:val="fr-CH"/>
              </w:rPr>
              <w:t xml:space="preserve"> </w:t>
            </w:r>
            <w:hyperlink r:id="rId13" w:history="1">
              <w:r w:rsidR="00E37FE7" w:rsidRPr="00C9258C">
                <w:rPr>
                  <w:rStyle w:val="Hyperlink"/>
                  <w:b w:val="0"/>
                  <w:lang w:val="fr-CH"/>
                </w:rPr>
                <w:t>C19/72</w:t>
              </w:r>
            </w:hyperlink>
          </w:p>
        </w:tc>
      </w:tr>
    </w:tbl>
    <w:p w:rsidR="00E37FE7" w:rsidRPr="00C9258C" w:rsidRDefault="00E37FE7" w:rsidP="00881F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lang w:val="fr-CH"/>
        </w:rPr>
      </w:pPr>
      <w:bookmarkStart w:id="7" w:name="dstart"/>
      <w:bookmarkStart w:id="8" w:name="dbreak"/>
      <w:bookmarkEnd w:id="7"/>
      <w:bookmarkEnd w:id="8"/>
      <w:r w:rsidRPr="00C9258C">
        <w:rPr>
          <w:lang w:val="fr-CH"/>
        </w:rPr>
        <w:br w:type="page"/>
      </w:r>
    </w:p>
    <w:p w:rsidR="00E37FE7" w:rsidRPr="00977456" w:rsidRDefault="00E37FE7" w:rsidP="00881FC1">
      <w:pPr>
        <w:pStyle w:val="Heading1"/>
        <w:rPr>
          <w:sz w:val="26"/>
          <w:szCs w:val="26"/>
          <w:lang w:val="fr-CH"/>
        </w:rPr>
      </w:pPr>
      <w:r>
        <w:rPr>
          <w:lang w:val="fr-CH"/>
        </w:rPr>
        <w:lastRenderedPageBreak/>
        <w:t>1</w:t>
      </w:r>
      <w:r>
        <w:rPr>
          <w:lang w:val="fr-CH"/>
        </w:rPr>
        <w:tab/>
      </w:r>
      <w:r w:rsidRPr="003C4D74">
        <w:rPr>
          <w:lang w:val="fr-CH"/>
        </w:rPr>
        <w:t>Présentation du rapport du Groupe de haut niveau des Nations Unies sur la coopération numérique</w:t>
      </w:r>
    </w:p>
    <w:p w:rsidR="00E37FE7" w:rsidRPr="00EA6037" w:rsidRDefault="00E37FE7" w:rsidP="00881FC1">
      <w:pPr>
        <w:rPr>
          <w:lang w:val="fr-CH"/>
        </w:rPr>
      </w:pPr>
      <w:r w:rsidRPr="00510D60">
        <w:rPr>
          <w:lang w:val="fr-CH"/>
        </w:rPr>
        <w:t>1.1</w:t>
      </w:r>
      <w:r w:rsidRPr="00510D60">
        <w:rPr>
          <w:lang w:val="fr-CH"/>
        </w:rPr>
        <w:tab/>
        <w:t xml:space="preserve">Le </w:t>
      </w:r>
      <w:r w:rsidRPr="00510D60">
        <w:rPr>
          <w:color w:val="000000"/>
          <w:lang w:val="fr-CH"/>
        </w:rPr>
        <w:t>Sous-Secrétaire général</w:t>
      </w:r>
      <w:r w:rsidRPr="00510D60">
        <w:rPr>
          <w:lang w:val="fr-CH"/>
        </w:rPr>
        <w:t xml:space="preserve"> </w:t>
      </w:r>
      <w:r w:rsidRPr="00510D60">
        <w:rPr>
          <w:color w:val="000000"/>
          <w:lang w:val="fr-CH"/>
        </w:rPr>
        <w:t xml:space="preserve">des Nations Unies pour la coordination stratégique </w:t>
      </w:r>
      <w:r w:rsidRPr="00510D60">
        <w:rPr>
          <w:lang w:val="fr-CH"/>
        </w:rPr>
        <w:t>présente le</w:t>
      </w:r>
      <w:r>
        <w:rPr>
          <w:lang w:val="fr-CH"/>
        </w:rPr>
        <w:t xml:space="preserve"> </w:t>
      </w:r>
      <w:r w:rsidRPr="00510D60">
        <w:rPr>
          <w:lang w:val="fr-CH"/>
        </w:rPr>
        <w:t>rapport du Groupe de haut niveau des Nations Unies sur la coopération numérique</w:t>
      </w:r>
      <w:r>
        <w:rPr>
          <w:lang w:val="fr-CH"/>
        </w:rPr>
        <w:t xml:space="preserve">, qui sera présenté officiellement à </w:t>
      </w:r>
      <w:r w:rsidRPr="00510D60">
        <w:rPr>
          <w:color w:val="000000"/>
          <w:lang w:val="fr-CH"/>
        </w:rPr>
        <w:t>l</w:t>
      </w:r>
      <w:r w:rsidR="00AA41B1">
        <w:rPr>
          <w:color w:val="000000"/>
          <w:lang w:val="fr-CH"/>
        </w:rPr>
        <w:t>'</w:t>
      </w:r>
      <w:r w:rsidRPr="00510D60">
        <w:rPr>
          <w:color w:val="000000"/>
          <w:lang w:val="fr-CH"/>
        </w:rPr>
        <w:t>Office des Nations Unies à Genève</w:t>
      </w:r>
      <w:r>
        <w:rPr>
          <w:color w:val="000000"/>
          <w:lang w:val="fr-CH"/>
        </w:rPr>
        <w:t xml:space="preserve"> et</w:t>
      </w:r>
      <w:r w:rsidRPr="00510D60">
        <w:rPr>
          <w:lang w:val="fr-CH"/>
        </w:rPr>
        <w:t xml:space="preserve"> </w:t>
      </w:r>
      <w:r w:rsidRPr="00510D60">
        <w:rPr>
          <w:color w:val="000000"/>
          <w:lang w:val="fr-CH"/>
        </w:rPr>
        <w:t>au siège de l</w:t>
      </w:r>
      <w:r w:rsidR="00AA41B1">
        <w:rPr>
          <w:color w:val="000000"/>
          <w:lang w:val="fr-CH"/>
        </w:rPr>
        <w:t>'</w:t>
      </w:r>
      <w:r>
        <w:rPr>
          <w:color w:val="000000"/>
          <w:lang w:val="fr-CH"/>
        </w:rPr>
        <w:t>O</w:t>
      </w:r>
      <w:r w:rsidRPr="00510D60">
        <w:rPr>
          <w:color w:val="000000"/>
          <w:lang w:val="fr-CH"/>
        </w:rPr>
        <w:t>rganisation des Nations Unies à New York</w:t>
      </w:r>
      <w:r>
        <w:rPr>
          <w:color w:val="000000"/>
          <w:lang w:val="fr-CH"/>
        </w:rPr>
        <w:t xml:space="preserve"> cet après-midi. </w:t>
      </w:r>
      <w:r w:rsidRPr="00510D60">
        <w:rPr>
          <w:color w:val="000000"/>
          <w:lang w:val="fr-CH"/>
        </w:rPr>
        <w:t xml:space="preserve">Il prend note de la diversité particulièrement </w:t>
      </w:r>
      <w:r>
        <w:rPr>
          <w:color w:val="000000"/>
          <w:lang w:val="fr-CH"/>
        </w:rPr>
        <w:t xml:space="preserve">importante </w:t>
      </w:r>
      <w:r w:rsidRPr="00510D60">
        <w:rPr>
          <w:color w:val="000000"/>
          <w:lang w:val="fr-CH"/>
        </w:rPr>
        <w:t>de la composition du Groupe de haut</w:t>
      </w:r>
      <w:r>
        <w:rPr>
          <w:color w:val="000000"/>
          <w:lang w:val="fr-CH"/>
        </w:rPr>
        <w:t xml:space="preserve"> </w:t>
      </w:r>
      <w:r w:rsidRPr="00510D60">
        <w:rPr>
          <w:color w:val="000000"/>
          <w:lang w:val="fr-CH"/>
        </w:rPr>
        <w:t>niveau</w:t>
      </w:r>
      <w:r>
        <w:rPr>
          <w:color w:val="000000"/>
          <w:lang w:val="fr-CH"/>
        </w:rPr>
        <w:t>, qui a procédé à de vastes consultations multi-parties prenantes</w:t>
      </w:r>
      <w:r w:rsidRPr="00510D60">
        <w:rPr>
          <w:lang w:val="fr-CH"/>
        </w:rPr>
        <w:t xml:space="preserve"> </w:t>
      </w:r>
      <w:r>
        <w:rPr>
          <w:lang w:val="fr-CH"/>
        </w:rPr>
        <w:t xml:space="preserve">au cours desquelles </w:t>
      </w:r>
      <w:r w:rsidR="00C9258C">
        <w:rPr>
          <w:lang w:val="fr-CH"/>
        </w:rPr>
        <w:t>l</w:t>
      </w:r>
      <w:r w:rsidR="00AA41B1">
        <w:rPr>
          <w:lang w:val="fr-CH"/>
        </w:rPr>
        <w:t>'</w:t>
      </w:r>
      <w:r>
        <w:rPr>
          <w:lang w:val="fr-CH"/>
        </w:rPr>
        <w:t>UIT a joué un rôle fondamental. Il attire l</w:t>
      </w:r>
      <w:r w:rsidR="00AA41B1">
        <w:rPr>
          <w:lang w:val="fr-CH"/>
        </w:rPr>
        <w:t>'</w:t>
      </w:r>
      <w:r>
        <w:rPr>
          <w:lang w:val="fr-CH"/>
        </w:rPr>
        <w:t>attention sur les quatre principaux thèmes traités dans le rapport et sur les diverses recommandations qu</w:t>
      </w:r>
      <w:r w:rsidR="00AA41B1">
        <w:rPr>
          <w:lang w:val="fr-CH"/>
        </w:rPr>
        <w:t>'</w:t>
      </w:r>
      <w:r>
        <w:rPr>
          <w:lang w:val="fr-CH"/>
        </w:rPr>
        <w:t xml:space="preserve">il contient. </w:t>
      </w:r>
      <w:r w:rsidRPr="00B177C6">
        <w:rPr>
          <w:lang w:val="fr-CH"/>
        </w:rPr>
        <w:t xml:space="preserve">À la suite de la présentation du rapport, des consultations seront notamment menées pour </w:t>
      </w:r>
      <w:r>
        <w:rPr>
          <w:lang w:val="fr-CH"/>
        </w:rPr>
        <w:t>recueillir</w:t>
      </w:r>
      <w:r w:rsidRPr="00B177C6">
        <w:rPr>
          <w:lang w:val="fr-CH"/>
        </w:rPr>
        <w:t xml:space="preserve"> les vues des États Membres</w:t>
      </w:r>
      <w:r>
        <w:rPr>
          <w:lang w:val="fr-CH"/>
        </w:rPr>
        <w:t xml:space="preserve">, des autres parties prenantes et des organisations régionales. </w:t>
      </w:r>
      <w:r w:rsidRPr="00EA6037">
        <w:rPr>
          <w:lang w:val="fr-CH"/>
        </w:rPr>
        <w:t>Les points sur lesquels une convergence de vue</w:t>
      </w:r>
      <w:r>
        <w:rPr>
          <w:lang w:val="fr-CH"/>
        </w:rPr>
        <w:t>s</w:t>
      </w:r>
      <w:r w:rsidRPr="00EA6037">
        <w:rPr>
          <w:lang w:val="fr-CH"/>
        </w:rPr>
        <w:t xml:space="preserve"> </w:t>
      </w:r>
      <w:r>
        <w:rPr>
          <w:lang w:val="fr-CH"/>
        </w:rPr>
        <w:t>se sera</w:t>
      </w:r>
      <w:r w:rsidRPr="00EA6037">
        <w:rPr>
          <w:lang w:val="fr-CH"/>
        </w:rPr>
        <w:t xml:space="preserve"> dégagée</w:t>
      </w:r>
      <w:r>
        <w:rPr>
          <w:lang w:val="fr-CH"/>
        </w:rPr>
        <w:t xml:space="preserve"> seront alors identifiés et une feuille de route sur la marche à suivre sera établie. </w:t>
      </w:r>
      <w:r w:rsidRPr="00EA6037">
        <w:rPr>
          <w:lang w:val="fr-CH"/>
        </w:rPr>
        <w:t>L</w:t>
      </w:r>
      <w:r w:rsidR="00AA41B1">
        <w:rPr>
          <w:lang w:val="fr-CH"/>
        </w:rPr>
        <w:t>'</w:t>
      </w:r>
      <w:r w:rsidRPr="00EA6037">
        <w:rPr>
          <w:lang w:val="fr-CH"/>
        </w:rPr>
        <w:t>orateur espère travailler en étroite collaboration avec l</w:t>
      </w:r>
      <w:r w:rsidR="00AA41B1">
        <w:rPr>
          <w:lang w:val="fr-CH"/>
        </w:rPr>
        <w:t>'</w:t>
      </w:r>
      <w:r w:rsidRPr="00EA6037">
        <w:rPr>
          <w:lang w:val="fr-CH"/>
        </w:rPr>
        <w:t>UIT tout au long de ce processus</w:t>
      </w:r>
      <w:r>
        <w:rPr>
          <w:lang w:val="fr-CH"/>
        </w:rPr>
        <w:t>.</w:t>
      </w:r>
    </w:p>
    <w:p w:rsidR="00E37FE7" w:rsidRPr="001A01FC" w:rsidRDefault="00E37FE7" w:rsidP="00881FC1">
      <w:pPr>
        <w:rPr>
          <w:lang w:val="fr-CH"/>
        </w:rPr>
      </w:pPr>
      <w:r w:rsidRPr="00EA6037">
        <w:rPr>
          <w:lang w:val="fr-CH"/>
        </w:rPr>
        <w:t>1.2</w:t>
      </w:r>
      <w:r w:rsidRPr="00EA6037">
        <w:rPr>
          <w:lang w:val="fr-CH"/>
        </w:rPr>
        <w:tab/>
        <w:t>En réponse à des questions d</w:t>
      </w:r>
      <w:r w:rsidR="00AA41B1">
        <w:rPr>
          <w:lang w:val="fr-CH"/>
        </w:rPr>
        <w:t>'</w:t>
      </w:r>
      <w:r w:rsidRPr="00EA6037">
        <w:rPr>
          <w:lang w:val="fr-CH"/>
        </w:rPr>
        <w:t>un conseiller,</w:t>
      </w:r>
      <w:r>
        <w:rPr>
          <w:lang w:val="fr-CH"/>
        </w:rPr>
        <w:t xml:space="preserve"> </w:t>
      </w:r>
      <w:r w:rsidRPr="00EA6037">
        <w:rPr>
          <w:lang w:val="fr-CH"/>
        </w:rPr>
        <w:t xml:space="preserve">le Sous-Secrétaire général des Nations Unies pour la coordination stratégique </w:t>
      </w:r>
      <w:r>
        <w:rPr>
          <w:lang w:val="fr-CH"/>
        </w:rPr>
        <w:t>précise que des alliances multi-</w:t>
      </w:r>
      <w:r w:rsidRPr="00EA6037">
        <w:rPr>
          <w:lang w:val="fr-CH"/>
        </w:rPr>
        <w:t>parties prenantes seront nouées au niveau régional</w:t>
      </w:r>
      <w:r>
        <w:rPr>
          <w:lang w:val="fr-CH"/>
        </w:rPr>
        <w:t>, afin de renforcer les capacités des États Membres de formuler des politiques générales ainsi que des normes régissant les techniques numériques et de faire face aux situations d</w:t>
      </w:r>
      <w:r w:rsidR="00AA41B1">
        <w:rPr>
          <w:lang w:val="fr-CH"/>
        </w:rPr>
        <w:t>'</w:t>
      </w:r>
      <w:r>
        <w:rPr>
          <w:lang w:val="fr-CH"/>
        </w:rPr>
        <w:t>urgence,</w:t>
      </w:r>
      <w:r w:rsidRPr="00EA6037">
        <w:rPr>
          <w:lang w:val="fr-CH"/>
        </w:rPr>
        <w:t xml:space="preserve"> </w:t>
      </w:r>
      <w:r>
        <w:rPr>
          <w:lang w:val="fr-CH"/>
        </w:rPr>
        <w:t xml:space="preserve">par exemple le </w:t>
      </w:r>
      <w:r w:rsidRPr="00EA6037">
        <w:rPr>
          <w:lang w:val="fr-CH"/>
        </w:rPr>
        <w:t>vol de contenus numériques</w:t>
      </w:r>
      <w:r>
        <w:rPr>
          <w:lang w:val="fr-CH"/>
        </w:rPr>
        <w:t xml:space="preserve"> et les atteintes à ces contenus, qui trouvent un écho médiatique considérable.</w:t>
      </w:r>
      <w:r w:rsidRPr="006E05D7">
        <w:rPr>
          <w:lang w:val="fr-CH"/>
        </w:rPr>
        <w:t xml:space="preserve"> Il sera possible de compter sur le service d</w:t>
      </w:r>
      <w:r w:rsidR="00AA41B1">
        <w:rPr>
          <w:lang w:val="fr-CH"/>
        </w:rPr>
        <w:t>'</w:t>
      </w:r>
      <w:r w:rsidRPr="006E05D7">
        <w:rPr>
          <w:lang w:val="fr-CH"/>
        </w:rPr>
        <w:t>assistance mondiale</w:t>
      </w:r>
      <w:r>
        <w:rPr>
          <w:lang w:val="fr-CH"/>
        </w:rPr>
        <w:t xml:space="preserve"> dans ces situations. Le partenariat conclu avec l</w:t>
      </w:r>
      <w:r w:rsidR="00AA41B1">
        <w:rPr>
          <w:lang w:val="fr-CH"/>
        </w:rPr>
        <w:t>'</w:t>
      </w:r>
      <w:r>
        <w:rPr>
          <w:lang w:val="fr-CH"/>
        </w:rPr>
        <w:t>UIT servira à renforcer et à intensifier les efforts, et non pas à faire double emploi avec ceux qui ont déjà été entrepris ou à s</w:t>
      </w:r>
      <w:r w:rsidR="00AA41B1">
        <w:rPr>
          <w:lang w:val="fr-CH"/>
        </w:rPr>
        <w:t>'</w:t>
      </w:r>
      <w:r>
        <w:rPr>
          <w:lang w:val="fr-CH"/>
        </w:rPr>
        <w:t>y substituer</w:t>
      </w:r>
      <w:r w:rsidRPr="006E05D7">
        <w:rPr>
          <w:lang w:val="fr-CH"/>
        </w:rPr>
        <w:t xml:space="preserve">. Les modalités de cette coopération seront </w:t>
      </w:r>
      <w:r>
        <w:rPr>
          <w:lang w:val="fr-CH"/>
        </w:rPr>
        <w:t xml:space="preserve">arrêtées </w:t>
      </w:r>
      <w:r w:rsidRPr="006E05D7">
        <w:rPr>
          <w:lang w:val="fr-CH"/>
        </w:rPr>
        <w:t>conjointement avec l</w:t>
      </w:r>
      <w:r w:rsidR="00AA41B1">
        <w:rPr>
          <w:lang w:val="fr-CH"/>
        </w:rPr>
        <w:t>'</w:t>
      </w:r>
      <w:r w:rsidRPr="006E05D7">
        <w:rPr>
          <w:lang w:val="fr-CH"/>
        </w:rPr>
        <w:t>UIT.</w:t>
      </w:r>
      <w:r>
        <w:rPr>
          <w:lang w:val="fr-CH"/>
        </w:rPr>
        <w:t xml:space="preserve"> </w:t>
      </w:r>
    </w:p>
    <w:p w:rsidR="00E37FE7" w:rsidRPr="001A01FC" w:rsidRDefault="00E37FE7" w:rsidP="00881FC1">
      <w:pPr>
        <w:rPr>
          <w:lang w:val="fr-CH"/>
        </w:rPr>
      </w:pPr>
      <w:r w:rsidRPr="001A01FC">
        <w:rPr>
          <w:lang w:val="fr-CH"/>
        </w:rPr>
        <w:t>1.3</w:t>
      </w:r>
      <w:r w:rsidRPr="001A01FC">
        <w:rPr>
          <w:lang w:val="fr-CH"/>
        </w:rPr>
        <w:tab/>
        <w:t>Les conseillers</w:t>
      </w:r>
      <w:r>
        <w:rPr>
          <w:lang w:val="fr-CH"/>
        </w:rPr>
        <w:t xml:space="preserve"> </w:t>
      </w:r>
      <w:r w:rsidRPr="001A01FC">
        <w:rPr>
          <w:lang w:val="fr-CH"/>
        </w:rPr>
        <w:t>remerci</w:t>
      </w:r>
      <w:r>
        <w:rPr>
          <w:lang w:val="fr-CH"/>
        </w:rPr>
        <w:t>ent</w:t>
      </w:r>
      <w:r w:rsidRPr="001A01FC">
        <w:rPr>
          <w:lang w:val="fr-CH"/>
        </w:rPr>
        <w:t xml:space="preserve"> le </w:t>
      </w:r>
      <w:r w:rsidRPr="001A01FC">
        <w:rPr>
          <w:color w:val="000000"/>
          <w:lang w:val="fr-CH"/>
        </w:rPr>
        <w:t>Sous-Secrétaire général</w:t>
      </w:r>
      <w:r w:rsidRPr="001A01FC">
        <w:rPr>
          <w:lang w:val="fr-CH"/>
        </w:rPr>
        <w:t xml:space="preserve"> et se</w:t>
      </w:r>
      <w:r>
        <w:rPr>
          <w:lang w:val="fr-CH"/>
        </w:rPr>
        <w:t xml:space="preserve"> </w:t>
      </w:r>
      <w:r w:rsidRPr="001A01FC">
        <w:rPr>
          <w:lang w:val="fr-CH"/>
        </w:rPr>
        <w:t>félicit</w:t>
      </w:r>
      <w:r>
        <w:rPr>
          <w:lang w:val="fr-CH"/>
        </w:rPr>
        <w:t>ent</w:t>
      </w:r>
      <w:r w:rsidRPr="001A01FC">
        <w:rPr>
          <w:lang w:val="fr-CH"/>
        </w:rPr>
        <w:t xml:space="preserve"> du rapport du Groupe de haut</w:t>
      </w:r>
      <w:r>
        <w:rPr>
          <w:lang w:val="fr-CH"/>
        </w:rPr>
        <w:t xml:space="preserve"> </w:t>
      </w:r>
      <w:r w:rsidRPr="001A01FC">
        <w:rPr>
          <w:lang w:val="fr-CH"/>
        </w:rPr>
        <w:t>niveau</w:t>
      </w:r>
      <w:r>
        <w:rPr>
          <w:lang w:val="fr-CH"/>
        </w:rPr>
        <w:t>.</w:t>
      </w:r>
    </w:p>
    <w:p w:rsidR="00E37FE7" w:rsidRPr="00977456" w:rsidRDefault="00E37FE7" w:rsidP="00881FC1">
      <w:pPr>
        <w:pStyle w:val="Heading1"/>
        <w:rPr>
          <w:sz w:val="26"/>
          <w:szCs w:val="26"/>
          <w:lang w:val="fr-CH"/>
        </w:rPr>
      </w:pPr>
      <w:r w:rsidRPr="00977456">
        <w:rPr>
          <w:sz w:val="26"/>
          <w:szCs w:val="26"/>
          <w:lang w:val="fr-CH"/>
        </w:rPr>
        <w:t>2</w:t>
      </w:r>
      <w:r w:rsidRPr="00977456">
        <w:rPr>
          <w:sz w:val="26"/>
          <w:szCs w:val="26"/>
          <w:lang w:val="fr-CH"/>
        </w:rPr>
        <w:tab/>
      </w:r>
      <w:r w:rsidRPr="003C4D74">
        <w:rPr>
          <w:lang w:val="fr-CH"/>
        </w:rPr>
        <w:t>Activités de l</w:t>
      </w:r>
      <w:r w:rsidR="00AA41B1">
        <w:rPr>
          <w:lang w:val="fr-CH"/>
        </w:rPr>
        <w:t>'</w:t>
      </w:r>
      <w:r w:rsidRPr="003C4D74">
        <w:rPr>
          <w:lang w:val="fr-CH"/>
        </w:rPr>
        <w:t>UIT relatives à la Résolution 70 (Rév. Dubaï, 2018) de la Conférence de plénipotentiaires</w:t>
      </w:r>
      <w:r>
        <w:rPr>
          <w:sz w:val="26"/>
          <w:szCs w:val="26"/>
          <w:lang w:val="fr-CH"/>
        </w:rPr>
        <w:t xml:space="preserve"> </w:t>
      </w:r>
      <w:r w:rsidRPr="00977456">
        <w:rPr>
          <w:sz w:val="26"/>
          <w:szCs w:val="26"/>
          <w:lang w:val="fr-CH"/>
        </w:rPr>
        <w:t xml:space="preserve">(Document </w:t>
      </w:r>
      <w:hyperlink r:id="rId14" w:history="1">
        <w:r w:rsidRPr="00977456">
          <w:rPr>
            <w:rStyle w:val="Hyperlink"/>
            <w:bCs/>
            <w:sz w:val="26"/>
            <w:szCs w:val="26"/>
            <w:lang w:val="fr-CH"/>
          </w:rPr>
          <w:t>C19/6</w:t>
        </w:r>
      </w:hyperlink>
      <w:r w:rsidRPr="00977456">
        <w:rPr>
          <w:sz w:val="26"/>
          <w:szCs w:val="26"/>
          <w:lang w:val="fr-CH"/>
        </w:rPr>
        <w:t>)</w:t>
      </w:r>
    </w:p>
    <w:p w:rsidR="00E37FE7" w:rsidRPr="001A01FC" w:rsidRDefault="00E37FE7" w:rsidP="00881FC1">
      <w:pPr>
        <w:rPr>
          <w:lang w:val="fr-CH"/>
        </w:rPr>
      </w:pPr>
      <w:r w:rsidRPr="001A01FC">
        <w:rPr>
          <w:lang w:val="fr-CH"/>
        </w:rPr>
        <w:t>2.1</w:t>
      </w:r>
      <w:r w:rsidRPr="001A01FC">
        <w:rPr>
          <w:lang w:val="fr-CH"/>
        </w:rPr>
        <w:tab/>
        <w:t xml:space="preserve">La Directrice du BDT, en sa qualité de Présidente du </w:t>
      </w:r>
      <w:r w:rsidR="00C9258C">
        <w:rPr>
          <w:color w:val="000000"/>
          <w:lang w:val="fr-CH"/>
        </w:rPr>
        <w:t>G</w:t>
      </w:r>
      <w:r w:rsidRPr="001A01FC">
        <w:rPr>
          <w:color w:val="000000"/>
          <w:lang w:val="fr-CH"/>
        </w:rPr>
        <w:t>roupe spécial de l</w:t>
      </w:r>
      <w:r w:rsidR="00AA41B1">
        <w:rPr>
          <w:color w:val="000000"/>
          <w:lang w:val="fr-CH"/>
        </w:rPr>
        <w:t>'</w:t>
      </w:r>
      <w:r w:rsidRPr="001A01FC">
        <w:rPr>
          <w:color w:val="000000"/>
          <w:lang w:val="fr-CH"/>
        </w:rPr>
        <w:t>UIT sur les questions de genre, présente le</w:t>
      </w:r>
      <w:r>
        <w:rPr>
          <w:color w:val="000000"/>
          <w:lang w:val="fr-CH"/>
        </w:rPr>
        <w:t xml:space="preserve"> </w:t>
      </w:r>
      <w:r w:rsidRPr="001A01FC">
        <w:rPr>
          <w:lang w:val="fr-CH"/>
        </w:rPr>
        <w:t>Document C19/6,</w:t>
      </w:r>
      <w:r>
        <w:rPr>
          <w:lang w:val="fr-CH"/>
        </w:rPr>
        <w:t xml:space="preserve"> qui donne une vue d</w:t>
      </w:r>
      <w:r w:rsidR="00AA41B1">
        <w:rPr>
          <w:lang w:val="fr-CH"/>
        </w:rPr>
        <w:t>'</w:t>
      </w:r>
      <w:r>
        <w:rPr>
          <w:lang w:val="fr-CH"/>
        </w:rPr>
        <w:t>ensemble des activités menées par l</w:t>
      </w:r>
      <w:r w:rsidR="00AA41B1">
        <w:rPr>
          <w:lang w:val="fr-CH"/>
        </w:rPr>
        <w:t>'</w:t>
      </w:r>
      <w:r>
        <w:rPr>
          <w:lang w:val="fr-CH"/>
        </w:rPr>
        <w:t xml:space="preserve">UIT au titre de la Résolution </w:t>
      </w:r>
      <w:r w:rsidRPr="001A01FC">
        <w:rPr>
          <w:lang w:val="fr-CH"/>
        </w:rPr>
        <w:t>70 (R</w:t>
      </w:r>
      <w:r>
        <w:rPr>
          <w:lang w:val="fr-CH"/>
        </w:rPr>
        <w:t>é</w:t>
      </w:r>
      <w:r w:rsidRPr="001A01FC">
        <w:rPr>
          <w:lang w:val="fr-CH"/>
        </w:rPr>
        <w:t>v. Duba</w:t>
      </w:r>
      <w:r>
        <w:rPr>
          <w:lang w:val="fr-CH"/>
        </w:rPr>
        <w:t>ï</w:t>
      </w:r>
      <w:r w:rsidRPr="001A01FC">
        <w:rPr>
          <w:lang w:val="fr-CH"/>
        </w:rPr>
        <w:t>, 2018)</w:t>
      </w:r>
      <w:r>
        <w:rPr>
          <w:lang w:val="fr-CH"/>
        </w:rPr>
        <w:t xml:space="preserve"> de la Conférence de plénipotentiaires, et attire tout particulièrement l</w:t>
      </w:r>
      <w:r w:rsidR="00AA41B1">
        <w:rPr>
          <w:lang w:val="fr-CH"/>
        </w:rPr>
        <w:t>'</w:t>
      </w:r>
      <w:r>
        <w:rPr>
          <w:lang w:val="fr-CH"/>
        </w:rPr>
        <w:t>attention sur les manifestations qui ont eu lieu dans plus d</w:t>
      </w:r>
      <w:r w:rsidR="00AA41B1">
        <w:rPr>
          <w:lang w:val="fr-CH"/>
        </w:rPr>
        <w:t>'</w:t>
      </w:r>
      <w:r>
        <w:rPr>
          <w:lang w:val="fr-CH"/>
        </w:rPr>
        <w:t>une centaine de pays à travers le monde pour</w:t>
      </w:r>
      <w:r w:rsidRPr="001A01FC">
        <w:rPr>
          <w:color w:val="000000"/>
          <w:lang w:val="fr-CH"/>
        </w:rPr>
        <w:t xml:space="preserve"> célébrer la Journée internationale des jeunes filles dans le secteur des TIC</w:t>
      </w:r>
      <w:r>
        <w:rPr>
          <w:color w:val="000000"/>
          <w:lang w:val="fr-CH"/>
        </w:rPr>
        <w:t>.</w:t>
      </w:r>
      <w:r>
        <w:rPr>
          <w:lang w:val="fr-CH"/>
        </w:rPr>
        <w:t xml:space="preserve"> </w:t>
      </w:r>
    </w:p>
    <w:p w:rsidR="00E37FE7" w:rsidRPr="001A01FC" w:rsidRDefault="00E37FE7" w:rsidP="00881FC1">
      <w:pPr>
        <w:rPr>
          <w:lang w:val="fr-CH"/>
        </w:rPr>
      </w:pPr>
      <w:r w:rsidRPr="001A01FC">
        <w:rPr>
          <w:lang w:val="fr-CH"/>
        </w:rPr>
        <w:t>2.2</w:t>
      </w:r>
      <w:r w:rsidRPr="001A01FC">
        <w:rPr>
          <w:lang w:val="fr-CH"/>
        </w:rPr>
        <w:tab/>
        <w:t>Une brève présentation vidéo</w:t>
      </w:r>
      <w:r>
        <w:rPr>
          <w:lang w:val="fr-CH"/>
        </w:rPr>
        <w:t>,</w:t>
      </w:r>
      <w:r w:rsidRPr="001A01FC">
        <w:rPr>
          <w:lang w:val="fr-CH"/>
        </w:rPr>
        <w:t xml:space="preserve"> retraçant les temps forts de la manifestation</w:t>
      </w:r>
      <w:r>
        <w:rPr>
          <w:lang w:val="fr-CH"/>
        </w:rPr>
        <w:t xml:space="preserve"> </w:t>
      </w:r>
      <w:r w:rsidRPr="001A01FC">
        <w:rPr>
          <w:lang w:val="fr-CH"/>
        </w:rPr>
        <w:t>"La journée des jeunes filles dans le secteur des TIC"</w:t>
      </w:r>
      <w:r>
        <w:rPr>
          <w:lang w:val="fr-CH"/>
        </w:rPr>
        <w:t xml:space="preserve"> qui a eu lieu à Addis-Abeba (Éthiopie), est projetée. </w:t>
      </w:r>
    </w:p>
    <w:p w:rsidR="00E37FE7" w:rsidRPr="00FE32AC" w:rsidRDefault="00E37FE7" w:rsidP="00881FC1">
      <w:pPr>
        <w:rPr>
          <w:lang w:val="fr-CH"/>
        </w:rPr>
      </w:pPr>
      <w:r w:rsidRPr="001A01FC">
        <w:rPr>
          <w:lang w:val="fr-CH"/>
        </w:rPr>
        <w:t>2.3</w:t>
      </w:r>
      <w:r w:rsidRPr="001A01FC">
        <w:rPr>
          <w:lang w:val="fr-CH"/>
        </w:rPr>
        <w:tab/>
      </w:r>
      <w:r>
        <w:rPr>
          <w:lang w:val="fr-CH"/>
        </w:rPr>
        <w:t>D</w:t>
      </w:r>
      <w:r w:rsidRPr="001A01FC">
        <w:rPr>
          <w:lang w:val="fr-CH"/>
        </w:rPr>
        <w:t xml:space="preserve">es Conseillers se </w:t>
      </w:r>
      <w:proofErr w:type="gramStart"/>
      <w:r w:rsidRPr="001A01FC">
        <w:rPr>
          <w:lang w:val="fr-CH"/>
        </w:rPr>
        <w:t>félicitent</w:t>
      </w:r>
      <w:proofErr w:type="gramEnd"/>
      <w:r w:rsidRPr="001A01FC">
        <w:rPr>
          <w:lang w:val="fr-CH"/>
        </w:rPr>
        <w:t xml:space="preserve"> du rapport et </w:t>
      </w:r>
      <w:r>
        <w:rPr>
          <w:lang w:val="fr-CH"/>
        </w:rPr>
        <w:t>saluent les efforts déployés par l</w:t>
      </w:r>
      <w:r w:rsidR="00AA41B1">
        <w:rPr>
          <w:lang w:val="fr-CH"/>
        </w:rPr>
        <w:t>'</w:t>
      </w:r>
      <w:r>
        <w:rPr>
          <w:lang w:val="fr-CH"/>
        </w:rPr>
        <w:t xml:space="preserve">UIT pour mettre en avant le rôle des femmes et des jeunes filles dans le secteur des TIC. </w:t>
      </w:r>
      <w:r w:rsidRPr="004A4DFA">
        <w:rPr>
          <w:lang w:val="fr-CH"/>
        </w:rPr>
        <w:t>Il</w:t>
      </w:r>
      <w:r>
        <w:rPr>
          <w:lang w:val="fr-CH"/>
        </w:rPr>
        <w:t>s</w:t>
      </w:r>
      <w:r w:rsidRPr="004A4DFA">
        <w:rPr>
          <w:lang w:val="fr-CH"/>
        </w:rPr>
        <w:t xml:space="preserve"> souligne</w:t>
      </w:r>
      <w:r>
        <w:rPr>
          <w:lang w:val="fr-CH"/>
        </w:rPr>
        <w:t>nt</w:t>
      </w:r>
      <w:r w:rsidRPr="004A4DFA">
        <w:rPr>
          <w:lang w:val="fr-CH"/>
        </w:rPr>
        <w:t xml:space="preserve"> l</w:t>
      </w:r>
      <w:r w:rsidR="00AA41B1">
        <w:rPr>
          <w:lang w:val="fr-CH"/>
        </w:rPr>
        <w:t>'</w:t>
      </w:r>
      <w:r w:rsidRPr="004A4DFA">
        <w:rPr>
          <w:lang w:val="fr-CH"/>
        </w:rPr>
        <w:t xml:space="preserve">importance de la participation des femmes et la nécessité de réduire la fracture numérique </w:t>
      </w:r>
      <w:r>
        <w:rPr>
          <w:lang w:val="fr-CH"/>
        </w:rPr>
        <w:t>entre</w:t>
      </w:r>
      <w:r w:rsidRPr="004A4DFA">
        <w:rPr>
          <w:lang w:val="fr-CH"/>
        </w:rPr>
        <w:t xml:space="preserve"> les hommes et </w:t>
      </w:r>
      <w:r>
        <w:rPr>
          <w:lang w:val="fr-CH"/>
        </w:rPr>
        <w:t xml:space="preserve">les </w:t>
      </w:r>
      <w:r w:rsidRPr="004A4DFA">
        <w:rPr>
          <w:lang w:val="fr-CH"/>
        </w:rPr>
        <w:t>femmes</w:t>
      </w:r>
      <w:r>
        <w:rPr>
          <w:lang w:val="fr-CH"/>
        </w:rPr>
        <w:t>, en donnant des exemples des mesures prises au niveau national et en décrivant les activités qu</w:t>
      </w:r>
      <w:r w:rsidR="00AA41B1">
        <w:rPr>
          <w:lang w:val="fr-CH"/>
        </w:rPr>
        <w:t>'</w:t>
      </w:r>
      <w:r>
        <w:rPr>
          <w:lang w:val="fr-CH"/>
        </w:rPr>
        <w:t xml:space="preserve">ils mènent pour célébrer la </w:t>
      </w:r>
      <w:r>
        <w:rPr>
          <w:color w:val="000000"/>
          <w:lang w:val="fr-CH"/>
        </w:rPr>
        <w:t>J</w:t>
      </w:r>
      <w:r w:rsidRPr="001A01FC">
        <w:rPr>
          <w:color w:val="000000"/>
          <w:lang w:val="fr-CH"/>
        </w:rPr>
        <w:t>ournée des jeunes filles dans le secteur des TIC</w:t>
      </w:r>
      <w:r>
        <w:rPr>
          <w:color w:val="000000"/>
          <w:lang w:val="fr-CH"/>
        </w:rPr>
        <w:t xml:space="preserve">. </w:t>
      </w:r>
      <w:r w:rsidRPr="004A4DFA">
        <w:rPr>
          <w:color w:val="000000"/>
          <w:lang w:val="fr-CH"/>
        </w:rPr>
        <w:t>Des questions sont</w:t>
      </w:r>
      <w:r>
        <w:rPr>
          <w:color w:val="000000"/>
          <w:lang w:val="fr-CH"/>
        </w:rPr>
        <w:t xml:space="preserve"> </w:t>
      </w:r>
      <w:r w:rsidRPr="004A4DFA">
        <w:rPr>
          <w:color w:val="000000"/>
          <w:lang w:val="fr-CH"/>
        </w:rPr>
        <w:t>soulevées au sujet de la planification concernant l</w:t>
      </w:r>
      <w:r w:rsidR="00AA41B1">
        <w:rPr>
          <w:color w:val="000000"/>
          <w:lang w:val="fr-CH"/>
        </w:rPr>
        <w:t>'</w:t>
      </w:r>
      <w:r w:rsidRPr="004A4DFA">
        <w:rPr>
          <w:color w:val="000000"/>
          <w:lang w:val="fr-CH"/>
        </w:rPr>
        <w:t>égalité hommes/femmes et l</w:t>
      </w:r>
      <w:r w:rsidR="00AA41B1">
        <w:rPr>
          <w:color w:val="000000"/>
          <w:lang w:val="fr-CH"/>
        </w:rPr>
        <w:t>'</w:t>
      </w:r>
      <w:r w:rsidRPr="004A4DFA">
        <w:rPr>
          <w:color w:val="000000"/>
          <w:lang w:val="fr-CH"/>
        </w:rPr>
        <w:t>intégration du principe de l</w:t>
      </w:r>
      <w:r w:rsidR="00AA41B1">
        <w:rPr>
          <w:color w:val="000000"/>
          <w:lang w:val="fr-CH"/>
        </w:rPr>
        <w:t>'</w:t>
      </w:r>
      <w:r w:rsidRPr="004A4DFA">
        <w:rPr>
          <w:color w:val="000000"/>
          <w:lang w:val="fr-CH"/>
        </w:rPr>
        <w:t>égalité hommes/femmes (GEM)</w:t>
      </w:r>
      <w:r w:rsidRPr="004A4DFA">
        <w:rPr>
          <w:lang w:val="fr-CH"/>
        </w:rPr>
        <w:t xml:space="preserve">, et, en particulier, </w:t>
      </w:r>
      <w:r>
        <w:rPr>
          <w:lang w:val="fr-CH"/>
        </w:rPr>
        <w:t>au sujet de</w:t>
      </w:r>
      <w:r w:rsidRPr="004A4DFA">
        <w:rPr>
          <w:lang w:val="fr-CH"/>
        </w:rPr>
        <w:t xml:space="preserve"> la façon dont </w:t>
      </w:r>
      <w:r>
        <w:rPr>
          <w:lang w:val="fr-CH"/>
        </w:rPr>
        <w:t xml:space="preserve">cette planification pourrait être intégrée dans le plan stratégique pour les ressources </w:t>
      </w:r>
      <w:r>
        <w:rPr>
          <w:lang w:val="fr-CH"/>
        </w:rPr>
        <w:lastRenderedPageBreak/>
        <w:t>humaines, et les plans opérationnels, de la façon dont l</w:t>
      </w:r>
      <w:r w:rsidR="00AA41B1">
        <w:rPr>
          <w:lang w:val="fr-CH"/>
        </w:rPr>
        <w:t>'</w:t>
      </w:r>
      <w:r>
        <w:rPr>
          <w:lang w:val="fr-CH"/>
        </w:rPr>
        <w:t xml:space="preserve">objectif financier de référence pour la politique </w:t>
      </w:r>
      <w:r w:rsidRPr="004A4DFA">
        <w:rPr>
          <w:lang w:val="fr-CH"/>
        </w:rPr>
        <w:t>GEM</w:t>
      </w:r>
      <w:r>
        <w:rPr>
          <w:lang w:val="fr-CH"/>
        </w:rPr>
        <w:t xml:space="preserve"> sera établi et </w:t>
      </w:r>
      <w:r w:rsidR="00B87551">
        <w:rPr>
          <w:lang w:val="fr-CH"/>
        </w:rPr>
        <w:t xml:space="preserve">de </w:t>
      </w:r>
      <w:r>
        <w:rPr>
          <w:lang w:val="fr-CH"/>
        </w:rPr>
        <w:t xml:space="preserve">la question de savoir si des ressources financières ou des ressources humaines additionnelles seront nécessaires pour assurer la mise en œuvre pleine et entière de la politique </w:t>
      </w:r>
      <w:r w:rsidRPr="004A4DFA">
        <w:rPr>
          <w:lang w:val="fr-CH"/>
        </w:rPr>
        <w:t xml:space="preserve">GEM. </w:t>
      </w:r>
      <w:r>
        <w:rPr>
          <w:lang w:val="fr-CH"/>
        </w:rPr>
        <w:t xml:space="preserve">Des conseillers se félicitent, en particulier, du </w:t>
      </w:r>
      <w:r w:rsidRPr="00FE32AC">
        <w:rPr>
          <w:color w:val="000000"/>
          <w:lang w:val="fr-CH"/>
        </w:rPr>
        <w:t>tableau de bord de l</w:t>
      </w:r>
      <w:r w:rsidR="00AA41B1">
        <w:rPr>
          <w:color w:val="000000"/>
          <w:lang w:val="fr-CH"/>
        </w:rPr>
        <w:t>'</w:t>
      </w:r>
      <w:r w:rsidRPr="00FE32AC">
        <w:rPr>
          <w:color w:val="000000"/>
          <w:lang w:val="fr-CH"/>
        </w:rPr>
        <w:t>UIT sur l</w:t>
      </w:r>
      <w:r w:rsidR="00AA41B1">
        <w:rPr>
          <w:color w:val="000000"/>
          <w:lang w:val="fr-CH"/>
        </w:rPr>
        <w:t>'</w:t>
      </w:r>
      <w:r w:rsidRPr="00FE32AC">
        <w:rPr>
          <w:color w:val="000000"/>
          <w:lang w:val="fr-CH"/>
        </w:rPr>
        <w:t>égalité hommes/femmes</w:t>
      </w:r>
      <w:r>
        <w:rPr>
          <w:color w:val="000000"/>
          <w:lang w:val="fr-CH"/>
        </w:rPr>
        <w:t xml:space="preserve"> et de la participation de l</w:t>
      </w:r>
      <w:r w:rsidR="00AA41B1">
        <w:rPr>
          <w:color w:val="000000"/>
          <w:lang w:val="fr-CH"/>
        </w:rPr>
        <w:t>'</w:t>
      </w:r>
      <w:r>
        <w:rPr>
          <w:color w:val="000000"/>
          <w:lang w:val="fr-CH"/>
        </w:rPr>
        <w:t>UIT à l</w:t>
      </w:r>
      <w:r w:rsidR="00AA41B1">
        <w:rPr>
          <w:color w:val="000000"/>
          <w:lang w:val="fr-CH"/>
        </w:rPr>
        <w:t>'</w:t>
      </w:r>
      <w:r>
        <w:rPr>
          <w:color w:val="000000"/>
          <w:lang w:val="fr-CH"/>
        </w:rPr>
        <w:t xml:space="preserve">application du </w:t>
      </w:r>
      <w:r w:rsidRPr="00FE32AC">
        <w:rPr>
          <w:color w:val="000000"/>
          <w:lang w:val="fr-CH"/>
        </w:rPr>
        <w:t>Code de conduite</w:t>
      </w:r>
      <w:r>
        <w:rPr>
          <w:color w:val="000000"/>
          <w:lang w:val="fr-CH"/>
        </w:rPr>
        <w:t xml:space="preserve"> </w:t>
      </w:r>
      <w:r w:rsidRPr="00FE32AC">
        <w:rPr>
          <w:color w:val="000000"/>
          <w:lang w:val="fr-CH"/>
        </w:rPr>
        <w:t xml:space="preserve">visant à prévenir le harcèlement sexuel au cours ou dans le cadre des manifestations </w:t>
      </w:r>
      <w:r w:rsidR="00B87551">
        <w:rPr>
          <w:color w:val="000000"/>
          <w:lang w:val="fr-CH"/>
        </w:rPr>
        <w:t>des Nations Unies</w:t>
      </w:r>
      <w:r>
        <w:rPr>
          <w:color w:val="000000"/>
          <w:lang w:val="fr-CH"/>
        </w:rPr>
        <w:t>.</w:t>
      </w:r>
      <w:r w:rsidRPr="00FE32AC">
        <w:rPr>
          <w:lang w:val="fr-CH"/>
        </w:rPr>
        <w:t xml:space="preserve"> Ils saluent également les efforts déployés pour</w:t>
      </w:r>
      <w:r w:rsidRPr="00FE32AC">
        <w:rPr>
          <w:color w:val="000000"/>
          <w:lang w:val="fr-CH"/>
        </w:rPr>
        <w:t xml:space="preserve"> améliorer l</w:t>
      </w:r>
      <w:r w:rsidR="00AA41B1">
        <w:rPr>
          <w:color w:val="000000"/>
          <w:lang w:val="fr-CH"/>
        </w:rPr>
        <w:t>'</w:t>
      </w:r>
      <w:r w:rsidRPr="00FE32AC">
        <w:rPr>
          <w:color w:val="000000"/>
          <w:lang w:val="fr-CH"/>
        </w:rPr>
        <w:t>équilibre hommes-femmes au sein du personnel de l</w:t>
      </w:r>
      <w:r w:rsidR="00AA41B1">
        <w:rPr>
          <w:color w:val="000000"/>
          <w:lang w:val="fr-CH"/>
        </w:rPr>
        <w:t>'</w:t>
      </w:r>
      <w:r w:rsidRPr="00FE32AC">
        <w:rPr>
          <w:color w:val="000000"/>
          <w:lang w:val="fr-CH"/>
        </w:rPr>
        <w:t>UIT</w:t>
      </w:r>
      <w:r w:rsidR="00B87551">
        <w:rPr>
          <w:color w:val="000000"/>
          <w:lang w:val="fr-CH"/>
        </w:rPr>
        <w:t xml:space="preserve"> et </w:t>
      </w:r>
      <w:r>
        <w:rPr>
          <w:color w:val="000000"/>
          <w:lang w:val="fr-CH"/>
        </w:rPr>
        <w:t>l</w:t>
      </w:r>
      <w:r w:rsidR="00AA41B1">
        <w:rPr>
          <w:color w:val="000000"/>
          <w:lang w:val="fr-CH"/>
        </w:rPr>
        <w:t>'</w:t>
      </w:r>
      <w:r>
        <w:rPr>
          <w:color w:val="000000"/>
          <w:lang w:val="fr-CH"/>
        </w:rPr>
        <w:t>accession, dernièrement, de femmes à des postes de direction.</w:t>
      </w:r>
      <w:r>
        <w:rPr>
          <w:lang w:val="fr-CH"/>
        </w:rPr>
        <w:t xml:space="preserve"> </w:t>
      </w:r>
    </w:p>
    <w:p w:rsidR="00E37FE7" w:rsidRDefault="00E37FE7" w:rsidP="00881FC1">
      <w:pPr>
        <w:rPr>
          <w:lang w:val="fr-CH"/>
        </w:rPr>
      </w:pPr>
      <w:r w:rsidRPr="00FE32AC">
        <w:rPr>
          <w:lang w:val="fr-CH"/>
        </w:rPr>
        <w:t>2.4</w:t>
      </w:r>
      <w:r w:rsidRPr="00FE32AC">
        <w:rPr>
          <w:lang w:val="fr-CH"/>
        </w:rPr>
        <w:tab/>
        <w:t>Des problèmes subsistent en dépit des progrès accomplis; des conseillers notent que la conformité de l</w:t>
      </w:r>
      <w:r w:rsidR="00AA41B1">
        <w:rPr>
          <w:lang w:val="fr-CH"/>
        </w:rPr>
        <w:t>'</w:t>
      </w:r>
      <w:r w:rsidRPr="00FE32AC">
        <w:rPr>
          <w:lang w:val="fr-CH"/>
        </w:rPr>
        <w:t xml:space="preserve">UIT </w:t>
      </w:r>
      <w:r>
        <w:rPr>
          <w:lang w:val="fr-CH"/>
        </w:rPr>
        <w:t>au</w:t>
      </w:r>
      <w:r w:rsidRPr="00FE32AC">
        <w:rPr>
          <w:lang w:val="fr-CH"/>
        </w:rPr>
        <w:t xml:space="preserve"> Plan d</w:t>
      </w:r>
      <w:r w:rsidR="00AA41B1">
        <w:rPr>
          <w:lang w:val="fr-CH"/>
        </w:rPr>
        <w:t>'</w:t>
      </w:r>
      <w:r w:rsidRPr="00FE32AC">
        <w:rPr>
          <w:lang w:val="fr-CH"/>
        </w:rPr>
        <w:t>action à l</w:t>
      </w:r>
      <w:r w:rsidR="00AA41B1">
        <w:rPr>
          <w:lang w:val="fr-CH"/>
        </w:rPr>
        <w:t>'</w:t>
      </w:r>
      <w:r w:rsidRPr="00FE32AC">
        <w:rPr>
          <w:lang w:val="fr-CH"/>
        </w:rPr>
        <w:t>échelle du système des Nations Unies (ONU-SWAP) dans le domaine de l</w:t>
      </w:r>
      <w:r w:rsidR="00AA41B1">
        <w:rPr>
          <w:lang w:val="fr-CH"/>
        </w:rPr>
        <w:t>'</w:t>
      </w:r>
      <w:r w:rsidRPr="00FE32AC">
        <w:rPr>
          <w:lang w:val="fr-CH"/>
        </w:rPr>
        <w:t>égalité des sexes et de l</w:t>
      </w:r>
      <w:r w:rsidR="00AA41B1">
        <w:rPr>
          <w:lang w:val="fr-CH"/>
        </w:rPr>
        <w:t>'</w:t>
      </w:r>
      <w:r w:rsidRPr="00FE32AC">
        <w:rPr>
          <w:lang w:val="fr-CH"/>
        </w:rPr>
        <w:t>autonomisation des femmes</w:t>
      </w:r>
      <w:r>
        <w:rPr>
          <w:lang w:val="fr-CH"/>
        </w:rPr>
        <w:t xml:space="preserve"> est</w:t>
      </w:r>
      <w:r w:rsidR="003E2465">
        <w:rPr>
          <w:lang w:val="fr-CH"/>
        </w:rPr>
        <w:t xml:space="preserve"> de 40</w:t>
      </w:r>
      <w:r>
        <w:rPr>
          <w:lang w:val="fr-CH"/>
        </w:rPr>
        <w:t>% seulement</w:t>
      </w:r>
      <w:r w:rsidRPr="00FE32AC">
        <w:rPr>
          <w:lang w:val="fr-CH"/>
        </w:rPr>
        <w:t>.</w:t>
      </w:r>
      <w:r>
        <w:rPr>
          <w:lang w:val="fr-CH"/>
        </w:rPr>
        <w:t xml:space="preserve"> Un changement culturel sera indispensable pour améliorer cette conformité. </w:t>
      </w:r>
      <w:r w:rsidRPr="00585383">
        <w:rPr>
          <w:lang w:val="fr-CH"/>
        </w:rPr>
        <w:t>La Résolution 70 a été largement révisée par la</w:t>
      </w:r>
      <w:r>
        <w:rPr>
          <w:lang w:val="fr-CH"/>
        </w:rPr>
        <w:t xml:space="preserve"> </w:t>
      </w:r>
      <w:r w:rsidRPr="00585383">
        <w:rPr>
          <w:lang w:val="fr-CH"/>
        </w:rPr>
        <w:t xml:space="preserve">PP-18 et les rapports futurs sur sa mise en œuvre devraient </w:t>
      </w:r>
      <w:r>
        <w:rPr>
          <w:lang w:val="fr-CH"/>
        </w:rPr>
        <w:t>davantage mettre l</w:t>
      </w:r>
      <w:r w:rsidR="00AA41B1">
        <w:rPr>
          <w:lang w:val="fr-CH"/>
        </w:rPr>
        <w:t>'</w:t>
      </w:r>
      <w:r>
        <w:rPr>
          <w:lang w:val="fr-CH"/>
        </w:rPr>
        <w:t>accent sur les nouvelles dispositions, en particulier</w:t>
      </w:r>
      <w:r w:rsidRPr="00585383">
        <w:rPr>
          <w:lang w:val="fr-CH"/>
        </w:rPr>
        <w:t xml:space="preserve"> l</w:t>
      </w:r>
      <w:r w:rsidR="00AA41B1">
        <w:rPr>
          <w:lang w:val="fr-CH"/>
        </w:rPr>
        <w:t>'</w:t>
      </w:r>
      <w:r w:rsidRPr="00585383">
        <w:rPr>
          <w:lang w:val="fr-CH"/>
        </w:rPr>
        <w:t>intégration du principe de l</w:t>
      </w:r>
      <w:r w:rsidR="00AA41B1">
        <w:rPr>
          <w:lang w:val="fr-CH"/>
        </w:rPr>
        <w:t>'</w:t>
      </w:r>
      <w:r w:rsidRPr="00585383">
        <w:rPr>
          <w:lang w:val="fr-CH"/>
        </w:rPr>
        <w:t>égalité</w:t>
      </w:r>
      <w:r w:rsidR="003E2465">
        <w:rPr>
          <w:lang w:val="fr-CH"/>
        </w:rPr>
        <w:t xml:space="preserve"> hommes</w:t>
      </w:r>
      <w:r w:rsidR="003E2465">
        <w:rPr>
          <w:lang w:val="fr-CH"/>
        </w:rPr>
        <w:noBreakHyphen/>
      </w:r>
      <w:r>
        <w:rPr>
          <w:lang w:val="fr-CH"/>
        </w:rPr>
        <w:t>femmes</w:t>
      </w:r>
      <w:r w:rsidRPr="00585383">
        <w:rPr>
          <w:lang w:val="fr-CH"/>
        </w:rPr>
        <w:t xml:space="preserve"> </w:t>
      </w:r>
      <w:r>
        <w:rPr>
          <w:lang w:val="fr-CH"/>
        </w:rPr>
        <w:t>et la réalisation des objectifs fixés dans le domaine de l</w:t>
      </w:r>
      <w:r w:rsidR="00AA41B1">
        <w:rPr>
          <w:lang w:val="fr-CH"/>
        </w:rPr>
        <w:t>'</w:t>
      </w:r>
      <w:r>
        <w:rPr>
          <w:lang w:val="fr-CH"/>
        </w:rPr>
        <w:t>égalité des sexes. Il serait bon de disposer d</w:t>
      </w:r>
      <w:r w:rsidR="00AA41B1">
        <w:rPr>
          <w:lang w:val="fr-CH"/>
        </w:rPr>
        <w:t>'</w:t>
      </w:r>
      <w:r>
        <w:rPr>
          <w:lang w:val="fr-CH"/>
        </w:rPr>
        <w:t xml:space="preserve">informations sur la mise en œuvre </w:t>
      </w:r>
      <w:r w:rsidR="003E2465">
        <w:rPr>
          <w:lang w:val="fr-CH"/>
        </w:rPr>
        <w:t xml:space="preserve">au </w:t>
      </w:r>
      <w:r>
        <w:rPr>
          <w:lang w:val="fr-CH"/>
        </w:rPr>
        <w:t>niveau régional et de mener à bien davantage d</w:t>
      </w:r>
      <w:r w:rsidR="00AA41B1">
        <w:rPr>
          <w:lang w:val="fr-CH"/>
        </w:rPr>
        <w:t>'</w:t>
      </w:r>
      <w:r>
        <w:rPr>
          <w:lang w:val="fr-CH"/>
        </w:rPr>
        <w:t>activités pour encourager la participation des femmes au secteur de l</w:t>
      </w:r>
      <w:r w:rsidR="00AA41B1">
        <w:rPr>
          <w:lang w:val="fr-CH"/>
        </w:rPr>
        <w:t>'</w:t>
      </w:r>
      <w:r>
        <w:rPr>
          <w:lang w:val="fr-CH"/>
        </w:rPr>
        <w:t xml:space="preserve">intelligence artificielle. </w:t>
      </w:r>
    </w:p>
    <w:p w:rsidR="00E37FE7" w:rsidRPr="00D827B9" w:rsidRDefault="00E37FE7" w:rsidP="00881FC1">
      <w:pPr>
        <w:rPr>
          <w:lang w:val="fr-CH"/>
        </w:rPr>
      </w:pPr>
      <w:r w:rsidRPr="00C9326B">
        <w:rPr>
          <w:lang w:val="fr-CH"/>
        </w:rPr>
        <w:t>2.5</w:t>
      </w:r>
      <w:r w:rsidRPr="00C9326B">
        <w:rPr>
          <w:lang w:val="fr-CH"/>
        </w:rPr>
        <w:tab/>
        <w:t>La Directrice</w:t>
      </w:r>
      <w:r>
        <w:rPr>
          <w:lang w:val="fr-CH"/>
        </w:rPr>
        <w:t xml:space="preserve"> </w:t>
      </w:r>
      <w:r w:rsidRPr="00C9326B">
        <w:rPr>
          <w:lang w:val="fr-CH"/>
        </w:rPr>
        <w:t>du BDT se félicite</w:t>
      </w:r>
      <w:r>
        <w:rPr>
          <w:lang w:val="fr-CH"/>
        </w:rPr>
        <w:t xml:space="preserve"> </w:t>
      </w:r>
      <w:r w:rsidRPr="00C9326B">
        <w:rPr>
          <w:lang w:val="fr-CH"/>
        </w:rPr>
        <w:t>de tous les efforts entrepris au niveau national et déclare que l</w:t>
      </w:r>
      <w:r w:rsidR="00AA41B1">
        <w:rPr>
          <w:lang w:val="fr-CH"/>
        </w:rPr>
        <w:t>'</w:t>
      </w:r>
      <w:r w:rsidRPr="00C9326B">
        <w:rPr>
          <w:lang w:val="fr-CH"/>
        </w:rPr>
        <w:t xml:space="preserve">intégration </w:t>
      </w:r>
      <w:r w:rsidR="003E2465">
        <w:rPr>
          <w:lang w:val="fr-CH"/>
        </w:rPr>
        <w:t>du principe de l</w:t>
      </w:r>
      <w:r w:rsidR="00AA41B1">
        <w:rPr>
          <w:lang w:val="fr-CH"/>
        </w:rPr>
        <w:t>'</w:t>
      </w:r>
      <w:r w:rsidR="003E2465">
        <w:rPr>
          <w:lang w:val="fr-CH"/>
        </w:rPr>
        <w:t>égalité hommes-</w:t>
      </w:r>
      <w:r w:rsidRPr="00C9326B">
        <w:rPr>
          <w:lang w:val="fr-CH"/>
        </w:rPr>
        <w:t xml:space="preserve">femmes </w:t>
      </w:r>
      <w:r>
        <w:rPr>
          <w:lang w:val="fr-CH"/>
        </w:rPr>
        <w:t>ne relève pas uniquement du secrétariat de l</w:t>
      </w:r>
      <w:r w:rsidR="00AA41B1">
        <w:rPr>
          <w:lang w:val="fr-CH"/>
        </w:rPr>
        <w:t>'</w:t>
      </w:r>
      <w:r>
        <w:rPr>
          <w:lang w:val="fr-CH"/>
        </w:rPr>
        <w:t>UIT, mais est l</w:t>
      </w:r>
      <w:r w:rsidR="00AA41B1">
        <w:rPr>
          <w:lang w:val="fr-CH"/>
        </w:rPr>
        <w:t>'</w:t>
      </w:r>
      <w:r>
        <w:rPr>
          <w:lang w:val="fr-CH"/>
        </w:rPr>
        <w:t>affaire de toutes les parties prenantes.</w:t>
      </w:r>
      <w:r w:rsidRPr="00C9326B">
        <w:rPr>
          <w:lang w:val="fr-CH"/>
        </w:rPr>
        <w:t xml:space="preserve"> Pour ce qui est de l</w:t>
      </w:r>
      <w:r w:rsidR="00AA41B1">
        <w:rPr>
          <w:lang w:val="fr-CH"/>
        </w:rPr>
        <w:t>'</w:t>
      </w:r>
      <w:r w:rsidRPr="00C9326B">
        <w:rPr>
          <w:lang w:val="fr-CH"/>
        </w:rPr>
        <w:t xml:space="preserve">intégration interne de la problématique hommes-femmes, </w:t>
      </w:r>
      <w:r>
        <w:rPr>
          <w:lang w:val="fr-CH"/>
        </w:rPr>
        <w:t>le plan d</w:t>
      </w:r>
      <w:r w:rsidR="00AA41B1">
        <w:rPr>
          <w:lang w:val="fr-CH"/>
        </w:rPr>
        <w:t>'</w:t>
      </w:r>
      <w:r>
        <w:rPr>
          <w:lang w:val="fr-CH"/>
        </w:rPr>
        <w:t xml:space="preserve">action </w:t>
      </w:r>
      <w:r w:rsidRPr="00C9326B">
        <w:rPr>
          <w:lang w:val="fr-CH"/>
        </w:rPr>
        <w:t xml:space="preserve">GEM </w:t>
      </w:r>
      <w:r>
        <w:rPr>
          <w:lang w:val="fr-CH"/>
        </w:rPr>
        <w:t xml:space="preserve">est actuellement pris en compte dans le nouveau plan stratégique pour les ressources humaines et dans la planification opérationnelle. Des efforts sont déployés pour assurer </w:t>
      </w:r>
      <w:r w:rsidRPr="00C9326B">
        <w:rPr>
          <w:lang w:val="fr-CH"/>
        </w:rPr>
        <w:t>une représentation équilibrée des hommes et des femmes</w:t>
      </w:r>
      <w:r>
        <w:rPr>
          <w:lang w:val="fr-CH"/>
        </w:rPr>
        <w:t xml:space="preserve"> au sein des </w:t>
      </w:r>
      <w:r w:rsidRPr="00C9326B">
        <w:rPr>
          <w:lang w:val="fr-CH"/>
        </w:rPr>
        <w:t>comités internes</w:t>
      </w:r>
      <w:r>
        <w:rPr>
          <w:lang w:val="fr-CH"/>
        </w:rPr>
        <w:t xml:space="preserve"> et pour suivre les résultats positifs obtenus et en rendre compte au moyen du tableau de bord</w:t>
      </w:r>
      <w:r w:rsidRPr="00C9326B">
        <w:rPr>
          <w:lang w:val="fr-CH"/>
        </w:rPr>
        <w:t xml:space="preserve"> </w:t>
      </w:r>
      <w:r w:rsidRPr="00D827B9">
        <w:rPr>
          <w:lang w:val="fr-CH"/>
        </w:rPr>
        <w:t>sur l</w:t>
      </w:r>
      <w:r w:rsidR="00AA41B1">
        <w:rPr>
          <w:lang w:val="fr-CH"/>
        </w:rPr>
        <w:t>'</w:t>
      </w:r>
      <w:r w:rsidRPr="00D827B9">
        <w:rPr>
          <w:lang w:val="fr-CH"/>
        </w:rPr>
        <w:t>égalité hommes/femmes</w:t>
      </w:r>
      <w:r>
        <w:rPr>
          <w:lang w:val="fr-CH"/>
        </w:rPr>
        <w:t>. Une nouvelle politique en matière de harcèlement et de lutte contre la fraude a été élaborée, de même qu</w:t>
      </w:r>
      <w:r w:rsidR="00AA41B1">
        <w:rPr>
          <w:lang w:val="fr-CH"/>
        </w:rPr>
        <w:t>'</w:t>
      </w:r>
      <w:r>
        <w:rPr>
          <w:lang w:val="fr-CH"/>
        </w:rPr>
        <w:t>une politique</w:t>
      </w:r>
      <w:r w:rsidRPr="00D827B9">
        <w:rPr>
          <w:lang w:val="fr-CH"/>
        </w:rPr>
        <w:t xml:space="preserve"> en ce qui concerne le harcèlement sexuel</w:t>
      </w:r>
      <w:r w:rsidR="003E2465">
        <w:rPr>
          <w:lang w:val="fr-CH"/>
        </w:rPr>
        <w:t>,</w:t>
      </w:r>
      <w:r>
        <w:rPr>
          <w:lang w:val="fr-CH"/>
        </w:rPr>
        <w:t xml:space="preserve"> et une politique interne </w:t>
      </w:r>
      <w:r w:rsidRPr="00D827B9">
        <w:rPr>
          <w:lang w:val="fr-CH"/>
        </w:rPr>
        <w:t xml:space="preserve">relative à la protection de ceux qui dénoncent des irrégularités </w:t>
      </w:r>
      <w:r>
        <w:rPr>
          <w:lang w:val="fr-CH"/>
        </w:rPr>
        <w:t xml:space="preserve">est en préparation. </w:t>
      </w:r>
      <w:r w:rsidRPr="00D827B9">
        <w:rPr>
          <w:lang w:val="fr-CH"/>
        </w:rPr>
        <w:t>Il serait intéressant que les États Membres communiquent d</w:t>
      </w:r>
      <w:r w:rsidR="00AA41B1">
        <w:rPr>
          <w:lang w:val="fr-CH"/>
        </w:rPr>
        <w:t>'</w:t>
      </w:r>
      <w:r w:rsidRPr="00D827B9">
        <w:rPr>
          <w:lang w:val="fr-CH"/>
        </w:rPr>
        <w:t>éventuelles données d</w:t>
      </w:r>
      <w:r w:rsidR="00AA41B1">
        <w:rPr>
          <w:lang w:val="fr-CH"/>
        </w:rPr>
        <w:t>'</w:t>
      </w:r>
      <w:r w:rsidRPr="00D827B9">
        <w:rPr>
          <w:lang w:val="fr-CH"/>
        </w:rPr>
        <w:t>expérience sur la façon</w:t>
      </w:r>
      <w:r>
        <w:rPr>
          <w:lang w:val="fr-CH"/>
        </w:rPr>
        <w:t xml:space="preserve"> de progresser encore dans la mise en œuvre des indicateurs</w:t>
      </w:r>
      <w:r w:rsidRPr="00D827B9">
        <w:rPr>
          <w:lang w:val="fr-CH"/>
        </w:rPr>
        <w:t xml:space="preserve"> de performance d</w:t>
      </w:r>
      <w:r w:rsidR="00AA41B1">
        <w:rPr>
          <w:lang w:val="fr-CH"/>
        </w:rPr>
        <w:t>'</w:t>
      </w:r>
      <w:r w:rsidRPr="00D827B9">
        <w:rPr>
          <w:lang w:val="fr-CH"/>
        </w:rPr>
        <w:t xml:space="preserve">ONU-SWAP. </w:t>
      </w:r>
      <w:r>
        <w:rPr>
          <w:lang w:val="fr-CH"/>
        </w:rPr>
        <w:t xml:space="preserve">Les ressources affectées à la planification de la politique </w:t>
      </w:r>
      <w:r w:rsidRPr="00D827B9">
        <w:rPr>
          <w:lang w:val="fr-CH"/>
        </w:rPr>
        <w:t>GEM</w:t>
      </w:r>
      <w:r>
        <w:rPr>
          <w:lang w:val="fr-CH"/>
        </w:rPr>
        <w:t xml:space="preserve"> sont limitées et le secrétariat ne ménage aucun effort dans les limites des ressources dont il dispose.</w:t>
      </w:r>
    </w:p>
    <w:p w:rsidR="00E37FE7" w:rsidRPr="007A3ECB" w:rsidRDefault="00E37FE7" w:rsidP="00881FC1">
      <w:pPr>
        <w:rPr>
          <w:lang w:val="fr-CH"/>
        </w:rPr>
      </w:pPr>
      <w:r w:rsidRPr="007A3ECB">
        <w:rPr>
          <w:lang w:val="fr-CH"/>
        </w:rPr>
        <w:t>2.6</w:t>
      </w:r>
      <w:r w:rsidRPr="007A3ECB">
        <w:rPr>
          <w:lang w:val="fr-CH"/>
        </w:rPr>
        <w:tab/>
        <w:t>Le Conseil</w:t>
      </w:r>
      <w:r>
        <w:rPr>
          <w:lang w:val="fr-CH"/>
        </w:rPr>
        <w:t xml:space="preserve"> </w:t>
      </w:r>
      <w:r w:rsidRPr="00C9258C">
        <w:rPr>
          <w:b/>
          <w:bCs/>
          <w:lang w:val="fr-CH"/>
        </w:rPr>
        <w:t>prend note</w:t>
      </w:r>
      <w:r w:rsidRPr="007A3ECB">
        <w:rPr>
          <w:lang w:val="fr-CH"/>
        </w:rPr>
        <w:t xml:space="preserve"> du</w:t>
      </w:r>
      <w:r>
        <w:rPr>
          <w:lang w:val="fr-CH"/>
        </w:rPr>
        <w:t xml:space="preserve"> </w:t>
      </w:r>
      <w:r w:rsidRPr="007A3ECB">
        <w:rPr>
          <w:lang w:val="fr-CH"/>
        </w:rPr>
        <w:t>Document C19/6.</w:t>
      </w:r>
    </w:p>
    <w:p w:rsidR="00E37FE7" w:rsidRPr="00977456" w:rsidRDefault="00E37FE7" w:rsidP="00881FC1">
      <w:pPr>
        <w:pStyle w:val="Heading1"/>
        <w:rPr>
          <w:bCs/>
          <w:sz w:val="26"/>
          <w:szCs w:val="26"/>
          <w:lang w:val="fr-CH"/>
        </w:rPr>
      </w:pPr>
      <w:r w:rsidRPr="00977456">
        <w:rPr>
          <w:bCs/>
          <w:sz w:val="26"/>
          <w:szCs w:val="26"/>
          <w:lang w:val="fr-CH"/>
        </w:rPr>
        <w:t>3</w:t>
      </w:r>
      <w:r w:rsidRPr="00977456">
        <w:rPr>
          <w:bCs/>
          <w:sz w:val="26"/>
          <w:szCs w:val="26"/>
          <w:lang w:val="fr-CH"/>
        </w:rPr>
        <w:tab/>
      </w:r>
      <w:r w:rsidRPr="003C4D74">
        <w:rPr>
          <w:lang w:val="fr-CH"/>
        </w:rPr>
        <w:t>Travaux préparatoires en vue de l</w:t>
      </w:r>
      <w:r w:rsidR="00AA41B1">
        <w:rPr>
          <w:lang w:val="fr-CH"/>
        </w:rPr>
        <w:t>'</w:t>
      </w:r>
      <w:r w:rsidRPr="003C4D74">
        <w:rPr>
          <w:lang w:val="fr-CH"/>
        </w:rPr>
        <w:t>Assemblée mondiale de normalisation des télécommunications de 2020</w:t>
      </w:r>
      <w:r>
        <w:rPr>
          <w:bCs/>
          <w:lang w:val="fr-CH"/>
        </w:rPr>
        <w:t xml:space="preserve"> </w:t>
      </w:r>
      <w:r w:rsidRPr="003C4D74">
        <w:rPr>
          <w:bCs/>
          <w:lang w:val="fr-CH"/>
        </w:rPr>
        <w:t>(</w:t>
      </w:r>
      <w:r>
        <w:rPr>
          <w:bCs/>
          <w:lang w:val="fr-CH"/>
        </w:rPr>
        <w:t>suite</w:t>
      </w:r>
      <w:r w:rsidRPr="003C4D74">
        <w:rPr>
          <w:bCs/>
          <w:lang w:val="fr-CH"/>
        </w:rPr>
        <w:t>)</w:t>
      </w:r>
      <w:r>
        <w:rPr>
          <w:bCs/>
          <w:lang w:val="fr-CH"/>
        </w:rPr>
        <w:t xml:space="preserve"> </w:t>
      </w:r>
      <w:r w:rsidRPr="00977456">
        <w:rPr>
          <w:bCs/>
          <w:sz w:val="26"/>
          <w:szCs w:val="26"/>
          <w:lang w:val="fr-CH"/>
        </w:rPr>
        <w:t xml:space="preserve">(Document </w:t>
      </w:r>
      <w:hyperlink r:id="rId15" w:history="1">
        <w:r w:rsidRPr="00977456">
          <w:rPr>
            <w:rStyle w:val="Hyperlink"/>
            <w:bCs/>
            <w:sz w:val="26"/>
            <w:szCs w:val="26"/>
            <w:lang w:val="fr-CH"/>
          </w:rPr>
          <w:t>C19/68</w:t>
        </w:r>
      </w:hyperlink>
      <w:r w:rsidRPr="00977456">
        <w:rPr>
          <w:bCs/>
          <w:sz w:val="26"/>
          <w:szCs w:val="26"/>
          <w:lang w:val="fr-CH"/>
        </w:rPr>
        <w:t>)</w:t>
      </w:r>
    </w:p>
    <w:p w:rsidR="00E37FE7" w:rsidRPr="0037776A" w:rsidRDefault="00E37FE7" w:rsidP="00881FC1">
      <w:pPr>
        <w:rPr>
          <w:lang w:val="fr-CH"/>
        </w:rPr>
      </w:pPr>
      <w:r w:rsidRPr="007A3ECB">
        <w:rPr>
          <w:lang w:val="fr-CH"/>
        </w:rPr>
        <w:t>3.1</w:t>
      </w:r>
      <w:r w:rsidRPr="007A3ECB">
        <w:rPr>
          <w:lang w:val="fr-CH"/>
        </w:rPr>
        <w:tab/>
        <w:t xml:space="preserve">Le conseiller du </w:t>
      </w:r>
      <w:r w:rsidR="003E2465">
        <w:rPr>
          <w:lang w:val="fr-CH"/>
        </w:rPr>
        <w:t>Brésil</w:t>
      </w:r>
      <w:r w:rsidRPr="007A3ECB">
        <w:rPr>
          <w:lang w:val="fr-CH"/>
        </w:rPr>
        <w:t xml:space="preserve"> présente le</w:t>
      </w:r>
      <w:r>
        <w:rPr>
          <w:lang w:val="fr-CH"/>
        </w:rPr>
        <w:t xml:space="preserve"> </w:t>
      </w:r>
      <w:r w:rsidRPr="007A3ECB">
        <w:rPr>
          <w:lang w:val="fr-CH"/>
        </w:rPr>
        <w:t>Document C19/68, qui est une contribution sou</w:t>
      </w:r>
      <w:r w:rsidR="003E2465">
        <w:rPr>
          <w:lang w:val="fr-CH"/>
        </w:rPr>
        <w:t>mise par le Brésil et le Canada</w:t>
      </w:r>
      <w:r w:rsidRPr="007A3ECB">
        <w:rPr>
          <w:lang w:val="fr-CH"/>
        </w:rPr>
        <w:t xml:space="preserve"> dans laquelle ce</w:t>
      </w:r>
      <w:r w:rsidR="003E2465">
        <w:rPr>
          <w:lang w:val="fr-CH"/>
        </w:rPr>
        <w:t>ux-</w:t>
      </w:r>
      <w:r w:rsidRPr="007A3ECB">
        <w:rPr>
          <w:lang w:val="fr-CH"/>
        </w:rPr>
        <w:t>ci demande</w:t>
      </w:r>
      <w:r w:rsidR="003E2465">
        <w:rPr>
          <w:lang w:val="fr-CH"/>
        </w:rPr>
        <w:t>nt</w:t>
      </w:r>
      <w:r w:rsidRPr="007A3ECB">
        <w:rPr>
          <w:lang w:val="fr-CH"/>
        </w:rPr>
        <w:t xml:space="preserve"> au secrétariat de fournir des précisions </w:t>
      </w:r>
      <w:r>
        <w:rPr>
          <w:lang w:val="fr-CH"/>
        </w:rPr>
        <w:t>de nature juridique</w:t>
      </w:r>
      <w:r w:rsidRPr="0037776A">
        <w:rPr>
          <w:color w:val="000000"/>
          <w:lang w:val="fr-CH"/>
        </w:rPr>
        <w:t xml:space="preserve"> concernant les dispositions applicables et les procédures à suivre concernant la création de groupes régionaux des commissions d</w:t>
      </w:r>
      <w:r w:rsidR="00AA41B1">
        <w:rPr>
          <w:color w:val="000000"/>
          <w:lang w:val="fr-CH"/>
        </w:rPr>
        <w:t>'</w:t>
      </w:r>
      <w:r w:rsidRPr="0037776A">
        <w:rPr>
          <w:color w:val="000000"/>
          <w:lang w:val="fr-CH"/>
        </w:rPr>
        <w:t>études de l</w:t>
      </w:r>
      <w:r w:rsidR="00AA41B1">
        <w:rPr>
          <w:color w:val="000000"/>
          <w:lang w:val="fr-CH"/>
        </w:rPr>
        <w:t>'</w:t>
      </w:r>
      <w:r w:rsidR="003E2465">
        <w:rPr>
          <w:color w:val="000000"/>
          <w:lang w:val="fr-CH"/>
        </w:rPr>
        <w:t>UIT-T;</w:t>
      </w:r>
      <w:r w:rsidRPr="0037776A">
        <w:rPr>
          <w:color w:val="000000"/>
          <w:lang w:val="fr-CH"/>
        </w:rPr>
        <w:t xml:space="preserve"> les modalités et les droits de participation des Membres de Secteur, des Associés et des établissements universitaires aux travaux de ces groupes et le rôle du</w:t>
      </w:r>
      <w:r>
        <w:rPr>
          <w:color w:val="000000"/>
          <w:lang w:val="fr-CH"/>
        </w:rPr>
        <w:t xml:space="preserve"> </w:t>
      </w:r>
      <w:r w:rsidRPr="0037776A">
        <w:rPr>
          <w:color w:val="000000"/>
          <w:lang w:val="fr-CH"/>
        </w:rPr>
        <w:t xml:space="preserve">GCNT </w:t>
      </w:r>
      <w:r>
        <w:rPr>
          <w:lang w:val="fr-CH"/>
        </w:rPr>
        <w:t xml:space="preserve">à cet égard. </w:t>
      </w:r>
    </w:p>
    <w:p w:rsidR="00E37FE7" w:rsidRPr="0037776A" w:rsidRDefault="00E37FE7" w:rsidP="0066586E">
      <w:pPr>
        <w:rPr>
          <w:lang w:val="fr-CH"/>
        </w:rPr>
      </w:pPr>
      <w:r w:rsidRPr="0037776A">
        <w:rPr>
          <w:lang w:val="fr-CH"/>
        </w:rPr>
        <w:lastRenderedPageBreak/>
        <w:t>3.2</w:t>
      </w:r>
      <w:r w:rsidRPr="0037776A">
        <w:rPr>
          <w:lang w:val="fr-CH"/>
        </w:rPr>
        <w:tab/>
      </w:r>
      <w:r w:rsidR="003E2465">
        <w:rPr>
          <w:lang w:val="fr-CH"/>
        </w:rPr>
        <w:t>Le Directeur</w:t>
      </w:r>
      <w:r w:rsidRPr="0037776A">
        <w:rPr>
          <w:lang w:val="fr-CH"/>
        </w:rPr>
        <w:t xml:space="preserve"> du TSB souligne que le</w:t>
      </w:r>
      <w:r w:rsidRPr="0037776A">
        <w:rPr>
          <w:color w:val="000000"/>
          <w:lang w:val="fr-CH"/>
        </w:rPr>
        <w:t xml:space="preserve"> GCNT</w:t>
      </w:r>
      <w:r w:rsidRPr="0037776A">
        <w:rPr>
          <w:lang w:val="fr-CH"/>
        </w:rPr>
        <w:t xml:space="preserve">, à sa réunion </w:t>
      </w:r>
      <w:r w:rsidR="003E2465">
        <w:rPr>
          <w:lang w:val="fr-CH"/>
        </w:rPr>
        <w:t>de</w:t>
      </w:r>
      <w:r w:rsidRPr="0037776A">
        <w:rPr>
          <w:lang w:val="fr-CH"/>
        </w:rPr>
        <w:t xml:space="preserve"> décembre 2018, a institué un Groupe du Rapporteur pour étudier la question </w:t>
      </w:r>
      <w:r>
        <w:rPr>
          <w:lang w:val="fr-CH"/>
        </w:rPr>
        <w:t xml:space="preserve">et que les discussions au sein de ce groupe ont déjà commencé. </w:t>
      </w:r>
    </w:p>
    <w:p w:rsidR="00E37FE7" w:rsidRPr="0037776A" w:rsidRDefault="00E37FE7" w:rsidP="00881FC1">
      <w:pPr>
        <w:rPr>
          <w:lang w:val="fr-CH"/>
        </w:rPr>
      </w:pPr>
      <w:r w:rsidRPr="0037776A">
        <w:rPr>
          <w:lang w:val="fr-CH"/>
        </w:rPr>
        <w:t>3.3</w:t>
      </w:r>
      <w:r w:rsidRPr="0037776A">
        <w:rPr>
          <w:lang w:val="fr-CH"/>
        </w:rPr>
        <w:tab/>
        <w:t>Plusieurs conseillers soulignent qu</w:t>
      </w:r>
      <w:r w:rsidR="00AA41B1">
        <w:rPr>
          <w:lang w:val="fr-CH"/>
        </w:rPr>
        <w:t>'</w:t>
      </w:r>
      <w:r w:rsidRPr="0037776A">
        <w:rPr>
          <w:lang w:val="fr-CH"/>
        </w:rPr>
        <w:t>il est important de traiter les questions soulevées et d</w:t>
      </w:r>
      <w:r w:rsidR="00AA41B1">
        <w:rPr>
          <w:lang w:val="fr-CH"/>
        </w:rPr>
        <w:t>'</w:t>
      </w:r>
      <w:r w:rsidRPr="0037776A">
        <w:rPr>
          <w:lang w:val="fr-CH"/>
        </w:rPr>
        <w:t>obtenir des précisions d</w:t>
      </w:r>
      <w:r w:rsidR="00AA41B1">
        <w:rPr>
          <w:lang w:val="fr-CH"/>
        </w:rPr>
        <w:t>'</w:t>
      </w:r>
      <w:r w:rsidRPr="0037776A">
        <w:rPr>
          <w:lang w:val="fr-CH"/>
        </w:rPr>
        <w:t>ordre juridique</w:t>
      </w:r>
      <w:r>
        <w:rPr>
          <w:lang w:val="fr-CH"/>
        </w:rPr>
        <w:t>, mais certains estiment que le Conseil</w:t>
      </w:r>
      <w:r w:rsidRPr="0037776A">
        <w:rPr>
          <w:lang w:val="fr-CH"/>
        </w:rPr>
        <w:t xml:space="preserve"> </w:t>
      </w:r>
      <w:r>
        <w:rPr>
          <w:lang w:val="fr-CH"/>
        </w:rPr>
        <w:t>n</w:t>
      </w:r>
      <w:r w:rsidR="00AA41B1">
        <w:rPr>
          <w:lang w:val="fr-CH"/>
        </w:rPr>
        <w:t>'</w:t>
      </w:r>
      <w:r>
        <w:rPr>
          <w:lang w:val="fr-CH"/>
        </w:rPr>
        <w:t>est pas l</w:t>
      </w:r>
      <w:r w:rsidR="00AA41B1">
        <w:rPr>
          <w:lang w:val="fr-CH"/>
        </w:rPr>
        <w:t>'</w:t>
      </w:r>
      <w:r>
        <w:rPr>
          <w:lang w:val="fr-CH"/>
        </w:rPr>
        <w:t xml:space="preserve">instance compétente pour ce faire. </w:t>
      </w:r>
      <w:r w:rsidRPr="0037776A">
        <w:rPr>
          <w:lang w:val="fr-CH"/>
        </w:rPr>
        <w:t>D</w:t>
      </w:r>
      <w:r w:rsidR="00AA41B1">
        <w:rPr>
          <w:lang w:val="fr-CH"/>
        </w:rPr>
        <w:t>'</w:t>
      </w:r>
      <w:r w:rsidRPr="0037776A">
        <w:rPr>
          <w:lang w:val="fr-CH"/>
        </w:rPr>
        <w:t xml:space="preserve">autres considèrent que le secrétariat peut fournir les précisions demandées </w:t>
      </w:r>
      <w:r>
        <w:rPr>
          <w:lang w:val="fr-CH"/>
        </w:rPr>
        <w:t>lors d</w:t>
      </w:r>
      <w:r w:rsidR="00AA41B1">
        <w:rPr>
          <w:lang w:val="fr-CH"/>
        </w:rPr>
        <w:t>'</w:t>
      </w:r>
      <w:r>
        <w:rPr>
          <w:lang w:val="fr-CH"/>
        </w:rPr>
        <w:t>une session du Conseil, même si les travaux se poursuivent ailleurs. Un conseiller est d</w:t>
      </w:r>
      <w:r w:rsidR="00AA41B1">
        <w:rPr>
          <w:lang w:val="fr-CH"/>
        </w:rPr>
        <w:t>'</w:t>
      </w:r>
      <w:r>
        <w:rPr>
          <w:lang w:val="fr-CH"/>
        </w:rPr>
        <w:t>avis qu</w:t>
      </w:r>
      <w:r w:rsidR="00AA41B1">
        <w:rPr>
          <w:lang w:val="fr-CH"/>
        </w:rPr>
        <w:t>'</w:t>
      </w:r>
      <w:r>
        <w:rPr>
          <w:lang w:val="fr-CH"/>
        </w:rPr>
        <w:t>il n</w:t>
      </w:r>
      <w:r w:rsidR="00AA41B1">
        <w:rPr>
          <w:lang w:val="fr-CH"/>
        </w:rPr>
        <w:t>'</w:t>
      </w:r>
      <w:r>
        <w:rPr>
          <w:lang w:val="fr-CH"/>
        </w:rPr>
        <w:t>y a pas lieu d</w:t>
      </w:r>
      <w:r w:rsidR="00AA41B1">
        <w:rPr>
          <w:lang w:val="fr-CH"/>
        </w:rPr>
        <w:t>'</w:t>
      </w:r>
      <w:r>
        <w:rPr>
          <w:lang w:val="fr-CH"/>
        </w:rPr>
        <w:t xml:space="preserve">apporter des précisions sur la première question soulevée dans la contribution, qui devrait être modifiée en conséquence. </w:t>
      </w:r>
    </w:p>
    <w:p w:rsidR="00E37FE7" w:rsidRDefault="00E37FE7" w:rsidP="0066586E">
      <w:pPr>
        <w:rPr>
          <w:lang w:val="fr-CH"/>
        </w:rPr>
      </w:pPr>
      <w:r w:rsidRPr="003365A9">
        <w:rPr>
          <w:lang w:val="fr-CH"/>
        </w:rPr>
        <w:t>3.4</w:t>
      </w:r>
      <w:r w:rsidRPr="003365A9">
        <w:rPr>
          <w:lang w:val="fr-CH"/>
        </w:rPr>
        <w:tab/>
      </w:r>
      <w:r w:rsidR="003E2465">
        <w:rPr>
          <w:lang w:val="fr-CH"/>
        </w:rPr>
        <w:t>Le Président</w:t>
      </w:r>
      <w:r w:rsidRPr="003365A9">
        <w:rPr>
          <w:lang w:val="fr-CH"/>
        </w:rPr>
        <w:t xml:space="preserve"> faisant fonction suggère que le Conseil décide de prendre note des préoccupations soulevées dans le</w:t>
      </w:r>
      <w:r>
        <w:rPr>
          <w:lang w:val="fr-CH"/>
        </w:rPr>
        <w:t xml:space="preserve"> </w:t>
      </w:r>
      <w:r w:rsidRPr="003365A9">
        <w:rPr>
          <w:lang w:val="fr-CH"/>
        </w:rPr>
        <w:t>Document C19/68; de noter que la PP-18 a confié l</w:t>
      </w:r>
      <w:r w:rsidR="00AA41B1">
        <w:rPr>
          <w:lang w:val="fr-CH"/>
        </w:rPr>
        <w:t>'</w:t>
      </w:r>
      <w:r w:rsidRPr="003365A9">
        <w:rPr>
          <w:lang w:val="fr-CH"/>
        </w:rPr>
        <w:t xml:space="preserve">examen de la question à </w:t>
      </w:r>
      <w:r w:rsidRPr="003365A9">
        <w:rPr>
          <w:color w:val="000000"/>
          <w:lang w:val="fr-CH"/>
        </w:rPr>
        <w:t>l</w:t>
      </w:r>
      <w:r w:rsidR="00AA41B1">
        <w:rPr>
          <w:color w:val="000000"/>
          <w:lang w:val="fr-CH"/>
        </w:rPr>
        <w:t>'</w:t>
      </w:r>
      <w:r w:rsidR="0066586E">
        <w:rPr>
          <w:color w:val="000000"/>
          <w:lang w:val="fr-CH"/>
        </w:rPr>
        <w:t>AMN</w:t>
      </w:r>
      <w:r w:rsidRPr="003365A9">
        <w:rPr>
          <w:color w:val="000000"/>
          <w:lang w:val="fr-CH"/>
        </w:rPr>
        <w:t>T</w:t>
      </w:r>
      <w:r>
        <w:rPr>
          <w:lang w:val="fr-CH"/>
        </w:rPr>
        <w:t xml:space="preserve"> et que des discussions sont déjà en cours au sein </w:t>
      </w:r>
      <w:r w:rsidR="00AA41B1">
        <w:rPr>
          <w:lang w:val="fr-CH"/>
        </w:rPr>
        <w:t>du Groupe du Rapporteur du </w:t>
      </w:r>
      <w:r w:rsidR="003E2465">
        <w:rPr>
          <w:lang w:val="fr-CH"/>
        </w:rPr>
        <w:t>GCNT</w:t>
      </w:r>
      <w:r w:rsidRPr="003365A9">
        <w:rPr>
          <w:lang w:val="fr-CH"/>
        </w:rPr>
        <w:t xml:space="preserve">; </w:t>
      </w:r>
      <w:r>
        <w:rPr>
          <w:lang w:val="fr-CH"/>
        </w:rPr>
        <w:t xml:space="preserve">et de demander au secrétariat de </w:t>
      </w:r>
      <w:r w:rsidR="003E2465">
        <w:rPr>
          <w:lang w:val="fr-CH"/>
        </w:rPr>
        <w:t>présenter</w:t>
      </w:r>
      <w:r>
        <w:rPr>
          <w:lang w:val="fr-CH"/>
        </w:rPr>
        <w:t xml:space="preserve"> son avis juridique, conjointement avec la contribution du Brésil et du Canada,</w:t>
      </w:r>
      <w:r w:rsidR="003E2465">
        <w:rPr>
          <w:lang w:val="fr-CH"/>
        </w:rPr>
        <w:t xml:space="preserve"> à la prochaine réunion du GCNT</w:t>
      </w:r>
      <w:r>
        <w:rPr>
          <w:lang w:val="fr-CH"/>
        </w:rPr>
        <w:t>.</w:t>
      </w:r>
    </w:p>
    <w:p w:rsidR="00E37FE7" w:rsidRPr="00101CA6" w:rsidRDefault="00E37FE7" w:rsidP="00881F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lang w:val="fr-CH"/>
        </w:rPr>
      </w:pPr>
      <w:r w:rsidRPr="00101CA6">
        <w:rPr>
          <w:lang w:val="fr-CH"/>
        </w:rPr>
        <w:t>3.5</w:t>
      </w:r>
      <w:r w:rsidRPr="00101CA6">
        <w:rPr>
          <w:lang w:val="fr-CH"/>
        </w:rPr>
        <w:tab/>
        <w:t xml:space="preserve">Il en est ainsi </w:t>
      </w:r>
      <w:r w:rsidRPr="003E2465">
        <w:rPr>
          <w:b/>
          <w:bCs/>
          <w:lang w:val="fr-CH"/>
        </w:rPr>
        <w:t>décidé</w:t>
      </w:r>
      <w:r w:rsidRPr="00101CA6">
        <w:rPr>
          <w:lang w:val="fr-CH"/>
        </w:rPr>
        <w:t>.</w:t>
      </w:r>
      <w:r>
        <w:rPr>
          <w:lang w:val="fr-CH"/>
        </w:rPr>
        <w:t xml:space="preserve"> </w:t>
      </w:r>
    </w:p>
    <w:p w:rsidR="00E37FE7" w:rsidRPr="00E37FE7" w:rsidRDefault="00E37FE7" w:rsidP="00881FC1">
      <w:pPr>
        <w:pStyle w:val="Heading1"/>
        <w:rPr>
          <w:lang w:val="fr-CH"/>
        </w:rPr>
      </w:pPr>
      <w:r w:rsidRPr="00E37FE7">
        <w:rPr>
          <w:lang w:val="fr-CH"/>
        </w:rPr>
        <w:t>4</w:t>
      </w:r>
      <w:r w:rsidRPr="00E37FE7">
        <w:rPr>
          <w:lang w:val="fr-CH"/>
        </w:rPr>
        <w:tab/>
      </w:r>
      <w:r>
        <w:rPr>
          <w:color w:val="000000"/>
        </w:rPr>
        <w:t xml:space="preserve">Manifestations </w:t>
      </w:r>
      <w:r>
        <w:t xml:space="preserve">ITU Telecom World </w:t>
      </w:r>
      <w:r w:rsidRPr="00E37FE7">
        <w:rPr>
          <w:lang w:val="fr-CH"/>
        </w:rPr>
        <w:t xml:space="preserve">(Document </w:t>
      </w:r>
      <w:hyperlink r:id="rId16" w:history="1">
        <w:r w:rsidRPr="00E37FE7">
          <w:rPr>
            <w:rStyle w:val="Hyperlink"/>
            <w:bCs/>
            <w:sz w:val="26"/>
            <w:szCs w:val="26"/>
            <w:lang w:val="fr-CH"/>
          </w:rPr>
          <w:t>C19/19</w:t>
        </w:r>
      </w:hyperlink>
      <w:r w:rsidRPr="00E37FE7">
        <w:rPr>
          <w:lang w:val="fr-CH"/>
        </w:rPr>
        <w:t>)</w:t>
      </w:r>
    </w:p>
    <w:p w:rsidR="00E37FE7" w:rsidRPr="002365F4" w:rsidRDefault="00E37FE7" w:rsidP="00881FC1">
      <w:pPr>
        <w:rPr>
          <w:lang w:val="fr-CH"/>
        </w:rPr>
      </w:pPr>
      <w:r w:rsidRPr="002365F4">
        <w:rPr>
          <w:lang w:val="fr-CH"/>
        </w:rPr>
        <w:t>4.1</w:t>
      </w:r>
      <w:r w:rsidRPr="002365F4">
        <w:rPr>
          <w:lang w:val="fr-CH"/>
        </w:rPr>
        <w:tab/>
        <w:t>Le Chef du Département des conférences et des publications présente</w:t>
      </w:r>
      <w:r>
        <w:rPr>
          <w:lang w:val="fr-CH"/>
        </w:rPr>
        <w:t xml:space="preserve"> </w:t>
      </w:r>
      <w:r w:rsidRPr="002365F4">
        <w:rPr>
          <w:lang w:val="fr-CH"/>
        </w:rPr>
        <w:t>le</w:t>
      </w:r>
      <w:r>
        <w:rPr>
          <w:lang w:val="fr-CH"/>
        </w:rPr>
        <w:t xml:space="preserve"> </w:t>
      </w:r>
      <w:r w:rsidRPr="002365F4">
        <w:rPr>
          <w:lang w:val="fr-CH"/>
        </w:rPr>
        <w:t>Document C19/19, qui</w:t>
      </w:r>
      <w:r>
        <w:rPr>
          <w:lang w:val="fr-CH"/>
        </w:rPr>
        <w:t xml:space="preserve"> </w:t>
      </w:r>
      <w:r w:rsidRPr="002365F4">
        <w:rPr>
          <w:lang w:val="fr-CH"/>
        </w:rPr>
        <w:t>donne une vue d</w:t>
      </w:r>
      <w:r w:rsidR="00AA41B1">
        <w:rPr>
          <w:lang w:val="fr-CH"/>
        </w:rPr>
        <w:t>'</w:t>
      </w:r>
      <w:r w:rsidRPr="002365F4">
        <w:rPr>
          <w:lang w:val="fr-CH"/>
        </w:rPr>
        <w:t>ensemble des temps forts d</w:t>
      </w:r>
      <w:r w:rsidR="00AA41B1">
        <w:rPr>
          <w:lang w:val="fr-CH"/>
        </w:rPr>
        <w:t>'</w:t>
      </w:r>
      <w:r w:rsidRPr="002365F4">
        <w:rPr>
          <w:lang w:val="fr-CH"/>
        </w:rPr>
        <w:t xml:space="preserve">ITU Telecom World 2018, qui a eu lieu en République </w:t>
      </w:r>
      <w:r w:rsidR="003E2465">
        <w:rPr>
          <w:lang w:val="fr-CH"/>
        </w:rPr>
        <w:t>sud</w:t>
      </w:r>
      <w:r w:rsidRPr="002365F4">
        <w:rPr>
          <w:lang w:val="fr-CH"/>
        </w:rPr>
        <w:t xml:space="preserve">africaine, </w:t>
      </w:r>
      <w:r>
        <w:rPr>
          <w:lang w:val="fr-CH"/>
        </w:rPr>
        <w:t xml:space="preserve">décrit les projets pour la manifestation de 2019 et fournit des précisions sur les mesures prises à la suite des modifications apportées à la Résolution </w:t>
      </w:r>
      <w:r w:rsidRPr="002365F4">
        <w:rPr>
          <w:spacing w:val="-2"/>
          <w:lang w:val="fr-CH"/>
        </w:rPr>
        <w:t>11</w:t>
      </w:r>
      <w:r>
        <w:rPr>
          <w:lang w:val="fr-CH"/>
        </w:rPr>
        <w:t xml:space="preserve"> lors de la </w:t>
      </w:r>
      <w:r w:rsidRPr="002365F4">
        <w:rPr>
          <w:lang w:val="fr-CH"/>
        </w:rPr>
        <w:t>PP</w:t>
      </w:r>
      <w:r w:rsidRPr="002365F4">
        <w:rPr>
          <w:lang w:val="fr-CH"/>
        </w:rPr>
        <w:noBreakHyphen/>
        <w:t>18. Il annonce qu</w:t>
      </w:r>
      <w:r w:rsidR="00AA41B1">
        <w:rPr>
          <w:lang w:val="fr-CH"/>
        </w:rPr>
        <w:t>'</w:t>
      </w:r>
      <w:r w:rsidRPr="002365F4">
        <w:rPr>
          <w:lang w:val="fr-CH"/>
        </w:rPr>
        <w:t>au terme d</w:t>
      </w:r>
      <w:r w:rsidR="00AA41B1">
        <w:rPr>
          <w:lang w:val="fr-CH"/>
        </w:rPr>
        <w:t>'</w:t>
      </w:r>
      <w:r w:rsidRPr="002365F4">
        <w:rPr>
          <w:lang w:val="fr-CH"/>
        </w:rPr>
        <w:t>une procédure d</w:t>
      </w:r>
      <w:r w:rsidR="00AA41B1">
        <w:rPr>
          <w:lang w:val="fr-CH"/>
        </w:rPr>
        <w:t>'</w:t>
      </w:r>
      <w:r w:rsidRPr="002365F4">
        <w:rPr>
          <w:lang w:val="fr-CH"/>
        </w:rPr>
        <w:t>appel d</w:t>
      </w:r>
      <w:r w:rsidR="00AA41B1">
        <w:rPr>
          <w:lang w:val="fr-CH"/>
        </w:rPr>
        <w:t>'</w:t>
      </w:r>
      <w:r w:rsidR="003E2465">
        <w:rPr>
          <w:lang w:val="fr-CH"/>
        </w:rPr>
        <w:t>offres</w:t>
      </w:r>
      <w:r w:rsidRPr="002365F4">
        <w:rPr>
          <w:lang w:val="fr-CH"/>
        </w:rPr>
        <w:t>, le Viet</w:t>
      </w:r>
      <w:r w:rsidR="003E2465">
        <w:rPr>
          <w:lang w:val="fr-CH"/>
        </w:rPr>
        <w:t xml:space="preserve"> N</w:t>
      </w:r>
      <w:r w:rsidRPr="002365F4">
        <w:rPr>
          <w:lang w:val="fr-CH"/>
        </w:rPr>
        <w:t>am a été choisi pour accueillir</w:t>
      </w:r>
      <w:r>
        <w:rPr>
          <w:lang w:val="fr-CH"/>
        </w:rPr>
        <w:t xml:space="preserve"> </w:t>
      </w:r>
      <w:r w:rsidR="003E2465">
        <w:rPr>
          <w:lang w:val="fr-CH"/>
        </w:rPr>
        <w:t>ITU </w:t>
      </w:r>
      <w:r w:rsidRPr="002365F4">
        <w:rPr>
          <w:lang w:val="fr-CH"/>
        </w:rPr>
        <w:t>Telecom World 2020</w:t>
      </w:r>
      <w:r>
        <w:rPr>
          <w:lang w:val="fr-CH"/>
        </w:rPr>
        <w:t xml:space="preserve"> et qu</w:t>
      </w:r>
      <w:r w:rsidR="00AA41B1">
        <w:rPr>
          <w:lang w:val="fr-CH"/>
        </w:rPr>
        <w:t>'</w:t>
      </w:r>
      <w:r>
        <w:rPr>
          <w:lang w:val="fr-CH"/>
        </w:rPr>
        <w:t>un accord de pays hôte</w:t>
      </w:r>
      <w:r w:rsidRPr="00D11C9D">
        <w:rPr>
          <w:lang w:val="fr-CH"/>
        </w:rPr>
        <w:t xml:space="preserve"> est en cours d</w:t>
      </w:r>
      <w:r w:rsidR="00AA41B1">
        <w:rPr>
          <w:lang w:val="fr-CH"/>
        </w:rPr>
        <w:t>'</w:t>
      </w:r>
      <w:r w:rsidRPr="00D11C9D">
        <w:rPr>
          <w:lang w:val="fr-CH"/>
        </w:rPr>
        <w:t>établissement</w:t>
      </w:r>
      <w:r>
        <w:rPr>
          <w:lang w:val="fr-CH"/>
        </w:rPr>
        <w:t>.</w:t>
      </w:r>
    </w:p>
    <w:p w:rsidR="00E37FE7" w:rsidRPr="00D11C9D" w:rsidRDefault="00E37FE7" w:rsidP="00881FC1">
      <w:pPr>
        <w:rPr>
          <w:lang w:val="fr-CH"/>
        </w:rPr>
      </w:pPr>
      <w:r w:rsidRPr="00D11C9D">
        <w:rPr>
          <w:lang w:val="fr-CH"/>
        </w:rPr>
        <w:t>4.2</w:t>
      </w:r>
      <w:r w:rsidRPr="00D11C9D">
        <w:rPr>
          <w:lang w:val="fr-CH"/>
        </w:rPr>
        <w:tab/>
        <w:t>Plusieurs conseillers se disent favorables au maintien des manifestations ITU Telecom World, estimant qu</w:t>
      </w:r>
      <w:r w:rsidR="00AA41B1">
        <w:rPr>
          <w:lang w:val="fr-CH"/>
        </w:rPr>
        <w:t>'</w:t>
      </w:r>
      <w:r w:rsidRPr="00D11C9D">
        <w:rPr>
          <w:lang w:val="fr-CH"/>
        </w:rPr>
        <w:t>elles offrent un</w:t>
      </w:r>
      <w:r>
        <w:rPr>
          <w:lang w:val="fr-CH"/>
        </w:rPr>
        <w:t>e</w:t>
      </w:r>
      <w:r w:rsidRPr="00D11C9D">
        <w:rPr>
          <w:color w:val="000000"/>
          <w:lang w:val="fr-CH"/>
        </w:rPr>
        <w:t xml:space="preserve"> tribune </w:t>
      </w:r>
      <w:r>
        <w:rPr>
          <w:lang w:val="fr-CH"/>
        </w:rPr>
        <w:t>importante pour l</w:t>
      </w:r>
      <w:r w:rsidR="00AA41B1">
        <w:rPr>
          <w:lang w:val="fr-CH"/>
        </w:rPr>
        <w:t>'</w:t>
      </w:r>
      <w:r>
        <w:rPr>
          <w:lang w:val="fr-CH"/>
        </w:rPr>
        <w:t>échange d</w:t>
      </w:r>
      <w:r w:rsidR="00AA41B1">
        <w:rPr>
          <w:lang w:val="fr-CH"/>
        </w:rPr>
        <w:t>'</w:t>
      </w:r>
      <w:r>
        <w:rPr>
          <w:lang w:val="fr-CH"/>
        </w:rPr>
        <w:t>informations et la coopération dans le domaine des nouvelles technologies et des nouveaux services. On ne peut que se féliciter de</w:t>
      </w:r>
      <w:r w:rsidRPr="00D11C9D">
        <w:rPr>
          <w:color w:val="000000"/>
          <w:lang w:val="fr-CH"/>
        </w:rPr>
        <w:t xml:space="preserve"> l</w:t>
      </w:r>
      <w:r w:rsidR="00AA41B1">
        <w:rPr>
          <w:color w:val="000000"/>
          <w:lang w:val="fr-CH"/>
        </w:rPr>
        <w:t>'</w:t>
      </w:r>
      <w:r w:rsidRPr="00D11C9D">
        <w:rPr>
          <w:color w:val="000000"/>
          <w:lang w:val="fr-CH"/>
        </w:rPr>
        <w:t>inclusion des PME et des innovateurs</w:t>
      </w:r>
      <w:r>
        <w:rPr>
          <w:color w:val="000000"/>
          <w:lang w:val="fr-CH"/>
        </w:rPr>
        <w:t xml:space="preserve">. </w:t>
      </w:r>
      <w:r w:rsidRPr="00D11C9D">
        <w:rPr>
          <w:lang w:val="fr-CH"/>
        </w:rPr>
        <w:t>Étant donné qu</w:t>
      </w:r>
      <w:r w:rsidR="00AA41B1">
        <w:rPr>
          <w:lang w:val="fr-CH"/>
        </w:rPr>
        <w:t>'</w:t>
      </w:r>
      <w:r w:rsidRPr="00D11C9D">
        <w:rPr>
          <w:lang w:val="fr-CH"/>
        </w:rPr>
        <w:t>il existe des manifestations concurrentes dans le secteur</w:t>
      </w:r>
      <w:r>
        <w:rPr>
          <w:lang w:val="fr-CH"/>
        </w:rPr>
        <w:t xml:space="preserve"> </w:t>
      </w:r>
      <w:r w:rsidRPr="00D11C9D">
        <w:rPr>
          <w:color w:val="000000"/>
          <w:lang w:val="fr-CH"/>
        </w:rPr>
        <w:t xml:space="preserve">mondial des TIC et que la participation est en baisse, notamment </w:t>
      </w:r>
      <w:r>
        <w:rPr>
          <w:color w:val="000000"/>
          <w:lang w:val="fr-CH"/>
        </w:rPr>
        <w:t>parmi les pays développés, le secrétariat est instamment prié d</w:t>
      </w:r>
      <w:r w:rsidR="00AA41B1">
        <w:rPr>
          <w:color w:val="000000"/>
          <w:lang w:val="fr-CH"/>
        </w:rPr>
        <w:t>'</w:t>
      </w:r>
      <w:r>
        <w:rPr>
          <w:color w:val="000000"/>
          <w:lang w:val="fr-CH"/>
        </w:rPr>
        <w:t>encourager les États Membres à</w:t>
      </w:r>
      <w:r w:rsidRPr="00D11C9D">
        <w:rPr>
          <w:color w:val="000000"/>
          <w:lang w:val="fr-CH"/>
        </w:rPr>
        <w:t xml:space="preserve"> renouveler leur engagement</w:t>
      </w:r>
      <w:r>
        <w:rPr>
          <w:color w:val="000000"/>
          <w:lang w:val="fr-CH"/>
        </w:rPr>
        <w:t>, à veiller à ce que la manifestation conserve toute sa pertinence et à tenir compte de la valeur ajoutée qu</w:t>
      </w:r>
      <w:r w:rsidR="00AA41B1">
        <w:rPr>
          <w:color w:val="000000"/>
          <w:lang w:val="fr-CH"/>
        </w:rPr>
        <w:t>'</w:t>
      </w:r>
      <w:r>
        <w:rPr>
          <w:color w:val="000000"/>
          <w:lang w:val="fr-CH"/>
        </w:rPr>
        <w:t>elle représente pour les activités de l</w:t>
      </w:r>
      <w:r w:rsidR="00AA41B1">
        <w:rPr>
          <w:color w:val="000000"/>
          <w:lang w:val="fr-CH"/>
        </w:rPr>
        <w:t>'</w:t>
      </w:r>
      <w:r>
        <w:rPr>
          <w:color w:val="000000"/>
          <w:lang w:val="fr-CH"/>
        </w:rPr>
        <w:t>union. La programmation d</w:t>
      </w:r>
      <w:r w:rsidR="00AA41B1">
        <w:rPr>
          <w:color w:val="000000"/>
          <w:lang w:val="fr-CH"/>
        </w:rPr>
        <w:t>'</w:t>
      </w:r>
      <w:r>
        <w:rPr>
          <w:color w:val="000000"/>
          <w:lang w:val="fr-CH"/>
        </w:rPr>
        <w:t>autres manifestations de haut niveau de l</w:t>
      </w:r>
      <w:r w:rsidR="00AA41B1">
        <w:rPr>
          <w:color w:val="000000"/>
          <w:lang w:val="fr-CH"/>
        </w:rPr>
        <w:t>'</w:t>
      </w:r>
      <w:r>
        <w:rPr>
          <w:color w:val="000000"/>
          <w:lang w:val="fr-CH"/>
        </w:rPr>
        <w:t xml:space="preserve">UIT, parallèlement à </w:t>
      </w:r>
      <w:r w:rsidRPr="00D11C9D">
        <w:rPr>
          <w:lang w:val="fr-CH"/>
        </w:rPr>
        <w:t xml:space="preserve">ITU </w:t>
      </w:r>
      <w:r>
        <w:rPr>
          <w:color w:val="000000"/>
          <w:lang w:val="fr-CH"/>
        </w:rPr>
        <w:t>Telecom World, permettrait peut-être d</w:t>
      </w:r>
      <w:r w:rsidR="00AA41B1">
        <w:rPr>
          <w:color w:val="000000"/>
          <w:lang w:val="fr-CH"/>
        </w:rPr>
        <w:t>'</w:t>
      </w:r>
      <w:r>
        <w:rPr>
          <w:color w:val="000000"/>
          <w:lang w:val="fr-CH"/>
        </w:rPr>
        <w:t xml:space="preserve">accroître la participation. </w:t>
      </w:r>
    </w:p>
    <w:p w:rsidR="00E37FE7" w:rsidRPr="00597A69" w:rsidRDefault="00E37FE7" w:rsidP="0066586E">
      <w:pPr>
        <w:rPr>
          <w:lang w:val="fr-CH"/>
        </w:rPr>
      </w:pPr>
      <w:r w:rsidRPr="00597A69">
        <w:rPr>
          <w:lang w:val="fr-CH"/>
        </w:rPr>
        <w:t>4.3</w:t>
      </w:r>
      <w:r w:rsidRPr="00597A69">
        <w:rPr>
          <w:lang w:val="fr-CH"/>
        </w:rPr>
        <w:tab/>
        <w:t>Le conseiller</w:t>
      </w:r>
      <w:r>
        <w:rPr>
          <w:lang w:val="fr-CH"/>
        </w:rPr>
        <w:t xml:space="preserve"> </w:t>
      </w:r>
      <w:r w:rsidRPr="00597A69">
        <w:rPr>
          <w:lang w:val="fr-CH"/>
        </w:rPr>
        <w:t>de la Hongrie encourage une large participation à la manifestation de 2019</w:t>
      </w:r>
      <w:r w:rsidR="003E2465">
        <w:rPr>
          <w:color w:val="000000"/>
          <w:lang w:val="fr-CH"/>
        </w:rPr>
        <w:t>.</w:t>
      </w:r>
    </w:p>
    <w:p w:rsidR="00E37FE7" w:rsidRPr="00597A69" w:rsidRDefault="00E37FE7" w:rsidP="00881FC1">
      <w:pPr>
        <w:rPr>
          <w:lang w:val="fr-CH"/>
        </w:rPr>
      </w:pPr>
      <w:r w:rsidRPr="00597A69">
        <w:rPr>
          <w:lang w:val="fr-CH"/>
        </w:rPr>
        <w:t>4.4</w:t>
      </w:r>
      <w:r w:rsidRPr="00597A69">
        <w:rPr>
          <w:lang w:val="fr-CH"/>
        </w:rPr>
        <w:tab/>
      </w:r>
      <w:r w:rsidRPr="00597A69">
        <w:rPr>
          <w:color w:val="000000"/>
          <w:lang w:val="fr-CH"/>
        </w:rPr>
        <w:t xml:space="preserve">Le conseiller du </w:t>
      </w:r>
      <w:r w:rsidRPr="00597A69">
        <w:rPr>
          <w:lang w:val="fr-CH"/>
        </w:rPr>
        <w:t>Nigéria</w:t>
      </w:r>
      <w:r w:rsidRPr="00597A69">
        <w:rPr>
          <w:color w:val="000000"/>
          <w:lang w:val="fr-CH"/>
        </w:rPr>
        <w:t xml:space="preserve"> souhaite avoir l</w:t>
      </w:r>
      <w:r w:rsidR="00AA41B1">
        <w:rPr>
          <w:color w:val="000000"/>
          <w:lang w:val="fr-CH"/>
        </w:rPr>
        <w:t>'</w:t>
      </w:r>
      <w:r w:rsidRPr="00597A69">
        <w:rPr>
          <w:color w:val="000000"/>
          <w:lang w:val="fr-CH"/>
        </w:rPr>
        <w:t>assurance que</w:t>
      </w:r>
      <w:r w:rsidRPr="00597A69">
        <w:rPr>
          <w:lang w:val="fr-CH"/>
        </w:rPr>
        <w:t xml:space="preserve"> des visas seront délivrés aux participants de son pays pour participer à la manifest</w:t>
      </w:r>
      <w:r w:rsidR="003E2465">
        <w:rPr>
          <w:lang w:val="fr-CH"/>
        </w:rPr>
        <w:t>ation qui se tiendra à Budapest</w:t>
      </w:r>
      <w:r>
        <w:rPr>
          <w:lang w:val="fr-CH"/>
        </w:rPr>
        <w:t xml:space="preserve">. </w:t>
      </w:r>
    </w:p>
    <w:p w:rsidR="00E37FE7" w:rsidRPr="00597A69" w:rsidRDefault="00E37FE7" w:rsidP="00881FC1">
      <w:pPr>
        <w:rPr>
          <w:lang w:val="fr-CH"/>
        </w:rPr>
      </w:pPr>
      <w:r w:rsidRPr="00597A69">
        <w:rPr>
          <w:lang w:val="fr-CH"/>
        </w:rPr>
        <w:t>4.5</w:t>
      </w:r>
      <w:r w:rsidRPr="00597A69">
        <w:rPr>
          <w:lang w:val="fr-CH"/>
        </w:rPr>
        <w:tab/>
        <w:t>L</w:t>
      </w:r>
      <w:r w:rsidR="00AA41B1">
        <w:rPr>
          <w:lang w:val="fr-CH"/>
        </w:rPr>
        <w:t>'</w:t>
      </w:r>
      <w:r w:rsidRPr="00597A69">
        <w:rPr>
          <w:lang w:val="fr-CH"/>
        </w:rPr>
        <w:t>observateur</w:t>
      </w:r>
      <w:r>
        <w:rPr>
          <w:lang w:val="fr-CH"/>
        </w:rPr>
        <w:t xml:space="preserve"> </w:t>
      </w:r>
      <w:r w:rsidRPr="00597A69">
        <w:rPr>
          <w:lang w:val="fr-CH"/>
        </w:rPr>
        <w:t>du Viet</w:t>
      </w:r>
      <w:r w:rsidR="003E2465">
        <w:rPr>
          <w:lang w:val="fr-CH"/>
        </w:rPr>
        <w:t xml:space="preserve"> N</w:t>
      </w:r>
      <w:r w:rsidR="00A02DF7">
        <w:rPr>
          <w:lang w:val="fr-CH"/>
        </w:rPr>
        <w:t>am indique</w:t>
      </w:r>
      <w:r w:rsidRPr="00597A69">
        <w:rPr>
          <w:lang w:val="fr-CH"/>
        </w:rPr>
        <w:t xml:space="preserve"> que le Ministère de l</w:t>
      </w:r>
      <w:r w:rsidR="00AA41B1">
        <w:rPr>
          <w:lang w:val="fr-CH"/>
        </w:rPr>
        <w:t>'</w:t>
      </w:r>
      <w:r w:rsidRPr="00597A69">
        <w:rPr>
          <w:lang w:val="fr-CH"/>
        </w:rPr>
        <w:t>information et des communications projette</w:t>
      </w:r>
      <w:r>
        <w:rPr>
          <w:lang w:val="fr-CH"/>
        </w:rPr>
        <w:t xml:space="preserve"> </w:t>
      </w:r>
      <w:r w:rsidRPr="00597A69">
        <w:rPr>
          <w:lang w:val="fr-CH"/>
        </w:rPr>
        <w:t>d</w:t>
      </w:r>
      <w:r w:rsidR="00AA41B1">
        <w:rPr>
          <w:lang w:val="fr-CH"/>
        </w:rPr>
        <w:t>'</w:t>
      </w:r>
      <w:r w:rsidRPr="00597A69">
        <w:rPr>
          <w:lang w:val="fr-CH"/>
        </w:rPr>
        <w:t>organiser la manifestation d</w:t>
      </w:r>
      <w:r w:rsidR="007670B4">
        <w:rPr>
          <w:lang w:val="fr-CH"/>
        </w:rPr>
        <w:t>e 2020 en septembre à Hanoï</w:t>
      </w:r>
      <w:r w:rsidRPr="00597A69">
        <w:rPr>
          <w:lang w:val="fr-CH"/>
        </w:rPr>
        <w:t xml:space="preserve"> et</w:t>
      </w:r>
      <w:r>
        <w:rPr>
          <w:lang w:val="fr-CH"/>
        </w:rPr>
        <w:t xml:space="preserve"> espère qu</w:t>
      </w:r>
      <w:r w:rsidR="00AA41B1">
        <w:rPr>
          <w:lang w:val="fr-CH"/>
        </w:rPr>
        <w:t>'</w:t>
      </w:r>
      <w:r>
        <w:rPr>
          <w:lang w:val="fr-CH"/>
        </w:rPr>
        <w:t xml:space="preserve">un grand nombre de participants seront présents à cette occasion. </w:t>
      </w:r>
    </w:p>
    <w:p w:rsidR="00E37FE7" w:rsidRPr="00E96718" w:rsidRDefault="00E37FE7" w:rsidP="00881FC1">
      <w:pPr>
        <w:rPr>
          <w:lang w:val="fr-CH"/>
        </w:rPr>
      </w:pPr>
      <w:bookmarkStart w:id="9" w:name="_GoBack"/>
      <w:bookmarkEnd w:id="9"/>
      <w:r w:rsidRPr="00597A69">
        <w:rPr>
          <w:lang w:val="fr-CH"/>
        </w:rPr>
        <w:t>4.6</w:t>
      </w:r>
      <w:r w:rsidRPr="00597A69">
        <w:rPr>
          <w:lang w:val="fr-CH"/>
        </w:rPr>
        <w:tab/>
      </w:r>
      <w:r w:rsidR="00A02DF7">
        <w:rPr>
          <w:lang w:val="fr-CH"/>
        </w:rPr>
        <w:t>Un conseiller</w:t>
      </w:r>
      <w:r w:rsidRPr="00597A69">
        <w:rPr>
          <w:lang w:val="fr-CH"/>
        </w:rPr>
        <w:t xml:space="preserve"> demande si les consultants en gestion qui doive</w:t>
      </w:r>
      <w:r w:rsidR="00A02DF7">
        <w:rPr>
          <w:lang w:val="fr-CH"/>
        </w:rPr>
        <w:t>nt</w:t>
      </w:r>
      <w:r w:rsidRPr="00597A69">
        <w:rPr>
          <w:lang w:val="fr-CH"/>
        </w:rPr>
        <w:t xml:space="preserve"> être recrutés pour procéder à un examen stratégique et financier des manifestations</w:t>
      </w:r>
      <w:r>
        <w:rPr>
          <w:lang w:val="fr-CH"/>
        </w:rPr>
        <w:t xml:space="preserve"> </w:t>
      </w:r>
      <w:r w:rsidRPr="00597A69">
        <w:rPr>
          <w:lang w:val="fr-CH"/>
        </w:rPr>
        <w:t>ITU Telecom World ont déjà été recrutés et, dans l</w:t>
      </w:r>
      <w:r w:rsidR="00AA41B1">
        <w:rPr>
          <w:lang w:val="fr-CH"/>
        </w:rPr>
        <w:t>'</w:t>
      </w:r>
      <w:r w:rsidRPr="00597A69">
        <w:rPr>
          <w:lang w:val="fr-CH"/>
        </w:rPr>
        <w:t>affirmative,</w:t>
      </w:r>
      <w:r>
        <w:rPr>
          <w:lang w:val="fr-CH"/>
        </w:rPr>
        <w:t xml:space="preserve"> si le fait que des projets soient déjà en place pour les manifestations </w:t>
      </w:r>
      <w:r w:rsidRPr="00597A69">
        <w:rPr>
          <w:lang w:val="fr-CH"/>
        </w:rPr>
        <w:t xml:space="preserve">ITU Telecom World </w:t>
      </w:r>
      <w:r>
        <w:rPr>
          <w:lang w:val="fr-CH"/>
        </w:rPr>
        <w:t xml:space="preserve">de 2019 et de 2020 préjuge des résultats des travaux des consultants. </w:t>
      </w:r>
      <w:r w:rsidRPr="00E96718">
        <w:rPr>
          <w:lang w:val="fr-CH"/>
        </w:rPr>
        <w:t xml:space="preserve">Le Chef du </w:t>
      </w:r>
      <w:r w:rsidRPr="00E96718">
        <w:rPr>
          <w:lang w:val="fr-CH"/>
        </w:rPr>
        <w:lastRenderedPageBreak/>
        <w:t xml:space="preserve">Département des conférences et des publications </w:t>
      </w:r>
      <w:r w:rsidR="00A02DF7">
        <w:rPr>
          <w:lang w:val="fr-CH"/>
        </w:rPr>
        <w:t>précise que l</w:t>
      </w:r>
      <w:r w:rsidRPr="00E96718">
        <w:rPr>
          <w:lang w:val="fr-CH"/>
        </w:rPr>
        <w:t>es consultants ont été recrutés dans le cadre d</w:t>
      </w:r>
      <w:r w:rsidR="00AA41B1">
        <w:rPr>
          <w:lang w:val="fr-CH"/>
        </w:rPr>
        <w:t>'</w:t>
      </w:r>
      <w:r w:rsidRPr="00E96718">
        <w:rPr>
          <w:lang w:val="fr-CH"/>
        </w:rPr>
        <w:t>un contrat</w:t>
      </w:r>
      <w:r w:rsidR="00A02DF7">
        <w:rPr>
          <w:lang w:val="fr-CH"/>
        </w:rPr>
        <w:t>; il est à espérer</w:t>
      </w:r>
      <w:r w:rsidRPr="00E96718">
        <w:rPr>
          <w:lang w:val="fr-CH"/>
        </w:rPr>
        <w:t xml:space="preserve"> que toutes les parties prenantes coopéreront pleinement à leur travail, afin qu</w:t>
      </w:r>
      <w:r w:rsidR="00AA41B1">
        <w:rPr>
          <w:lang w:val="fr-CH"/>
        </w:rPr>
        <w:t>'</w:t>
      </w:r>
      <w:r w:rsidRPr="00E96718">
        <w:rPr>
          <w:lang w:val="fr-CH"/>
        </w:rPr>
        <w:t>un rapport exhaustif puisse être soumis au Conseil à sa session de 2020.</w:t>
      </w:r>
      <w:r>
        <w:rPr>
          <w:lang w:val="fr-CH"/>
        </w:rPr>
        <w:t xml:space="preserve"> </w:t>
      </w:r>
    </w:p>
    <w:p w:rsidR="00E37FE7" w:rsidRPr="0044181B" w:rsidRDefault="00E37FE7" w:rsidP="00881FC1">
      <w:pPr>
        <w:rPr>
          <w:lang w:val="fr-CH"/>
        </w:rPr>
      </w:pPr>
      <w:r w:rsidRPr="0044181B">
        <w:rPr>
          <w:lang w:val="fr-CH"/>
        </w:rPr>
        <w:t>4.7</w:t>
      </w:r>
      <w:r w:rsidRPr="0044181B">
        <w:rPr>
          <w:lang w:val="fr-CH"/>
        </w:rPr>
        <w:tab/>
      </w:r>
      <w:r>
        <w:rPr>
          <w:lang w:val="fr-CH"/>
        </w:rPr>
        <w:t xml:space="preserve">Le Secrétaire général, tout en rappelant </w:t>
      </w:r>
      <w:r w:rsidRPr="0044181B">
        <w:rPr>
          <w:lang w:val="fr-CH"/>
        </w:rPr>
        <w:t>les efforts qui ont été déployés pour restructurer les manifestations ITU Telecom</w:t>
      </w:r>
      <w:r>
        <w:rPr>
          <w:lang w:val="fr-CH"/>
        </w:rPr>
        <w:t xml:space="preserve"> </w:t>
      </w:r>
      <w:r w:rsidR="00A02DF7">
        <w:rPr>
          <w:lang w:val="fr-CH"/>
        </w:rPr>
        <w:t xml:space="preserve">World </w:t>
      </w:r>
      <w:r>
        <w:rPr>
          <w:lang w:val="fr-CH"/>
        </w:rPr>
        <w:t xml:space="preserve">et en reconnaissant </w:t>
      </w:r>
      <w:r w:rsidRPr="0044181B">
        <w:rPr>
          <w:lang w:val="fr-CH"/>
        </w:rPr>
        <w:t>qu</w:t>
      </w:r>
      <w:r w:rsidR="00AA41B1">
        <w:rPr>
          <w:lang w:val="fr-CH"/>
        </w:rPr>
        <w:t>'</w:t>
      </w:r>
      <w:r w:rsidRPr="0044181B">
        <w:rPr>
          <w:lang w:val="fr-CH"/>
        </w:rPr>
        <w:t>il est nécessaire d</w:t>
      </w:r>
      <w:r w:rsidR="00AA41B1">
        <w:rPr>
          <w:lang w:val="fr-CH"/>
        </w:rPr>
        <w:t>'</w:t>
      </w:r>
      <w:r w:rsidRPr="0044181B">
        <w:rPr>
          <w:lang w:val="fr-CH"/>
        </w:rPr>
        <w:t>améliorer la valeur ajoutée</w:t>
      </w:r>
      <w:r>
        <w:rPr>
          <w:lang w:val="fr-CH"/>
        </w:rPr>
        <w:t xml:space="preserve"> des manifestations, se félicite de l</w:t>
      </w:r>
      <w:r w:rsidR="00AA41B1">
        <w:rPr>
          <w:lang w:val="fr-CH"/>
        </w:rPr>
        <w:t>'</w:t>
      </w:r>
      <w:r>
        <w:rPr>
          <w:lang w:val="fr-CH"/>
        </w:rPr>
        <w:t>appui recueilli ainsi que de l</w:t>
      </w:r>
      <w:r w:rsidR="00AA41B1">
        <w:rPr>
          <w:lang w:val="fr-CH"/>
        </w:rPr>
        <w:t>'</w:t>
      </w:r>
      <w:r>
        <w:rPr>
          <w:lang w:val="fr-CH"/>
        </w:rPr>
        <w:t>offre du Viet</w:t>
      </w:r>
      <w:r w:rsidR="00E06432">
        <w:rPr>
          <w:lang w:val="fr-CH"/>
        </w:rPr>
        <w:t xml:space="preserve"> N</w:t>
      </w:r>
      <w:r>
        <w:rPr>
          <w:lang w:val="fr-CH"/>
        </w:rPr>
        <w:t>am, qui est devenu une force dynamique du développement</w:t>
      </w:r>
      <w:r w:rsidRPr="0044181B">
        <w:rPr>
          <w:lang w:val="fr-CH"/>
        </w:rPr>
        <w:t xml:space="preserve"> </w:t>
      </w:r>
      <w:r>
        <w:rPr>
          <w:lang w:val="fr-CH"/>
        </w:rPr>
        <w:t xml:space="preserve">des TIC. </w:t>
      </w:r>
      <w:r w:rsidRPr="0044181B">
        <w:rPr>
          <w:lang w:val="fr-CH"/>
        </w:rPr>
        <w:t>La manifestation de 2020 offrira l</w:t>
      </w:r>
      <w:r w:rsidR="00AA41B1">
        <w:rPr>
          <w:lang w:val="fr-CH"/>
        </w:rPr>
        <w:t>'</w:t>
      </w:r>
      <w:r w:rsidRPr="0044181B">
        <w:rPr>
          <w:lang w:val="fr-CH"/>
        </w:rPr>
        <w:t>occasion de mettre particulièrement en relief</w:t>
      </w:r>
      <w:r>
        <w:rPr>
          <w:lang w:val="fr-CH"/>
        </w:rPr>
        <w:t xml:space="preserve"> les marchés émerge</w:t>
      </w:r>
      <w:r w:rsidRPr="0044181B">
        <w:rPr>
          <w:lang w:val="fr-CH"/>
        </w:rPr>
        <w:t>nt</w:t>
      </w:r>
      <w:r w:rsidR="003E2465">
        <w:rPr>
          <w:lang w:val="fr-CH"/>
        </w:rPr>
        <w:t>s</w:t>
      </w:r>
      <w:r>
        <w:rPr>
          <w:lang w:val="fr-CH"/>
        </w:rPr>
        <w:t xml:space="preserve">. </w:t>
      </w:r>
      <w:r w:rsidRPr="0044181B">
        <w:rPr>
          <w:lang w:val="fr-CH"/>
        </w:rPr>
        <w:t xml:space="preserve">Le secrétariat collaborera avec le gouvernement du pays hôte en vue de la manifestation de 2019, afin de veiller à ce que les </w:t>
      </w:r>
      <w:r>
        <w:rPr>
          <w:lang w:val="fr-CH"/>
        </w:rPr>
        <w:t>participants potentiels obtiennent des visas</w:t>
      </w:r>
      <w:r w:rsidR="00E06432">
        <w:rPr>
          <w:lang w:val="fr-CH"/>
        </w:rPr>
        <w:t>.</w:t>
      </w:r>
    </w:p>
    <w:p w:rsidR="00E37FE7" w:rsidRPr="00640081" w:rsidRDefault="00E37FE7" w:rsidP="00881FC1">
      <w:pPr>
        <w:rPr>
          <w:lang w:val="fr-CH"/>
        </w:rPr>
      </w:pPr>
      <w:r w:rsidRPr="0044181B">
        <w:rPr>
          <w:lang w:val="fr-CH"/>
        </w:rPr>
        <w:t>4.8</w:t>
      </w:r>
      <w:r w:rsidRPr="0044181B">
        <w:rPr>
          <w:lang w:val="fr-CH"/>
        </w:rPr>
        <w:tab/>
        <w:t>Le Conseil</w:t>
      </w:r>
      <w:r>
        <w:rPr>
          <w:lang w:val="fr-CH"/>
        </w:rPr>
        <w:t xml:space="preserve"> </w:t>
      </w:r>
      <w:r w:rsidRPr="007670B4">
        <w:rPr>
          <w:b/>
          <w:bCs/>
          <w:lang w:val="fr-CH"/>
        </w:rPr>
        <w:t>prend note</w:t>
      </w:r>
      <w:r w:rsidRPr="0044181B">
        <w:rPr>
          <w:lang w:val="fr-CH"/>
        </w:rPr>
        <w:t xml:space="preserve"> du rapport </w:t>
      </w:r>
      <w:r w:rsidR="00A02DF7">
        <w:rPr>
          <w:lang w:val="fr-CH"/>
        </w:rPr>
        <w:t>re</w:t>
      </w:r>
      <w:r w:rsidRPr="0044181B">
        <w:rPr>
          <w:lang w:val="fr-CH"/>
        </w:rPr>
        <w:t>produit dans le</w:t>
      </w:r>
      <w:r>
        <w:rPr>
          <w:lang w:val="fr-CH"/>
        </w:rPr>
        <w:t xml:space="preserve"> </w:t>
      </w:r>
      <w:r w:rsidRPr="0044181B">
        <w:rPr>
          <w:lang w:val="fr-CH"/>
        </w:rPr>
        <w:t>Document C19/19,</w:t>
      </w:r>
      <w:r w:rsidR="00E06432">
        <w:rPr>
          <w:lang w:val="fr-CH"/>
        </w:rPr>
        <w:t xml:space="preserve"> tout en exprimant sa </w:t>
      </w:r>
      <w:r w:rsidRPr="0044181B">
        <w:rPr>
          <w:lang w:val="fr-CH"/>
        </w:rPr>
        <w:t>reconnaissance à la Rép</w:t>
      </w:r>
      <w:r w:rsidR="00A02DF7">
        <w:rPr>
          <w:lang w:val="fr-CH"/>
        </w:rPr>
        <w:t>ublique sud</w:t>
      </w:r>
      <w:r w:rsidRPr="0044181B">
        <w:rPr>
          <w:lang w:val="fr-CH"/>
        </w:rPr>
        <w:t>africaine</w:t>
      </w:r>
      <w:r w:rsidR="00A02DF7">
        <w:rPr>
          <w:lang w:val="fr-CH"/>
        </w:rPr>
        <w:t>,</w:t>
      </w:r>
      <w:r w:rsidRPr="0044181B">
        <w:rPr>
          <w:lang w:val="fr-CH"/>
        </w:rPr>
        <w:t xml:space="preserve"> qui a accueilli la manifestation en 2018</w:t>
      </w:r>
      <w:r w:rsidR="00E06432">
        <w:rPr>
          <w:lang w:val="fr-CH"/>
        </w:rPr>
        <w:t xml:space="preserve"> sur le thème </w:t>
      </w:r>
      <w:r>
        <w:rPr>
          <w:lang w:val="fr-CH"/>
        </w:rPr>
        <w:t>des PME</w:t>
      </w:r>
      <w:r w:rsidR="00A02DF7">
        <w:rPr>
          <w:lang w:val="fr-CH"/>
        </w:rPr>
        <w:t>,</w:t>
      </w:r>
      <w:r>
        <w:rPr>
          <w:lang w:val="fr-CH"/>
        </w:rPr>
        <w:t xml:space="preserve"> et en attendant avec intérêt la manifestation qui s</w:t>
      </w:r>
      <w:r w:rsidR="00E06432">
        <w:rPr>
          <w:lang w:val="fr-CH"/>
        </w:rPr>
        <w:t>e tiendra en Hongrie du 9 au 12 </w:t>
      </w:r>
      <w:r>
        <w:rPr>
          <w:lang w:val="fr-CH"/>
        </w:rPr>
        <w:t xml:space="preserve">septembre 2019. </w:t>
      </w:r>
      <w:r w:rsidRPr="00640081">
        <w:rPr>
          <w:lang w:val="fr-CH"/>
        </w:rPr>
        <w:t xml:space="preserve">En outre, il </w:t>
      </w:r>
      <w:r w:rsidRPr="007670B4">
        <w:rPr>
          <w:b/>
          <w:bCs/>
          <w:lang w:val="fr-CH"/>
        </w:rPr>
        <w:t>prend note</w:t>
      </w:r>
      <w:r w:rsidRPr="00640081">
        <w:rPr>
          <w:lang w:val="fr-CH"/>
        </w:rPr>
        <w:t xml:space="preserve"> avec satisfaction de l</w:t>
      </w:r>
      <w:r w:rsidR="00AA41B1">
        <w:rPr>
          <w:lang w:val="fr-CH"/>
        </w:rPr>
        <w:t>'</w:t>
      </w:r>
      <w:r w:rsidR="00A02DF7">
        <w:rPr>
          <w:lang w:val="fr-CH"/>
        </w:rPr>
        <w:t>offre du Viet N</w:t>
      </w:r>
      <w:r w:rsidRPr="00640081">
        <w:rPr>
          <w:lang w:val="fr-CH"/>
        </w:rPr>
        <w:t xml:space="preserve">am visant à </w:t>
      </w:r>
      <w:r w:rsidR="007670B4">
        <w:rPr>
          <w:lang w:val="fr-CH"/>
        </w:rPr>
        <w:t>tenir la manifestation à Hanoï</w:t>
      </w:r>
      <w:r w:rsidRPr="00640081">
        <w:rPr>
          <w:lang w:val="fr-CH"/>
        </w:rPr>
        <w:t xml:space="preserve"> en septembre 2020, sachant que le Conseil à sa session de 2020 étudiera les résultats</w:t>
      </w:r>
      <w:r>
        <w:rPr>
          <w:lang w:val="fr-CH"/>
        </w:rPr>
        <w:t xml:space="preserve"> de l</w:t>
      </w:r>
      <w:r w:rsidR="00AA41B1">
        <w:rPr>
          <w:lang w:val="fr-CH"/>
        </w:rPr>
        <w:t>'</w:t>
      </w:r>
      <w:r>
        <w:rPr>
          <w:lang w:val="fr-CH"/>
        </w:rPr>
        <w:t xml:space="preserve">examen des manifestations </w:t>
      </w:r>
      <w:r w:rsidRPr="00640081">
        <w:rPr>
          <w:lang w:val="fr-CH"/>
        </w:rPr>
        <w:t>ITU Telecom World</w:t>
      </w:r>
      <w:r>
        <w:rPr>
          <w:lang w:val="fr-CH"/>
        </w:rPr>
        <w:t xml:space="preserve">. </w:t>
      </w:r>
    </w:p>
    <w:p w:rsidR="00E37FE7" w:rsidRPr="00977456" w:rsidRDefault="00E37FE7" w:rsidP="00881FC1">
      <w:pPr>
        <w:pStyle w:val="Heading1"/>
        <w:rPr>
          <w:bCs/>
          <w:sz w:val="26"/>
          <w:szCs w:val="26"/>
          <w:lang w:val="fr-CH"/>
        </w:rPr>
      </w:pPr>
      <w:r w:rsidRPr="00977456">
        <w:rPr>
          <w:bCs/>
          <w:sz w:val="26"/>
          <w:szCs w:val="26"/>
          <w:lang w:val="fr-CH"/>
        </w:rPr>
        <w:t>5</w:t>
      </w:r>
      <w:r w:rsidRPr="00977456">
        <w:rPr>
          <w:bCs/>
          <w:sz w:val="26"/>
          <w:szCs w:val="26"/>
          <w:lang w:val="fr-CH"/>
        </w:rPr>
        <w:tab/>
      </w:r>
      <w:r w:rsidRPr="003C4D74">
        <w:rPr>
          <w:lang w:val="fr-CH"/>
        </w:rPr>
        <w:t>Rapport du Groupe de travail du Conseil sur les langues (GTC-LANG)</w:t>
      </w:r>
      <w:r>
        <w:rPr>
          <w:lang w:val="fr-CH"/>
        </w:rPr>
        <w:t xml:space="preserve"> </w:t>
      </w:r>
      <w:r w:rsidRPr="003C4D74">
        <w:rPr>
          <w:lang w:val="fr-CH"/>
        </w:rPr>
        <w:t>et plan détaillé des projets pilotes relatifs à d</w:t>
      </w:r>
      <w:r w:rsidR="00AA41B1">
        <w:rPr>
          <w:lang w:val="fr-CH"/>
        </w:rPr>
        <w:t>'</w:t>
      </w:r>
      <w:r w:rsidRPr="003C4D74">
        <w:rPr>
          <w:lang w:val="fr-CH"/>
        </w:rPr>
        <w:t>autres méthodes de traduction, d</w:t>
      </w:r>
      <w:r w:rsidR="00AA41B1">
        <w:rPr>
          <w:lang w:val="fr-CH"/>
        </w:rPr>
        <w:t>'</w:t>
      </w:r>
      <w:r w:rsidRPr="003C4D74">
        <w:rPr>
          <w:lang w:val="fr-CH"/>
        </w:rPr>
        <w:t>interprétation et de sous-titrage</w:t>
      </w:r>
      <w:r>
        <w:rPr>
          <w:bCs/>
          <w:lang w:val="fr-CH"/>
        </w:rPr>
        <w:t xml:space="preserve"> </w:t>
      </w:r>
      <w:r w:rsidRPr="00977456">
        <w:rPr>
          <w:bCs/>
          <w:sz w:val="26"/>
          <w:szCs w:val="26"/>
          <w:lang w:val="fr-CH"/>
        </w:rPr>
        <w:t xml:space="preserve">(Documents </w:t>
      </w:r>
      <w:hyperlink r:id="rId17" w:history="1">
        <w:r w:rsidRPr="00977456">
          <w:rPr>
            <w:rStyle w:val="Hyperlink"/>
            <w:bCs/>
            <w:sz w:val="26"/>
            <w:szCs w:val="26"/>
            <w:lang w:val="fr-CH"/>
          </w:rPr>
          <w:t>C19/12</w:t>
        </w:r>
      </w:hyperlink>
      <w:r w:rsidRPr="00977456">
        <w:rPr>
          <w:bCs/>
          <w:sz w:val="26"/>
          <w:szCs w:val="26"/>
          <w:lang w:val="fr-CH"/>
        </w:rPr>
        <w:t xml:space="preserve">, </w:t>
      </w:r>
      <w:hyperlink r:id="rId18" w:history="1">
        <w:r w:rsidRPr="00977456">
          <w:rPr>
            <w:rStyle w:val="Hyperlink"/>
            <w:bCs/>
            <w:sz w:val="26"/>
            <w:szCs w:val="26"/>
            <w:lang w:val="fr-CH"/>
          </w:rPr>
          <w:t>C19/14(R</w:t>
        </w:r>
        <w:r w:rsidR="00E06432">
          <w:rPr>
            <w:rStyle w:val="Hyperlink"/>
            <w:b w:val="0"/>
            <w:bCs/>
            <w:sz w:val="26"/>
            <w:szCs w:val="26"/>
            <w:lang w:val="fr-CH"/>
          </w:rPr>
          <w:t>é</w:t>
        </w:r>
        <w:r w:rsidRPr="00977456">
          <w:rPr>
            <w:rStyle w:val="Hyperlink"/>
            <w:bCs/>
            <w:sz w:val="26"/>
            <w:szCs w:val="26"/>
            <w:lang w:val="fr-CH"/>
          </w:rPr>
          <w:t>v.1)</w:t>
        </w:r>
      </w:hyperlink>
      <w:r w:rsidRPr="00977456">
        <w:rPr>
          <w:bCs/>
          <w:sz w:val="26"/>
          <w:szCs w:val="26"/>
          <w:lang w:val="fr-CH"/>
        </w:rPr>
        <w:t xml:space="preserve"> </w:t>
      </w:r>
      <w:r>
        <w:rPr>
          <w:bCs/>
          <w:sz w:val="26"/>
          <w:szCs w:val="26"/>
          <w:lang w:val="fr-CH"/>
        </w:rPr>
        <w:t>et</w:t>
      </w:r>
      <w:r w:rsidR="00A02DF7">
        <w:rPr>
          <w:bCs/>
          <w:sz w:val="26"/>
          <w:szCs w:val="26"/>
          <w:lang w:val="fr-CH"/>
        </w:rPr>
        <w:t> </w:t>
      </w:r>
      <w:hyperlink r:id="rId19" w:history="1">
        <w:r w:rsidRPr="00977456">
          <w:rPr>
            <w:rStyle w:val="Hyperlink"/>
            <w:bCs/>
            <w:sz w:val="26"/>
            <w:szCs w:val="26"/>
            <w:lang w:val="fr-CH"/>
          </w:rPr>
          <w:t>C19/72</w:t>
        </w:r>
      </w:hyperlink>
      <w:r w:rsidRPr="00977456">
        <w:rPr>
          <w:bCs/>
          <w:sz w:val="26"/>
          <w:szCs w:val="26"/>
          <w:lang w:val="fr-CH"/>
        </w:rPr>
        <w:t>)</w:t>
      </w:r>
    </w:p>
    <w:p w:rsidR="00E37FE7" w:rsidRPr="00DC6576" w:rsidRDefault="00E37FE7" w:rsidP="00881FC1">
      <w:pPr>
        <w:rPr>
          <w:lang w:val="fr-CH"/>
        </w:rPr>
      </w:pPr>
      <w:r w:rsidRPr="00DC6576">
        <w:rPr>
          <w:lang w:val="fr-CH"/>
        </w:rPr>
        <w:t>5.1</w:t>
      </w:r>
      <w:r w:rsidRPr="00DC6576">
        <w:rPr>
          <w:lang w:val="fr-CH"/>
        </w:rPr>
        <w:tab/>
      </w:r>
      <w:r w:rsidR="00A02DF7">
        <w:rPr>
          <w:lang w:val="fr-CH"/>
        </w:rPr>
        <w:t xml:space="preserve">La Présidente du </w:t>
      </w:r>
      <w:r w:rsidRPr="00DC6576">
        <w:rPr>
          <w:color w:val="000000"/>
          <w:lang w:val="fr-CH"/>
        </w:rPr>
        <w:t>GTC-LANG</w:t>
      </w:r>
      <w:r w:rsidRPr="00DC6576">
        <w:rPr>
          <w:lang w:val="fr-CH"/>
        </w:rPr>
        <w:t xml:space="preserve"> présente le rapport annuel du</w:t>
      </w:r>
      <w:r>
        <w:rPr>
          <w:lang w:val="fr-CH"/>
        </w:rPr>
        <w:t xml:space="preserve"> </w:t>
      </w:r>
      <w:r w:rsidRPr="003C4D74">
        <w:rPr>
          <w:color w:val="000000"/>
          <w:lang w:val="fr-CH"/>
        </w:rPr>
        <w:t>GTC</w:t>
      </w:r>
      <w:r w:rsidRPr="00DC6576">
        <w:rPr>
          <w:lang w:val="fr-CH"/>
        </w:rPr>
        <w:t xml:space="preserve"> </w:t>
      </w:r>
      <w:r>
        <w:rPr>
          <w:lang w:val="fr-CH"/>
        </w:rPr>
        <w:t>à l</w:t>
      </w:r>
      <w:r w:rsidR="00AA41B1">
        <w:rPr>
          <w:lang w:val="fr-CH"/>
        </w:rPr>
        <w:t>'</w:t>
      </w:r>
      <w:r>
        <w:rPr>
          <w:lang w:val="fr-CH"/>
        </w:rPr>
        <w:t>intention du Conseil (</w:t>
      </w:r>
      <w:r w:rsidRPr="00DC6576">
        <w:rPr>
          <w:lang w:val="fr-CH"/>
        </w:rPr>
        <w:t>Document C19/12</w:t>
      </w:r>
      <w:r>
        <w:rPr>
          <w:lang w:val="fr-CH"/>
        </w:rPr>
        <w:t>)</w:t>
      </w:r>
      <w:r w:rsidRPr="00DC6576">
        <w:rPr>
          <w:lang w:val="fr-CH"/>
        </w:rPr>
        <w:t>.</w:t>
      </w:r>
      <w:r>
        <w:rPr>
          <w:lang w:val="fr-CH"/>
        </w:rPr>
        <w:t xml:space="preserve"> </w:t>
      </w:r>
      <w:r w:rsidRPr="00DC6576">
        <w:rPr>
          <w:lang w:val="fr-CH"/>
        </w:rPr>
        <w:t>Depuis la publication du rapport, un nouvel accord entre le</w:t>
      </w:r>
      <w:r w:rsidRPr="00DC6576">
        <w:rPr>
          <w:color w:val="000000"/>
          <w:lang w:val="fr-CH"/>
        </w:rPr>
        <w:t xml:space="preserve"> Conseil des chefs de secrétariat des organismes des Nations Unies pour la coordination (CCS)</w:t>
      </w:r>
      <w:r>
        <w:rPr>
          <w:lang w:val="fr-CH"/>
        </w:rPr>
        <w:t xml:space="preserve"> et l</w:t>
      </w:r>
      <w:r w:rsidR="00AA41B1">
        <w:rPr>
          <w:lang w:val="fr-CH"/>
        </w:rPr>
        <w:t>'</w:t>
      </w:r>
      <w:r w:rsidRPr="00DC6576">
        <w:rPr>
          <w:lang w:val="fr-CH"/>
        </w:rPr>
        <w:t>Association internationale des interprètes de conférence (AIIC)</w:t>
      </w:r>
      <w:r>
        <w:rPr>
          <w:lang w:val="fr-CH"/>
        </w:rPr>
        <w:t>, qui</w:t>
      </w:r>
      <w:r w:rsidRPr="00DC6576">
        <w:rPr>
          <w:lang w:val="fr-CH"/>
        </w:rPr>
        <w:t xml:space="preserve"> </w:t>
      </w:r>
      <w:r w:rsidRPr="00DC6576">
        <w:rPr>
          <w:color w:val="000000"/>
          <w:lang w:val="fr-CH"/>
        </w:rPr>
        <w:t>régi</w:t>
      </w:r>
      <w:r>
        <w:rPr>
          <w:color w:val="000000"/>
          <w:lang w:val="fr-CH"/>
        </w:rPr>
        <w:t>t</w:t>
      </w:r>
      <w:r w:rsidRPr="00DC6576">
        <w:rPr>
          <w:color w:val="000000"/>
          <w:lang w:val="fr-CH"/>
        </w:rPr>
        <w:t xml:space="preserve"> le recrutement des interprètes à court terme</w:t>
      </w:r>
      <w:r>
        <w:rPr>
          <w:color w:val="000000"/>
          <w:lang w:val="fr-CH"/>
        </w:rPr>
        <w:t>, est entré en vigueur et n</w:t>
      </w:r>
      <w:r w:rsidR="00AA41B1">
        <w:rPr>
          <w:color w:val="000000"/>
          <w:lang w:val="fr-CH"/>
        </w:rPr>
        <w:t>'</w:t>
      </w:r>
      <w:r>
        <w:rPr>
          <w:color w:val="000000"/>
          <w:lang w:val="fr-CH"/>
        </w:rPr>
        <w:t xml:space="preserve">a pas encore </w:t>
      </w:r>
      <w:r w:rsidRPr="003E0D66">
        <w:rPr>
          <w:color w:val="000000"/>
          <w:lang w:val="fr-CH"/>
        </w:rPr>
        <w:t>d</w:t>
      </w:r>
      <w:r w:rsidR="00AA41B1">
        <w:rPr>
          <w:color w:val="000000"/>
          <w:lang w:val="fr-CH"/>
        </w:rPr>
        <w:t>'</w:t>
      </w:r>
      <w:r w:rsidRPr="003E0D66">
        <w:rPr>
          <w:color w:val="000000"/>
          <w:lang w:val="fr-CH"/>
        </w:rPr>
        <w:t>importantes</w:t>
      </w:r>
      <w:r>
        <w:rPr>
          <w:color w:val="000000"/>
          <w:lang w:val="fr-CH"/>
        </w:rPr>
        <w:t xml:space="preserve"> conséquences budgétaires</w:t>
      </w:r>
      <w:r w:rsidR="00A02DF7">
        <w:rPr>
          <w:color w:val="000000"/>
          <w:lang w:val="fr-CH"/>
        </w:rPr>
        <w:t>.</w:t>
      </w:r>
    </w:p>
    <w:p w:rsidR="00E37FE7" w:rsidRPr="003E0D66" w:rsidRDefault="00E37FE7" w:rsidP="00881FC1">
      <w:pPr>
        <w:rPr>
          <w:lang w:val="fr-CH"/>
        </w:rPr>
      </w:pPr>
      <w:r w:rsidRPr="003E0D66">
        <w:rPr>
          <w:lang w:val="fr-CH"/>
        </w:rPr>
        <w:t>5.2</w:t>
      </w:r>
      <w:r w:rsidRPr="003E0D66">
        <w:rPr>
          <w:lang w:val="fr-CH"/>
        </w:rPr>
        <w:tab/>
      </w:r>
      <w:r w:rsidR="00A02DF7">
        <w:rPr>
          <w:lang w:val="fr-CH"/>
        </w:rPr>
        <w:t>Le conseiller</w:t>
      </w:r>
      <w:r w:rsidRPr="003E0D66">
        <w:rPr>
          <w:lang w:val="fr-CH"/>
        </w:rPr>
        <w:t xml:space="preserve"> de la</w:t>
      </w:r>
      <w:r w:rsidR="00A02DF7">
        <w:rPr>
          <w:lang w:val="fr-CH"/>
        </w:rPr>
        <w:t xml:space="preserve"> Fédération de Russie présente</w:t>
      </w:r>
      <w:r w:rsidRPr="003E0D66">
        <w:rPr>
          <w:lang w:val="fr-CH"/>
        </w:rPr>
        <w:t xml:space="preserve"> la contribution de son pays</w:t>
      </w:r>
      <w:r>
        <w:rPr>
          <w:lang w:val="fr-CH"/>
        </w:rPr>
        <w:t xml:space="preserve"> </w:t>
      </w:r>
      <w:r w:rsidRPr="003E0D66">
        <w:rPr>
          <w:lang w:val="fr-CH"/>
        </w:rPr>
        <w:t>(</w:t>
      </w:r>
      <w:r w:rsidR="00E06432">
        <w:rPr>
          <w:lang w:val="fr-CH"/>
        </w:rPr>
        <w:t>Document </w:t>
      </w:r>
      <w:r w:rsidRPr="003E0D66">
        <w:rPr>
          <w:lang w:val="fr-CH"/>
        </w:rPr>
        <w:t xml:space="preserve">C19/72), </w:t>
      </w:r>
      <w:r>
        <w:rPr>
          <w:lang w:val="fr-CH"/>
        </w:rPr>
        <w:t>dans laquelle il est proposé d</w:t>
      </w:r>
      <w:r w:rsidR="00AA41B1">
        <w:rPr>
          <w:lang w:val="fr-CH"/>
        </w:rPr>
        <w:t>'</w:t>
      </w:r>
      <w:r>
        <w:rPr>
          <w:lang w:val="fr-CH"/>
        </w:rPr>
        <w:t xml:space="preserve">apporter une nouvelle modification de forme au mandat révisé du </w:t>
      </w:r>
      <w:r w:rsidRPr="003E0D66">
        <w:rPr>
          <w:color w:val="000000"/>
          <w:lang w:val="fr-CH"/>
        </w:rPr>
        <w:t>GTC-LANG</w:t>
      </w:r>
      <w:r>
        <w:rPr>
          <w:lang w:val="fr-CH"/>
        </w:rPr>
        <w:t xml:space="preserve"> (</w:t>
      </w:r>
      <w:r w:rsidRPr="003E0D66">
        <w:rPr>
          <w:lang w:val="fr-CH"/>
        </w:rPr>
        <w:t>Appendi</w:t>
      </w:r>
      <w:r>
        <w:rPr>
          <w:lang w:val="fr-CH"/>
        </w:rPr>
        <w:t>ce</w:t>
      </w:r>
      <w:r w:rsidRPr="003E0D66">
        <w:rPr>
          <w:lang w:val="fr-CH"/>
        </w:rPr>
        <w:t xml:space="preserve"> II </w:t>
      </w:r>
      <w:r>
        <w:rPr>
          <w:lang w:val="fr-CH"/>
        </w:rPr>
        <w:t>du</w:t>
      </w:r>
      <w:r w:rsidRPr="003E0D66">
        <w:rPr>
          <w:lang w:val="fr-CH"/>
        </w:rPr>
        <w:t xml:space="preserve"> Document C19/12</w:t>
      </w:r>
      <w:r>
        <w:rPr>
          <w:lang w:val="fr-CH"/>
        </w:rPr>
        <w:t>)</w:t>
      </w:r>
      <w:r w:rsidRPr="003E0D66">
        <w:rPr>
          <w:lang w:val="fr-CH"/>
        </w:rPr>
        <w:t>.</w:t>
      </w:r>
    </w:p>
    <w:p w:rsidR="00E37FE7" w:rsidRPr="003E0D66" w:rsidRDefault="00E37FE7" w:rsidP="00881FC1">
      <w:pPr>
        <w:rPr>
          <w:lang w:val="fr-CH"/>
        </w:rPr>
      </w:pPr>
      <w:r w:rsidRPr="003E0D66">
        <w:rPr>
          <w:lang w:val="fr-CH"/>
        </w:rPr>
        <w:t>5.3</w:t>
      </w:r>
      <w:r w:rsidRPr="003E0D66">
        <w:rPr>
          <w:lang w:val="fr-CH"/>
        </w:rPr>
        <w:tab/>
        <w:t>Le représentant</w:t>
      </w:r>
      <w:r>
        <w:rPr>
          <w:lang w:val="fr-CH"/>
        </w:rPr>
        <w:t xml:space="preserve"> </w:t>
      </w:r>
      <w:r w:rsidRPr="003E0D66">
        <w:rPr>
          <w:lang w:val="fr-CH"/>
        </w:rPr>
        <w:t>du secrétariat présente</w:t>
      </w:r>
      <w:r>
        <w:rPr>
          <w:lang w:val="fr-CH"/>
        </w:rPr>
        <w:t xml:space="preserve"> </w:t>
      </w:r>
      <w:r w:rsidRPr="003E0D66">
        <w:rPr>
          <w:lang w:val="fr-CH"/>
        </w:rPr>
        <w:t xml:space="preserve">le </w:t>
      </w:r>
      <w:r w:rsidR="007670B4">
        <w:rPr>
          <w:lang w:val="fr-CH"/>
        </w:rPr>
        <w:t>Document C19/14</w:t>
      </w:r>
      <w:r w:rsidRPr="003E0D66">
        <w:rPr>
          <w:lang w:val="fr-CH"/>
        </w:rPr>
        <w:t>(R</w:t>
      </w:r>
      <w:r w:rsidR="00A02DF7">
        <w:rPr>
          <w:lang w:val="fr-CH"/>
        </w:rPr>
        <w:t>é</w:t>
      </w:r>
      <w:r w:rsidRPr="003E0D66">
        <w:rPr>
          <w:lang w:val="fr-CH"/>
        </w:rPr>
        <w:t xml:space="preserve">v.1), </w:t>
      </w:r>
      <w:r>
        <w:rPr>
          <w:lang w:val="fr-CH"/>
        </w:rPr>
        <w:t xml:space="preserve">qui décrit dans ses grandes lignes </w:t>
      </w:r>
      <w:r w:rsidRPr="003E0D66">
        <w:rPr>
          <w:lang w:val="fr-CH"/>
        </w:rPr>
        <w:t xml:space="preserve">un </w:t>
      </w:r>
      <w:r w:rsidR="00A02DF7">
        <w:rPr>
          <w:lang w:val="fr-CH"/>
        </w:rPr>
        <w:t xml:space="preserve">projet de </w:t>
      </w:r>
      <w:r w:rsidRPr="003E0D66">
        <w:rPr>
          <w:lang w:val="fr-CH"/>
        </w:rPr>
        <w:t>plan quadriennal</w:t>
      </w:r>
      <w:r>
        <w:rPr>
          <w:lang w:val="fr-CH"/>
        </w:rPr>
        <w:t xml:space="preserve"> </w:t>
      </w:r>
      <w:r w:rsidRPr="003E0D66">
        <w:rPr>
          <w:lang w:val="fr-CH"/>
        </w:rPr>
        <w:t>de recherche-développement visant à utiliser d</w:t>
      </w:r>
      <w:r w:rsidR="00AA41B1">
        <w:rPr>
          <w:lang w:val="fr-CH"/>
        </w:rPr>
        <w:t>'</w:t>
      </w:r>
      <w:r w:rsidRPr="003E0D66">
        <w:rPr>
          <w:lang w:val="fr-CH"/>
        </w:rPr>
        <w:t>autres méthodes de traduction, d</w:t>
      </w:r>
      <w:r w:rsidR="00AA41B1">
        <w:rPr>
          <w:lang w:val="fr-CH"/>
        </w:rPr>
        <w:t>'</w:t>
      </w:r>
      <w:r w:rsidRPr="003E0D66">
        <w:rPr>
          <w:lang w:val="fr-CH"/>
        </w:rPr>
        <w:t>interprétation et de sous-titrage</w:t>
      </w:r>
      <w:r>
        <w:rPr>
          <w:lang w:val="fr-CH"/>
        </w:rPr>
        <w:t>, conformément à la Décision</w:t>
      </w:r>
      <w:r w:rsidR="00A02DF7">
        <w:rPr>
          <w:lang w:val="fr-CH"/>
        </w:rPr>
        <w:t> </w:t>
      </w:r>
      <w:r w:rsidRPr="003E0D66">
        <w:rPr>
          <w:lang w:val="fr-CH"/>
        </w:rPr>
        <w:t>5 (R</w:t>
      </w:r>
      <w:r w:rsidR="00E06432">
        <w:rPr>
          <w:lang w:val="fr-CH"/>
        </w:rPr>
        <w:t>év. Dubaï</w:t>
      </w:r>
      <w:r w:rsidRPr="003E0D66">
        <w:rPr>
          <w:lang w:val="fr-CH"/>
        </w:rPr>
        <w:t xml:space="preserve">, 2018) </w:t>
      </w:r>
      <w:r>
        <w:rPr>
          <w:lang w:val="fr-CH"/>
        </w:rPr>
        <w:t xml:space="preserve">et à la Résolution </w:t>
      </w:r>
      <w:r w:rsidRPr="003E0D66">
        <w:rPr>
          <w:lang w:val="fr-CH"/>
        </w:rPr>
        <w:t>154 (R</w:t>
      </w:r>
      <w:r w:rsidR="00A02DF7">
        <w:rPr>
          <w:lang w:val="fr-CH"/>
        </w:rPr>
        <w:t>é</w:t>
      </w:r>
      <w:r w:rsidRPr="003E0D66">
        <w:rPr>
          <w:lang w:val="fr-CH"/>
        </w:rPr>
        <w:t>v. Duba</w:t>
      </w:r>
      <w:r w:rsidR="00A02DF7">
        <w:rPr>
          <w:lang w:val="fr-CH"/>
        </w:rPr>
        <w:t>ï</w:t>
      </w:r>
      <w:r w:rsidRPr="003E0D66">
        <w:rPr>
          <w:lang w:val="fr-CH"/>
        </w:rPr>
        <w:t>, 2018)</w:t>
      </w:r>
      <w:r>
        <w:rPr>
          <w:lang w:val="fr-CH"/>
        </w:rPr>
        <w:t xml:space="preserve"> de la Conférence de plénipotentiaires</w:t>
      </w:r>
      <w:r w:rsidRPr="003E0D66">
        <w:rPr>
          <w:lang w:val="fr-CH"/>
        </w:rPr>
        <w:t>.</w:t>
      </w:r>
    </w:p>
    <w:p w:rsidR="00E37FE7" w:rsidRPr="00CF2B69" w:rsidRDefault="00E37FE7" w:rsidP="00881FC1">
      <w:pPr>
        <w:rPr>
          <w:lang w:val="fr-CH"/>
        </w:rPr>
      </w:pPr>
      <w:r w:rsidRPr="00CA3372">
        <w:rPr>
          <w:lang w:val="fr-CH"/>
        </w:rPr>
        <w:t>5.4</w:t>
      </w:r>
      <w:r w:rsidRPr="00CA3372">
        <w:rPr>
          <w:lang w:val="fr-CH"/>
        </w:rPr>
        <w:tab/>
      </w:r>
      <w:r w:rsidR="00A02DF7">
        <w:rPr>
          <w:lang w:val="fr-CH"/>
        </w:rPr>
        <w:t>D</w:t>
      </w:r>
      <w:r w:rsidRPr="00CA3372">
        <w:rPr>
          <w:lang w:val="fr-CH"/>
        </w:rPr>
        <w:t xml:space="preserve">es conseillers relèvent </w:t>
      </w:r>
      <w:r>
        <w:rPr>
          <w:lang w:val="fr-CH"/>
        </w:rPr>
        <w:t>qu</w:t>
      </w:r>
      <w:r w:rsidR="00AA41B1">
        <w:rPr>
          <w:lang w:val="fr-CH"/>
        </w:rPr>
        <w:t>'</w:t>
      </w:r>
      <w:r w:rsidRPr="00CA3372">
        <w:rPr>
          <w:lang w:val="fr-CH"/>
        </w:rPr>
        <w:t>il est important de combler le fossé</w:t>
      </w:r>
      <w:r>
        <w:rPr>
          <w:lang w:val="fr-CH"/>
        </w:rPr>
        <w:t xml:space="preserve"> linguistique </w:t>
      </w:r>
      <w:r w:rsidRPr="00CA3372">
        <w:rPr>
          <w:lang w:val="fr-CH"/>
        </w:rPr>
        <w:t>pour faciliter les travaux de l</w:t>
      </w:r>
      <w:r w:rsidR="00AA41B1">
        <w:rPr>
          <w:lang w:val="fr-CH"/>
        </w:rPr>
        <w:t>'</w:t>
      </w:r>
      <w:r w:rsidR="00A02DF7">
        <w:rPr>
          <w:lang w:val="fr-CH"/>
        </w:rPr>
        <w:t>U</w:t>
      </w:r>
      <w:r w:rsidRPr="00CA3372">
        <w:rPr>
          <w:lang w:val="fr-CH"/>
        </w:rPr>
        <w:t>nion et se félicitent des progrès techniques signalés dans différents domaines, en particulier</w:t>
      </w:r>
      <w:r>
        <w:rPr>
          <w:lang w:val="fr-CH"/>
        </w:rPr>
        <w:t xml:space="preserve"> </w:t>
      </w:r>
      <w:r w:rsidR="00A02DF7">
        <w:rPr>
          <w:lang w:val="fr-CH"/>
        </w:rPr>
        <w:t xml:space="preserve">celui de </w:t>
      </w:r>
      <w:r>
        <w:rPr>
          <w:lang w:val="fr-CH"/>
        </w:rPr>
        <w:t>la</w:t>
      </w:r>
      <w:r w:rsidRPr="00CA3372">
        <w:rPr>
          <w:lang w:val="fr-CH"/>
        </w:rPr>
        <w:t xml:space="preserve"> </w:t>
      </w:r>
      <w:r w:rsidRPr="00CA3372">
        <w:rPr>
          <w:color w:val="000000"/>
          <w:lang w:val="fr-CH"/>
        </w:rPr>
        <w:t>traduction automatique par réseau neuronal</w:t>
      </w:r>
      <w:r w:rsidRPr="00CA3372">
        <w:rPr>
          <w:lang w:val="fr-CH"/>
        </w:rPr>
        <w:t>,</w:t>
      </w:r>
      <w:r>
        <w:rPr>
          <w:lang w:val="fr-CH"/>
        </w:rPr>
        <w:t xml:space="preserve"> ainsi que des économies connexes qu</w:t>
      </w:r>
      <w:r w:rsidR="00AA41B1">
        <w:rPr>
          <w:lang w:val="fr-CH"/>
        </w:rPr>
        <w:t>'</w:t>
      </w:r>
      <w:r>
        <w:rPr>
          <w:lang w:val="fr-CH"/>
        </w:rPr>
        <w:t>il serait possible de réaliser</w:t>
      </w:r>
      <w:r w:rsidR="00A02DF7">
        <w:rPr>
          <w:lang w:val="fr-CH"/>
        </w:rPr>
        <w:t>,</w:t>
      </w:r>
      <w:r>
        <w:rPr>
          <w:lang w:val="fr-CH"/>
        </w:rPr>
        <w:t xml:space="preserve"> encore qu</w:t>
      </w:r>
      <w:r w:rsidR="00AA41B1">
        <w:rPr>
          <w:lang w:val="fr-CH"/>
        </w:rPr>
        <w:t>'</w:t>
      </w:r>
      <w:r>
        <w:rPr>
          <w:lang w:val="fr-CH"/>
        </w:rPr>
        <w:t>un conseiller mette en garde contre la recherche d</w:t>
      </w:r>
      <w:r w:rsidR="00AA41B1">
        <w:rPr>
          <w:lang w:val="fr-CH"/>
        </w:rPr>
        <w:t>'</w:t>
      </w:r>
      <w:r>
        <w:rPr>
          <w:lang w:val="fr-CH"/>
        </w:rPr>
        <w:t>économies aux dépens d</w:t>
      </w:r>
      <w:r w:rsidR="00AA41B1">
        <w:rPr>
          <w:lang w:val="fr-CH"/>
        </w:rPr>
        <w:t>'</w:t>
      </w:r>
      <w:r>
        <w:rPr>
          <w:lang w:val="fr-CH"/>
        </w:rPr>
        <w:t xml:space="preserve">un véritable multilinguisme. </w:t>
      </w:r>
      <w:r w:rsidRPr="00CF2B69">
        <w:rPr>
          <w:lang w:val="fr-CH"/>
        </w:rPr>
        <w:t>Un autre conseiller demande des renseignements plus précis sur les investissements q</w:t>
      </w:r>
      <w:r>
        <w:rPr>
          <w:lang w:val="fr-CH"/>
        </w:rPr>
        <w:t xml:space="preserve">ui </w:t>
      </w:r>
      <w:r w:rsidRPr="00CF2B69">
        <w:rPr>
          <w:lang w:val="fr-CH"/>
        </w:rPr>
        <w:t>pourrai</w:t>
      </w:r>
      <w:r>
        <w:rPr>
          <w:lang w:val="fr-CH"/>
        </w:rPr>
        <w:t>en</w:t>
      </w:r>
      <w:r w:rsidRPr="00CF2B69">
        <w:rPr>
          <w:lang w:val="fr-CH"/>
        </w:rPr>
        <w:t>t s</w:t>
      </w:r>
      <w:r w:rsidR="00AA41B1">
        <w:rPr>
          <w:lang w:val="fr-CH"/>
        </w:rPr>
        <w:t>'</w:t>
      </w:r>
      <w:r w:rsidRPr="00CF2B69">
        <w:rPr>
          <w:lang w:val="fr-CH"/>
        </w:rPr>
        <w:t>avérer nécessaire</w:t>
      </w:r>
      <w:r>
        <w:rPr>
          <w:lang w:val="fr-CH"/>
        </w:rPr>
        <w:t>s</w:t>
      </w:r>
      <w:r w:rsidRPr="00CF2B69">
        <w:rPr>
          <w:lang w:val="fr-CH"/>
        </w:rPr>
        <w:t xml:space="preserve"> pour tirer p</w:t>
      </w:r>
      <w:r w:rsidR="007670B4">
        <w:rPr>
          <w:lang w:val="fr-CH"/>
        </w:rPr>
        <w:t>arti des nouvelles technologies</w:t>
      </w:r>
      <w:r w:rsidRPr="00CF2B69">
        <w:rPr>
          <w:lang w:val="fr-CH"/>
        </w:rPr>
        <w:t>:</w:t>
      </w:r>
      <w:r>
        <w:rPr>
          <w:lang w:val="fr-CH"/>
        </w:rPr>
        <w:t xml:space="preserve"> si ceux-ci peuvent être compensés par des économies, on pourrait envisager de les intégrer dans les prévisions budgétaires</w:t>
      </w:r>
      <w:r w:rsidRPr="00CF2B69">
        <w:rPr>
          <w:lang w:val="fr-CH"/>
        </w:rPr>
        <w:t>.</w:t>
      </w:r>
      <w:r>
        <w:rPr>
          <w:lang w:val="fr-CH"/>
        </w:rPr>
        <w:t xml:space="preserve"> </w:t>
      </w:r>
      <w:r w:rsidRPr="00CF2B69">
        <w:rPr>
          <w:lang w:val="fr-CH"/>
        </w:rPr>
        <w:t>Un troisième conseiller s</w:t>
      </w:r>
      <w:r w:rsidR="00AA41B1">
        <w:rPr>
          <w:lang w:val="fr-CH"/>
        </w:rPr>
        <w:t>'</w:t>
      </w:r>
      <w:r w:rsidRPr="00CF2B69">
        <w:rPr>
          <w:lang w:val="fr-CH"/>
        </w:rPr>
        <w:t>interroge sur les coûts élevés de la</w:t>
      </w:r>
      <w:r w:rsidRPr="00CF2B69">
        <w:rPr>
          <w:color w:val="000000"/>
          <w:lang w:val="fr-CH"/>
        </w:rPr>
        <w:t xml:space="preserve"> dactylographie qui sont à la charge de l</w:t>
      </w:r>
      <w:r w:rsidR="00AA41B1">
        <w:rPr>
          <w:color w:val="000000"/>
          <w:lang w:val="fr-CH"/>
        </w:rPr>
        <w:t>'</w:t>
      </w:r>
      <w:r w:rsidR="00A02DF7">
        <w:rPr>
          <w:color w:val="000000"/>
          <w:lang w:val="fr-CH"/>
        </w:rPr>
        <w:t>U</w:t>
      </w:r>
      <w:r w:rsidRPr="00CF2B69">
        <w:rPr>
          <w:color w:val="000000"/>
          <w:lang w:val="fr-CH"/>
        </w:rPr>
        <w:t>nion et indique qu</w:t>
      </w:r>
      <w:r w:rsidR="00AA41B1">
        <w:rPr>
          <w:color w:val="000000"/>
          <w:lang w:val="fr-CH"/>
        </w:rPr>
        <w:t>'</w:t>
      </w:r>
      <w:r w:rsidRPr="00CF2B69">
        <w:rPr>
          <w:color w:val="000000"/>
          <w:lang w:val="fr-CH"/>
        </w:rPr>
        <w:t>il n</w:t>
      </w:r>
      <w:r w:rsidR="00AA41B1">
        <w:rPr>
          <w:color w:val="000000"/>
          <w:lang w:val="fr-CH"/>
        </w:rPr>
        <w:t>'</w:t>
      </w:r>
      <w:r w:rsidRPr="00CF2B69">
        <w:rPr>
          <w:color w:val="000000"/>
          <w:lang w:val="fr-CH"/>
        </w:rPr>
        <w:t xml:space="preserve">est pas tout à fait convaincu </w:t>
      </w:r>
      <w:r>
        <w:rPr>
          <w:color w:val="000000"/>
          <w:lang w:val="fr-CH"/>
        </w:rPr>
        <w:t xml:space="preserve">par les explications fournies lors de la première séance plénière, </w:t>
      </w:r>
      <w:r w:rsidR="00A02DF7">
        <w:rPr>
          <w:color w:val="000000"/>
          <w:lang w:val="fr-CH"/>
        </w:rPr>
        <w:lastRenderedPageBreak/>
        <w:t>soulignant</w:t>
      </w:r>
      <w:r>
        <w:rPr>
          <w:color w:val="000000"/>
          <w:lang w:val="fr-CH"/>
        </w:rPr>
        <w:t xml:space="preserve"> qu</w:t>
      </w:r>
      <w:r w:rsidR="00AA41B1">
        <w:rPr>
          <w:color w:val="000000"/>
          <w:lang w:val="fr-CH"/>
        </w:rPr>
        <w:t>'</w:t>
      </w:r>
      <w:r>
        <w:rPr>
          <w:color w:val="000000"/>
          <w:lang w:val="fr-CH"/>
        </w:rPr>
        <w:t>il est important de faire traduire les pages web relatives aux conférences habilitées à conclure des traités</w:t>
      </w:r>
      <w:r>
        <w:rPr>
          <w:lang w:val="fr-CH"/>
        </w:rPr>
        <w:t>.</w:t>
      </w:r>
      <w:r w:rsidRPr="00CF2B69">
        <w:rPr>
          <w:lang w:val="fr-CH"/>
        </w:rPr>
        <w:t xml:space="preserve"> Le plan présenté dans le</w:t>
      </w:r>
      <w:r>
        <w:rPr>
          <w:lang w:val="fr-CH"/>
        </w:rPr>
        <w:t xml:space="preserve"> </w:t>
      </w:r>
      <w:r w:rsidRPr="00CF2B69">
        <w:rPr>
          <w:lang w:val="fr-CH"/>
        </w:rPr>
        <w:t>Document C</w:t>
      </w:r>
      <w:r w:rsidR="007670B4">
        <w:rPr>
          <w:lang w:val="fr-CH"/>
        </w:rPr>
        <w:t>19/14</w:t>
      </w:r>
      <w:r w:rsidRPr="00CF2B69">
        <w:rPr>
          <w:lang w:val="fr-CH"/>
        </w:rPr>
        <w:t>(R</w:t>
      </w:r>
      <w:r w:rsidR="00A02DF7">
        <w:rPr>
          <w:lang w:val="fr-CH"/>
        </w:rPr>
        <w:t>é</w:t>
      </w:r>
      <w:r w:rsidRPr="00CF2B69">
        <w:rPr>
          <w:lang w:val="fr-CH"/>
        </w:rPr>
        <w:t xml:space="preserve">v.1) est accueilli favorablement et plusieurs conseillers se disent prêts à apporter une assistance </w:t>
      </w:r>
      <w:r>
        <w:rPr>
          <w:lang w:val="fr-CH"/>
        </w:rPr>
        <w:t>pour les projets pilotes décrits</w:t>
      </w:r>
      <w:r w:rsidRPr="00CF2B69">
        <w:rPr>
          <w:lang w:val="fr-CH"/>
        </w:rPr>
        <w:t xml:space="preserve">; </w:t>
      </w:r>
      <w:r>
        <w:rPr>
          <w:lang w:val="fr-CH"/>
        </w:rPr>
        <w:t xml:space="preserve">un conseiller suggère de ne pas faire </w:t>
      </w:r>
      <w:r w:rsidR="00A02DF7">
        <w:rPr>
          <w:lang w:val="fr-CH"/>
        </w:rPr>
        <w:t>mention</w:t>
      </w:r>
      <w:r>
        <w:rPr>
          <w:lang w:val="fr-CH"/>
        </w:rPr>
        <w:t>,</w:t>
      </w:r>
      <w:r w:rsidR="00A02DF7">
        <w:rPr>
          <w:lang w:val="fr-CH"/>
        </w:rPr>
        <w:t xml:space="preserve"> </w:t>
      </w:r>
      <w:r>
        <w:rPr>
          <w:lang w:val="fr-CH"/>
        </w:rPr>
        <w:t xml:space="preserve">au </w:t>
      </w:r>
      <w:r w:rsidRPr="00CF2B69">
        <w:rPr>
          <w:rFonts w:cstheme="minorHAnsi"/>
          <w:lang w:val="fr-CH"/>
        </w:rPr>
        <w:t>§</w:t>
      </w:r>
      <w:r w:rsidR="00A02DF7">
        <w:rPr>
          <w:rFonts w:cstheme="minorHAnsi"/>
          <w:lang w:val="fr-CH"/>
        </w:rPr>
        <w:t xml:space="preserve"> </w:t>
      </w:r>
      <w:r>
        <w:rPr>
          <w:lang w:val="fr-CH"/>
        </w:rPr>
        <w:t xml:space="preserve">3.5, des </w:t>
      </w:r>
      <w:r w:rsidRPr="00CF2B69">
        <w:rPr>
          <w:color w:val="000000"/>
          <w:lang w:val="fr-CH"/>
        </w:rPr>
        <w:t>domaines particuliers de collaboration</w:t>
      </w:r>
      <w:r>
        <w:rPr>
          <w:color w:val="000000"/>
          <w:lang w:val="fr-CH"/>
        </w:rPr>
        <w:t xml:space="preserve"> avec des entités du secteur privé.</w:t>
      </w:r>
      <w:r w:rsidRPr="00CF2B69">
        <w:rPr>
          <w:lang w:val="fr-CH"/>
        </w:rPr>
        <w:t xml:space="preserve"> Le projet de révision de la Résolution 1372 </w:t>
      </w:r>
      <w:r>
        <w:rPr>
          <w:lang w:val="fr-CH"/>
        </w:rPr>
        <w:t>(</w:t>
      </w:r>
      <w:r w:rsidRPr="00CF2B69">
        <w:rPr>
          <w:lang w:val="fr-CH"/>
        </w:rPr>
        <w:t>Document C19/12</w:t>
      </w:r>
      <w:r>
        <w:rPr>
          <w:lang w:val="fr-CH"/>
        </w:rPr>
        <w:t>)</w:t>
      </w:r>
      <w:r w:rsidRPr="00CF2B69">
        <w:rPr>
          <w:lang w:val="fr-CH"/>
        </w:rPr>
        <w:t xml:space="preserve">, </w:t>
      </w:r>
      <w:r>
        <w:rPr>
          <w:lang w:val="fr-CH"/>
        </w:rPr>
        <w:t>moyennant la modification additionnelle proposée par la Fédération de Russie, recuei</w:t>
      </w:r>
      <w:r w:rsidR="003E2465">
        <w:rPr>
          <w:lang w:val="fr-CH"/>
        </w:rPr>
        <w:t>lle également un large soutien</w:t>
      </w:r>
      <w:r w:rsidRPr="00CF2B69">
        <w:rPr>
          <w:lang w:val="fr-CH"/>
        </w:rPr>
        <w:t>.</w:t>
      </w:r>
    </w:p>
    <w:p w:rsidR="00E37FE7" w:rsidRPr="00386646" w:rsidRDefault="00E37FE7" w:rsidP="00881FC1">
      <w:pPr>
        <w:rPr>
          <w:lang w:val="fr-CH"/>
        </w:rPr>
      </w:pPr>
      <w:r w:rsidRPr="00CF2B69">
        <w:rPr>
          <w:lang w:val="fr-CH"/>
        </w:rPr>
        <w:t>5.5</w:t>
      </w:r>
      <w:r w:rsidRPr="00CF2B69">
        <w:rPr>
          <w:lang w:val="fr-CH"/>
        </w:rPr>
        <w:tab/>
        <w:t>Pour conclure, le Conseil rappelle combien il est important d</w:t>
      </w:r>
      <w:r w:rsidR="00AA41B1">
        <w:rPr>
          <w:lang w:val="fr-CH"/>
        </w:rPr>
        <w:t>'</w:t>
      </w:r>
      <w:r w:rsidRPr="00CF2B69">
        <w:rPr>
          <w:lang w:val="fr-CH"/>
        </w:rPr>
        <w:t>assurer, dans la mesure du possible, l</w:t>
      </w:r>
      <w:r w:rsidR="00AA41B1">
        <w:rPr>
          <w:lang w:val="fr-CH"/>
        </w:rPr>
        <w:t>'</w:t>
      </w:r>
      <w:r w:rsidRPr="00CF2B69">
        <w:rPr>
          <w:lang w:val="fr-CH"/>
        </w:rPr>
        <w:t>égalité de traitement entre les six langues de l</w:t>
      </w:r>
      <w:r w:rsidR="00AA41B1">
        <w:rPr>
          <w:lang w:val="fr-CH"/>
        </w:rPr>
        <w:t>'</w:t>
      </w:r>
      <w:r w:rsidR="00A02DF7">
        <w:rPr>
          <w:lang w:val="fr-CH"/>
        </w:rPr>
        <w:t>Union</w:t>
      </w:r>
      <w:r w:rsidRPr="00CF2B69">
        <w:rPr>
          <w:lang w:val="fr-CH"/>
        </w:rPr>
        <w:t xml:space="preserve">, </w:t>
      </w:r>
      <w:r w:rsidRPr="007670B4">
        <w:rPr>
          <w:b/>
          <w:bCs/>
          <w:lang w:val="fr-CH"/>
        </w:rPr>
        <w:t>approuve</w:t>
      </w:r>
      <w:r>
        <w:rPr>
          <w:lang w:val="fr-CH"/>
        </w:rPr>
        <w:t xml:space="preserve"> le rapport du</w:t>
      </w:r>
      <w:r>
        <w:rPr>
          <w:b/>
          <w:bCs/>
          <w:lang w:val="fr-CH"/>
        </w:rPr>
        <w:t xml:space="preserve"> </w:t>
      </w:r>
      <w:r w:rsidRPr="00CF2B69">
        <w:rPr>
          <w:color w:val="000000"/>
          <w:lang w:val="fr-CH"/>
        </w:rPr>
        <w:t>GTC-LANG</w:t>
      </w:r>
      <w:r w:rsidRPr="00CF2B69">
        <w:rPr>
          <w:lang w:val="fr-CH"/>
        </w:rPr>
        <w:t xml:space="preserve"> </w:t>
      </w:r>
      <w:r>
        <w:rPr>
          <w:lang w:val="fr-CH"/>
        </w:rPr>
        <w:t>(</w:t>
      </w:r>
      <w:r w:rsidRPr="00CF2B69">
        <w:rPr>
          <w:lang w:val="fr-CH"/>
        </w:rPr>
        <w:t>Document C19/12</w:t>
      </w:r>
      <w:r>
        <w:rPr>
          <w:lang w:val="fr-CH"/>
        </w:rPr>
        <w:t>)</w:t>
      </w:r>
      <w:r w:rsidRPr="00CF2B69">
        <w:rPr>
          <w:lang w:val="fr-CH"/>
        </w:rPr>
        <w:t xml:space="preserve"> </w:t>
      </w:r>
      <w:r>
        <w:rPr>
          <w:lang w:val="fr-CH"/>
        </w:rPr>
        <w:t xml:space="preserve">et </w:t>
      </w:r>
      <w:r w:rsidRPr="007670B4">
        <w:rPr>
          <w:b/>
          <w:bCs/>
          <w:lang w:val="fr-CH"/>
        </w:rPr>
        <w:t>adopte</w:t>
      </w:r>
      <w:r>
        <w:rPr>
          <w:lang w:val="fr-CH"/>
        </w:rPr>
        <w:t xml:space="preserve"> la révision de la Résolution </w:t>
      </w:r>
      <w:r w:rsidRPr="00CF2B69">
        <w:rPr>
          <w:lang w:val="fr-CH"/>
        </w:rPr>
        <w:t>1372</w:t>
      </w:r>
      <w:r w:rsidR="00881FC1">
        <w:rPr>
          <w:lang w:val="fr-CH"/>
        </w:rPr>
        <w:t xml:space="preserve"> ainsi que </w:t>
      </w:r>
      <w:r>
        <w:rPr>
          <w:lang w:val="fr-CH"/>
        </w:rPr>
        <w:t>son Annexe sur le mandat du</w:t>
      </w:r>
      <w:r w:rsidRPr="00386646">
        <w:rPr>
          <w:color w:val="000000"/>
          <w:lang w:val="fr-CH"/>
        </w:rPr>
        <w:t xml:space="preserve"> </w:t>
      </w:r>
      <w:r w:rsidRPr="00CF2B69">
        <w:rPr>
          <w:color w:val="000000"/>
          <w:lang w:val="fr-CH"/>
        </w:rPr>
        <w:t>GTC-LANG</w:t>
      </w:r>
      <w:r>
        <w:rPr>
          <w:color w:val="000000"/>
          <w:lang w:val="fr-CH"/>
        </w:rPr>
        <w:t>, moyennant la modification additionnelle proposée par la Fédération de Russie (</w:t>
      </w:r>
      <w:r w:rsidRPr="00CF2B69">
        <w:rPr>
          <w:lang w:val="fr-CH"/>
        </w:rPr>
        <w:t>Document C19/72</w:t>
      </w:r>
      <w:r>
        <w:rPr>
          <w:lang w:val="fr-CH"/>
        </w:rPr>
        <w:t>)</w:t>
      </w:r>
      <w:r w:rsidRPr="00CF2B69">
        <w:rPr>
          <w:lang w:val="fr-CH"/>
        </w:rPr>
        <w:t>.</w:t>
      </w:r>
      <w:r w:rsidRPr="00386646">
        <w:rPr>
          <w:lang w:val="fr-CH"/>
        </w:rPr>
        <w:t xml:space="preserve"> </w:t>
      </w:r>
      <w:r w:rsidR="00881FC1">
        <w:rPr>
          <w:lang w:val="fr-CH"/>
        </w:rPr>
        <w:t>Pour ce qui est</w:t>
      </w:r>
      <w:r w:rsidRPr="00386646">
        <w:rPr>
          <w:lang w:val="fr-CH"/>
        </w:rPr>
        <w:t xml:space="preserve"> du </w:t>
      </w:r>
      <w:r w:rsidR="00881FC1">
        <w:rPr>
          <w:lang w:val="fr-CH"/>
        </w:rPr>
        <w:t>Document C19/14</w:t>
      </w:r>
      <w:r w:rsidRPr="00386646">
        <w:rPr>
          <w:lang w:val="fr-CH"/>
        </w:rPr>
        <w:t>(R</w:t>
      </w:r>
      <w:r w:rsidR="00881FC1">
        <w:rPr>
          <w:lang w:val="fr-CH"/>
        </w:rPr>
        <w:t>é</w:t>
      </w:r>
      <w:r w:rsidRPr="00386646">
        <w:rPr>
          <w:lang w:val="fr-CH"/>
        </w:rPr>
        <w:t xml:space="preserve">v.1), le Conseil </w:t>
      </w:r>
      <w:r w:rsidRPr="007670B4">
        <w:rPr>
          <w:b/>
          <w:bCs/>
          <w:lang w:val="fr-CH"/>
        </w:rPr>
        <w:t>prend note</w:t>
      </w:r>
      <w:r w:rsidRPr="00386646">
        <w:rPr>
          <w:lang w:val="fr-CH"/>
        </w:rPr>
        <w:t xml:space="preserve"> du </w:t>
      </w:r>
      <w:r w:rsidRPr="00386646">
        <w:rPr>
          <w:color w:val="000000"/>
          <w:lang w:val="fr-CH"/>
        </w:rPr>
        <w:t>plan détaillé concernant des projets pilotes relatifs à d</w:t>
      </w:r>
      <w:r w:rsidR="00AA41B1">
        <w:rPr>
          <w:color w:val="000000"/>
          <w:lang w:val="fr-CH"/>
        </w:rPr>
        <w:t>'</w:t>
      </w:r>
      <w:r w:rsidRPr="00386646">
        <w:rPr>
          <w:color w:val="000000"/>
          <w:lang w:val="fr-CH"/>
        </w:rPr>
        <w:t>autres méthodes de traduction, d</w:t>
      </w:r>
      <w:r w:rsidR="00AA41B1">
        <w:rPr>
          <w:color w:val="000000"/>
          <w:lang w:val="fr-CH"/>
        </w:rPr>
        <w:t>'</w:t>
      </w:r>
      <w:r w:rsidRPr="00386646">
        <w:rPr>
          <w:color w:val="000000"/>
          <w:lang w:val="fr-CH"/>
        </w:rPr>
        <w:t>interprétation et de sous-titrage pour les</w:t>
      </w:r>
      <w:r>
        <w:rPr>
          <w:color w:val="000000"/>
          <w:lang w:val="fr-CH"/>
        </w:rPr>
        <w:t xml:space="preserve"> </w:t>
      </w:r>
      <w:r w:rsidRPr="00386646">
        <w:rPr>
          <w:color w:val="000000"/>
          <w:lang w:val="fr-CH"/>
        </w:rPr>
        <w:t>quatre prochaines années</w:t>
      </w:r>
      <w:r>
        <w:rPr>
          <w:color w:val="000000"/>
          <w:lang w:val="fr-CH"/>
        </w:rPr>
        <w:t>, compte tenu des observations formulées pendant la réunion et dans la limite des ressources disponibles</w:t>
      </w:r>
      <w:r>
        <w:rPr>
          <w:lang w:val="fr-CH"/>
        </w:rPr>
        <w:t>.</w:t>
      </w:r>
    </w:p>
    <w:p w:rsidR="00E37FE7" w:rsidRPr="00977456" w:rsidRDefault="00E37FE7" w:rsidP="00881F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600"/>
        <w:jc w:val="both"/>
        <w:rPr>
          <w:szCs w:val="24"/>
          <w:lang w:val="fr-CH"/>
        </w:rPr>
      </w:pPr>
      <w:r w:rsidRPr="00510D60">
        <w:rPr>
          <w:szCs w:val="24"/>
          <w:lang w:val="fr-CH"/>
        </w:rPr>
        <w:t>Le Secrétaire général</w:t>
      </w:r>
      <w:r w:rsidRPr="00977456">
        <w:rPr>
          <w:szCs w:val="24"/>
          <w:lang w:val="fr-CH"/>
        </w:rPr>
        <w:t>:</w:t>
      </w:r>
      <w:r w:rsidRPr="00977456">
        <w:rPr>
          <w:szCs w:val="24"/>
          <w:lang w:val="fr-CH"/>
        </w:rPr>
        <w:tab/>
      </w:r>
      <w:r w:rsidR="003E2465">
        <w:rPr>
          <w:szCs w:val="24"/>
          <w:lang w:val="fr-CH"/>
        </w:rPr>
        <w:t>Le Président faisant fonction</w:t>
      </w:r>
      <w:r w:rsidRPr="00977456">
        <w:rPr>
          <w:szCs w:val="24"/>
          <w:lang w:val="fr-CH"/>
        </w:rPr>
        <w:t>:</w:t>
      </w:r>
    </w:p>
    <w:p w:rsidR="00520F36" w:rsidRPr="00CA08ED" w:rsidRDefault="00E37FE7" w:rsidP="00881F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0" w:after="120"/>
        <w:jc w:val="both"/>
      </w:pPr>
      <w:r w:rsidRPr="00C13907">
        <w:rPr>
          <w:szCs w:val="24"/>
        </w:rPr>
        <w:t>H. ZHAO</w:t>
      </w:r>
      <w:r w:rsidRPr="00C13907">
        <w:rPr>
          <w:szCs w:val="24"/>
        </w:rPr>
        <w:tab/>
      </w:r>
      <w:r>
        <w:rPr>
          <w:szCs w:val="24"/>
        </w:rPr>
        <w:t>F. BIGI</w:t>
      </w:r>
    </w:p>
    <w:sectPr w:rsidR="00520F36" w:rsidRPr="00CA08ED" w:rsidSect="005C38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C6" w:rsidRDefault="004907C6">
      <w:r>
        <w:separator/>
      </w:r>
    </w:p>
  </w:endnote>
  <w:endnote w:type="continuationSeparator" w:id="0">
    <w:p w:rsidR="004907C6" w:rsidRDefault="0049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66586E" w:rsidRDefault="00E80733">
    <w:pPr>
      <w:pStyle w:val="Footer"/>
      <w:rPr>
        <w:lang w:val="en-GB"/>
      </w:rPr>
    </w:pPr>
    <w:r>
      <w:fldChar w:fldCharType="begin"/>
    </w:r>
    <w:r w:rsidRPr="0066586E">
      <w:rPr>
        <w:lang w:val="en-GB"/>
      </w:rPr>
      <w:instrText xml:space="preserve"> FILENAME \p \* MERGEFORMAT </w:instrText>
    </w:r>
    <w:r>
      <w:fldChar w:fldCharType="separate"/>
    </w:r>
    <w:r w:rsidR="0066586E">
      <w:rPr>
        <w:lang w:val="en-GB"/>
      </w:rPr>
      <w:t>P:\TRAD\F\LING\Godreau\Juillet 2019\457468F.DOCX</w:t>
    </w:r>
    <w:r>
      <w:fldChar w:fldCharType="end"/>
    </w:r>
    <w:r w:rsidR="00732045" w:rsidRPr="0066586E">
      <w:rPr>
        <w:lang w:val="en-GB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85AC9">
      <w:t>22.07.19</w:t>
    </w:r>
    <w:r w:rsidR="002F1B76">
      <w:fldChar w:fldCharType="end"/>
    </w:r>
    <w:r w:rsidR="00732045" w:rsidRPr="0066586E">
      <w:rPr>
        <w:lang w:val="en-GB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66586E">
      <w:t>22.07.19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AA41B1" w:rsidRDefault="00E80733" w:rsidP="0066586E">
    <w:pPr>
      <w:pStyle w:val="Footer"/>
      <w:rPr>
        <w:lang w:val="fr-CH"/>
      </w:rPr>
    </w:pPr>
    <w:r>
      <w:fldChar w:fldCharType="begin"/>
    </w:r>
    <w:r w:rsidRPr="00AA41B1">
      <w:rPr>
        <w:lang w:val="fr-CH"/>
      </w:rPr>
      <w:instrText xml:space="preserve"> FILENAME \p \* MERGEFORMAT </w:instrText>
    </w:r>
    <w:r>
      <w:fldChar w:fldCharType="separate"/>
    </w:r>
    <w:r w:rsidR="00AA41B1" w:rsidRPr="00AA41B1">
      <w:rPr>
        <w:lang w:val="fr-CH"/>
      </w:rPr>
      <w:t>P:\FRA\SG\CONSEIL\C19\100\116V2F.docx</w:t>
    </w:r>
    <w:r>
      <w:fldChar w:fldCharType="end"/>
    </w:r>
    <w:r w:rsidR="00E37FE7" w:rsidRPr="00AA41B1">
      <w:rPr>
        <w:lang w:val="fr-CH"/>
      </w:rPr>
      <w:t xml:space="preserve"> (457468)</w:t>
    </w:r>
    <w:r w:rsidR="00732045" w:rsidRPr="00AA41B1">
      <w:rPr>
        <w:lang w:val="fr-CH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85AC9">
      <w:t>22.07.19</w:t>
    </w:r>
    <w:r w:rsidR="002F1B76">
      <w:fldChar w:fldCharType="end"/>
    </w:r>
    <w:r w:rsidR="00732045" w:rsidRPr="00AA41B1">
      <w:rPr>
        <w:lang w:val="fr-CH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66586E">
      <w:t>22.07.19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C6" w:rsidRDefault="004907C6">
      <w:r>
        <w:t>____________________</w:t>
      </w:r>
    </w:p>
  </w:footnote>
  <w:footnote w:type="continuationSeparator" w:id="0">
    <w:p w:rsidR="004907C6" w:rsidRDefault="00490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AA41B1">
      <w:rPr>
        <w:noProof/>
      </w:rPr>
      <w:t>6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 w:rsidR="00E37FE7">
      <w:t>/116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4F95"/>
    <w:multiLevelType w:val="multilevel"/>
    <w:tmpl w:val="8A24F984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C6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B4EC3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3E2465"/>
    <w:rsid w:val="004038CB"/>
    <w:rsid w:val="0040546F"/>
    <w:rsid w:val="0042404A"/>
    <w:rsid w:val="0044618F"/>
    <w:rsid w:val="0046769A"/>
    <w:rsid w:val="00475FB3"/>
    <w:rsid w:val="004907C6"/>
    <w:rsid w:val="004B3628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6586E"/>
    <w:rsid w:val="007210CD"/>
    <w:rsid w:val="00732045"/>
    <w:rsid w:val="007369DB"/>
    <w:rsid w:val="007670B4"/>
    <w:rsid w:val="007956C2"/>
    <w:rsid w:val="007A187E"/>
    <w:rsid w:val="007C72C2"/>
    <w:rsid w:val="007D4436"/>
    <w:rsid w:val="007F257A"/>
    <w:rsid w:val="007F3665"/>
    <w:rsid w:val="00800037"/>
    <w:rsid w:val="00861D73"/>
    <w:rsid w:val="00881FC1"/>
    <w:rsid w:val="008A4E87"/>
    <w:rsid w:val="008D76E6"/>
    <w:rsid w:val="0092392D"/>
    <w:rsid w:val="0093234A"/>
    <w:rsid w:val="009C307F"/>
    <w:rsid w:val="00A02DF7"/>
    <w:rsid w:val="00A2113E"/>
    <w:rsid w:val="00A23A51"/>
    <w:rsid w:val="00A24607"/>
    <w:rsid w:val="00A25CD3"/>
    <w:rsid w:val="00A82767"/>
    <w:rsid w:val="00AA332F"/>
    <w:rsid w:val="00AA41B1"/>
    <w:rsid w:val="00AA7BBB"/>
    <w:rsid w:val="00AB64A8"/>
    <w:rsid w:val="00AC0266"/>
    <w:rsid w:val="00AD24EC"/>
    <w:rsid w:val="00B309F9"/>
    <w:rsid w:val="00B32B60"/>
    <w:rsid w:val="00B61619"/>
    <w:rsid w:val="00B87551"/>
    <w:rsid w:val="00BB4545"/>
    <w:rsid w:val="00BD5873"/>
    <w:rsid w:val="00C04BE3"/>
    <w:rsid w:val="00C25D29"/>
    <w:rsid w:val="00C27A7C"/>
    <w:rsid w:val="00C85AC9"/>
    <w:rsid w:val="00C9258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06432"/>
    <w:rsid w:val="00E25AD0"/>
    <w:rsid w:val="00E37FE7"/>
    <w:rsid w:val="00E80733"/>
    <w:rsid w:val="00EB6350"/>
    <w:rsid w:val="00F04A34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EE2BBE59-7037-47EB-A3E4-96317D74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E37FE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HAnsi" w:hAnsiTheme="minorHAnsi" w:cstheme="minorBidi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66586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6586E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006/en" TargetMode="External"/><Relationship Id="rId13" Type="http://schemas.openxmlformats.org/officeDocument/2006/relationships/hyperlink" Target="https://www.itu.int/md/S19-CL-C-0072/en" TargetMode="External"/><Relationship Id="rId18" Type="http://schemas.openxmlformats.org/officeDocument/2006/relationships/hyperlink" Target="https://www.itu.int/md/S19-CL-C-0014/e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CL-C-0014/en" TargetMode="External"/><Relationship Id="rId17" Type="http://schemas.openxmlformats.org/officeDocument/2006/relationships/hyperlink" Target="https://www.itu.int/md/S19-CL-C-0012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19-CL-C-0019/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-C-0012/en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9-CL-C-0068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19-CL-C-0019/en" TargetMode="External"/><Relationship Id="rId19" Type="http://schemas.openxmlformats.org/officeDocument/2006/relationships/hyperlink" Target="https://www.itu.int/md/S19-CL-C-007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068/en" TargetMode="External"/><Relationship Id="rId14" Type="http://schemas.openxmlformats.org/officeDocument/2006/relationships/hyperlink" Target="https://www.itu.int/md/S19-CL-C-0006/en" TargetMode="External"/><Relationship Id="rId22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4</TotalTime>
  <Pages>6</Pages>
  <Words>2637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17787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Royer, Veronique</dc:creator>
  <cp:keywords>C2018, C18</cp:keywords>
  <dc:description/>
  <cp:lastModifiedBy>Royer, Veronique</cp:lastModifiedBy>
  <cp:revision>3</cp:revision>
  <cp:lastPrinted>2019-07-22T14:10:00Z</cp:lastPrinted>
  <dcterms:created xsi:type="dcterms:W3CDTF">2019-07-23T08:13:00Z</dcterms:created>
  <dcterms:modified xsi:type="dcterms:W3CDTF">2019-07-23T08:17:00Z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