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 w:rsidTr="00C1356A">
        <w:trPr>
          <w:cantSplit/>
        </w:trPr>
        <w:tc>
          <w:tcPr>
            <w:tcW w:w="6912" w:type="dxa"/>
          </w:tcPr>
          <w:p w:rsidR="00520F36" w:rsidRPr="0092392D" w:rsidRDefault="00520F36" w:rsidP="00457E5F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106B19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r w:rsidRPr="00520F36">
              <w:rPr>
                <w:b/>
                <w:bCs/>
                <w:szCs w:val="24"/>
                <w:lang w:val="fr-CH"/>
              </w:rPr>
              <w:t xml:space="preserve">, </w:t>
            </w:r>
            <w:r w:rsidR="00106B19">
              <w:rPr>
                <w:b/>
                <w:bCs/>
                <w:szCs w:val="24"/>
                <w:lang w:val="fr-CH"/>
              </w:rPr>
              <w:t>10</w:t>
            </w:r>
            <w:r w:rsidRPr="00520F36">
              <w:rPr>
                <w:b/>
                <w:bCs/>
                <w:szCs w:val="24"/>
                <w:lang w:val="fr-CH"/>
              </w:rPr>
              <w:t>-</w:t>
            </w:r>
            <w:r w:rsidR="00106B19">
              <w:rPr>
                <w:b/>
                <w:bCs/>
                <w:szCs w:val="24"/>
                <w:lang w:val="fr-CH"/>
              </w:rPr>
              <w:t>20 juin</w:t>
            </w:r>
            <w:r w:rsidRPr="00520F36">
              <w:rPr>
                <w:b/>
                <w:bCs/>
                <w:szCs w:val="24"/>
                <w:lang w:val="fr-CH"/>
              </w:rPr>
              <w:t xml:space="preserve"> 201</w:t>
            </w:r>
            <w:r w:rsidR="00106B19">
              <w:rPr>
                <w:b/>
                <w:bCs/>
                <w:szCs w:val="24"/>
                <w:lang w:val="fr-CH"/>
              </w:rPr>
              <w:t>9</w:t>
            </w:r>
          </w:p>
        </w:tc>
        <w:tc>
          <w:tcPr>
            <w:tcW w:w="3261" w:type="dxa"/>
          </w:tcPr>
          <w:p w:rsidR="00520F36" w:rsidRPr="0092392D" w:rsidRDefault="00520F36" w:rsidP="00457E5F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fr-CH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C1356A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457E5F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457E5F">
            <w:pPr>
              <w:spacing w:before="0"/>
              <w:rPr>
                <w:b/>
                <w:bCs/>
              </w:rPr>
            </w:pPr>
          </w:p>
        </w:tc>
      </w:tr>
      <w:tr w:rsidR="00520F36" w:rsidRPr="0092392D" w:rsidTr="00C1356A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457E5F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457E5F">
            <w:pPr>
              <w:spacing w:before="0"/>
              <w:rPr>
                <w:b/>
                <w:bCs/>
              </w:rPr>
            </w:pPr>
          </w:p>
        </w:tc>
      </w:tr>
      <w:tr w:rsidR="00520F36" w:rsidRPr="0092392D" w:rsidTr="00C1356A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520F36" w:rsidP="00457E5F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520F36" w:rsidRPr="00520F36" w:rsidRDefault="00520F36" w:rsidP="00457E5F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106B19">
              <w:rPr>
                <w:b/>
                <w:bCs/>
              </w:rPr>
              <w:t>9</w:t>
            </w:r>
            <w:r>
              <w:rPr>
                <w:b/>
                <w:bCs/>
              </w:rPr>
              <w:t>/</w:t>
            </w:r>
            <w:r w:rsidR="008D4DAA">
              <w:rPr>
                <w:b/>
                <w:bCs/>
              </w:rPr>
              <w:t>117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 w:rsidTr="00C1356A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457E5F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8366F7" w:rsidP="00457E5F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19 juillet</w:t>
            </w:r>
            <w:r w:rsidR="00520F36">
              <w:rPr>
                <w:b/>
                <w:bCs/>
              </w:rPr>
              <w:t xml:space="preserve"> 201</w:t>
            </w:r>
            <w:r w:rsidR="00106B19">
              <w:rPr>
                <w:b/>
                <w:bCs/>
              </w:rPr>
              <w:t>9</w:t>
            </w:r>
          </w:p>
        </w:tc>
      </w:tr>
      <w:tr w:rsidR="00520F36" w:rsidRPr="0092392D" w:rsidTr="00C1356A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457E5F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457E5F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520F36" w:rsidRPr="0092392D" w:rsidTr="00C1356A">
        <w:trPr>
          <w:cantSplit/>
        </w:trPr>
        <w:tc>
          <w:tcPr>
            <w:tcW w:w="10173" w:type="dxa"/>
            <w:gridSpan w:val="2"/>
          </w:tcPr>
          <w:p w:rsidR="008D4DAA" w:rsidRPr="00DE3725" w:rsidRDefault="008D4DAA" w:rsidP="00457E5F">
            <w:pPr>
              <w:pStyle w:val="Title1"/>
              <w:spacing w:before="480"/>
            </w:pPr>
            <w:bookmarkStart w:id="6" w:name="dsource" w:colFirst="0" w:colLast="0"/>
            <w:bookmarkEnd w:id="5"/>
            <w:r w:rsidRPr="00DE3725">
              <w:t>COMPTE RENDU</w:t>
            </w:r>
          </w:p>
          <w:p w:rsidR="008D4DAA" w:rsidRPr="00DE3725" w:rsidRDefault="008D4DAA" w:rsidP="00457E5F">
            <w:pPr>
              <w:pStyle w:val="Title1"/>
            </w:pPr>
            <w:r w:rsidRPr="00DE3725">
              <w:t>DE LA</w:t>
            </w:r>
          </w:p>
          <w:p w:rsidR="00520F36" w:rsidRPr="0092392D" w:rsidRDefault="008D4DAA" w:rsidP="00457E5F">
            <w:pPr>
              <w:pStyle w:val="Source"/>
              <w:spacing w:before="240"/>
            </w:pPr>
            <w:r w:rsidRPr="00DE3725">
              <w:rPr>
                <w:b w:val="0"/>
              </w:rPr>
              <w:t>SIXIÈME SÉANCE PLÉNIÈRE</w:t>
            </w:r>
          </w:p>
        </w:tc>
      </w:tr>
      <w:tr w:rsidR="008D4DAA" w:rsidRPr="0092392D" w:rsidTr="00C1356A">
        <w:trPr>
          <w:cantSplit/>
        </w:trPr>
        <w:tc>
          <w:tcPr>
            <w:tcW w:w="10173" w:type="dxa"/>
            <w:gridSpan w:val="2"/>
          </w:tcPr>
          <w:p w:rsidR="008D4DAA" w:rsidRPr="00DE3725" w:rsidRDefault="008D4DAA" w:rsidP="00457E5F">
            <w:pPr>
              <w:pStyle w:val="Title1"/>
              <w:rPr>
                <w:sz w:val="24"/>
                <w:szCs w:val="24"/>
              </w:rPr>
            </w:pPr>
            <w:bookmarkStart w:id="7" w:name="dtitle1" w:colFirst="0" w:colLast="0"/>
            <w:bookmarkEnd w:id="6"/>
            <w:r w:rsidRPr="00DE3725">
              <w:rPr>
                <w:caps w:val="0"/>
                <w:sz w:val="24"/>
                <w:szCs w:val="24"/>
              </w:rPr>
              <w:t>Mercredi 19 juin 2019</w:t>
            </w:r>
            <w:r>
              <w:rPr>
                <w:caps w:val="0"/>
                <w:sz w:val="24"/>
                <w:szCs w:val="24"/>
              </w:rPr>
              <w:t>,</w:t>
            </w:r>
            <w:r w:rsidRPr="00DE3725">
              <w:rPr>
                <w:caps w:val="0"/>
                <w:sz w:val="24"/>
                <w:szCs w:val="24"/>
              </w:rPr>
              <w:t xml:space="preserve"> de 9 h 40 à 10 h 45</w:t>
            </w:r>
          </w:p>
        </w:tc>
      </w:tr>
      <w:tr w:rsidR="008D4DAA" w:rsidRPr="0092392D" w:rsidTr="00C1356A">
        <w:trPr>
          <w:cantSplit/>
        </w:trPr>
        <w:tc>
          <w:tcPr>
            <w:tcW w:w="10173" w:type="dxa"/>
            <w:gridSpan w:val="2"/>
          </w:tcPr>
          <w:p w:rsidR="008D4DAA" w:rsidRPr="00DE3725" w:rsidRDefault="008D4DAA" w:rsidP="00457E5F">
            <w:pPr>
              <w:jc w:val="center"/>
              <w:rPr>
                <w:rFonts w:asciiTheme="minorHAnsi" w:hAnsiTheme="minorHAnsi"/>
                <w:szCs w:val="24"/>
              </w:rPr>
            </w:pPr>
            <w:r w:rsidRPr="00DE3725">
              <w:rPr>
                <w:b/>
                <w:bCs/>
              </w:rPr>
              <w:t xml:space="preserve">Président faisant fonction: </w:t>
            </w:r>
            <w:r w:rsidRPr="00BA0791">
              <w:t>M. F. BIGI (Italie)</w:t>
            </w:r>
          </w:p>
        </w:tc>
      </w:tr>
      <w:bookmarkEnd w:id="7"/>
    </w:tbl>
    <w:p w:rsidR="008D4DAA" w:rsidRPr="00DE3725" w:rsidRDefault="008D4DAA" w:rsidP="00457E5F">
      <w:pPr>
        <w:spacing w:before="240"/>
        <w:jc w:val="both"/>
      </w:pPr>
    </w:p>
    <w:tbl>
      <w:tblPr>
        <w:tblW w:w="5272" w:type="pct"/>
        <w:jc w:val="center"/>
        <w:tblLook w:val="0000" w:firstRow="0" w:lastRow="0" w:firstColumn="0" w:lastColumn="0" w:noHBand="0" w:noVBand="0"/>
      </w:tblPr>
      <w:tblGrid>
        <w:gridCol w:w="504"/>
        <w:gridCol w:w="7576"/>
        <w:gridCol w:w="2083"/>
      </w:tblGrid>
      <w:tr w:rsidR="008D4DAA" w:rsidRPr="00DE3725" w:rsidTr="00C1356A">
        <w:trPr>
          <w:jc w:val="center"/>
        </w:trPr>
        <w:tc>
          <w:tcPr>
            <w:tcW w:w="248" w:type="pct"/>
          </w:tcPr>
          <w:p w:rsidR="008D4DAA" w:rsidRPr="00DE3725" w:rsidRDefault="008D4DAA" w:rsidP="00457E5F">
            <w:pPr>
              <w:pStyle w:val="toc0"/>
              <w:spacing w:after="120"/>
            </w:pPr>
            <w:r w:rsidRPr="00DE3725">
              <w:rPr>
                <w:b w:val="0"/>
              </w:rPr>
              <w:br w:type="page"/>
            </w:r>
            <w:r w:rsidRPr="00DE3725">
              <w:rPr>
                <w:b w:val="0"/>
              </w:rPr>
              <w:br w:type="page"/>
            </w:r>
          </w:p>
        </w:tc>
        <w:tc>
          <w:tcPr>
            <w:tcW w:w="3727" w:type="pct"/>
          </w:tcPr>
          <w:p w:rsidR="008D4DAA" w:rsidRPr="00DE3725" w:rsidRDefault="008D4DAA" w:rsidP="00457E5F">
            <w:pPr>
              <w:pStyle w:val="toc0"/>
              <w:spacing w:after="120"/>
            </w:pPr>
            <w:r w:rsidRPr="00DE3725">
              <w:t>Sujets traités</w:t>
            </w:r>
          </w:p>
        </w:tc>
        <w:tc>
          <w:tcPr>
            <w:tcW w:w="1025" w:type="pct"/>
          </w:tcPr>
          <w:p w:rsidR="008D4DAA" w:rsidRPr="00DE3725" w:rsidRDefault="008D4DAA" w:rsidP="00457E5F">
            <w:pPr>
              <w:pStyle w:val="toc0"/>
              <w:spacing w:after="120"/>
              <w:jc w:val="center"/>
            </w:pPr>
            <w:r w:rsidRPr="00DE3725">
              <w:t>Documents</w:t>
            </w:r>
          </w:p>
        </w:tc>
      </w:tr>
      <w:tr w:rsidR="008D4DAA" w:rsidRPr="00DE3725" w:rsidTr="00C1356A">
        <w:trPr>
          <w:jc w:val="center"/>
        </w:trPr>
        <w:tc>
          <w:tcPr>
            <w:tcW w:w="248" w:type="pct"/>
          </w:tcPr>
          <w:p w:rsidR="008D4DAA" w:rsidRPr="00DE3725" w:rsidRDefault="008D4DAA" w:rsidP="00457E5F">
            <w:pPr>
              <w:pStyle w:val="toc0"/>
              <w:spacing w:after="120"/>
              <w:rPr>
                <w:b w:val="0"/>
              </w:rPr>
            </w:pPr>
            <w:r w:rsidRPr="00DE3725">
              <w:rPr>
                <w:b w:val="0"/>
              </w:rPr>
              <w:t>1</w:t>
            </w:r>
          </w:p>
        </w:tc>
        <w:tc>
          <w:tcPr>
            <w:tcW w:w="3727" w:type="pct"/>
          </w:tcPr>
          <w:p w:rsidR="008D4DAA" w:rsidRPr="00DE3725" w:rsidRDefault="008D4DAA" w:rsidP="00457E5F">
            <w:pPr>
              <w:pStyle w:val="toc0"/>
              <w:spacing w:after="120"/>
              <w:rPr>
                <w:b w:val="0"/>
                <w:bCs/>
              </w:rPr>
            </w:pPr>
            <w:r w:rsidRPr="00DE3725">
              <w:rPr>
                <w:b w:val="0"/>
                <w:bCs/>
              </w:rPr>
              <w:t>Travaux préparatoires en vue de la Con</w:t>
            </w:r>
            <w:r>
              <w:rPr>
                <w:b w:val="0"/>
                <w:bCs/>
              </w:rPr>
              <w:t>férence de plénipotentiaires de </w:t>
            </w:r>
            <w:r w:rsidRPr="00DE3725">
              <w:rPr>
                <w:b w:val="0"/>
                <w:bCs/>
              </w:rPr>
              <w:t>2022 (suite)</w:t>
            </w:r>
          </w:p>
        </w:tc>
        <w:tc>
          <w:tcPr>
            <w:tcW w:w="1025" w:type="pct"/>
          </w:tcPr>
          <w:p w:rsidR="008D4DAA" w:rsidRPr="00DE3725" w:rsidRDefault="00936E13" w:rsidP="00457E5F">
            <w:pPr>
              <w:pStyle w:val="toc0"/>
              <w:spacing w:after="120"/>
              <w:jc w:val="center"/>
              <w:rPr>
                <w:b w:val="0"/>
                <w:bCs/>
              </w:rPr>
            </w:pPr>
            <w:hyperlink r:id="rId7" w:history="1">
              <w:r w:rsidR="008D4DAA" w:rsidRPr="00DE3725">
                <w:rPr>
                  <w:rStyle w:val="Hyperlink"/>
                  <w:b w:val="0"/>
                  <w:bCs/>
                </w:rPr>
                <w:t>C19/55(R</w:t>
              </w:r>
              <w:r w:rsidR="008D4DAA">
                <w:rPr>
                  <w:rStyle w:val="Hyperlink"/>
                  <w:b w:val="0"/>
                  <w:bCs/>
                </w:rPr>
                <w:t>é</w:t>
              </w:r>
              <w:r w:rsidR="008D4DAA" w:rsidRPr="00DE3725">
                <w:rPr>
                  <w:rStyle w:val="Hyperlink"/>
                  <w:b w:val="0"/>
                  <w:bCs/>
                </w:rPr>
                <w:t>v.1)</w:t>
              </w:r>
            </w:hyperlink>
          </w:p>
        </w:tc>
      </w:tr>
      <w:tr w:rsidR="008D4DAA" w:rsidRPr="00DE3725" w:rsidTr="00C1356A">
        <w:trPr>
          <w:jc w:val="center"/>
        </w:trPr>
        <w:tc>
          <w:tcPr>
            <w:tcW w:w="248" w:type="pct"/>
          </w:tcPr>
          <w:p w:rsidR="008D4DAA" w:rsidRPr="00DE3725" w:rsidRDefault="008D4DAA" w:rsidP="00457E5F">
            <w:pPr>
              <w:pStyle w:val="toc0"/>
              <w:spacing w:after="120"/>
              <w:rPr>
                <w:b w:val="0"/>
              </w:rPr>
            </w:pPr>
            <w:r w:rsidRPr="00DE3725">
              <w:rPr>
                <w:b w:val="0"/>
              </w:rPr>
              <w:t>2</w:t>
            </w:r>
          </w:p>
        </w:tc>
        <w:tc>
          <w:tcPr>
            <w:tcW w:w="3727" w:type="pct"/>
          </w:tcPr>
          <w:p w:rsidR="008D4DAA" w:rsidRPr="00DE3725" w:rsidRDefault="008D4DAA" w:rsidP="00457E5F">
            <w:pPr>
              <w:pStyle w:val="toc0"/>
              <w:spacing w:after="120"/>
              <w:rPr>
                <w:b w:val="0"/>
                <w:bCs/>
              </w:rPr>
            </w:pPr>
            <w:r w:rsidRPr="00DE3725">
              <w:rPr>
                <w:b w:val="0"/>
                <w:bCs/>
              </w:rPr>
              <w:t>Activités de l</w:t>
            </w:r>
            <w:r w:rsidR="00936E13">
              <w:rPr>
                <w:b w:val="0"/>
                <w:bCs/>
              </w:rPr>
              <w:t>'</w:t>
            </w:r>
            <w:r w:rsidRPr="00DE3725">
              <w:rPr>
                <w:b w:val="0"/>
                <w:bCs/>
              </w:rPr>
              <w:t>UIT relatives à l</w:t>
            </w:r>
            <w:r w:rsidR="00936E13">
              <w:rPr>
                <w:b w:val="0"/>
                <w:bCs/>
              </w:rPr>
              <w:t>'</w:t>
            </w:r>
            <w:r w:rsidRPr="00DE3725">
              <w:rPr>
                <w:b w:val="0"/>
                <w:bCs/>
              </w:rPr>
              <w:t>Internet (suite)</w:t>
            </w:r>
          </w:p>
        </w:tc>
        <w:tc>
          <w:tcPr>
            <w:tcW w:w="1025" w:type="pct"/>
          </w:tcPr>
          <w:p w:rsidR="008D4DAA" w:rsidRPr="00DE3725" w:rsidRDefault="00936E13" w:rsidP="00457E5F">
            <w:pPr>
              <w:pStyle w:val="toc0"/>
              <w:spacing w:after="120"/>
              <w:jc w:val="center"/>
              <w:rPr>
                <w:b w:val="0"/>
                <w:bCs/>
              </w:rPr>
            </w:pPr>
            <w:hyperlink r:id="rId8" w:history="1">
              <w:r w:rsidR="008D4DAA" w:rsidRPr="00DE3725">
                <w:rPr>
                  <w:rStyle w:val="Hyperlink"/>
                  <w:b w:val="0"/>
                  <w:bCs/>
                </w:rPr>
                <w:t>C19/DT/10</w:t>
              </w:r>
            </w:hyperlink>
          </w:p>
        </w:tc>
      </w:tr>
      <w:tr w:rsidR="008D4DAA" w:rsidRPr="00DE3725" w:rsidTr="00C1356A">
        <w:trPr>
          <w:jc w:val="center"/>
        </w:trPr>
        <w:tc>
          <w:tcPr>
            <w:tcW w:w="248" w:type="pct"/>
          </w:tcPr>
          <w:p w:rsidR="008D4DAA" w:rsidRPr="00DE3725" w:rsidRDefault="008D4DAA" w:rsidP="00457E5F">
            <w:pPr>
              <w:pStyle w:val="toc0"/>
              <w:spacing w:after="120"/>
              <w:rPr>
                <w:b w:val="0"/>
              </w:rPr>
            </w:pPr>
            <w:r w:rsidRPr="00DE3725">
              <w:rPr>
                <w:b w:val="0"/>
              </w:rPr>
              <w:t>3</w:t>
            </w:r>
          </w:p>
        </w:tc>
        <w:tc>
          <w:tcPr>
            <w:tcW w:w="3727" w:type="pct"/>
          </w:tcPr>
          <w:p w:rsidR="008D4DAA" w:rsidRPr="00DE3725" w:rsidRDefault="008D4DAA" w:rsidP="00457E5F">
            <w:pPr>
              <w:pStyle w:val="toc0"/>
              <w:spacing w:after="120"/>
              <w:rPr>
                <w:b w:val="0"/>
                <w:bCs/>
              </w:rPr>
            </w:pPr>
            <w:r w:rsidRPr="00DE3725">
              <w:rPr>
                <w:b w:val="0"/>
                <w:bCs/>
              </w:rPr>
              <w:t>Activités de l</w:t>
            </w:r>
            <w:r w:rsidR="00936E13">
              <w:rPr>
                <w:b w:val="0"/>
                <w:bCs/>
              </w:rPr>
              <w:t>'</w:t>
            </w:r>
            <w:r w:rsidRPr="00DE3725">
              <w:rPr>
                <w:b w:val="0"/>
                <w:bCs/>
              </w:rPr>
              <w:t>UIT relatives au renforcement du rôle de l</w:t>
            </w:r>
            <w:r w:rsidR="00936E13">
              <w:rPr>
                <w:b w:val="0"/>
                <w:bCs/>
              </w:rPr>
              <w:t>'</w:t>
            </w:r>
            <w:r w:rsidRPr="00DE3725">
              <w:rPr>
                <w:b w:val="0"/>
                <w:bCs/>
              </w:rPr>
              <w:t>UIT dans l</w:t>
            </w:r>
            <w:r w:rsidR="00936E13">
              <w:rPr>
                <w:b w:val="0"/>
                <w:bCs/>
              </w:rPr>
              <w:t>'</w:t>
            </w:r>
            <w:r w:rsidRPr="00DE3725">
              <w:rPr>
                <w:b w:val="0"/>
                <w:bCs/>
              </w:rPr>
              <w:t>instauration de la confiance et de la sécurité dans l</w:t>
            </w:r>
            <w:r w:rsidR="00936E13">
              <w:rPr>
                <w:b w:val="0"/>
                <w:bCs/>
              </w:rPr>
              <w:t>'</w:t>
            </w:r>
            <w:r w:rsidRPr="00DE3725">
              <w:rPr>
                <w:b w:val="0"/>
                <w:bCs/>
              </w:rPr>
              <w:t>utilisation des TIC (suite)</w:t>
            </w:r>
          </w:p>
        </w:tc>
        <w:tc>
          <w:tcPr>
            <w:tcW w:w="1025" w:type="pct"/>
          </w:tcPr>
          <w:p w:rsidR="008D4DAA" w:rsidRPr="00DE3725" w:rsidRDefault="00936E13" w:rsidP="00457E5F">
            <w:pPr>
              <w:pStyle w:val="toc0"/>
              <w:spacing w:after="120"/>
              <w:jc w:val="center"/>
              <w:rPr>
                <w:b w:val="0"/>
                <w:bCs/>
              </w:rPr>
            </w:pPr>
            <w:hyperlink r:id="rId9" w:history="1">
              <w:r w:rsidR="008D4DAA" w:rsidRPr="00DE3725">
                <w:rPr>
                  <w:rStyle w:val="Hyperlink"/>
                  <w:b w:val="0"/>
                  <w:bCs/>
                </w:rPr>
                <w:t>C19/58</w:t>
              </w:r>
            </w:hyperlink>
            <w:r w:rsidR="008D4DAA" w:rsidRPr="00DE3725">
              <w:rPr>
                <w:b w:val="0"/>
                <w:bCs/>
              </w:rPr>
              <w:t xml:space="preserve">, </w:t>
            </w:r>
            <w:hyperlink r:id="rId10" w:history="1">
              <w:r w:rsidR="008D4DAA" w:rsidRPr="00DE3725">
                <w:rPr>
                  <w:rStyle w:val="Hyperlink"/>
                  <w:b w:val="0"/>
                  <w:bCs/>
                </w:rPr>
                <w:t>C19/DL/8</w:t>
              </w:r>
            </w:hyperlink>
          </w:p>
        </w:tc>
      </w:tr>
      <w:tr w:rsidR="008D4DAA" w:rsidRPr="00DE3725" w:rsidTr="00C1356A">
        <w:trPr>
          <w:jc w:val="center"/>
        </w:trPr>
        <w:tc>
          <w:tcPr>
            <w:tcW w:w="248" w:type="pct"/>
          </w:tcPr>
          <w:p w:rsidR="008D4DAA" w:rsidRPr="00DE3725" w:rsidRDefault="008D4DAA" w:rsidP="00457E5F">
            <w:pPr>
              <w:pStyle w:val="toc0"/>
              <w:spacing w:after="120"/>
              <w:rPr>
                <w:b w:val="0"/>
              </w:rPr>
            </w:pPr>
            <w:r w:rsidRPr="00DE3725">
              <w:rPr>
                <w:b w:val="0"/>
              </w:rPr>
              <w:t>4</w:t>
            </w:r>
          </w:p>
        </w:tc>
        <w:tc>
          <w:tcPr>
            <w:tcW w:w="3727" w:type="pct"/>
          </w:tcPr>
          <w:p w:rsidR="008D4DAA" w:rsidRPr="00DE3725" w:rsidRDefault="008D4DAA" w:rsidP="00457E5F">
            <w:pPr>
              <w:pStyle w:val="toc0"/>
              <w:spacing w:after="120"/>
              <w:rPr>
                <w:b w:val="0"/>
                <w:bCs/>
              </w:rPr>
            </w:pPr>
            <w:r w:rsidRPr="00DE3725">
              <w:rPr>
                <w:b w:val="0"/>
                <w:bCs/>
              </w:rPr>
              <w:t>Travaux préparatoires en vue du Forum mondial des politiques de télécommunication/TIC de 2021 (FMPT-21) (suite)</w:t>
            </w:r>
          </w:p>
        </w:tc>
        <w:tc>
          <w:tcPr>
            <w:tcW w:w="1025" w:type="pct"/>
          </w:tcPr>
          <w:p w:rsidR="008D4DAA" w:rsidRPr="00DE3725" w:rsidRDefault="00936E13" w:rsidP="00457E5F">
            <w:pPr>
              <w:pStyle w:val="toc0"/>
              <w:spacing w:after="120"/>
              <w:jc w:val="center"/>
              <w:rPr>
                <w:b w:val="0"/>
                <w:bCs/>
              </w:rPr>
            </w:pPr>
            <w:hyperlink r:id="rId11" w:history="1">
              <w:r w:rsidR="008D4DAA" w:rsidRPr="00DE3725">
                <w:rPr>
                  <w:rStyle w:val="Hyperlink"/>
                  <w:b w:val="0"/>
                  <w:bCs/>
                </w:rPr>
                <w:t>C19/DT/15</w:t>
              </w:r>
            </w:hyperlink>
          </w:p>
        </w:tc>
      </w:tr>
      <w:tr w:rsidR="008D4DAA" w:rsidRPr="00DE3725" w:rsidTr="00C1356A">
        <w:trPr>
          <w:jc w:val="center"/>
        </w:trPr>
        <w:tc>
          <w:tcPr>
            <w:tcW w:w="248" w:type="pct"/>
          </w:tcPr>
          <w:p w:rsidR="008D4DAA" w:rsidRPr="00DE3725" w:rsidRDefault="008D4DAA" w:rsidP="00457E5F">
            <w:pPr>
              <w:pStyle w:val="toc0"/>
              <w:spacing w:after="120"/>
              <w:rPr>
                <w:b w:val="0"/>
              </w:rPr>
            </w:pPr>
            <w:r w:rsidRPr="00DE3725">
              <w:rPr>
                <w:b w:val="0"/>
              </w:rPr>
              <w:t>5</w:t>
            </w:r>
          </w:p>
        </w:tc>
        <w:tc>
          <w:tcPr>
            <w:tcW w:w="3727" w:type="pct"/>
          </w:tcPr>
          <w:p w:rsidR="008D4DAA" w:rsidRPr="00DE3725" w:rsidRDefault="008D4DAA" w:rsidP="00457E5F">
            <w:pPr>
              <w:pStyle w:val="toc0"/>
              <w:spacing w:after="120"/>
              <w:rPr>
                <w:b w:val="0"/>
                <w:bCs/>
              </w:rPr>
            </w:pPr>
            <w:r w:rsidRPr="00DE3725">
              <w:rPr>
                <w:b w:val="0"/>
                <w:bCs/>
              </w:rPr>
              <w:t>Suivi de la Résolution 146 (Rév. Dubaï, 2018) de la Conférence de plénipotentiaires: Examen et révision périodiques du Règlement des télécommunications internationales (suite)</w:t>
            </w:r>
          </w:p>
        </w:tc>
        <w:tc>
          <w:tcPr>
            <w:tcW w:w="1025" w:type="pct"/>
          </w:tcPr>
          <w:p w:rsidR="008D4DAA" w:rsidRPr="00DE3725" w:rsidRDefault="00936E13" w:rsidP="00457E5F">
            <w:pPr>
              <w:pStyle w:val="toc0"/>
              <w:spacing w:after="120"/>
              <w:jc w:val="center"/>
              <w:rPr>
                <w:b w:val="0"/>
                <w:bCs/>
              </w:rPr>
            </w:pPr>
            <w:hyperlink r:id="rId12" w:history="1">
              <w:r w:rsidR="008D4DAA" w:rsidRPr="00DE3725">
                <w:rPr>
                  <w:rStyle w:val="Hyperlink"/>
                  <w:b w:val="0"/>
                  <w:bCs/>
                </w:rPr>
                <w:t>C19/DT/11</w:t>
              </w:r>
            </w:hyperlink>
          </w:p>
        </w:tc>
      </w:tr>
      <w:tr w:rsidR="008D4DAA" w:rsidRPr="00DE3725" w:rsidTr="00C1356A">
        <w:trPr>
          <w:jc w:val="center"/>
        </w:trPr>
        <w:tc>
          <w:tcPr>
            <w:tcW w:w="248" w:type="pct"/>
          </w:tcPr>
          <w:p w:rsidR="008D4DAA" w:rsidRPr="00DE3725" w:rsidRDefault="008D4DAA" w:rsidP="00457E5F">
            <w:pPr>
              <w:pStyle w:val="toc0"/>
              <w:spacing w:after="120"/>
              <w:rPr>
                <w:b w:val="0"/>
              </w:rPr>
            </w:pPr>
            <w:r w:rsidRPr="00DE3725">
              <w:rPr>
                <w:b w:val="0"/>
              </w:rPr>
              <w:t>6</w:t>
            </w:r>
          </w:p>
        </w:tc>
        <w:tc>
          <w:tcPr>
            <w:tcW w:w="3727" w:type="pct"/>
          </w:tcPr>
          <w:p w:rsidR="008D4DAA" w:rsidRPr="00DE3725" w:rsidRDefault="008D4DAA" w:rsidP="00457E5F">
            <w:pPr>
              <w:pStyle w:val="toc0"/>
              <w:spacing w:after="120"/>
              <w:rPr>
                <w:b w:val="0"/>
                <w:bCs/>
              </w:rPr>
            </w:pPr>
            <w:r w:rsidRPr="00DE3725">
              <w:rPr>
                <w:b w:val="0"/>
                <w:bCs/>
              </w:rPr>
              <w:t>Rapport du Président du Groupe de travail du Conseil sur les questions de politiques publiques internationales relatives à l</w:t>
            </w:r>
            <w:r w:rsidR="00936E13">
              <w:rPr>
                <w:b w:val="0"/>
                <w:bCs/>
              </w:rPr>
              <w:t>'</w:t>
            </w:r>
            <w:r w:rsidRPr="00DE3725">
              <w:rPr>
                <w:b w:val="0"/>
                <w:bCs/>
              </w:rPr>
              <w:t xml:space="preserve">Internet (GTC-Internet) (suite) </w:t>
            </w:r>
          </w:p>
        </w:tc>
        <w:tc>
          <w:tcPr>
            <w:tcW w:w="1025" w:type="pct"/>
          </w:tcPr>
          <w:p w:rsidR="008D4DAA" w:rsidRPr="00DE3725" w:rsidRDefault="00936E13" w:rsidP="00457E5F">
            <w:pPr>
              <w:pStyle w:val="toc0"/>
              <w:spacing w:after="120"/>
              <w:jc w:val="center"/>
              <w:rPr>
                <w:b w:val="0"/>
                <w:bCs/>
              </w:rPr>
            </w:pPr>
            <w:hyperlink r:id="rId13" w:history="1">
              <w:r w:rsidR="008D4DAA" w:rsidRPr="00DE3725">
                <w:rPr>
                  <w:rStyle w:val="Hyperlink"/>
                  <w:b w:val="0"/>
                  <w:bCs/>
                </w:rPr>
                <w:t>C19/DT/16</w:t>
              </w:r>
            </w:hyperlink>
          </w:p>
        </w:tc>
      </w:tr>
    </w:tbl>
    <w:p w:rsidR="008D4DAA" w:rsidRPr="00DE3725" w:rsidRDefault="008D4DAA" w:rsidP="00457E5F">
      <w:r w:rsidRPr="00DE3725">
        <w:rPr>
          <w:b/>
        </w:rPr>
        <w:br w:type="page"/>
      </w:r>
    </w:p>
    <w:p w:rsidR="008D4DAA" w:rsidRPr="00DE3725" w:rsidRDefault="008D4DAA" w:rsidP="00457E5F">
      <w:pPr>
        <w:pStyle w:val="Heading1"/>
      </w:pPr>
      <w:bookmarkStart w:id="8" w:name="dstart"/>
      <w:bookmarkStart w:id="9" w:name="dbreak"/>
      <w:bookmarkEnd w:id="8"/>
      <w:bookmarkEnd w:id="9"/>
      <w:r w:rsidRPr="00DE3725">
        <w:lastRenderedPageBreak/>
        <w:t>1</w:t>
      </w:r>
      <w:r w:rsidRPr="00DE3725">
        <w:tab/>
        <w:t xml:space="preserve">Travaux préparatoires en vue de la Conférence de plénipotentiaires de 2022 (suite) </w:t>
      </w:r>
      <w:r w:rsidRPr="00BA0791">
        <w:t xml:space="preserve">(Document </w:t>
      </w:r>
      <w:hyperlink r:id="rId14" w:history="1">
        <w:r w:rsidRPr="00BA0791">
          <w:rPr>
            <w:rStyle w:val="Hyperlink"/>
            <w:sz w:val="26"/>
            <w:szCs w:val="26"/>
          </w:rPr>
          <w:t>C19/55(R</w:t>
        </w:r>
        <w:r>
          <w:rPr>
            <w:rStyle w:val="Hyperlink"/>
            <w:sz w:val="26"/>
            <w:szCs w:val="26"/>
          </w:rPr>
          <w:t>é</w:t>
        </w:r>
        <w:r w:rsidRPr="00BA0791">
          <w:rPr>
            <w:rStyle w:val="Hyperlink"/>
            <w:sz w:val="26"/>
            <w:szCs w:val="26"/>
          </w:rPr>
          <w:t>v.1)</w:t>
        </w:r>
      </w:hyperlink>
      <w:r w:rsidRPr="00BA0791">
        <w:t>)</w:t>
      </w:r>
    </w:p>
    <w:p w:rsidR="008D4DAA" w:rsidRPr="00DE3725" w:rsidRDefault="008D4DAA" w:rsidP="00EE7EFB">
      <w:r w:rsidRPr="00DE3725">
        <w:t>1.1</w:t>
      </w:r>
      <w:r w:rsidRPr="00DE3725">
        <w:tab/>
        <w:t xml:space="preserve">La Conseillère de la Roumanie exprime </w:t>
      </w:r>
      <w:r w:rsidR="00C1356A">
        <w:t>sa gratitude</w:t>
      </w:r>
      <w:r w:rsidRPr="00DE3725">
        <w:t xml:space="preserve"> au Conseil pour avoir </w:t>
      </w:r>
      <w:r w:rsidR="00C1356A">
        <w:t>décid</w:t>
      </w:r>
      <w:r w:rsidRPr="00DE3725">
        <w:t>é d</w:t>
      </w:r>
      <w:r w:rsidR="00936E13">
        <w:t>'</w:t>
      </w:r>
      <w:r w:rsidRPr="00DE3725">
        <w:t xml:space="preserve">organiser la </w:t>
      </w:r>
      <w:r>
        <w:t>Conférence de plénipotentiaires de 20</w:t>
      </w:r>
      <w:r w:rsidRPr="00DE3725">
        <w:t xml:space="preserve">22 à Bucarest. Les dates convenues </w:t>
      </w:r>
      <w:r w:rsidR="00C1356A">
        <w:t>lors</w:t>
      </w:r>
      <w:r w:rsidRPr="00DE3725">
        <w:t xml:space="preserve"> de consultations informelles so</w:t>
      </w:r>
      <w:r w:rsidR="00C1356A">
        <w:t>nt les suivantes: 26 septembre –</w:t>
      </w:r>
      <w:r w:rsidRPr="00DE3725">
        <w:t xml:space="preserve"> 14 octobre 2022.</w:t>
      </w:r>
    </w:p>
    <w:p w:rsidR="008D4DAA" w:rsidRPr="00DE3725" w:rsidRDefault="008D4DAA" w:rsidP="00EE7EFB">
      <w:r w:rsidRPr="00DE3725">
        <w:t>1.2</w:t>
      </w:r>
      <w:r w:rsidRPr="00DE3725">
        <w:tab/>
        <w:t xml:space="preserve">Le Conseil </w:t>
      </w:r>
      <w:r w:rsidRPr="00BA0791">
        <w:rPr>
          <w:b/>
          <w:bCs/>
        </w:rPr>
        <w:t>décide</w:t>
      </w:r>
      <w:r w:rsidRPr="00DE3725">
        <w:t xml:space="preserve"> d</w:t>
      </w:r>
      <w:r w:rsidR="00936E13">
        <w:t>'</w:t>
      </w:r>
      <w:r w:rsidRPr="00DE3725">
        <w:t xml:space="preserve">organiser la Conférence de plénipotentiaires de 2022 à Bucarest (Roumanie) du 26 septembre au 14 octobre 2022 et </w:t>
      </w:r>
      <w:r w:rsidRPr="00BA0791">
        <w:rPr>
          <w:b/>
          <w:bCs/>
        </w:rPr>
        <w:t>adopte</w:t>
      </w:r>
      <w:r w:rsidRPr="00DE3725">
        <w:t xml:space="preserve"> le projet de décision reproduit dans l</w:t>
      </w:r>
      <w:r w:rsidR="00936E13">
        <w:t>'</w:t>
      </w:r>
      <w:r w:rsidRPr="00DE3725">
        <w:t xml:space="preserve">Annexe C du Document C19/55(Rév.1), moyennant les modifications </w:t>
      </w:r>
      <w:r w:rsidR="00C1356A">
        <w:t>à apporter en conséquence</w:t>
      </w:r>
      <w:r w:rsidRPr="00DE3725">
        <w:t>.</w:t>
      </w:r>
    </w:p>
    <w:p w:rsidR="008D4DAA" w:rsidRPr="00BA0791" w:rsidRDefault="008D4DAA" w:rsidP="00457E5F">
      <w:pPr>
        <w:pStyle w:val="Heading1"/>
      </w:pPr>
      <w:r w:rsidRPr="00DE3725">
        <w:rPr>
          <w:bCs/>
        </w:rPr>
        <w:t>2</w:t>
      </w:r>
      <w:r w:rsidRPr="00DE3725">
        <w:rPr>
          <w:bCs/>
        </w:rPr>
        <w:tab/>
      </w:r>
      <w:r w:rsidRPr="00BA0791">
        <w:t>Activités de l</w:t>
      </w:r>
      <w:r w:rsidR="00936E13">
        <w:t>'</w:t>
      </w:r>
      <w:r w:rsidRPr="00BA0791">
        <w:t>UIT relatives à l</w:t>
      </w:r>
      <w:r w:rsidR="00936E13">
        <w:t>'</w:t>
      </w:r>
      <w:r w:rsidRPr="00BA0791">
        <w:t xml:space="preserve">Internet (suite) (Document </w:t>
      </w:r>
      <w:hyperlink r:id="rId15" w:history="1">
        <w:r w:rsidRPr="00BA0791">
          <w:rPr>
            <w:rStyle w:val="Hyperlink"/>
            <w:sz w:val="26"/>
            <w:szCs w:val="26"/>
          </w:rPr>
          <w:t>C19/DT/10</w:t>
        </w:r>
      </w:hyperlink>
      <w:r w:rsidRPr="00BA0791">
        <w:t>)</w:t>
      </w:r>
    </w:p>
    <w:p w:rsidR="008D4DAA" w:rsidRPr="00DE3725" w:rsidRDefault="008D4DAA" w:rsidP="00EE7EFB">
      <w:r w:rsidRPr="00DE3725">
        <w:t>2.1</w:t>
      </w:r>
      <w:r w:rsidRPr="00DE3725">
        <w:tab/>
        <w:t>Le Président faisant fonction rappelle qu</w:t>
      </w:r>
      <w:r w:rsidR="00936E13">
        <w:t>'</w:t>
      </w:r>
      <w:r w:rsidRPr="00DE3725">
        <w:t>à sa deuxième séance plénière, le Conseil a pris note du rapport sur les activités de l</w:t>
      </w:r>
      <w:r w:rsidR="00936E13">
        <w:t>'</w:t>
      </w:r>
      <w:r w:rsidRPr="00DE3725">
        <w:t>UIT relatives à l</w:t>
      </w:r>
      <w:r w:rsidR="00936E13">
        <w:t>'</w:t>
      </w:r>
      <w:r w:rsidRPr="00DE3725">
        <w:t>Internet (Document C19/33). Il a été demandé au Secrétaire général de l</w:t>
      </w:r>
      <w:r w:rsidR="00936E13">
        <w:t>'</w:t>
      </w:r>
      <w:r w:rsidRPr="00DE3725">
        <w:t>UIT de transmettre au Secrétaire général de l</w:t>
      </w:r>
      <w:r w:rsidR="00936E13">
        <w:t>'</w:t>
      </w:r>
      <w:r w:rsidRPr="00DE3725">
        <w:t>ONU le rapport susmentionné, accompagné d</w:t>
      </w:r>
      <w:r w:rsidR="00936E13">
        <w:t>'</w:t>
      </w:r>
      <w:r w:rsidRPr="00DE3725">
        <w:t xml:space="preserve">une compilation des vues des États Membres du Conseil, du compte rendu officiel des délibérations </w:t>
      </w:r>
      <w:r w:rsidR="00C1356A">
        <w:t xml:space="preserve">connexes </w:t>
      </w:r>
      <w:r w:rsidRPr="00DE3725">
        <w:t>du Conseil et d</w:t>
      </w:r>
      <w:r w:rsidR="00936E13">
        <w:t>'</w:t>
      </w:r>
      <w:r w:rsidRPr="00DE3725">
        <w:t>une note de couverture. Le Conseil est donc invité à approuver la transmission du rapport accompagné des documents connexes susmentionnés, tels qu</w:t>
      </w:r>
      <w:r w:rsidR="00936E13">
        <w:t>'</w:t>
      </w:r>
      <w:r w:rsidRPr="00DE3725">
        <w:t>ils figurent dans le Document C19/DT/10.</w:t>
      </w:r>
    </w:p>
    <w:p w:rsidR="008D4DAA" w:rsidRPr="00DE3725" w:rsidRDefault="008D4DAA" w:rsidP="00EE7EFB">
      <w:r w:rsidRPr="00DE3725">
        <w:t>2.2</w:t>
      </w:r>
      <w:r w:rsidRPr="00DE3725">
        <w:tab/>
        <w:t xml:space="preserve">Il en est ainsi </w:t>
      </w:r>
      <w:r w:rsidRPr="00BA0791">
        <w:rPr>
          <w:b/>
          <w:bCs/>
        </w:rPr>
        <w:t>décidé</w:t>
      </w:r>
      <w:r w:rsidRPr="00DE3725">
        <w:t>.</w:t>
      </w:r>
    </w:p>
    <w:p w:rsidR="008D4DAA" w:rsidRPr="00DE3725" w:rsidRDefault="008D4DAA" w:rsidP="00EE7EFB">
      <w:r w:rsidRPr="00DE3725">
        <w:t>2.3</w:t>
      </w:r>
      <w:r w:rsidRPr="00DE3725">
        <w:tab/>
        <w:t>Un conseiller est d</w:t>
      </w:r>
      <w:r w:rsidR="00936E13">
        <w:t>'</w:t>
      </w:r>
      <w:r w:rsidRPr="00DE3725">
        <w:t xml:space="preserve">avis que </w:t>
      </w:r>
      <w:r>
        <w:t>les vues</w:t>
      </w:r>
      <w:r w:rsidRPr="00DE3725">
        <w:t xml:space="preserve"> de l</w:t>
      </w:r>
      <w:r w:rsidR="00936E13">
        <w:t>'</w:t>
      </w:r>
      <w:r w:rsidRPr="00DE3725">
        <w:t xml:space="preserve">Algérie, qui </w:t>
      </w:r>
      <w:r>
        <w:t xml:space="preserve">ont </w:t>
      </w:r>
      <w:r w:rsidR="00C1356A">
        <w:t>été insérées</w:t>
      </w:r>
      <w:r>
        <w:t xml:space="preserve"> </w:t>
      </w:r>
      <w:r w:rsidRPr="00DE3725">
        <w:t xml:space="preserve">dans </w:t>
      </w:r>
      <w:r w:rsidR="00C1356A">
        <w:t>l</w:t>
      </w:r>
      <w:r w:rsidR="00936E13">
        <w:t>'</w:t>
      </w:r>
      <w:r w:rsidR="00C1356A">
        <w:t>ensemble</w:t>
      </w:r>
      <w:r w:rsidRPr="00DE3725">
        <w:t xml:space="preserve"> de</w:t>
      </w:r>
      <w:r w:rsidR="00C1356A">
        <w:t>s</w:t>
      </w:r>
      <w:r w:rsidRPr="00DE3725">
        <w:t xml:space="preserve"> documents, indique</w:t>
      </w:r>
      <w:r>
        <w:t>nt</w:t>
      </w:r>
      <w:r w:rsidRPr="00DE3725">
        <w:t xml:space="preserve"> clairement que l</w:t>
      </w:r>
      <w:r w:rsidR="00936E13">
        <w:t>'</w:t>
      </w:r>
      <w:r w:rsidRPr="00DE3725">
        <w:t xml:space="preserve">UIT </w:t>
      </w:r>
      <w:r>
        <w:t>mène à bien</w:t>
      </w:r>
      <w:r w:rsidRPr="00DE3725">
        <w:t xml:space="preserve"> des activités liées à l</w:t>
      </w:r>
      <w:r w:rsidR="00936E13">
        <w:t>'</w:t>
      </w:r>
      <w:r w:rsidRPr="00DE3725">
        <w:t xml:space="preserve">intelligence artificielle dans le cadre de son mandat. Cette observation </w:t>
      </w:r>
      <w:r w:rsidR="00C1356A">
        <w:t>aidera peut-être</w:t>
      </w:r>
      <w:r w:rsidRPr="00DE3725">
        <w:t xml:space="preserve"> le Conseil à </w:t>
      </w:r>
      <w:r w:rsidR="00C1356A">
        <w:t>recenser</w:t>
      </w:r>
      <w:r w:rsidRPr="00DE3725">
        <w:t xml:space="preserve"> des thèmes pour les consultations ouvertes sur le GTC-Internet.</w:t>
      </w:r>
    </w:p>
    <w:p w:rsidR="008D4DAA" w:rsidRPr="00DE3725" w:rsidRDefault="008D4DAA" w:rsidP="00457E5F">
      <w:pPr>
        <w:pStyle w:val="Heading1"/>
        <w:rPr>
          <w:bCs/>
        </w:rPr>
      </w:pPr>
      <w:r w:rsidRPr="00DE3725">
        <w:rPr>
          <w:bCs/>
        </w:rPr>
        <w:t>3</w:t>
      </w:r>
      <w:r w:rsidRPr="00DE3725">
        <w:rPr>
          <w:bCs/>
        </w:rPr>
        <w:tab/>
      </w:r>
      <w:r w:rsidRPr="00BA0791">
        <w:t>Activités de l</w:t>
      </w:r>
      <w:r w:rsidR="00936E13">
        <w:t>'</w:t>
      </w:r>
      <w:r w:rsidRPr="00BA0791">
        <w:t>UIT relatives au renforcement du rôle de l</w:t>
      </w:r>
      <w:r w:rsidR="00936E13">
        <w:t>'</w:t>
      </w:r>
      <w:r w:rsidRPr="00BA0791">
        <w:t>UIT dans l</w:t>
      </w:r>
      <w:r w:rsidR="00936E13">
        <w:t>'</w:t>
      </w:r>
      <w:r w:rsidRPr="00BA0791">
        <w:t>instauration de la confiance et de la sécurité dans l</w:t>
      </w:r>
      <w:r w:rsidR="00936E13">
        <w:t>'</w:t>
      </w:r>
      <w:r w:rsidRPr="00BA0791">
        <w:t xml:space="preserve">utilisation des TIC (suite) (Documents </w:t>
      </w:r>
      <w:hyperlink r:id="rId16" w:history="1">
        <w:r w:rsidRPr="00BA0791">
          <w:rPr>
            <w:rStyle w:val="Hyperlink"/>
            <w:sz w:val="26"/>
            <w:szCs w:val="26"/>
          </w:rPr>
          <w:t>C19/58</w:t>
        </w:r>
      </w:hyperlink>
      <w:r w:rsidRPr="00BA0791">
        <w:t xml:space="preserve"> et </w:t>
      </w:r>
      <w:hyperlink r:id="rId17" w:history="1">
        <w:r w:rsidRPr="00BA0791">
          <w:rPr>
            <w:rStyle w:val="Hyperlink"/>
            <w:sz w:val="26"/>
            <w:szCs w:val="26"/>
          </w:rPr>
          <w:t>C19/DL/8</w:t>
        </w:r>
      </w:hyperlink>
      <w:r w:rsidRPr="00BA0791">
        <w:t>)</w:t>
      </w:r>
    </w:p>
    <w:p w:rsidR="008D4DAA" w:rsidRPr="00DE3725" w:rsidRDefault="008D4DAA" w:rsidP="00EE7EFB">
      <w:r w:rsidRPr="00DE3725">
        <w:t>3.1</w:t>
      </w:r>
      <w:r w:rsidRPr="00DE3725">
        <w:tab/>
      </w:r>
      <w:r w:rsidR="00C1356A">
        <w:t>Le Vice-P</w:t>
      </w:r>
      <w:r w:rsidRPr="00DE3725">
        <w:t xml:space="preserve">résident rend compte des consultations qui </w:t>
      </w:r>
      <w:r>
        <w:t xml:space="preserve">ont </w:t>
      </w:r>
      <w:r w:rsidR="00C1356A">
        <w:t>eu lieu</w:t>
      </w:r>
      <w:r w:rsidRPr="00DE3725">
        <w:t xml:space="preserve"> à la suite de la quatrième séance plénière et </w:t>
      </w:r>
      <w:r w:rsidR="00C1356A">
        <w:t>souligne</w:t>
      </w:r>
      <w:r w:rsidRPr="00DE3725">
        <w:t xml:space="preserve"> que le groupe informel sur le Programme mondial cybersécurité (GCA) est parvenu à un consensus</w:t>
      </w:r>
      <w:r w:rsidR="00C1356A">
        <w:t>, comme indiqué dans le</w:t>
      </w:r>
      <w:r w:rsidRPr="00DE3725">
        <w:t xml:space="preserve"> D</w:t>
      </w:r>
      <w:r w:rsidR="00C1356A">
        <w:t>ocument C19/DL/8, selon lequel "</w:t>
      </w:r>
      <w:r w:rsidRPr="00DE3725">
        <w:t xml:space="preserve">Le Conseil charge le Secrétaire général, en parallèle, de </w:t>
      </w:r>
      <w:r w:rsidR="00C1356A">
        <w:t xml:space="preserve">lui </w:t>
      </w:r>
      <w:r w:rsidRPr="00DE3725">
        <w:t>p</w:t>
      </w:r>
      <w:r w:rsidR="00C1356A">
        <w:t>résenter à sa prochaine session</w:t>
      </w:r>
      <w:r w:rsidRPr="00DE3725">
        <w:t xml:space="preserve"> un rapport </w:t>
      </w:r>
      <w:r>
        <w:t>décrivant</w:t>
      </w:r>
      <w:r w:rsidRPr="00DE3725">
        <w:t xml:space="preserve"> la façon dont le cadre offert par le Programme GCA est actuellement u</w:t>
      </w:r>
      <w:r>
        <w:t>tilisé par</w:t>
      </w:r>
      <w:r w:rsidRPr="00DE3725">
        <w:t xml:space="preserve"> l</w:t>
      </w:r>
      <w:r w:rsidR="00936E13">
        <w:t>'</w:t>
      </w:r>
      <w:r w:rsidRPr="00DE3725">
        <w:t>UIT et des lignes directrices</w:t>
      </w:r>
      <w:r>
        <w:t xml:space="preserve"> appropriées</w:t>
      </w:r>
      <w:r w:rsidRPr="00DE3725">
        <w:t xml:space="preserve"> relatives à l</w:t>
      </w:r>
      <w:r w:rsidR="00936E13">
        <w:t>'</w:t>
      </w:r>
      <w:r w:rsidRPr="00DE3725">
        <w:t>utilisation du Programme GCA par l</w:t>
      </w:r>
      <w:r w:rsidR="00936E13">
        <w:t>'</w:t>
      </w:r>
      <w:r w:rsidRPr="00DE3725">
        <w:t xml:space="preserve">UIT, élaborées </w:t>
      </w:r>
      <w:r>
        <w:t>avec la participation des</w:t>
      </w:r>
      <w:r w:rsidRPr="00DE3725">
        <w:t xml:space="preserve"> États Membres, pour exame</w:t>
      </w:r>
      <w:r w:rsidR="00C1356A">
        <w:t>n et approbation par le Conseil"</w:t>
      </w:r>
      <w:r w:rsidRPr="00DE3725">
        <w:t xml:space="preserve">. </w:t>
      </w:r>
    </w:p>
    <w:p w:rsidR="008D4DAA" w:rsidRPr="00DE3725" w:rsidRDefault="008D4DAA" w:rsidP="00EE7EFB">
      <w:r w:rsidRPr="00DE3725">
        <w:t>3.2</w:t>
      </w:r>
      <w:r w:rsidRPr="00DE3725">
        <w:tab/>
        <w:t xml:space="preserve">Le Conseil </w:t>
      </w:r>
      <w:r w:rsidRPr="00BA0791">
        <w:rPr>
          <w:b/>
          <w:bCs/>
        </w:rPr>
        <w:t>prend note</w:t>
      </w:r>
      <w:r w:rsidRPr="00DE3725">
        <w:t xml:space="preserve"> du Document C19/58 et </w:t>
      </w:r>
      <w:r w:rsidRPr="00BA0791">
        <w:rPr>
          <w:b/>
          <w:bCs/>
        </w:rPr>
        <w:t>approuve</w:t>
      </w:r>
      <w:r w:rsidRPr="00DE3725">
        <w:t xml:space="preserve"> les conclusions </w:t>
      </w:r>
      <w:r w:rsidR="00C1356A">
        <w:t>figurant</w:t>
      </w:r>
      <w:r w:rsidRPr="00DE3725">
        <w:t xml:space="preserve"> dans le Document C19/DL/8.</w:t>
      </w:r>
    </w:p>
    <w:p w:rsidR="00B9012E" w:rsidRDefault="00B9012E" w:rsidP="00457E5F">
      <w:pPr>
        <w:pStyle w:val="Heading1"/>
        <w:rPr>
          <w:bCs/>
        </w:rPr>
      </w:pPr>
      <w:r>
        <w:rPr>
          <w:bCs/>
        </w:rPr>
        <w:br w:type="page"/>
      </w:r>
    </w:p>
    <w:p w:rsidR="008D4DAA" w:rsidRPr="00DE3725" w:rsidRDefault="008D4DAA" w:rsidP="00457E5F">
      <w:pPr>
        <w:pStyle w:val="Heading1"/>
        <w:rPr>
          <w:bCs/>
        </w:rPr>
      </w:pPr>
      <w:r w:rsidRPr="00DE3725">
        <w:rPr>
          <w:bCs/>
        </w:rPr>
        <w:lastRenderedPageBreak/>
        <w:t>4</w:t>
      </w:r>
      <w:r w:rsidRPr="00DE3725">
        <w:rPr>
          <w:bCs/>
        </w:rPr>
        <w:tab/>
      </w:r>
      <w:r w:rsidRPr="00BA0791">
        <w:t xml:space="preserve">Travaux préparatoires en vue du Forum mondial des politiques de télécommunication/TIC de 2021 (FMPT-21) (suite) (Document </w:t>
      </w:r>
      <w:hyperlink r:id="rId18" w:history="1">
        <w:r w:rsidRPr="00BA0791">
          <w:rPr>
            <w:rStyle w:val="Hyperlink"/>
            <w:sz w:val="26"/>
            <w:szCs w:val="26"/>
          </w:rPr>
          <w:t>C19/DT/15</w:t>
        </w:r>
      </w:hyperlink>
      <w:r w:rsidRPr="00BA0791">
        <w:t>)</w:t>
      </w:r>
    </w:p>
    <w:p w:rsidR="008D4DAA" w:rsidRPr="00DE3725" w:rsidRDefault="008D4DAA" w:rsidP="00EE7EFB">
      <w:r w:rsidRPr="00DE3725">
        <w:t>4.1</w:t>
      </w:r>
      <w:r w:rsidRPr="00DE3725">
        <w:tab/>
        <w:t xml:space="preserve">Le Conseiller des Bahamas </w:t>
      </w:r>
      <w:r w:rsidR="00C1356A">
        <w:t>note</w:t>
      </w:r>
      <w:r w:rsidRPr="00DE3725">
        <w:t xml:space="preserve"> que le groupe dont il a assuré la présidence à la suite de la deuxième séance plénière est parvenu à un consensus au sujet du projet de décision concernant le sixième FMPT</w:t>
      </w:r>
      <w:r w:rsidR="00C1356A">
        <w:t xml:space="preserve"> (</w:t>
      </w:r>
      <w:r w:rsidRPr="00DE3725">
        <w:t>Document C19/DT/15</w:t>
      </w:r>
      <w:r w:rsidR="00C1356A">
        <w:t>)</w:t>
      </w:r>
      <w:r w:rsidRPr="00DE3725">
        <w:t xml:space="preserve">. Il </w:t>
      </w:r>
      <w:r w:rsidR="00C1356A">
        <w:t>précise</w:t>
      </w:r>
      <w:r w:rsidRPr="00DE3725">
        <w:t xml:space="preserve"> que le FMPT-21 sera placé sous le th</w:t>
      </w:r>
      <w:r>
        <w:t xml:space="preserve">ème </w:t>
      </w:r>
      <w:r w:rsidRPr="00DE3725">
        <w:t>"Politiques visant à mettre les télécommunications/TIC nouvelles et émergentes au service du développement durable</w:t>
      </w:r>
      <w:r w:rsidR="00C1356A">
        <w:t>"</w:t>
      </w:r>
      <w:r w:rsidRPr="00DE3725">
        <w:t xml:space="preserve">. </w:t>
      </w:r>
    </w:p>
    <w:p w:rsidR="008D4DAA" w:rsidRPr="00DE3725" w:rsidRDefault="008D4DAA" w:rsidP="00EE7EFB">
      <w:r w:rsidRPr="00DE3725">
        <w:t>Les participants au FMPT examineront la façon dont les technologies et les tendances numériques nouvelles et émergentes favorisent la transition à l</w:t>
      </w:r>
      <w:r w:rsidR="00936E13">
        <w:t>'</w:t>
      </w:r>
      <w:r w:rsidRPr="00DE3725">
        <w:t>échelle mondiale vers l</w:t>
      </w:r>
      <w:r w:rsidR="00936E13">
        <w:t>'</w:t>
      </w:r>
      <w:r w:rsidRPr="00DE3725">
        <w:t xml:space="preserve">économie numérique. Parmi les thèmes qui seront examinés, on </w:t>
      </w:r>
      <w:r w:rsidR="00C1356A">
        <w:t>citera</w:t>
      </w:r>
      <w:r w:rsidRPr="00DE3725">
        <w:t xml:space="preserve"> l</w:t>
      </w:r>
      <w:r w:rsidR="00936E13">
        <w:t>'</w:t>
      </w:r>
      <w:r w:rsidRPr="00DE3725">
        <w:t>intelligence artificielle, l</w:t>
      </w:r>
      <w:r w:rsidR="00936E13">
        <w:t>'</w:t>
      </w:r>
      <w:r w:rsidR="00C1356A">
        <w:t>Internet des objets, la </w:t>
      </w:r>
      <w:r w:rsidRPr="00DE3725">
        <w:t xml:space="preserve">5G, les mégadonnées, les OTT, etc. À cet égard, le FMPT sera axé sur les perspectives, les difficultés ainsi que les politiques propres à favoriser le développement durable". </w:t>
      </w:r>
    </w:p>
    <w:p w:rsidR="008D4DAA" w:rsidRPr="00DE3725" w:rsidRDefault="008D4DAA" w:rsidP="00EE7EFB">
      <w:r w:rsidRPr="00DE3725">
        <w:t>4.2</w:t>
      </w:r>
      <w:r w:rsidRPr="00DE3725">
        <w:tab/>
        <w:t xml:space="preserve">Le projet de décision </w:t>
      </w:r>
      <w:r w:rsidR="00C1356A">
        <w:t>figurant</w:t>
      </w:r>
      <w:r w:rsidRPr="00DE3725">
        <w:t xml:space="preserve"> dans le Document C19/DT/15 est </w:t>
      </w:r>
      <w:r w:rsidRPr="00BA0791">
        <w:rPr>
          <w:b/>
          <w:bCs/>
        </w:rPr>
        <w:t>adopté</w:t>
      </w:r>
      <w:r w:rsidRPr="00DE3725">
        <w:t>.</w:t>
      </w:r>
    </w:p>
    <w:p w:rsidR="008D4DAA" w:rsidRPr="00DE3725" w:rsidRDefault="008D4DAA" w:rsidP="00EE7EFB">
      <w:pPr>
        <w:rPr>
          <w:strike/>
        </w:rPr>
      </w:pPr>
      <w:r w:rsidRPr="00DE3725">
        <w:t>4.3</w:t>
      </w:r>
      <w:r w:rsidRPr="00DE3725">
        <w:tab/>
        <w:t xml:space="preserve">Le Président faisant fonction fait remarquer que les dates précises </w:t>
      </w:r>
      <w:r w:rsidR="00C1356A">
        <w:t>du</w:t>
      </w:r>
      <w:r w:rsidRPr="00DE3725">
        <w:t xml:space="preserve"> sixième FMPT seront fixées une fois que les dates de l</w:t>
      </w:r>
      <w:r w:rsidR="00936E13">
        <w:t>'</w:t>
      </w:r>
      <w:r w:rsidRPr="00DE3725">
        <w:t>édition de 2021 du Forum du SMSI auront été confirmées.</w:t>
      </w:r>
    </w:p>
    <w:p w:rsidR="008D4DAA" w:rsidRPr="00DE3725" w:rsidRDefault="008D4DAA" w:rsidP="00457E5F">
      <w:pPr>
        <w:pStyle w:val="Heading1"/>
        <w:rPr>
          <w:bCs/>
        </w:rPr>
      </w:pPr>
      <w:r w:rsidRPr="00DE3725">
        <w:rPr>
          <w:bCs/>
        </w:rPr>
        <w:t>5</w:t>
      </w:r>
      <w:r w:rsidRPr="00DE3725">
        <w:rPr>
          <w:bCs/>
        </w:rPr>
        <w:tab/>
      </w:r>
      <w:r w:rsidRPr="00BA0791">
        <w:t xml:space="preserve">Suivi de la Résolution 146 (Rév. Dubaï, 2018) de la Conférence de plénipotentiaires: Examen et révision périodiques du Règlement des télécommunications internationales (suite) (Document </w:t>
      </w:r>
      <w:hyperlink r:id="rId19" w:history="1">
        <w:r w:rsidRPr="00BA0791">
          <w:rPr>
            <w:rStyle w:val="Hyperlink"/>
            <w:sz w:val="26"/>
            <w:szCs w:val="26"/>
          </w:rPr>
          <w:t>C19/DT/11</w:t>
        </w:r>
      </w:hyperlink>
      <w:r w:rsidRPr="00BA0791">
        <w:t>)</w:t>
      </w:r>
    </w:p>
    <w:p w:rsidR="008D4DAA" w:rsidRPr="00DE3725" w:rsidRDefault="008D4DAA" w:rsidP="00EE7EFB">
      <w:r w:rsidRPr="00DE3725">
        <w:t>5.1</w:t>
      </w:r>
      <w:r w:rsidRPr="00DE3725">
        <w:tab/>
        <w:t xml:space="preserve">Le Conseiller du Ghana, qui a présidé le groupe de travail créé pendant la deuxième séance plénière, présente le Document C19/DT/11, qui contient une proposition </w:t>
      </w:r>
      <w:r w:rsidR="002D133F">
        <w:t>de révision de</w:t>
      </w:r>
      <w:r w:rsidRPr="00DE3725">
        <w:t xml:space="preserve"> la Résolution 1379 du Conseil sur le Groupe d</w:t>
      </w:r>
      <w:r w:rsidR="00936E13">
        <w:t>'</w:t>
      </w:r>
      <w:r w:rsidRPr="00DE3725">
        <w:t xml:space="preserve">experts sur le Règlement des télécommunications internationales (EG-RTI). Le mandat proposé </w:t>
      </w:r>
      <w:r w:rsidR="002D133F" w:rsidRPr="00DE3725">
        <w:t xml:space="preserve">du Groupe EG-RTI </w:t>
      </w:r>
      <w:r w:rsidRPr="00DE3725">
        <w:t>est reproduit dans l</w:t>
      </w:r>
      <w:r w:rsidR="00936E13">
        <w:t>'</w:t>
      </w:r>
      <w:r w:rsidRPr="00DE3725">
        <w:t>Annexe 1. Le Document C19/3</w:t>
      </w:r>
      <w:r w:rsidR="002D133F">
        <w:t>,</w:t>
      </w:r>
      <w:r w:rsidRPr="00DE3725">
        <w:t xml:space="preserve"> relatif aux Résolutions et Décisions du Conseil devenues caduques</w:t>
      </w:r>
      <w:r w:rsidR="002D133F">
        <w:t>,</w:t>
      </w:r>
      <w:r w:rsidRPr="00DE3725">
        <w:t xml:space="preserve"> sera modifié si la proposition de </w:t>
      </w:r>
      <w:r w:rsidR="002D133F">
        <w:t>révis</w:t>
      </w:r>
      <w:r w:rsidRPr="00DE3725">
        <w:t>ion de la Résolution 1379 est adoptée.</w:t>
      </w:r>
    </w:p>
    <w:p w:rsidR="008D4DAA" w:rsidRPr="00DE3725" w:rsidRDefault="008D4DAA" w:rsidP="00EE7EFB">
      <w:r w:rsidRPr="00DE3725">
        <w:t>5.2</w:t>
      </w:r>
      <w:r w:rsidRPr="00DE3725">
        <w:tab/>
        <w:t xml:space="preserve">De nombreux conseillers souscrivent à la proposition de </w:t>
      </w:r>
      <w:r w:rsidR="002D133F">
        <w:t>révisio</w:t>
      </w:r>
      <w:r w:rsidRPr="00DE3725">
        <w:t xml:space="preserve">n de la Résolution 1379 du Conseil et saluent les efforts déployés par le Conseiller du Ghana pour trouver un compromis. </w:t>
      </w:r>
    </w:p>
    <w:p w:rsidR="008D4DAA" w:rsidRPr="00DE3725" w:rsidRDefault="008D4DAA" w:rsidP="00EE7EFB">
      <w:r w:rsidRPr="00DE3725">
        <w:t>5.3</w:t>
      </w:r>
      <w:r w:rsidRPr="00DE3725">
        <w:tab/>
        <w:t xml:space="preserve">Un conseiller fait </w:t>
      </w:r>
      <w:r w:rsidR="002D133F">
        <w:t>observer</w:t>
      </w:r>
      <w:r w:rsidRPr="00DE3725">
        <w:t xml:space="preserve"> que le Groupe EG-RTI se réunira dans le cadre du groupe de réunions des GTC, notamment en septembre 2019, et </w:t>
      </w:r>
      <w:r w:rsidR="002D133F">
        <w:t>considère</w:t>
      </w:r>
      <w:r w:rsidRPr="00DE3725">
        <w:t xml:space="preserve"> qu</w:t>
      </w:r>
      <w:r w:rsidR="00936E13">
        <w:t>'</w:t>
      </w:r>
      <w:r w:rsidRPr="00DE3725">
        <w:t xml:space="preserve">il est important de </w:t>
      </w:r>
      <w:r w:rsidR="002D133F">
        <w:t>ne pas perdre de vue</w:t>
      </w:r>
      <w:r w:rsidRPr="00DE3725">
        <w:t xml:space="preserve"> le</w:t>
      </w:r>
      <w:r w:rsidR="002D133F">
        <w:t>s</w:t>
      </w:r>
      <w:r w:rsidRPr="00DE3725">
        <w:t xml:space="preserve"> </w:t>
      </w:r>
      <w:r w:rsidR="002D133F">
        <w:t>dates</w:t>
      </w:r>
      <w:r w:rsidRPr="00DE3725">
        <w:t xml:space="preserve"> des réunions d</w:t>
      </w:r>
      <w:r w:rsidR="00936E13">
        <w:t>'</w:t>
      </w:r>
      <w:r w:rsidRPr="00DE3725">
        <w:t>autres groupes d</w:t>
      </w:r>
      <w:r w:rsidR="00936E13">
        <w:t>'</w:t>
      </w:r>
      <w:r w:rsidRPr="00DE3725">
        <w:t xml:space="preserve">experts. </w:t>
      </w:r>
    </w:p>
    <w:p w:rsidR="008D4DAA" w:rsidRPr="00DE3725" w:rsidRDefault="008D4DAA" w:rsidP="00EE7EFB">
      <w:r w:rsidRPr="00DE3725">
        <w:t>5.4</w:t>
      </w:r>
      <w:r w:rsidRPr="00DE3725">
        <w:tab/>
        <w:t xml:space="preserve">Le Président faisant fonction remercie personnellement le Conseiller du Ghana et considère que le Conseil peut adopter la proposition de </w:t>
      </w:r>
      <w:r w:rsidR="002D133F">
        <w:t>révision</w:t>
      </w:r>
      <w:r w:rsidRPr="00DE3725">
        <w:t xml:space="preserve"> de la Résolution 1379 du Conseil figurant dans le Document C19/DT/11.</w:t>
      </w:r>
    </w:p>
    <w:p w:rsidR="008D4DAA" w:rsidRPr="00DE3725" w:rsidRDefault="008D4DAA" w:rsidP="00EE7EFB">
      <w:r w:rsidRPr="00DE3725">
        <w:t>5.5</w:t>
      </w:r>
      <w:r w:rsidRPr="00DE3725">
        <w:tab/>
        <w:t xml:space="preserve">Il en est ainsi </w:t>
      </w:r>
      <w:r w:rsidRPr="00BA0791">
        <w:rPr>
          <w:b/>
          <w:bCs/>
        </w:rPr>
        <w:t>décidé</w:t>
      </w:r>
      <w:r w:rsidRPr="00DE3725">
        <w:t>.</w:t>
      </w:r>
    </w:p>
    <w:p w:rsidR="00B9012E" w:rsidRDefault="00B9012E" w:rsidP="00457E5F">
      <w:pPr>
        <w:pStyle w:val="Heading1"/>
        <w:rPr>
          <w:bCs/>
        </w:rPr>
      </w:pPr>
      <w:bookmarkStart w:id="10" w:name="_GoBack"/>
      <w:bookmarkEnd w:id="10"/>
      <w:r>
        <w:rPr>
          <w:bCs/>
        </w:rPr>
        <w:br w:type="page"/>
      </w:r>
    </w:p>
    <w:p w:rsidR="008D4DAA" w:rsidRPr="00DE3725" w:rsidRDefault="008D4DAA" w:rsidP="00457E5F">
      <w:pPr>
        <w:pStyle w:val="Heading1"/>
        <w:rPr>
          <w:bCs/>
        </w:rPr>
      </w:pPr>
      <w:r w:rsidRPr="00DE3725">
        <w:rPr>
          <w:bCs/>
        </w:rPr>
        <w:lastRenderedPageBreak/>
        <w:t>6</w:t>
      </w:r>
      <w:r w:rsidRPr="00DE3725">
        <w:rPr>
          <w:bCs/>
        </w:rPr>
        <w:tab/>
      </w:r>
      <w:r w:rsidRPr="00BA0791">
        <w:t>Rapport du Président du Groupe de travail du Conseil sur les questions de politiques publiques internationales relatives à l</w:t>
      </w:r>
      <w:r w:rsidR="00936E13">
        <w:t>'</w:t>
      </w:r>
      <w:r w:rsidRPr="00BA0791">
        <w:t xml:space="preserve">Internet (GTC-Internet) (suite) (Document </w:t>
      </w:r>
      <w:hyperlink r:id="rId20" w:history="1">
        <w:r w:rsidRPr="00BA0791">
          <w:rPr>
            <w:rStyle w:val="Hyperlink"/>
            <w:sz w:val="26"/>
            <w:szCs w:val="26"/>
          </w:rPr>
          <w:t>C19/DT/16</w:t>
        </w:r>
      </w:hyperlink>
      <w:r w:rsidRPr="00BA0791">
        <w:t>)</w:t>
      </w:r>
    </w:p>
    <w:p w:rsidR="008D4DAA" w:rsidRPr="00DE3725" w:rsidRDefault="008D4DAA" w:rsidP="00EE7EFB">
      <w:r w:rsidRPr="00DE3725">
        <w:t>6.1</w:t>
      </w:r>
      <w:r w:rsidRPr="00DE3725">
        <w:tab/>
        <w:t>Le Conseiller du Brésil, qui préside actuellement le groupe informel créé pendant la troisième séance plénière afin d</w:t>
      </w:r>
      <w:r w:rsidR="00A41644">
        <w:t>e recenser</w:t>
      </w:r>
      <w:r w:rsidRPr="00DE3725">
        <w:t xml:space="preserve"> des thèmes pour les consultations ouve</w:t>
      </w:r>
      <w:r w:rsidR="00A41644">
        <w:t>rtes sur le GTC</w:t>
      </w:r>
      <w:r w:rsidR="00A41644">
        <w:noBreakHyphen/>
      </w:r>
      <w:r w:rsidRPr="00DE3725">
        <w:t xml:space="preserve">Internet, </w:t>
      </w:r>
      <w:r w:rsidR="00A41644">
        <w:t>souligne</w:t>
      </w:r>
      <w:r w:rsidRPr="00DE3725">
        <w:t xml:space="preserve"> que, bien que trois réunions aient eu lieu et que le choix </w:t>
      </w:r>
      <w:r w:rsidR="00A41644">
        <w:t>des</w:t>
      </w:r>
      <w:r w:rsidRPr="00DE3725">
        <w:t xml:space="preserve"> thèmes </w:t>
      </w:r>
      <w:r w:rsidR="00A41644">
        <w:t>possibles ait été ramené à trois</w:t>
      </w:r>
      <w:r w:rsidRPr="00DE3725">
        <w:t>, le groupe n</w:t>
      </w:r>
      <w:r w:rsidR="00936E13">
        <w:t>'</w:t>
      </w:r>
      <w:r w:rsidRPr="00DE3725">
        <w:t xml:space="preserve">a pas été en mesure de parvenir à un consensus. </w:t>
      </w:r>
      <w:r>
        <w:t>Il sollicite l</w:t>
      </w:r>
      <w:r w:rsidRPr="00DE3725">
        <w:t>es orientations du Conseil sur la marche à suivre.</w:t>
      </w:r>
    </w:p>
    <w:p w:rsidR="008D4DAA" w:rsidRPr="00DE3725" w:rsidRDefault="008D4DAA" w:rsidP="008366F7">
      <w:r w:rsidRPr="00DE3725">
        <w:t>6.2</w:t>
      </w:r>
      <w:r w:rsidRPr="00DE3725">
        <w:tab/>
        <w:t xml:space="preserve">Plusieurs conseillers saluent les efforts déployés par le président du groupe informel pour parvenir à un compromis. Certains conseillers estiment que deux des thèmes </w:t>
      </w:r>
      <w:r w:rsidR="00A41644">
        <w:t>possible</w:t>
      </w:r>
      <w:r w:rsidRPr="00DE3725">
        <w:t xml:space="preserve">s semblent recueillir un </w:t>
      </w:r>
      <w:r w:rsidR="00A41644">
        <w:t>plus large</w:t>
      </w:r>
      <w:r w:rsidRPr="00DE3725">
        <w:t xml:space="preserve"> appui, et chacun </w:t>
      </w:r>
      <w:r w:rsidR="00A41644">
        <w:t>d</w:t>
      </w:r>
      <w:r w:rsidR="00936E13">
        <w:t>'</w:t>
      </w:r>
      <w:r w:rsidR="00A41644">
        <w:t>eux</w:t>
      </w:r>
      <w:r w:rsidRPr="00DE3725">
        <w:t xml:space="preserve"> pourrait être examiné séparément lors de l</w:t>
      </w:r>
      <w:r w:rsidR="00936E13">
        <w:t>'</w:t>
      </w:r>
      <w:r w:rsidRPr="00DE3725">
        <w:t xml:space="preserve">une des deux réunions du GTC-Internet </w:t>
      </w:r>
      <w:r w:rsidR="00A41644">
        <w:t xml:space="preserve">qui se tiendront </w:t>
      </w:r>
      <w:r w:rsidRPr="00DE3725">
        <w:t>avant la session de 2020 du Conseil. D</w:t>
      </w:r>
      <w:r w:rsidR="00936E13">
        <w:t>'</w:t>
      </w:r>
      <w:r w:rsidRPr="00DE3725">
        <w:t xml:space="preserve">autres conseillers </w:t>
      </w:r>
      <w:r w:rsidR="00A41644">
        <w:t>considèrent</w:t>
      </w:r>
      <w:r w:rsidRPr="00DE3725">
        <w:t xml:space="preserve"> que les travaux du GTC-Internet devraient </w:t>
      </w:r>
      <w:r w:rsidR="00EE7EFB">
        <w:t>se limiter</w:t>
      </w:r>
      <w:r w:rsidR="00A41644">
        <w:t xml:space="preserve"> aux questions de politiques </w:t>
      </w:r>
      <w:r w:rsidRPr="00DE3725">
        <w:t>publiques relatives à l</w:t>
      </w:r>
      <w:r w:rsidR="00936E13">
        <w:t>'</w:t>
      </w:r>
      <w:r w:rsidRPr="00DE3725">
        <w:t>Internet et ne devrai</w:t>
      </w:r>
      <w:r w:rsidR="00A41644">
        <w:t>en</w:t>
      </w:r>
      <w:r w:rsidRPr="00DE3725">
        <w:t xml:space="preserve">t pas </w:t>
      </w:r>
      <w:r w:rsidR="00A41644">
        <w:t>porter sur les</w:t>
      </w:r>
      <w:r w:rsidRPr="00DE3725">
        <w:t xml:space="preserve"> aspects liés aux technologies nouvelles et émergentes. Il est suggéré de </w:t>
      </w:r>
      <w:r w:rsidR="00A41644">
        <w:t xml:space="preserve">réfléchir à </w:t>
      </w:r>
      <w:r w:rsidRPr="00DE3725">
        <w:t xml:space="preserve">nouveau </w:t>
      </w:r>
      <w:r w:rsidR="00A41644">
        <w:t xml:space="preserve">à </w:t>
      </w:r>
      <w:r w:rsidRPr="00DE3725">
        <w:t>certains des autres thèmes d</w:t>
      </w:r>
      <w:r w:rsidR="00936E13">
        <w:t>'</w:t>
      </w:r>
      <w:r w:rsidRPr="00DE3725">
        <w:t xml:space="preserve">importance qui ont été </w:t>
      </w:r>
      <w:r>
        <w:t>proposés</w:t>
      </w:r>
      <w:r w:rsidRPr="00DE3725">
        <w:t xml:space="preserve">. </w:t>
      </w:r>
      <w:r w:rsidR="008366F7">
        <w:t>Certains</w:t>
      </w:r>
      <w:r w:rsidRPr="00DE3725">
        <w:t xml:space="preserve"> conseillers sont d</w:t>
      </w:r>
      <w:r w:rsidR="00936E13">
        <w:t>'</w:t>
      </w:r>
      <w:r w:rsidRPr="00DE3725">
        <w:t xml:space="preserve">avis que la décision ne devrait pas être repoussée à la réunion </w:t>
      </w:r>
      <w:r>
        <w:t>de</w:t>
      </w:r>
      <w:r w:rsidRPr="00DE3725">
        <w:t xml:space="preserve"> septembre du GTC-Internet, </w:t>
      </w:r>
      <w:r w:rsidR="00A41644">
        <w:t>tandis que</w:t>
      </w:r>
      <w:r w:rsidRPr="00DE3725">
        <w:t xml:space="preserve"> </w:t>
      </w:r>
      <w:r w:rsidR="008366F7">
        <w:t>d</w:t>
      </w:r>
      <w:r w:rsidR="00936E13">
        <w:t>'</w:t>
      </w:r>
      <w:r w:rsidRPr="00DE3725">
        <w:t xml:space="preserve">autres considèrent que cette mesure serait appropriée. </w:t>
      </w:r>
    </w:p>
    <w:p w:rsidR="008D4DAA" w:rsidRPr="00DE3725" w:rsidRDefault="008D4DAA" w:rsidP="00EE7EFB">
      <w:r w:rsidRPr="00DE3725">
        <w:t>6.3</w:t>
      </w:r>
      <w:r w:rsidRPr="00DE3725">
        <w:tab/>
        <w:t xml:space="preserve">Le Directeur du TSB </w:t>
      </w:r>
      <w:r w:rsidR="00A41644">
        <w:t>fait observer que le terme "Internet"</w:t>
      </w:r>
      <w:r w:rsidRPr="00DE3725">
        <w:t xml:space="preserve"> est utilisé dans une acception très large, souvent pour </w:t>
      </w:r>
      <w:r>
        <w:t>renvoyer à des thèmes</w:t>
      </w:r>
      <w:r w:rsidRPr="00DE3725">
        <w:t xml:space="preserve"> qui vont au-delà des réseaux IP, et qu</w:t>
      </w:r>
      <w:r w:rsidR="00936E13">
        <w:t>'</w:t>
      </w:r>
      <w:r w:rsidRPr="00DE3725">
        <w:t xml:space="preserve">il </w:t>
      </w:r>
      <w:r>
        <w:t>englobe</w:t>
      </w:r>
      <w:r w:rsidRPr="00DE3725">
        <w:t xml:space="preserve"> des questions liées à l</w:t>
      </w:r>
      <w:r w:rsidR="00936E13">
        <w:t>'</w:t>
      </w:r>
      <w:r w:rsidRPr="00DE3725">
        <w:t>infrastructure</w:t>
      </w:r>
      <w:r>
        <w:t>,</w:t>
      </w:r>
      <w:r w:rsidRPr="00DE3725">
        <w:t xml:space="preserve"> telles que le web mondial, les cadres </w:t>
      </w:r>
      <w:r>
        <w:t>pour</w:t>
      </w:r>
      <w:r w:rsidRPr="00DE3725">
        <w:t xml:space="preserve"> la fibre optique et la connectivité. L</w:t>
      </w:r>
      <w:r w:rsidR="00936E13">
        <w:t>'</w:t>
      </w:r>
      <w:r w:rsidRPr="00DE3725">
        <w:t>interprétation de ce terme varie selon les conseillers, et il est important de définir précisément ce qu</w:t>
      </w:r>
      <w:r w:rsidR="00936E13">
        <w:t>'</w:t>
      </w:r>
      <w:r w:rsidRPr="00DE3725">
        <w:t xml:space="preserve">il </w:t>
      </w:r>
      <w:r w:rsidR="00A41644">
        <w:t>signifie</w:t>
      </w:r>
      <w:r w:rsidRPr="00DE3725">
        <w:t xml:space="preserve">. </w:t>
      </w:r>
      <w:r>
        <w:t>Il conviendrait de retenir l</w:t>
      </w:r>
      <w:r w:rsidRPr="00DE3725">
        <w:t xml:space="preserve">es thèmes les plus pertinents et qui permettent au GTC-Internet de fournir des orientations à ceux qui en ont le plus besoin. </w:t>
      </w:r>
    </w:p>
    <w:p w:rsidR="008D4DAA" w:rsidRPr="00DE3725" w:rsidRDefault="008D4DAA" w:rsidP="00EE7EFB">
      <w:r w:rsidRPr="00DE3725">
        <w:t>6.4</w:t>
      </w:r>
      <w:r w:rsidRPr="00DE3725">
        <w:tab/>
        <w:t xml:space="preserve">Le Président faisant fonction demande au président du groupe informel de mener de plus amples consultations à cet égard. </w:t>
      </w:r>
    </w:p>
    <w:p w:rsidR="008D4DAA" w:rsidRPr="00DE3725" w:rsidRDefault="008D4DAA" w:rsidP="00EE7EFB">
      <w:r w:rsidRPr="00DE3725">
        <w:t>6.5</w:t>
      </w:r>
      <w:r w:rsidRPr="00DE3725">
        <w:tab/>
        <w:t xml:space="preserve">Le Conseiller de la Fédération de Russie rend compte des consultations informelles qui ont </w:t>
      </w:r>
      <w:r w:rsidR="00A41644">
        <w:t>eu lieu</w:t>
      </w:r>
      <w:r w:rsidRPr="00DE3725">
        <w:t xml:space="preserve"> à la suite des débats </w:t>
      </w:r>
      <w:r w:rsidR="00A41644">
        <w:t>de</w:t>
      </w:r>
      <w:r w:rsidRPr="00DE3725">
        <w:t xml:space="preserve"> la troisième séance plénière, au sujet de la rationalisation des Résolutions 1336 et 1344 du Conseil, et </w:t>
      </w:r>
      <w:r w:rsidR="00A41644">
        <w:t>souligne</w:t>
      </w:r>
      <w:r w:rsidRPr="00DE3725">
        <w:t xml:space="preserve"> que le Document C19/DT/16 contient une proposition de révision </w:t>
      </w:r>
      <w:r w:rsidR="00A41644">
        <w:t xml:space="preserve">de </w:t>
      </w:r>
      <w:r w:rsidRPr="00DE3725">
        <w:t xml:space="preserve">la Résolution 1336, </w:t>
      </w:r>
      <w:r w:rsidR="00A41644">
        <w:t>qui a été modifiée pour intégr</w:t>
      </w:r>
      <w:r w:rsidRPr="00DE3725">
        <w:t>er la Résolution 1344. Étant donné qu</w:t>
      </w:r>
      <w:r w:rsidR="00936E13">
        <w:t>'</w:t>
      </w:r>
      <w:r w:rsidRPr="00DE3725">
        <w:t>aucun texte nouveau n</w:t>
      </w:r>
      <w:r w:rsidR="00936E13">
        <w:t>'</w:t>
      </w:r>
      <w:r w:rsidRPr="00DE3725">
        <w:t xml:space="preserve">a été ajouté, il est proposé, </w:t>
      </w:r>
      <w:r>
        <w:t>à titre</w:t>
      </w:r>
      <w:r w:rsidRPr="00DE3725">
        <w:t xml:space="preserve"> de compromis, de faire figurer</w:t>
      </w:r>
      <w:r w:rsidRPr="00BA0791">
        <w:t xml:space="preserve"> </w:t>
      </w:r>
      <w:r w:rsidRPr="00DE3725">
        <w:t>sur le site web du GTC-Internet un extrait du compte rendu de la neuvième séance plénière de la session de 2016 du Conseil (Document C16/120)</w:t>
      </w:r>
      <w:r w:rsidR="00457E5F" w:rsidRPr="00457E5F">
        <w:t xml:space="preserve"> </w:t>
      </w:r>
      <w:r w:rsidR="00457E5F">
        <w:t>concernant le GTC-Internet</w:t>
      </w:r>
      <w:r w:rsidRPr="00DE3725">
        <w:t>.</w:t>
      </w:r>
    </w:p>
    <w:p w:rsidR="008D4DAA" w:rsidRPr="00DE3725" w:rsidRDefault="008D4DAA" w:rsidP="00EE7EFB">
      <w:r w:rsidRPr="00DE3725">
        <w:t>6.6</w:t>
      </w:r>
      <w:r w:rsidRPr="00DE3725">
        <w:tab/>
        <w:t>Le Conseiller de la République islamique d</w:t>
      </w:r>
      <w:r w:rsidR="00936E13">
        <w:t>'</w:t>
      </w:r>
      <w:r w:rsidRPr="00DE3725">
        <w:t xml:space="preserve">Iran salue les efforts </w:t>
      </w:r>
      <w:r w:rsidR="00457E5F">
        <w:t xml:space="preserve">déployés par </w:t>
      </w:r>
      <w:r w:rsidRPr="00DE3725">
        <w:t>la Fédération de Russie</w:t>
      </w:r>
      <w:r w:rsidR="00457E5F" w:rsidRPr="00457E5F">
        <w:t xml:space="preserve"> </w:t>
      </w:r>
      <w:r w:rsidR="00457E5F" w:rsidRPr="00DE3725">
        <w:t>et l</w:t>
      </w:r>
      <w:r w:rsidR="00936E13">
        <w:t>'</w:t>
      </w:r>
      <w:r w:rsidR="00457E5F" w:rsidRPr="00DE3725">
        <w:t>esprit de compromis</w:t>
      </w:r>
      <w:r w:rsidR="00457E5F">
        <w:t xml:space="preserve"> dont elle a fait preuve</w:t>
      </w:r>
      <w:r w:rsidRPr="00DE3725">
        <w:t>.</w:t>
      </w:r>
    </w:p>
    <w:p w:rsidR="008D4DAA" w:rsidRPr="00DE3725" w:rsidRDefault="008D4DAA" w:rsidP="00EE7EFB">
      <w:r w:rsidRPr="00DE3725">
        <w:t>6.7</w:t>
      </w:r>
      <w:r w:rsidRPr="00DE3725">
        <w:tab/>
        <w:t xml:space="preserve">Le Conseil </w:t>
      </w:r>
      <w:r w:rsidRPr="00BA0791">
        <w:rPr>
          <w:b/>
          <w:bCs/>
        </w:rPr>
        <w:t>adopte</w:t>
      </w:r>
      <w:r w:rsidRPr="00DE3725">
        <w:t xml:space="preserve"> la Résoluti</w:t>
      </w:r>
      <w:r>
        <w:t>on 1336 révisée (Document C19/DT</w:t>
      </w:r>
      <w:r w:rsidRPr="00DE3725">
        <w:t xml:space="preserve">/16) et </w:t>
      </w:r>
      <w:r w:rsidR="00457E5F">
        <w:rPr>
          <w:b/>
          <w:bCs/>
        </w:rPr>
        <w:t>supprime</w:t>
      </w:r>
      <w:r>
        <w:t xml:space="preserve"> la Résolution </w:t>
      </w:r>
      <w:r w:rsidRPr="00DE3725">
        <w:t>1344.</w:t>
      </w:r>
    </w:p>
    <w:p w:rsidR="008D4DAA" w:rsidRPr="00DE3725" w:rsidRDefault="008D4DAA" w:rsidP="00EE7EFB">
      <w:r w:rsidRPr="00DE3725">
        <w:t>6.8</w:t>
      </w:r>
      <w:r w:rsidRPr="00DE3725">
        <w:tab/>
        <w:t>Le Président faisant fonction invite le Conseil à charger le secrétariat d</w:t>
      </w:r>
      <w:r w:rsidR="00936E13">
        <w:t>'</w:t>
      </w:r>
      <w:r w:rsidRPr="00DE3725">
        <w:t>ajouter</w:t>
      </w:r>
      <w:r w:rsidR="00457E5F" w:rsidRPr="00457E5F">
        <w:t xml:space="preserve"> </w:t>
      </w:r>
      <w:r w:rsidR="00457E5F" w:rsidRPr="00DE3725">
        <w:t>sur le site web</w:t>
      </w:r>
      <w:r w:rsidR="00457E5F">
        <w:t xml:space="preserve"> du GTC-Internet</w:t>
      </w:r>
      <w:r w:rsidRPr="00DE3725">
        <w:t xml:space="preserve"> l</w:t>
      </w:r>
      <w:r w:rsidR="00936E13">
        <w:t>'</w:t>
      </w:r>
      <w:r w:rsidRPr="00DE3725">
        <w:t xml:space="preserve">extrait pertinent du Document C16/120 concernant </w:t>
      </w:r>
      <w:r w:rsidR="00457E5F">
        <w:t xml:space="preserve">ce </w:t>
      </w:r>
      <w:r w:rsidRPr="00DE3725">
        <w:t>groupe.</w:t>
      </w:r>
    </w:p>
    <w:p w:rsidR="008D4DAA" w:rsidRPr="00DE3725" w:rsidRDefault="008D4DAA" w:rsidP="00EE7EFB">
      <w:r w:rsidRPr="00DE3725">
        <w:t>6.9</w:t>
      </w:r>
      <w:r w:rsidRPr="00DE3725">
        <w:tab/>
        <w:t xml:space="preserve">Il en est ainsi </w:t>
      </w:r>
      <w:r w:rsidRPr="00BA0791">
        <w:rPr>
          <w:b/>
          <w:bCs/>
        </w:rPr>
        <w:t>décidé</w:t>
      </w:r>
      <w:r w:rsidRPr="00DE3725">
        <w:t>.</w:t>
      </w:r>
    </w:p>
    <w:p w:rsidR="008D4DAA" w:rsidRPr="00DE3725" w:rsidRDefault="008D4DAA" w:rsidP="00B9012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521"/>
        </w:tabs>
        <w:snapToGrid w:val="0"/>
        <w:spacing w:before="400"/>
        <w:jc w:val="both"/>
        <w:rPr>
          <w:szCs w:val="24"/>
        </w:rPr>
      </w:pPr>
      <w:r w:rsidRPr="00DE3725">
        <w:rPr>
          <w:szCs w:val="24"/>
        </w:rPr>
        <w:t>Le Secrétaire général:</w:t>
      </w:r>
      <w:r w:rsidRPr="00DE3725">
        <w:rPr>
          <w:szCs w:val="24"/>
        </w:rPr>
        <w:tab/>
        <w:t>Le Président faisant fonction:</w:t>
      </w:r>
    </w:p>
    <w:p w:rsidR="008D4DAA" w:rsidRPr="00DE3725" w:rsidRDefault="008D4DAA" w:rsidP="00457E5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521"/>
        </w:tabs>
        <w:snapToGrid w:val="0"/>
        <w:spacing w:before="0" w:after="120"/>
        <w:jc w:val="both"/>
        <w:rPr>
          <w:szCs w:val="24"/>
        </w:rPr>
      </w:pPr>
      <w:r w:rsidRPr="00DE3725">
        <w:rPr>
          <w:szCs w:val="24"/>
        </w:rPr>
        <w:t>H. ZHAO</w:t>
      </w:r>
      <w:r w:rsidRPr="00DE3725">
        <w:rPr>
          <w:szCs w:val="24"/>
        </w:rPr>
        <w:tab/>
        <w:t>F. BIGI</w:t>
      </w:r>
    </w:p>
    <w:sectPr w:rsidR="008D4DAA" w:rsidRPr="00DE3725" w:rsidSect="005C3890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DAA" w:rsidRDefault="008D4DAA">
      <w:r>
        <w:separator/>
      </w:r>
    </w:p>
  </w:endnote>
  <w:endnote w:type="continuationSeparator" w:id="0">
    <w:p w:rsidR="008D4DAA" w:rsidRDefault="008D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936E13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8D4DAA">
      <w:t>Document4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621835">
      <w:t>22.07.19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8D4DAA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936E13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>
      <w:t>P:\FRA\SG\CONSEIL\C19\100\117V2F.docx</w:t>
    </w:r>
    <w:r>
      <w:fldChar w:fldCharType="end"/>
    </w:r>
    <w:r w:rsidR="00144B10">
      <w:t xml:space="preserve"> (457510)</w:t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621835">
      <w:t>22.07.19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8D4DAA">
      <w:t>18.07.00</w:t>
    </w:r>
    <w:r w:rsidR="002F1B7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DAA" w:rsidRDefault="008D4DAA">
      <w:r>
        <w:t>____________________</w:t>
      </w:r>
    </w:p>
  </w:footnote>
  <w:footnote w:type="continuationSeparator" w:id="0">
    <w:p w:rsidR="008D4DAA" w:rsidRDefault="008D4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936E13">
      <w:rPr>
        <w:noProof/>
      </w:rPr>
      <w:t>4</w:t>
    </w:r>
    <w:r>
      <w:rPr>
        <w:noProof/>
      </w:rPr>
      <w:fldChar w:fldCharType="end"/>
    </w:r>
  </w:p>
  <w:p w:rsidR="00732045" w:rsidRDefault="00732045" w:rsidP="00106B19">
    <w:pPr>
      <w:pStyle w:val="Header"/>
    </w:pPr>
    <w:r>
      <w:t>C1</w:t>
    </w:r>
    <w:r w:rsidR="00106B19">
      <w:t>9</w:t>
    </w:r>
    <w:r w:rsidR="00C1356A">
      <w:t>/117</w:t>
    </w:r>
    <w: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AA"/>
    <w:rsid w:val="000D0D0A"/>
    <w:rsid w:val="00103163"/>
    <w:rsid w:val="00106B19"/>
    <w:rsid w:val="00115D93"/>
    <w:rsid w:val="001247A8"/>
    <w:rsid w:val="001378C0"/>
    <w:rsid w:val="00144B10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D133F"/>
    <w:rsid w:val="002E0BC4"/>
    <w:rsid w:val="002F1B76"/>
    <w:rsid w:val="0033568E"/>
    <w:rsid w:val="00355FF5"/>
    <w:rsid w:val="00361350"/>
    <w:rsid w:val="003C3FAE"/>
    <w:rsid w:val="004038CB"/>
    <w:rsid w:val="0040546F"/>
    <w:rsid w:val="0042404A"/>
    <w:rsid w:val="0044618F"/>
    <w:rsid w:val="00457E5F"/>
    <w:rsid w:val="0046769A"/>
    <w:rsid w:val="00475FB3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D7118"/>
    <w:rsid w:val="005F7BFE"/>
    <w:rsid w:val="00600017"/>
    <w:rsid w:val="00621835"/>
    <w:rsid w:val="006235CA"/>
    <w:rsid w:val="006643AB"/>
    <w:rsid w:val="007210CD"/>
    <w:rsid w:val="00732045"/>
    <w:rsid w:val="007369DB"/>
    <w:rsid w:val="00790901"/>
    <w:rsid w:val="007956C2"/>
    <w:rsid w:val="007A187E"/>
    <w:rsid w:val="007C72C2"/>
    <w:rsid w:val="007D4436"/>
    <w:rsid w:val="007F257A"/>
    <w:rsid w:val="007F3665"/>
    <w:rsid w:val="00800037"/>
    <w:rsid w:val="008366F7"/>
    <w:rsid w:val="00861D73"/>
    <w:rsid w:val="008A4E87"/>
    <w:rsid w:val="008D4DAA"/>
    <w:rsid w:val="008D76E6"/>
    <w:rsid w:val="0092392D"/>
    <w:rsid w:val="0093234A"/>
    <w:rsid w:val="00936E13"/>
    <w:rsid w:val="009C307F"/>
    <w:rsid w:val="00A2113E"/>
    <w:rsid w:val="00A23A51"/>
    <w:rsid w:val="00A24607"/>
    <w:rsid w:val="00A25CD3"/>
    <w:rsid w:val="00A41644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9012E"/>
    <w:rsid w:val="00BB4545"/>
    <w:rsid w:val="00BD5873"/>
    <w:rsid w:val="00C04BE3"/>
    <w:rsid w:val="00C1356A"/>
    <w:rsid w:val="00C25D29"/>
    <w:rsid w:val="00C27A7C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B6350"/>
    <w:rsid w:val="00EE7EFB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95E03714-FA89-4C61-8C0D-3686DF29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ListParagraph">
    <w:name w:val="List Paragraph"/>
    <w:basedOn w:val="Normal"/>
    <w:uiPriority w:val="34"/>
    <w:qFormat/>
    <w:rsid w:val="008D4DA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Theme="minorHAnsi" w:eastAsiaTheme="minorHAnsi" w:hAnsiTheme="minorHAnsi" w:cstheme="minorBidi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9-CL-190610-TD-GEN-0010/en" TargetMode="External"/><Relationship Id="rId13" Type="http://schemas.openxmlformats.org/officeDocument/2006/relationships/hyperlink" Target="https://www.itu.int/md/S19-CL-190610-TD-GEN-0016/en" TargetMode="External"/><Relationship Id="rId18" Type="http://schemas.openxmlformats.org/officeDocument/2006/relationships/hyperlink" Target="https://www.itu.int/md/S19-CL-190610-TD-GEN-0015/en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www.itu.int/md/S19-CL-C-0055/en" TargetMode="External"/><Relationship Id="rId12" Type="http://schemas.openxmlformats.org/officeDocument/2006/relationships/hyperlink" Target="https://www.itu.int/md/S19-CL-190610-TD-GEN-0011/en" TargetMode="External"/><Relationship Id="rId17" Type="http://schemas.openxmlformats.org/officeDocument/2006/relationships/hyperlink" Target="https://www.itu.int/md/S19-CL-190610-DL-0008/en" TargetMode="Externa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s://www.itu.int/md/S19-CL-C-0058/en" TargetMode="External"/><Relationship Id="rId20" Type="http://schemas.openxmlformats.org/officeDocument/2006/relationships/hyperlink" Target="https://www.itu.int/md/S19-CL-190610-TD-GEN-0016/en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tu.int/md/S19-CL-190610-TD-GEN-0015/en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www.itu.int/md/S19-CL-190610-TD-GEN-0010/en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md/S19-CL-190610-DL-0008/en" TargetMode="External"/><Relationship Id="rId19" Type="http://schemas.openxmlformats.org/officeDocument/2006/relationships/hyperlink" Target="https://www.itu.int/md/S19-CL-190610-TD-GEN-0011/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md/S19-CL-C-0058/en" TargetMode="External"/><Relationship Id="rId14" Type="http://schemas.openxmlformats.org/officeDocument/2006/relationships/hyperlink" Target="https://www.itu.int/md/S19-CL-C-0055/en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PF_C19.dotx</Template>
  <TotalTime>3</TotalTime>
  <Pages>4</Pages>
  <Words>1519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10747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Royer, Veronique</dc:creator>
  <cp:keywords>C2018, C18</cp:keywords>
  <dc:description/>
  <cp:lastModifiedBy>Royer, Veronique</cp:lastModifiedBy>
  <cp:revision>3</cp:revision>
  <cp:lastPrinted>2000-07-18T08:55:00Z</cp:lastPrinted>
  <dcterms:created xsi:type="dcterms:W3CDTF">2019-07-23T08:19:00Z</dcterms:created>
  <dcterms:modified xsi:type="dcterms:W3CDTF">2019-07-23T08:22:00Z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