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592EA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4B5B6A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D446E5">
              <w:rPr>
                <w:b/>
                <w:bCs/>
                <w:lang w:bidi="ar-SY"/>
              </w:rPr>
              <w:t>11</w:t>
            </w:r>
            <w:r w:rsidR="004B5B6A"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F85F3C" w:rsidP="00592EA5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19</w:t>
            </w:r>
            <w:r w:rsidRPr="007F121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يوليو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bookmarkStart w:id="1" w:name="_GoBack"/>
            <w:bookmarkEnd w:id="1"/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D446E5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D446E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290728" w:rsidP="00290728">
            <w:pPr>
              <w:pStyle w:val="Source"/>
              <w:rPr>
                <w:rtl/>
                <w:lang w:bidi="ar-SY"/>
              </w:rPr>
            </w:pPr>
          </w:p>
        </w:tc>
      </w:tr>
      <w:tr w:rsidR="00D446E5" w:rsidRPr="00290728" w:rsidTr="009F66A8">
        <w:trPr>
          <w:cantSplit/>
        </w:trPr>
        <w:tc>
          <w:tcPr>
            <w:tcW w:w="9672" w:type="dxa"/>
            <w:gridSpan w:val="2"/>
          </w:tcPr>
          <w:p w:rsidR="00D446E5" w:rsidRPr="00383829" w:rsidRDefault="00D446E5" w:rsidP="004B5B6A">
            <w:pPr>
              <w:pStyle w:val="Title1"/>
              <w:spacing w:before="120"/>
              <w:rPr>
                <w:rtl/>
              </w:rPr>
            </w:pPr>
            <w:r w:rsidRPr="00420672">
              <w:rPr>
                <w:rFonts w:hint="cs"/>
                <w:rtl/>
              </w:rPr>
              <w:t>محضـر موجـز</w:t>
            </w:r>
            <w:r w:rsidRPr="00420672">
              <w:rPr>
                <w:rFonts w:hint="cs"/>
                <w:rtl/>
              </w:rPr>
              <w:br/>
              <w:t xml:space="preserve">للجلسة العامة </w:t>
            </w:r>
            <w:r w:rsidR="004B5B6A">
              <w:rPr>
                <w:rFonts w:hint="cs"/>
                <w:rtl/>
              </w:rPr>
              <w:t>السابعة</w:t>
            </w:r>
          </w:p>
        </w:tc>
      </w:tr>
      <w:tr w:rsidR="00D446E5" w:rsidRPr="00290728" w:rsidTr="009F66A8">
        <w:trPr>
          <w:cantSplit/>
        </w:trPr>
        <w:tc>
          <w:tcPr>
            <w:tcW w:w="9672" w:type="dxa"/>
            <w:gridSpan w:val="2"/>
          </w:tcPr>
          <w:p w:rsidR="00D446E5" w:rsidRPr="004B5B6A" w:rsidRDefault="004B5B6A" w:rsidP="004B5B6A">
            <w:pPr>
              <w:spacing w:before="24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الأربعاء </w:t>
            </w:r>
            <w:r>
              <w:rPr>
                <w:lang w:bidi="ar-EG"/>
              </w:rPr>
              <w:t>19</w:t>
            </w:r>
            <w:r>
              <w:rPr>
                <w:rFonts w:hint="cs"/>
                <w:rtl/>
                <w:lang w:bidi="ar-EG"/>
              </w:rPr>
              <w:t xml:space="preserve"> يونيو</w:t>
            </w:r>
            <w:r w:rsidR="00D446E5">
              <w:rPr>
                <w:rFonts w:hint="cs"/>
                <w:rtl/>
                <w:lang w:bidi="ar-EG"/>
              </w:rPr>
              <w:t xml:space="preserve"> </w:t>
            </w:r>
            <w:r w:rsidR="00D446E5">
              <w:rPr>
                <w:lang w:bidi="ar-EG"/>
              </w:rPr>
              <w:t>2019</w:t>
            </w:r>
            <w:r w:rsidR="00D446E5" w:rsidRPr="00420672">
              <w:rPr>
                <w:rFonts w:hint="cs"/>
                <w:rtl/>
                <w:lang w:bidi="ar-EG"/>
              </w:rPr>
              <w:t xml:space="preserve">، من الساعة </w:t>
            </w:r>
            <w:r>
              <w:rPr>
                <w:lang w:val="en-GB"/>
              </w:rPr>
              <w:t>14:45</w:t>
            </w:r>
            <w:r w:rsidR="00D446E5" w:rsidRPr="00420672">
              <w:rPr>
                <w:rFonts w:hint="cs"/>
                <w:rtl/>
                <w:lang w:bidi="ar-EG"/>
              </w:rPr>
              <w:t xml:space="preserve"> إلى الساعة </w:t>
            </w:r>
            <w:r>
              <w:rPr>
                <w:lang w:bidi="ar-EG"/>
              </w:rPr>
              <w:t>15:10</w:t>
            </w:r>
          </w:p>
        </w:tc>
      </w:tr>
      <w:tr w:rsidR="00D446E5" w:rsidRPr="00290728" w:rsidTr="009F66A8">
        <w:trPr>
          <w:cantSplit/>
        </w:trPr>
        <w:tc>
          <w:tcPr>
            <w:tcW w:w="9672" w:type="dxa"/>
            <w:gridSpan w:val="2"/>
          </w:tcPr>
          <w:p w:rsidR="00D446E5" w:rsidRPr="00420672" w:rsidRDefault="0013753D" w:rsidP="00D446E5">
            <w:pPr>
              <w:spacing w:before="240"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القائم بأعمال الرئيس</w:t>
            </w:r>
            <w:r w:rsidR="00D446E5" w:rsidRPr="00420672">
              <w:rPr>
                <w:rFonts w:hint="cs"/>
                <w:b/>
                <w:bCs/>
                <w:rtl/>
                <w:lang w:bidi="ar-EG"/>
              </w:rPr>
              <w:t>:</w:t>
            </w:r>
            <w:r w:rsidR="00D446E5" w:rsidRPr="00420672">
              <w:rPr>
                <w:rFonts w:hint="eastAsia"/>
                <w:b/>
                <w:bCs/>
                <w:rtl/>
                <w:lang w:bidi="ar-EG"/>
              </w:rPr>
              <w:t xml:space="preserve"> </w:t>
            </w:r>
            <w:r w:rsidR="00D446E5" w:rsidRPr="00420672">
              <w:rPr>
                <w:rFonts w:hint="cs"/>
                <w:rtl/>
                <w:lang w:bidi="ar-EG"/>
              </w:rPr>
              <w:t xml:space="preserve">السيد </w:t>
            </w:r>
            <w:r w:rsidR="00D446E5">
              <w:rPr>
                <w:rFonts w:hint="cs"/>
                <w:rtl/>
                <w:lang w:bidi="ar-EG"/>
              </w:rPr>
              <w:t xml:space="preserve">ف. </w:t>
            </w:r>
            <w:proofErr w:type="spellStart"/>
            <w:r w:rsidR="00D446E5">
              <w:rPr>
                <w:rFonts w:hint="cs"/>
                <w:rtl/>
                <w:lang w:bidi="ar-EG"/>
              </w:rPr>
              <w:t>بيجي</w:t>
            </w:r>
            <w:proofErr w:type="spellEnd"/>
            <w:r w:rsidR="00D446E5" w:rsidRPr="00420672">
              <w:rPr>
                <w:rFonts w:hint="cs"/>
                <w:rtl/>
                <w:lang w:bidi="ar-EG"/>
              </w:rPr>
              <w:t xml:space="preserve"> (</w:t>
            </w:r>
            <w:r w:rsidR="00D446E5">
              <w:rPr>
                <w:rFonts w:hint="cs"/>
                <w:rtl/>
                <w:lang w:bidi="ar-EG"/>
              </w:rPr>
              <w:t>إيطاليا</w:t>
            </w:r>
            <w:r w:rsidR="00D446E5" w:rsidRPr="00420672">
              <w:rPr>
                <w:rFonts w:hint="cs"/>
                <w:rtl/>
                <w:lang w:bidi="ar-EG"/>
              </w:rPr>
              <w:t>)</w:t>
            </w:r>
          </w:p>
        </w:tc>
      </w:tr>
    </w:tbl>
    <w:p w:rsidR="00706D7A" w:rsidRDefault="00706D7A" w:rsidP="002154EE"/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484"/>
        <w:gridCol w:w="7254"/>
        <w:gridCol w:w="1901"/>
      </w:tblGrid>
      <w:tr w:rsidR="004B5B6A" w:rsidRPr="0032564C" w:rsidTr="004B5B6A">
        <w:trPr>
          <w:jc w:val="center"/>
        </w:trPr>
        <w:tc>
          <w:tcPr>
            <w:tcW w:w="251" w:type="pct"/>
          </w:tcPr>
          <w:p w:rsidR="004B5B6A" w:rsidRPr="0032564C" w:rsidRDefault="004B5B6A" w:rsidP="0032564C">
            <w:pPr>
              <w:pStyle w:val="toc0"/>
              <w:bidi/>
              <w:spacing w:before="60" w:after="60" w:line="340" w:lineRule="exact"/>
              <w:rPr>
                <w:rFonts w:cs="Traditional Arabic"/>
                <w:position w:val="2"/>
                <w:sz w:val="22"/>
                <w:szCs w:val="30"/>
              </w:rPr>
            </w:pPr>
            <w:r w:rsidRPr="0032564C">
              <w:rPr>
                <w:rFonts w:cs="Traditional Arabic"/>
                <w:b w:val="0"/>
                <w:position w:val="2"/>
                <w:sz w:val="22"/>
                <w:szCs w:val="30"/>
              </w:rPr>
              <w:br w:type="page"/>
            </w:r>
            <w:r w:rsidRPr="0032564C">
              <w:rPr>
                <w:rFonts w:cs="Traditional Arabic"/>
                <w:b w:val="0"/>
                <w:position w:val="2"/>
                <w:sz w:val="22"/>
                <w:szCs w:val="30"/>
              </w:rPr>
              <w:br w:type="page"/>
            </w:r>
          </w:p>
        </w:tc>
        <w:tc>
          <w:tcPr>
            <w:tcW w:w="3763" w:type="pct"/>
          </w:tcPr>
          <w:p w:rsidR="004B5B6A" w:rsidRPr="0032564C" w:rsidRDefault="004B5B6A" w:rsidP="0032564C">
            <w:pPr>
              <w:spacing w:before="60" w:after="60" w:line="34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32564C">
              <w:rPr>
                <w:b/>
                <w:bCs/>
                <w:position w:val="2"/>
                <w:rtl/>
              </w:rPr>
              <w:t>موضوعات المناقشة</w:t>
            </w:r>
          </w:p>
        </w:tc>
        <w:tc>
          <w:tcPr>
            <w:tcW w:w="986" w:type="pct"/>
          </w:tcPr>
          <w:p w:rsidR="004B5B6A" w:rsidRPr="0032564C" w:rsidRDefault="004B5B6A" w:rsidP="0032564C">
            <w:pPr>
              <w:spacing w:before="60" w:after="60" w:line="340" w:lineRule="exact"/>
              <w:jc w:val="center"/>
              <w:rPr>
                <w:b/>
                <w:bCs/>
                <w:position w:val="2"/>
                <w:lang w:bidi="ar-EG"/>
              </w:rPr>
            </w:pPr>
            <w:r w:rsidRPr="0032564C">
              <w:rPr>
                <w:rFonts w:hint="cs"/>
                <w:b/>
                <w:bCs/>
                <w:position w:val="2"/>
                <w:rtl/>
              </w:rPr>
              <w:t>الوثائق</w:t>
            </w:r>
          </w:p>
        </w:tc>
      </w:tr>
      <w:tr w:rsidR="004B5B6A" w:rsidRPr="0032564C" w:rsidTr="004B5B6A">
        <w:trPr>
          <w:jc w:val="center"/>
        </w:trPr>
        <w:tc>
          <w:tcPr>
            <w:tcW w:w="251" w:type="pct"/>
          </w:tcPr>
          <w:p w:rsidR="004B5B6A" w:rsidRPr="0032564C" w:rsidRDefault="004B5B6A" w:rsidP="0032564C">
            <w:pPr>
              <w:pStyle w:val="toc0"/>
              <w:bidi/>
              <w:spacing w:before="60" w:after="60" w:line="340" w:lineRule="exact"/>
              <w:rPr>
                <w:rFonts w:cs="Traditional Arabic"/>
                <w:b w:val="0"/>
                <w:position w:val="2"/>
                <w:sz w:val="22"/>
                <w:szCs w:val="30"/>
              </w:rPr>
            </w:pPr>
            <w:r w:rsidRPr="0032564C">
              <w:rPr>
                <w:rFonts w:cs="Traditional Arabic"/>
                <w:b w:val="0"/>
                <w:position w:val="2"/>
                <w:sz w:val="22"/>
                <w:szCs w:val="30"/>
              </w:rPr>
              <w:t>1</w:t>
            </w:r>
          </w:p>
        </w:tc>
        <w:tc>
          <w:tcPr>
            <w:tcW w:w="3763" w:type="pct"/>
          </w:tcPr>
          <w:p w:rsidR="004B5B6A" w:rsidRPr="0032564C" w:rsidRDefault="004B5B6A" w:rsidP="00FF066C">
            <w:pPr>
              <w:pStyle w:val="toc0"/>
              <w:bidi/>
              <w:spacing w:before="60" w:after="60" w:line="340" w:lineRule="exact"/>
              <w:jc w:val="both"/>
              <w:rPr>
                <w:rFonts w:cs="Traditional Arabic"/>
                <w:b w:val="0"/>
                <w:position w:val="2"/>
                <w:sz w:val="22"/>
                <w:szCs w:val="30"/>
              </w:rPr>
            </w:pPr>
            <w:r w:rsidRPr="0032564C">
              <w:rPr>
                <w:rFonts w:cs="Traditional Arabic" w:hint="cs"/>
                <w:b w:val="0"/>
                <w:position w:val="2"/>
                <w:sz w:val="22"/>
                <w:szCs w:val="30"/>
                <w:rtl/>
              </w:rPr>
              <w:t>تقرير رئيس</w:t>
            </w:r>
            <w:r w:rsidRPr="0032564C">
              <w:rPr>
                <w:rFonts w:cs="Traditional Arabic" w:hint="cs"/>
                <w:b w:val="0"/>
                <w:position w:val="2"/>
                <w:sz w:val="22"/>
                <w:szCs w:val="30"/>
                <w:rtl/>
                <w:lang w:bidi="ar-SY"/>
              </w:rPr>
              <w:t xml:space="preserve"> فريق العمل التابع لل</w:t>
            </w:r>
            <w:r w:rsidRPr="0032564C">
              <w:rPr>
                <w:rFonts w:cs="Traditional Arabic"/>
                <w:b w:val="0"/>
                <w:position w:val="2"/>
                <w:sz w:val="22"/>
                <w:szCs w:val="30"/>
                <w:rtl/>
                <w:lang w:bidi="ar-SY"/>
              </w:rPr>
              <w:t>مجلس</w:t>
            </w:r>
            <w:r w:rsidRPr="0032564C">
              <w:rPr>
                <w:rFonts w:cs="Traditional Arabic" w:hint="cs"/>
                <w:b w:val="0"/>
                <w:position w:val="2"/>
                <w:sz w:val="22"/>
                <w:szCs w:val="30"/>
                <w:rtl/>
                <w:lang w:bidi="ar-SY"/>
              </w:rPr>
              <w:t xml:space="preserve"> وا</w:t>
            </w:r>
            <w:r w:rsidRPr="0032564C">
              <w:rPr>
                <w:rFonts w:cs="Traditional Arabic"/>
                <w:b w:val="0"/>
                <w:position w:val="2"/>
                <w:sz w:val="22"/>
                <w:szCs w:val="30"/>
                <w:rtl/>
                <w:lang w:bidi="ar-SY"/>
              </w:rPr>
              <w:t>لمعن</w:t>
            </w:r>
            <w:r w:rsidR="0032564C" w:rsidRPr="0032564C">
              <w:rPr>
                <w:rFonts w:cs="Traditional Arabic" w:hint="cs"/>
                <w:b w:val="0"/>
                <w:position w:val="2"/>
                <w:sz w:val="22"/>
                <w:szCs w:val="30"/>
                <w:rtl/>
                <w:lang w:bidi="ar-SY"/>
              </w:rPr>
              <w:t>ي</w:t>
            </w:r>
            <w:r w:rsidRPr="0032564C">
              <w:rPr>
                <w:rFonts w:cs="Traditional Arabic" w:hint="cs"/>
                <w:b w:val="0"/>
                <w:position w:val="2"/>
                <w:sz w:val="22"/>
                <w:szCs w:val="30"/>
                <w:rtl/>
              </w:rPr>
              <w:t xml:space="preserve"> </w:t>
            </w:r>
            <w:r w:rsidRPr="0032564C">
              <w:rPr>
                <w:rFonts w:cs="Traditional Arabic" w:hint="cs"/>
                <w:b w:val="0"/>
                <w:position w:val="2"/>
                <w:sz w:val="22"/>
                <w:szCs w:val="30"/>
                <w:rtl/>
                <w:lang w:bidi="ar-SY"/>
              </w:rPr>
              <w:t xml:space="preserve">بقضايا </w:t>
            </w:r>
            <w:r w:rsidRPr="0032564C">
              <w:rPr>
                <w:rFonts w:cs="Traditional Arabic"/>
                <w:b w:val="0"/>
                <w:position w:val="2"/>
                <w:sz w:val="22"/>
                <w:szCs w:val="30"/>
                <w:rtl/>
                <w:lang w:bidi="ar-SY"/>
              </w:rPr>
              <w:t>السياسات العامة الدولية</w:t>
            </w:r>
            <w:r w:rsidRPr="0032564C">
              <w:rPr>
                <w:rFonts w:cs="Traditional Arabic" w:hint="cs"/>
                <w:b w:val="0"/>
                <w:position w:val="2"/>
                <w:sz w:val="22"/>
                <w:szCs w:val="30"/>
                <w:rtl/>
                <w:lang w:bidi="ar-SY"/>
              </w:rPr>
              <w:t xml:space="preserve"> المتعلقة </w:t>
            </w:r>
            <w:r w:rsidRPr="0032564C">
              <w:rPr>
                <w:rFonts w:cs="Traditional Arabic"/>
                <w:b w:val="0"/>
                <w:position w:val="2"/>
                <w:sz w:val="22"/>
                <w:szCs w:val="30"/>
                <w:rtl/>
                <w:lang w:bidi="ar-SY"/>
              </w:rPr>
              <w:t>بالإنترنت</w:t>
            </w:r>
            <w:r w:rsidR="00FF066C">
              <w:rPr>
                <w:rFonts w:cs="Traditional Arabic" w:hint="eastAsia"/>
                <w:b w:val="0"/>
                <w:position w:val="2"/>
                <w:sz w:val="22"/>
                <w:szCs w:val="30"/>
                <w:rtl/>
              </w:rPr>
              <w:t> </w:t>
            </w:r>
            <w:r w:rsidRPr="0032564C">
              <w:rPr>
                <w:rFonts w:cs="Traditional Arabic"/>
                <w:b w:val="0"/>
                <w:position w:val="2"/>
                <w:sz w:val="22"/>
                <w:szCs w:val="30"/>
                <w:lang w:val="en-US"/>
              </w:rPr>
              <w:t>(CWG-I</w:t>
            </w:r>
            <w:r w:rsidR="00FF066C" w:rsidRPr="0032564C">
              <w:rPr>
                <w:rFonts w:cs="Traditional Arabic"/>
                <w:b w:val="0"/>
                <w:position w:val="2"/>
                <w:sz w:val="22"/>
                <w:szCs w:val="30"/>
                <w:lang w:val="en-US"/>
              </w:rPr>
              <w:t>nternet</w:t>
            </w:r>
            <w:r w:rsidRPr="0032564C">
              <w:rPr>
                <w:rFonts w:cs="Traditional Arabic"/>
                <w:b w:val="0"/>
                <w:position w:val="2"/>
                <w:sz w:val="22"/>
                <w:szCs w:val="30"/>
                <w:lang w:val="en-US"/>
              </w:rPr>
              <w:t>)</w:t>
            </w:r>
            <w:r w:rsidRPr="0032564C">
              <w:rPr>
                <w:rFonts w:cs="Traditional Arabic" w:hint="cs"/>
                <w:b w:val="0"/>
                <w:position w:val="2"/>
                <w:sz w:val="22"/>
                <w:szCs w:val="30"/>
                <w:rtl/>
                <w:lang w:val="en-US"/>
              </w:rPr>
              <w:t xml:space="preserve"> </w:t>
            </w:r>
            <w:r w:rsidR="00714EA5" w:rsidRPr="0032564C">
              <w:rPr>
                <w:rFonts w:cs="Traditional Arabic" w:hint="cs"/>
                <w:b w:val="0"/>
                <w:position w:val="2"/>
                <w:sz w:val="22"/>
                <w:szCs w:val="30"/>
                <w:rtl/>
                <w:lang w:val="en-US"/>
              </w:rPr>
              <w:t>(تابع)</w:t>
            </w:r>
          </w:p>
        </w:tc>
        <w:tc>
          <w:tcPr>
            <w:tcW w:w="986" w:type="pct"/>
          </w:tcPr>
          <w:p w:rsidR="004B5B6A" w:rsidRPr="0032564C" w:rsidRDefault="008852DD" w:rsidP="0032564C">
            <w:pPr>
              <w:pStyle w:val="toc0"/>
              <w:bidi/>
              <w:spacing w:before="60" w:after="60" w:line="340" w:lineRule="exact"/>
              <w:jc w:val="center"/>
              <w:rPr>
                <w:rFonts w:cs="Traditional Arabic"/>
                <w:position w:val="2"/>
                <w:sz w:val="22"/>
                <w:szCs w:val="30"/>
              </w:rPr>
            </w:pPr>
            <w:r w:rsidRPr="0032564C">
              <w:rPr>
                <w:rFonts w:cs="Traditional Arabic" w:hint="cs"/>
                <w:position w:val="2"/>
                <w:sz w:val="22"/>
                <w:szCs w:val="30"/>
                <w:rtl/>
              </w:rPr>
              <w:t>-</w:t>
            </w:r>
          </w:p>
        </w:tc>
      </w:tr>
      <w:tr w:rsidR="004B5B6A" w:rsidRPr="0032564C" w:rsidTr="004B5B6A">
        <w:trPr>
          <w:jc w:val="center"/>
        </w:trPr>
        <w:tc>
          <w:tcPr>
            <w:tcW w:w="251" w:type="pct"/>
          </w:tcPr>
          <w:p w:rsidR="004B5B6A" w:rsidRPr="0032564C" w:rsidRDefault="004B5B6A" w:rsidP="0032564C">
            <w:pPr>
              <w:pStyle w:val="toc0"/>
              <w:bidi/>
              <w:spacing w:before="60" w:after="60" w:line="340" w:lineRule="exact"/>
              <w:rPr>
                <w:rFonts w:cs="Traditional Arabic"/>
                <w:b w:val="0"/>
                <w:position w:val="2"/>
                <w:sz w:val="22"/>
                <w:szCs w:val="30"/>
              </w:rPr>
            </w:pPr>
            <w:r w:rsidRPr="0032564C">
              <w:rPr>
                <w:rFonts w:cs="Traditional Arabic"/>
                <w:b w:val="0"/>
                <w:position w:val="2"/>
                <w:sz w:val="22"/>
                <w:szCs w:val="30"/>
              </w:rPr>
              <w:t>2</w:t>
            </w:r>
          </w:p>
        </w:tc>
        <w:tc>
          <w:tcPr>
            <w:tcW w:w="3763" w:type="pct"/>
          </w:tcPr>
          <w:p w:rsidR="004B5B6A" w:rsidRPr="0032564C" w:rsidRDefault="004B5B6A" w:rsidP="0032564C">
            <w:pPr>
              <w:pStyle w:val="toc0"/>
              <w:bidi/>
              <w:spacing w:before="60" w:after="60" w:line="340" w:lineRule="exact"/>
              <w:rPr>
                <w:rFonts w:cs="Traditional Arabic"/>
                <w:position w:val="2"/>
                <w:sz w:val="22"/>
                <w:szCs w:val="30"/>
              </w:rPr>
            </w:pPr>
            <w:r w:rsidRPr="0032564C">
              <w:rPr>
                <w:rFonts w:cs="Traditional Arabic" w:hint="cs"/>
                <w:b w:val="0"/>
                <w:position w:val="2"/>
                <w:sz w:val="22"/>
                <w:szCs w:val="30"/>
                <w:rtl/>
              </w:rPr>
              <w:t>المواعيد المقترحة لانعقاد دورات المجلس للأعوام </w:t>
            </w:r>
            <w:r w:rsidRPr="0032564C">
              <w:rPr>
                <w:rFonts w:cs="Traditional Arabic"/>
                <w:b w:val="0"/>
                <w:position w:val="2"/>
                <w:sz w:val="22"/>
                <w:szCs w:val="30"/>
                <w:lang w:val="en-US"/>
              </w:rPr>
              <w:t>2020</w:t>
            </w:r>
            <w:r w:rsidRPr="0032564C">
              <w:rPr>
                <w:rFonts w:cs="Traditional Arabic" w:hint="cs"/>
                <w:b w:val="0"/>
                <w:position w:val="2"/>
                <w:sz w:val="22"/>
                <w:szCs w:val="30"/>
                <w:rtl/>
              </w:rPr>
              <w:t xml:space="preserve"> و</w:t>
            </w:r>
            <w:r w:rsidRPr="0032564C">
              <w:rPr>
                <w:rFonts w:cs="Traditional Arabic"/>
                <w:b w:val="0"/>
                <w:position w:val="2"/>
                <w:sz w:val="22"/>
                <w:szCs w:val="30"/>
                <w:lang w:val="en-US"/>
              </w:rPr>
              <w:t>2021</w:t>
            </w:r>
            <w:r w:rsidRPr="0032564C">
              <w:rPr>
                <w:rFonts w:cs="Traditional Arabic" w:hint="cs"/>
                <w:b w:val="0"/>
                <w:position w:val="2"/>
                <w:sz w:val="22"/>
                <w:szCs w:val="30"/>
                <w:rtl/>
                <w:lang w:bidi="ar-EG"/>
              </w:rPr>
              <w:t xml:space="preserve"> </w:t>
            </w:r>
            <w:r w:rsidRPr="0032564C">
              <w:rPr>
                <w:rFonts w:cs="Traditional Arabic" w:hint="cs"/>
                <w:b w:val="0"/>
                <w:position w:val="2"/>
                <w:sz w:val="22"/>
                <w:szCs w:val="30"/>
                <w:rtl/>
              </w:rPr>
              <w:t>و</w:t>
            </w:r>
            <w:r w:rsidRPr="0032564C">
              <w:rPr>
                <w:rFonts w:cs="Traditional Arabic"/>
                <w:b w:val="0"/>
                <w:position w:val="2"/>
                <w:sz w:val="22"/>
                <w:szCs w:val="30"/>
                <w:lang w:val="en-US"/>
              </w:rPr>
              <w:t>2022</w:t>
            </w:r>
            <w:r w:rsidRPr="0032564C">
              <w:rPr>
                <w:rFonts w:cs="Traditional Arabic" w:hint="cs"/>
                <w:b w:val="0"/>
                <w:position w:val="2"/>
                <w:sz w:val="22"/>
                <w:szCs w:val="30"/>
                <w:rtl/>
              </w:rPr>
              <w:t xml:space="preserve"> ومدتها</w:t>
            </w:r>
          </w:p>
        </w:tc>
        <w:tc>
          <w:tcPr>
            <w:tcW w:w="986" w:type="pct"/>
          </w:tcPr>
          <w:p w:rsidR="004B5B6A" w:rsidRPr="0032564C" w:rsidRDefault="00F85F3C" w:rsidP="0032564C">
            <w:pPr>
              <w:pStyle w:val="toc0"/>
              <w:bidi/>
              <w:spacing w:before="60" w:after="60" w:line="340" w:lineRule="exact"/>
              <w:jc w:val="center"/>
              <w:rPr>
                <w:rFonts w:cs="Traditional Arabic"/>
                <w:b w:val="0"/>
                <w:bCs/>
                <w:position w:val="2"/>
                <w:sz w:val="22"/>
                <w:szCs w:val="30"/>
              </w:rPr>
            </w:pPr>
            <w:hyperlink r:id="rId9" w:history="1">
              <w:bookmarkStart w:id="2" w:name="lt_pId021"/>
              <w:r w:rsidR="004B5B6A" w:rsidRPr="0032564C">
                <w:rPr>
                  <w:rStyle w:val="Hyperlink"/>
                  <w:rFonts w:cs="Traditional Arabic"/>
                  <w:b w:val="0"/>
                  <w:bCs/>
                  <w:position w:val="2"/>
                  <w:sz w:val="22"/>
                  <w:szCs w:val="30"/>
                </w:rPr>
                <w:t>C19/2(Rev.1)</w:t>
              </w:r>
              <w:bookmarkEnd w:id="2"/>
            </w:hyperlink>
          </w:p>
        </w:tc>
      </w:tr>
      <w:tr w:rsidR="004B5B6A" w:rsidRPr="0032564C" w:rsidTr="004B5B6A">
        <w:trPr>
          <w:jc w:val="center"/>
        </w:trPr>
        <w:tc>
          <w:tcPr>
            <w:tcW w:w="251" w:type="pct"/>
          </w:tcPr>
          <w:p w:rsidR="004B5B6A" w:rsidRPr="0032564C" w:rsidRDefault="004B5B6A" w:rsidP="0032564C">
            <w:pPr>
              <w:pStyle w:val="toc0"/>
              <w:bidi/>
              <w:spacing w:before="60" w:after="60" w:line="340" w:lineRule="exact"/>
              <w:rPr>
                <w:rFonts w:cs="Traditional Arabic"/>
                <w:b w:val="0"/>
                <w:position w:val="2"/>
                <w:sz w:val="22"/>
                <w:szCs w:val="30"/>
              </w:rPr>
            </w:pPr>
            <w:r w:rsidRPr="0032564C">
              <w:rPr>
                <w:rFonts w:cs="Traditional Arabic"/>
                <w:b w:val="0"/>
                <w:position w:val="2"/>
                <w:sz w:val="22"/>
                <w:szCs w:val="30"/>
              </w:rPr>
              <w:t>3</w:t>
            </w:r>
          </w:p>
        </w:tc>
        <w:tc>
          <w:tcPr>
            <w:tcW w:w="3763" w:type="pct"/>
          </w:tcPr>
          <w:p w:rsidR="004B5B6A" w:rsidRPr="0032564C" w:rsidRDefault="004B5B6A" w:rsidP="0032564C">
            <w:pPr>
              <w:pStyle w:val="toc0"/>
              <w:bidi/>
              <w:spacing w:before="60" w:after="60" w:line="340" w:lineRule="exact"/>
              <w:rPr>
                <w:rFonts w:cs="Traditional Arabic"/>
                <w:position w:val="2"/>
                <w:sz w:val="22"/>
                <w:szCs w:val="30"/>
              </w:rPr>
            </w:pPr>
            <w:r w:rsidRPr="0032564C">
              <w:rPr>
                <w:rFonts w:cs="Traditional Arabic"/>
                <w:b w:val="0"/>
                <w:position w:val="2"/>
                <w:sz w:val="22"/>
                <w:szCs w:val="30"/>
                <w:rtl/>
              </w:rPr>
              <w:t>قرارات المجلس ومقرراته التي انتهى مفعولها</w:t>
            </w:r>
          </w:p>
        </w:tc>
        <w:tc>
          <w:tcPr>
            <w:tcW w:w="986" w:type="pct"/>
          </w:tcPr>
          <w:p w:rsidR="004B5B6A" w:rsidRPr="0032564C" w:rsidRDefault="00F85F3C" w:rsidP="0032564C">
            <w:pPr>
              <w:pStyle w:val="toc0"/>
              <w:bidi/>
              <w:spacing w:before="60" w:after="60" w:line="340" w:lineRule="exact"/>
              <w:jc w:val="center"/>
              <w:rPr>
                <w:rFonts w:cs="Traditional Arabic"/>
                <w:b w:val="0"/>
                <w:bCs/>
                <w:position w:val="2"/>
                <w:sz w:val="22"/>
                <w:szCs w:val="30"/>
              </w:rPr>
            </w:pPr>
            <w:hyperlink r:id="rId10" w:history="1">
              <w:bookmarkStart w:id="3" w:name="lt_pId024"/>
              <w:r w:rsidR="004B5B6A" w:rsidRPr="0032564C">
                <w:rPr>
                  <w:rStyle w:val="Hyperlink"/>
                  <w:rFonts w:cs="Traditional Arabic"/>
                  <w:b w:val="0"/>
                  <w:bCs/>
                  <w:position w:val="2"/>
                  <w:sz w:val="22"/>
                  <w:szCs w:val="30"/>
                </w:rPr>
                <w:t>C19/3</w:t>
              </w:r>
              <w:bookmarkEnd w:id="3"/>
            </w:hyperlink>
          </w:p>
        </w:tc>
      </w:tr>
    </w:tbl>
    <w:p w:rsidR="004B5B6A" w:rsidRDefault="004B5B6A" w:rsidP="004E11DC">
      <w:pPr>
        <w:rPr>
          <w:rtl/>
          <w:lang w:bidi="ar-SY"/>
        </w:rPr>
      </w:pP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D446E5" w:rsidRDefault="00D446E5" w:rsidP="00714EA5">
      <w:pPr>
        <w:pStyle w:val="Heading1"/>
        <w:rPr>
          <w:rtl/>
          <w:lang w:bidi="ar-EG"/>
        </w:rPr>
      </w:pPr>
      <w:r>
        <w:rPr>
          <w:lang w:bidi="ar-SY"/>
        </w:rPr>
        <w:lastRenderedPageBreak/>
        <w:t>1</w:t>
      </w:r>
      <w:r>
        <w:rPr>
          <w:lang w:bidi="ar-SY"/>
        </w:rPr>
        <w:tab/>
      </w:r>
      <w:r w:rsidR="004B5B6A" w:rsidRPr="00714EA5">
        <w:rPr>
          <w:rFonts w:hint="cs"/>
          <w:rtl/>
        </w:rPr>
        <w:t>تقرير رئيس</w:t>
      </w:r>
      <w:r w:rsidR="004B5B6A" w:rsidRPr="00714EA5">
        <w:rPr>
          <w:rFonts w:hint="cs"/>
          <w:rtl/>
          <w:lang w:bidi="ar-SY"/>
        </w:rPr>
        <w:t xml:space="preserve"> فريق العمل التابع لل</w:t>
      </w:r>
      <w:r w:rsidR="004B5B6A" w:rsidRPr="00714EA5">
        <w:rPr>
          <w:rtl/>
          <w:lang w:bidi="ar-SY"/>
        </w:rPr>
        <w:t>مجلس</w:t>
      </w:r>
      <w:r w:rsidR="004B5B6A" w:rsidRPr="00714EA5">
        <w:rPr>
          <w:rFonts w:hint="cs"/>
          <w:rtl/>
          <w:lang w:bidi="ar-SY"/>
        </w:rPr>
        <w:t xml:space="preserve"> وا</w:t>
      </w:r>
      <w:r w:rsidR="004B5B6A" w:rsidRPr="00714EA5">
        <w:rPr>
          <w:rtl/>
          <w:lang w:bidi="ar-SY"/>
        </w:rPr>
        <w:t>لمعني</w:t>
      </w:r>
      <w:r w:rsidR="004B5B6A" w:rsidRPr="00714EA5">
        <w:rPr>
          <w:rFonts w:hint="cs"/>
          <w:rtl/>
        </w:rPr>
        <w:t xml:space="preserve"> </w:t>
      </w:r>
      <w:r w:rsidR="004B5B6A" w:rsidRPr="00714EA5">
        <w:rPr>
          <w:rFonts w:hint="cs"/>
          <w:rtl/>
          <w:lang w:bidi="ar-SY"/>
        </w:rPr>
        <w:t xml:space="preserve">بقضايا </w:t>
      </w:r>
      <w:r w:rsidR="004B5B6A" w:rsidRPr="00714EA5">
        <w:rPr>
          <w:rtl/>
          <w:lang w:bidi="ar-SY"/>
        </w:rPr>
        <w:t>السياسات العامة الدولية</w:t>
      </w:r>
      <w:r w:rsidR="004B5B6A" w:rsidRPr="00714EA5">
        <w:rPr>
          <w:rFonts w:hint="cs"/>
          <w:rtl/>
          <w:lang w:bidi="ar-SY"/>
        </w:rPr>
        <w:t xml:space="preserve"> المتعلقة </w:t>
      </w:r>
      <w:r w:rsidR="004B5B6A" w:rsidRPr="00714EA5">
        <w:rPr>
          <w:rtl/>
          <w:lang w:bidi="ar-SY"/>
        </w:rPr>
        <w:t>بالإنترنت</w:t>
      </w:r>
      <w:r w:rsidR="004B5B6A" w:rsidRPr="00714EA5">
        <w:rPr>
          <w:rFonts w:hint="cs"/>
          <w:rtl/>
        </w:rPr>
        <w:t xml:space="preserve"> </w:t>
      </w:r>
      <w:r w:rsidR="004B5B6A" w:rsidRPr="00714EA5">
        <w:rPr>
          <w:lang w:bidi="ar-EG"/>
        </w:rPr>
        <w:t>(CWG-I</w:t>
      </w:r>
      <w:r w:rsidR="00EC411B" w:rsidRPr="00714EA5">
        <w:rPr>
          <w:lang w:bidi="ar-EG"/>
        </w:rPr>
        <w:t>nternet</w:t>
      </w:r>
      <w:r w:rsidR="004B5B6A" w:rsidRPr="00714EA5">
        <w:rPr>
          <w:lang w:bidi="ar-EG"/>
        </w:rPr>
        <w:t>)</w:t>
      </w:r>
      <w:r w:rsidR="004B5B6A" w:rsidRPr="00714EA5">
        <w:rPr>
          <w:rFonts w:hint="cs"/>
          <w:rtl/>
        </w:rPr>
        <w:t xml:space="preserve"> </w:t>
      </w:r>
      <w:r w:rsidR="00714EA5">
        <w:rPr>
          <w:rFonts w:hint="cs"/>
          <w:rtl/>
        </w:rPr>
        <w:t>(تابع)</w:t>
      </w:r>
    </w:p>
    <w:p w:rsidR="00D446E5" w:rsidRDefault="00D446E5" w:rsidP="00077E7E">
      <w:pPr>
        <w:rPr>
          <w:rtl/>
        </w:rPr>
      </w:pPr>
      <w:r>
        <w:rPr>
          <w:lang w:bidi="ar-EG"/>
        </w:rPr>
        <w:t>1.1</w:t>
      </w:r>
      <w:r>
        <w:rPr>
          <w:lang w:bidi="ar-EG"/>
        </w:rPr>
        <w:tab/>
      </w:r>
      <w:r w:rsidR="00714EA5" w:rsidRPr="008852DD">
        <w:rPr>
          <w:rFonts w:hint="cs"/>
          <w:spacing w:val="-2"/>
          <w:rtl/>
          <w:lang w:bidi="ar-EG"/>
        </w:rPr>
        <w:t xml:space="preserve">قال عضو المجلس من البرازيل، إذ يبلّغ عن المناقشات غير الرسمية </w:t>
      </w:r>
      <w:r w:rsidR="00714EA5" w:rsidRPr="008852DD">
        <w:rPr>
          <w:rFonts w:hint="cs"/>
          <w:spacing w:val="-2"/>
          <w:rtl/>
        </w:rPr>
        <w:t xml:space="preserve">لمحاولة الاتفاق بشأن موضوعين </w:t>
      </w:r>
      <w:r w:rsidR="00077E7E">
        <w:rPr>
          <w:rFonts w:hint="cs"/>
          <w:spacing w:val="-2"/>
          <w:rtl/>
        </w:rPr>
        <w:t>من أجل ال</w:t>
      </w:r>
      <w:r w:rsidR="007E45CE" w:rsidRPr="008852DD">
        <w:rPr>
          <w:rFonts w:hint="cs"/>
          <w:spacing w:val="-2"/>
          <w:rtl/>
        </w:rPr>
        <w:t xml:space="preserve">مشاورات </w:t>
      </w:r>
      <w:r w:rsidR="00077E7E">
        <w:rPr>
          <w:rFonts w:hint="cs"/>
          <w:spacing w:val="-2"/>
          <w:rtl/>
        </w:rPr>
        <w:t>ال</w:t>
      </w:r>
      <w:r w:rsidR="007E45CE" w:rsidRPr="008852DD">
        <w:rPr>
          <w:rFonts w:hint="cs"/>
          <w:spacing w:val="-2"/>
          <w:rtl/>
        </w:rPr>
        <w:t xml:space="preserve">مفتوحة </w:t>
      </w:r>
      <w:r w:rsidR="00D74B1A" w:rsidRPr="008852DD">
        <w:rPr>
          <w:rFonts w:hint="cs"/>
          <w:spacing w:val="-2"/>
          <w:rtl/>
        </w:rPr>
        <w:t>في الاجتماع المقبل لفريق العمل</w:t>
      </w:r>
      <w:r w:rsidR="007E45CE" w:rsidRPr="008852DD">
        <w:rPr>
          <w:rFonts w:hint="cs"/>
          <w:spacing w:val="-2"/>
          <w:rtl/>
        </w:rPr>
        <w:t>، إن</w:t>
      </w:r>
      <w:r w:rsidR="00573DC2" w:rsidRPr="008852DD">
        <w:rPr>
          <w:rFonts w:hint="cs"/>
          <w:spacing w:val="-2"/>
          <w:rtl/>
        </w:rPr>
        <w:t xml:space="preserve"> توافق الآراء</w:t>
      </w:r>
      <w:r w:rsidR="007E45CE" w:rsidRPr="008852DD">
        <w:rPr>
          <w:rFonts w:hint="cs"/>
          <w:spacing w:val="-2"/>
          <w:rtl/>
        </w:rPr>
        <w:t xml:space="preserve"> لم </w:t>
      </w:r>
      <w:r w:rsidR="00573DC2" w:rsidRPr="008852DD">
        <w:rPr>
          <w:rFonts w:hint="cs"/>
          <w:spacing w:val="-2"/>
          <w:rtl/>
        </w:rPr>
        <w:t>يتحقق بعد</w:t>
      </w:r>
      <w:r w:rsidR="007E45CE" w:rsidRPr="008852DD">
        <w:rPr>
          <w:rFonts w:hint="cs"/>
          <w:spacing w:val="-2"/>
          <w:rtl/>
        </w:rPr>
        <w:t>، على الرغم من روح المرونة التي سادت طوال المناقشات.</w:t>
      </w:r>
    </w:p>
    <w:p w:rsidR="00D446E5" w:rsidRDefault="00D446E5" w:rsidP="00573DC2">
      <w:pPr>
        <w:rPr>
          <w:rtl/>
        </w:rPr>
      </w:pPr>
      <w:r>
        <w:rPr>
          <w:lang w:bidi="ar-EG"/>
        </w:rPr>
        <w:t>2.1</w:t>
      </w:r>
      <w:r>
        <w:rPr>
          <w:lang w:bidi="ar-EG"/>
        </w:rPr>
        <w:tab/>
      </w:r>
      <w:r w:rsidR="008852DD">
        <w:rPr>
          <w:rFonts w:hint="cs"/>
          <w:rtl/>
          <w:lang w:bidi="ar-EG"/>
        </w:rPr>
        <w:t>و</w:t>
      </w:r>
      <w:r w:rsidR="00573DC2" w:rsidRPr="008852DD">
        <w:rPr>
          <w:rFonts w:hint="cs"/>
          <w:spacing w:val="-4"/>
          <w:rtl/>
        </w:rPr>
        <w:t>أشاد أعضاء المجلس بالجهود المبذولة سعياً إلى التوصل إلى توافق الآراء وأعربوا عن أسفهم لعدم التوصل إلى اتفاق بهذا الشأن.</w:t>
      </w:r>
    </w:p>
    <w:p w:rsidR="00D446E5" w:rsidRDefault="00D446E5" w:rsidP="009A2888">
      <w:pPr>
        <w:rPr>
          <w:rtl/>
          <w:lang w:bidi="ar-EG"/>
        </w:rPr>
      </w:pPr>
      <w:r>
        <w:rPr>
          <w:lang w:bidi="ar-EG"/>
        </w:rPr>
        <w:t>3.1</w:t>
      </w:r>
      <w:r>
        <w:rPr>
          <w:lang w:bidi="ar-EG"/>
        </w:rPr>
        <w:tab/>
      </w:r>
      <w:r w:rsidR="009A2888">
        <w:rPr>
          <w:rFonts w:hint="cs"/>
          <w:rtl/>
          <w:lang w:bidi="ar-EG"/>
        </w:rPr>
        <w:t>وقال</w:t>
      </w:r>
      <w:r w:rsidR="00D37EEF">
        <w:rPr>
          <w:rFonts w:hint="cs"/>
          <w:rtl/>
          <w:lang w:bidi="ar-EG"/>
        </w:rPr>
        <w:t xml:space="preserve"> القائم بأعمال الرئيس </w:t>
      </w:r>
      <w:r w:rsidR="009A2888">
        <w:rPr>
          <w:rFonts w:hint="cs"/>
          <w:rtl/>
          <w:lang w:bidi="ar-EG"/>
        </w:rPr>
        <w:t>إنه يعتبر أن</w:t>
      </w:r>
      <w:r w:rsidR="00D37EEF">
        <w:rPr>
          <w:rFonts w:hint="cs"/>
          <w:rtl/>
          <w:lang w:bidi="ar-EG"/>
        </w:rPr>
        <w:t xml:space="preserve"> المجلس يرغب في تأجيل قرار اختيار موضوع للمشاورات المفتوحة إلى اجتماع </w:t>
      </w:r>
      <w:r w:rsidR="00D74B1A">
        <w:rPr>
          <w:rFonts w:hint="cs"/>
          <w:rtl/>
          <w:lang w:bidi="ar-EG"/>
        </w:rPr>
        <w:t xml:space="preserve">فريق العمل في سبتمبر </w:t>
      </w:r>
      <w:r w:rsidR="00D74B1A">
        <w:rPr>
          <w:lang w:bidi="ar-EG"/>
        </w:rPr>
        <w:t>2019</w:t>
      </w:r>
      <w:r w:rsidR="00523A78">
        <w:rPr>
          <w:rFonts w:hint="cs"/>
          <w:rtl/>
          <w:lang w:bidi="ar-EG"/>
        </w:rPr>
        <w:t>.</w:t>
      </w:r>
    </w:p>
    <w:p w:rsidR="004B5B6A" w:rsidRPr="00D446E5" w:rsidRDefault="004B5B6A" w:rsidP="00F857BA">
      <w:pPr>
        <w:rPr>
          <w:rtl/>
          <w:lang w:bidi="ar-EG"/>
        </w:rPr>
      </w:pPr>
      <w:r>
        <w:rPr>
          <w:lang w:bidi="ar-EG"/>
        </w:rPr>
        <w:t>4.1</w:t>
      </w:r>
      <w:r>
        <w:rPr>
          <w:rtl/>
          <w:lang w:bidi="ar-EG"/>
        </w:rPr>
        <w:tab/>
      </w:r>
      <w:r w:rsidR="00F857BA" w:rsidRPr="008852DD">
        <w:rPr>
          <w:rFonts w:hint="cs"/>
          <w:b/>
          <w:bCs/>
          <w:rtl/>
          <w:lang w:bidi="ar-EG"/>
        </w:rPr>
        <w:t>واتُفق</w:t>
      </w:r>
      <w:r w:rsidR="00F857BA">
        <w:rPr>
          <w:rFonts w:hint="cs"/>
          <w:rtl/>
          <w:lang w:bidi="ar-EG"/>
        </w:rPr>
        <w:t xml:space="preserve"> على ذلك.</w:t>
      </w:r>
    </w:p>
    <w:p w:rsidR="00D446E5" w:rsidRDefault="00D446E5" w:rsidP="004B5B6A">
      <w:pPr>
        <w:pStyle w:val="Heading1"/>
        <w:rPr>
          <w:lang w:bidi="ar-SY"/>
        </w:rPr>
      </w:pPr>
      <w:r>
        <w:rPr>
          <w:lang w:bidi="ar-SY"/>
        </w:rPr>
        <w:t>2</w:t>
      </w:r>
      <w:r>
        <w:rPr>
          <w:rtl/>
          <w:lang w:bidi="ar-EG"/>
        </w:rPr>
        <w:tab/>
      </w:r>
      <w:r w:rsidR="004B5B6A" w:rsidRPr="004B5B6A">
        <w:rPr>
          <w:rFonts w:hint="cs"/>
          <w:rtl/>
        </w:rPr>
        <w:t>المواعيد المقترحة لانعقاد دورات المجلس للأعوام </w:t>
      </w:r>
      <w:r w:rsidR="004B5B6A" w:rsidRPr="004B5B6A">
        <w:rPr>
          <w:lang w:bidi="ar-SY"/>
        </w:rPr>
        <w:t>2020</w:t>
      </w:r>
      <w:r w:rsidR="004B5B6A" w:rsidRPr="004B5B6A">
        <w:rPr>
          <w:rFonts w:hint="cs"/>
          <w:rtl/>
        </w:rPr>
        <w:t xml:space="preserve"> و</w:t>
      </w:r>
      <w:r w:rsidR="004B5B6A" w:rsidRPr="004B5B6A">
        <w:rPr>
          <w:lang w:bidi="ar-SY"/>
        </w:rPr>
        <w:t>2021</w:t>
      </w:r>
      <w:r w:rsidR="004B5B6A" w:rsidRPr="004B5B6A">
        <w:rPr>
          <w:rFonts w:hint="cs"/>
          <w:rtl/>
          <w:lang w:bidi="ar-EG"/>
        </w:rPr>
        <w:t xml:space="preserve"> </w:t>
      </w:r>
      <w:r w:rsidR="004B5B6A" w:rsidRPr="004B5B6A">
        <w:rPr>
          <w:rFonts w:hint="cs"/>
          <w:rtl/>
        </w:rPr>
        <w:t>و</w:t>
      </w:r>
      <w:r w:rsidR="004B5B6A" w:rsidRPr="004B5B6A">
        <w:rPr>
          <w:lang w:bidi="ar-SY"/>
        </w:rPr>
        <w:t>2022</w:t>
      </w:r>
      <w:r w:rsidR="004B5B6A" w:rsidRPr="004B5B6A">
        <w:rPr>
          <w:rFonts w:hint="cs"/>
          <w:rtl/>
        </w:rPr>
        <w:t xml:space="preserve"> ومدتها</w:t>
      </w:r>
      <w:r>
        <w:rPr>
          <w:rFonts w:hint="cs"/>
          <w:rtl/>
          <w:lang w:bidi="ar-SY"/>
        </w:rPr>
        <w:t xml:space="preserve"> (الوثيقة</w:t>
      </w:r>
      <w:r w:rsidR="004B5B6A">
        <w:rPr>
          <w:rFonts w:hint="eastAsia"/>
          <w:rtl/>
          <w:lang w:bidi="ar-SY"/>
        </w:rPr>
        <w:t> </w:t>
      </w:r>
      <w:hyperlink r:id="rId11" w:history="1">
        <w:r w:rsidR="004B5B6A" w:rsidRPr="005061C3">
          <w:rPr>
            <w:rStyle w:val="Hyperlink"/>
            <w:szCs w:val="26"/>
          </w:rPr>
          <w:t>C19/2(Rev.1)</w:t>
        </w:r>
      </w:hyperlink>
      <w:r>
        <w:rPr>
          <w:rFonts w:hint="cs"/>
          <w:rtl/>
          <w:lang w:bidi="ar-SY"/>
        </w:rPr>
        <w:t>)</w:t>
      </w:r>
    </w:p>
    <w:p w:rsidR="00D446E5" w:rsidRPr="00F857BA" w:rsidRDefault="00D446E5" w:rsidP="00523A78">
      <w:pPr>
        <w:rPr>
          <w:rtl/>
        </w:rPr>
      </w:pPr>
      <w:r>
        <w:rPr>
          <w:lang w:bidi="ar-SY"/>
        </w:rPr>
        <w:t>1.2</w:t>
      </w:r>
      <w:r>
        <w:rPr>
          <w:rtl/>
          <w:lang w:bidi="ar-EG"/>
        </w:rPr>
        <w:tab/>
      </w:r>
      <w:r w:rsidR="00F857BA" w:rsidRPr="008852DD">
        <w:rPr>
          <w:rFonts w:hint="cs"/>
          <w:rtl/>
          <w:lang w:bidi="ar-EG"/>
        </w:rPr>
        <w:t xml:space="preserve">أعاد المجلس النظر </w:t>
      </w:r>
      <w:r w:rsidR="00F857BA">
        <w:rPr>
          <w:rFonts w:hint="cs"/>
          <w:rtl/>
          <w:lang w:bidi="ar-EG"/>
        </w:rPr>
        <w:t xml:space="preserve">في المواعيد المقترحة </w:t>
      </w:r>
      <w:r w:rsidR="00125FDE">
        <w:rPr>
          <w:rFonts w:hint="cs"/>
          <w:rtl/>
          <w:lang w:bidi="ar-EG"/>
        </w:rPr>
        <w:t>لدورتيه</w:t>
      </w:r>
      <w:r w:rsidR="00F857BA">
        <w:rPr>
          <w:rFonts w:hint="cs"/>
          <w:rtl/>
          <w:lang w:bidi="ar-EG"/>
        </w:rPr>
        <w:t xml:space="preserve"> لعامي </w:t>
      </w:r>
      <w:r w:rsidR="00F857BA">
        <w:rPr>
          <w:lang w:bidi="ar-EG"/>
        </w:rPr>
        <w:t>2020</w:t>
      </w:r>
      <w:r w:rsidR="00F857BA">
        <w:rPr>
          <w:rFonts w:hint="cs"/>
          <w:rtl/>
        </w:rPr>
        <w:t xml:space="preserve"> و</w:t>
      </w:r>
      <w:r w:rsidR="00F857BA">
        <w:t>2021</w:t>
      </w:r>
      <w:r w:rsidR="00F857BA">
        <w:rPr>
          <w:rFonts w:hint="cs"/>
          <w:rtl/>
        </w:rPr>
        <w:t xml:space="preserve"> (</w:t>
      </w:r>
      <w:r w:rsidR="00F857BA">
        <w:t>19-9</w:t>
      </w:r>
      <w:r w:rsidR="00F857BA">
        <w:rPr>
          <w:rFonts w:hint="cs"/>
          <w:rtl/>
        </w:rPr>
        <w:t xml:space="preserve"> يونيو و</w:t>
      </w:r>
      <w:r w:rsidR="00F857BA">
        <w:t>18-8</w:t>
      </w:r>
      <w:r w:rsidR="00F857BA">
        <w:rPr>
          <w:rFonts w:hint="cs"/>
          <w:rtl/>
        </w:rPr>
        <w:t xml:space="preserve"> يونيو على التوالي) </w:t>
      </w:r>
      <w:r w:rsidR="009A2888" w:rsidRPr="009A2888">
        <w:rPr>
          <w:rFonts w:hint="cs"/>
          <w:b/>
          <w:bCs/>
          <w:rtl/>
        </w:rPr>
        <w:t>ووافق</w:t>
      </w:r>
      <w:r w:rsidR="00523A78">
        <w:rPr>
          <w:rFonts w:hint="eastAsia"/>
          <w:b/>
          <w:bCs/>
          <w:rtl/>
        </w:rPr>
        <w:t> </w:t>
      </w:r>
      <w:r w:rsidR="009A2888" w:rsidRPr="009A2888">
        <w:rPr>
          <w:rFonts w:hint="cs"/>
          <w:b/>
          <w:bCs/>
          <w:rtl/>
        </w:rPr>
        <w:t>عليها</w:t>
      </w:r>
      <w:r w:rsidR="00F857BA">
        <w:rPr>
          <w:rFonts w:hint="cs"/>
          <w:rtl/>
        </w:rPr>
        <w:t xml:space="preserve">، </w:t>
      </w:r>
      <w:r w:rsidR="00F857BA" w:rsidRPr="009A2888">
        <w:rPr>
          <w:rFonts w:hint="cs"/>
          <w:b/>
          <w:bCs/>
          <w:rtl/>
        </w:rPr>
        <w:t>ووافق</w:t>
      </w:r>
      <w:r w:rsidR="00F857BA">
        <w:rPr>
          <w:rFonts w:hint="cs"/>
          <w:rtl/>
        </w:rPr>
        <w:t xml:space="preserve"> على المواعيد المقترحة </w:t>
      </w:r>
      <w:r w:rsidR="00125FDE">
        <w:rPr>
          <w:rFonts w:hint="cs"/>
          <w:rtl/>
        </w:rPr>
        <w:t>حالياً</w:t>
      </w:r>
      <w:r w:rsidR="00F857BA">
        <w:rPr>
          <w:rFonts w:hint="cs"/>
          <w:rtl/>
        </w:rPr>
        <w:t xml:space="preserve"> لدورته في عام </w:t>
      </w:r>
      <w:r w:rsidR="00F857BA">
        <w:t>2022</w:t>
      </w:r>
      <w:r w:rsidR="00F857BA">
        <w:rPr>
          <w:rFonts w:hint="cs"/>
          <w:rtl/>
        </w:rPr>
        <w:t xml:space="preserve"> (</w:t>
      </w:r>
      <w:r w:rsidR="00F857BA">
        <w:t>22</w:t>
      </w:r>
      <w:r w:rsidR="00F857BA">
        <w:rPr>
          <w:rFonts w:hint="cs"/>
          <w:rtl/>
        </w:rPr>
        <w:t xml:space="preserve"> مارس </w:t>
      </w:r>
      <w:r w:rsidR="008852DD">
        <w:rPr>
          <w:rFonts w:hint="cs"/>
          <w:rtl/>
        </w:rPr>
        <w:t>-</w:t>
      </w:r>
      <w:r w:rsidR="00F857BA">
        <w:rPr>
          <w:rFonts w:hint="cs"/>
          <w:rtl/>
        </w:rPr>
        <w:t xml:space="preserve"> </w:t>
      </w:r>
      <w:r w:rsidR="00F857BA">
        <w:t>1</w:t>
      </w:r>
      <w:r w:rsidR="00F857BA">
        <w:rPr>
          <w:rFonts w:hint="cs"/>
          <w:rtl/>
        </w:rPr>
        <w:t xml:space="preserve"> أبريل</w:t>
      </w:r>
      <w:proofErr w:type="gramStart"/>
      <w:r w:rsidR="00F857BA">
        <w:rPr>
          <w:rFonts w:hint="cs"/>
          <w:rtl/>
        </w:rPr>
        <w:t>)،</w:t>
      </w:r>
      <w:proofErr w:type="gramEnd"/>
      <w:r w:rsidR="00F857BA">
        <w:rPr>
          <w:rFonts w:hint="cs"/>
          <w:rtl/>
        </w:rPr>
        <w:t xml:space="preserve"> بعد </w:t>
      </w:r>
      <w:r w:rsidR="00125FDE">
        <w:rPr>
          <w:rFonts w:hint="cs"/>
          <w:rtl/>
        </w:rPr>
        <w:t>التأكد من أنها</w:t>
      </w:r>
      <w:r w:rsidR="00F857BA">
        <w:rPr>
          <w:rFonts w:hint="cs"/>
          <w:rtl/>
        </w:rPr>
        <w:t xml:space="preserve"> لا تصادف أي فترات</w:t>
      </w:r>
      <w:r w:rsidR="00A37ED4">
        <w:rPr>
          <w:rFonts w:hint="cs"/>
          <w:rtl/>
        </w:rPr>
        <w:t xml:space="preserve"> أو أيام</w:t>
      </w:r>
      <w:r w:rsidR="00F857BA">
        <w:rPr>
          <w:rFonts w:hint="cs"/>
          <w:rtl/>
        </w:rPr>
        <w:t xml:space="preserve"> دينية </w:t>
      </w:r>
      <w:r w:rsidR="00A37ED4">
        <w:rPr>
          <w:rFonts w:hint="cs"/>
          <w:rtl/>
        </w:rPr>
        <w:t>هامة، و</w:t>
      </w:r>
      <w:r w:rsidR="00A37ED4" w:rsidRPr="00125FDE">
        <w:rPr>
          <w:rFonts w:hint="cs"/>
          <w:b/>
          <w:bCs/>
          <w:rtl/>
        </w:rPr>
        <w:t>اعتمد</w:t>
      </w:r>
      <w:r w:rsidR="00A37ED4">
        <w:rPr>
          <w:rFonts w:hint="cs"/>
          <w:rtl/>
        </w:rPr>
        <w:t xml:space="preserve"> مشروع المقرر الوارد في ملحق الوثيقة </w:t>
      </w:r>
      <w:r w:rsidR="00A37ED4">
        <w:t>C19/2(Rev.1)</w:t>
      </w:r>
      <w:r w:rsidR="00A37ED4">
        <w:rPr>
          <w:rFonts w:hint="cs"/>
          <w:rtl/>
        </w:rPr>
        <w:t xml:space="preserve"> التي </w:t>
      </w:r>
      <w:r w:rsidR="00125FDE">
        <w:rPr>
          <w:rFonts w:hint="cs"/>
          <w:rtl/>
        </w:rPr>
        <w:t>تبين</w:t>
      </w:r>
      <w:r w:rsidR="00A37ED4">
        <w:rPr>
          <w:rFonts w:hint="cs"/>
          <w:rtl/>
        </w:rPr>
        <w:t xml:space="preserve"> هذه المواعيد جميعها.</w:t>
      </w:r>
    </w:p>
    <w:p w:rsidR="00D446E5" w:rsidRDefault="00D446E5" w:rsidP="004B5B6A">
      <w:pPr>
        <w:pStyle w:val="Heading1"/>
        <w:rPr>
          <w:rtl/>
          <w:lang w:bidi="ar-EG"/>
        </w:rPr>
      </w:pPr>
      <w:r>
        <w:rPr>
          <w:lang w:bidi="ar-SY"/>
        </w:rPr>
        <w:t>3</w:t>
      </w:r>
      <w:r>
        <w:rPr>
          <w:rtl/>
          <w:lang w:bidi="ar-EG"/>
        </w:rPr>
        <w:tab/>
      </w:r>
      <w:r w:rsidR="004B5B6A" w:rsidRPr="004B5B6A">
        <w:rPr>
          <w:rtl/>
        </w:rPr>
        <w:t>قرارات المجلس ومقرراته التي انتهى مفعولها</w:t>
      </w:r>
      <w:r w:rsidR="004B5B6A" w:rsidRPr="004B5B6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(الوثيقة </w:t>
      </w:r>
      <w:hyperlink r:id="rId12" w:history="1">
        <w:r w:rsidR="004B5B6A" w:rsidRPr="005061C3">
          <w:rPr>
            <w:rStyle w:val="Hyperlink"/>
            <w:szCs w:val="26"/>
          </w:rPr>
          <w:t>C19/3</w:t>
        </w:r>
      </w:hyperlink>
      <w:r>
        <w:rPr>
          <w:rFonts w:hint="cs"/>
          <w:rtl/>
          <w:lang w:bidi="ar-EG"/>
        </w:rPr>
        <w:t>)</w:t>
      </w:r>
    </w:p>
    <w:p w:rsidR="00D446E5" w:rsidRPr="0005750B" w:rsidRDefault="00D446E5" w:rsidP="005B1D68">
      <w:pPr>
        <w:rPr>
          <w:rtl/>
        </w:rPr>
      </w:pPr>
      <w:r>
        <w:rPr>
          <w:lang w:bidi="ar-EG"/>
        </w:rPr>
        <w:t>1.3</w:t>
      </w:r>
      <w:r>
        <w:rPr>
          <w:rtl/>
          <w:lang w:bidi="ar-EG"/>
        </w:rPr>
        <w:tab/>
      </w:r>
      <w:r w:rsidR="005B1D68">
        <w:rPr>
          <w:rFonts w:hint="cs"/>
          <w:rtl/>
          <w:lang w:bidi="ar-EG"/>
        </w:rPr>
        <w:t>عقب</w:t>
      </w:r>
      <w:r w:rsidR="00EC3612">
        <w:rPr>
          <w:rFonts w:hint="cs"/>
          <w:rtl/>
          <w:lang w:bidi="ar-EG"/>
        </w:rPr>
        <w:t xml:space="preserve"> تأكيد أن القرار </w:t>
      </w:r>
      <w:r w:rsidR="00EC3612">
        <w:rPr>
          <w:lang w:bidi="ar-EG"/>
        </w:rPr>
        <w:t>1344</w:t>
      </w:r>
      <w:r w:rsidR="00EC3612">
        <w:rPr>
          <w:rFonts w:hint="cs"/>
          <w:rtl/>
        </w:rPr>
        <w:t xml:space="preserve"> سيُضاف إلى قائمة قرارات المجلس ومقرراته التي انتهى مفعولها</w:t>
      </w:r>
      <w:r w:rsidR="0005750B">
        <w:rPr>
          <w:rFonts w:hint="cs"/>
          <w:rtl/>
        </w:rPr>
        <w:t xml:space="preserve"> وأن القرار </w:t>
      </w:r>
      <w:r w:rsidR="0005750B">
        <w:t>1379</w:t>
      </w:r>
      <w:r w:rsidR="0005750B">
        <w:rPr>
          <w:rFonts w:hint="cs"/>
          <w:rtl/>
        </w:rPr>
        <w:t xml:space="preserve"> سيُلغى، </w:t>
      </w:r>
      <w:r w:rsidR="0005750B" w:rsidRPr="005B1D68">
        <w:rPr>
          <w:rFonts w:hint="cs"/>
          <w:b/>
          <w:bCs/>
          <w:rtl/>
        </w:rPr>
        <w:t>وافق</w:t>
      </w:r>
      <w:r w:rsidR="0005750B">
        <w:rPr>
          <w:rFonts w:hint="cs"/>
          <w:rtl/>
        </w:rPr>
        <w:t xml:space="preserve"> المجلس على القائمة الواردة في الوثيقة </w:t>
      </w:r>
      <w:r w:rsidR="0005750B">
        <w:t>C19/3</w:t>
      </w:r>
      <w:r w:rsidR="0005750B">
        <w:rPr>
          <w:rFonts w:hint="cs"/>
          <w:rtl/>
        </w:rPr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6520"/>
        <w:gridCol w:w="3119"/>
      </w:tblGrid>
      <w:tr w:rsidR="00D446E5" w:rsidRPr="002F40D7" w:rsidTr="00FC50A0">
        <w:trPr>
          <w:trHeight w:val="1649"/>
        </w:trPr>
        <w:tc>
          <w:tcPr>
            <w:tcW w:w="6520" w:type="dxa"/>
          </w:tcPr>
          <w:p w:rsidR="00D446E5" w:rsidRPr="002F40D7" w:rsidRDefault="00D446E5" w:rsidP="00077E7E">
            <w:pPr>
              <w:spacing w:before="1440"/>
              <w:jc w:val="left"/>
              <w:rPr>
                <w:rtl/>
                <w:lang w:bidi="ar-EG"/>
              </w:rPr>
            </w:pPr>
            <w:r w:rsidRPr="002F40D7">
              <w:rPr>
                <w:rtl/>
                <w:lang w:bidi="ar-EG"/>
              </w:rPr>
              <w:t>الأمين العام:</w:t>
            </w:r>
            <w:r w:rsidRPr="002F40D7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ه</w:t>
            </w:r>
            <w:r w:rsidR="00077E7E">
              <w:rPr>
                <w:rFonts w:hint="cs"/>
                <w:rtl/>
                <w:lang w:bidi="ar-EG"/>
              </w:rPr>
              <w:t xml:space="preserve">. </w:t>
            </w:r>
            <w:r w:rsidRPr="002F40D7">
              <w:rPr>
                <w:rFonts w:hint="cs"/>
                <w:rtl/>
                <w:lang w:bidi="ar-EG"/>
              </w:rPr>
              <w:t>جاو</w:t>
            </w:r>
          </w:p>
        </w:tc>
        <w:tc>
          <w:tcPr>
            <w:tcW w:w="3119" w:type="dxa"/>
          </w:tcPr>
          <w:p w:rsidR="00D446E5" w:rsidRPr="002F40D7" w:rsidRDefault="0005750B" w:rsidP="001B4583">
            <w:pPr>
              <w:spacing w:before="1440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القائم بأعمال </w:t>
            </w:r>
            <w:proofErr w:type="gramStart"/>
            <w:r>
              <w:rPr>
                <w:rFonts w:hint="cs"/>
                <w:rtl/>
                <w:lang w:bidi="ar-EG"/>
              </w:rPr>
              <w:t>الرئيس</w:t>
            </w:r>
            <w:r w:rsidR="00D446E5" w:rsidRPr="002F40D7">
              <w:rPr>
                <w:rtl/>
                <w:lang w:bidi="ar-EG"/>
              </w:rPr>
              <w:t>:</w:t>
            </w:r>
            <w:r w:rsidR="00D446E5" w:rsidRPr="002F40D7">
              <w:rPr>
                <w:rtl/>
                <w:lang w:bidi="ar-EG"/>
              </w:rPr>
              <w:br/>
            </w:r>
            <w:r w:rsidR="00D446E5">
              <w:rPr>
                <w:rFonts w:hint="cs"/>
                <w:rtl/>
                <w:lang w:bidi="ar-EG"/>
              </w:rPr>
              <w:t>ف.</w:t>
            </w:r>
            <w:proofErr w:type="gramEnd"/>
            <w:r w:rsidR="00D446E5">
              <w:rPr>
                <w:rFonts w:hint="cs"/>
                <w:rtl/>
                <w:lang w:bidi="ar-EG"/>
              </w:rPr>
              <w:t xml:space="preserve"> </w:t>
            </w:r>
            <w:proofErr w:type="spellStart"/>
            <w:r w:rsidR="00D446E5">
              <w:rPr>
                <w:rFonts w:hint="cs"/>
                <w:rtl/>
                <w:lang w:bidi="ar-EG"/>
              </w:rPr>
              <w:t>بيجي</w:t>
            </w:r>
            <w:proofErr w:type="spellEnd"/>
          </w:p>
        </w:tc>
      </w:tr>
    </w:tbl>
    <w:p w:rsidR="0074420E" w:rsidRDefault="00523A78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E5" w:rsidRDefault="00D446E5" w:rsidP="006C3242">
      <w:pPr>
        <w:spacing w:before="0" w:line="240" w:lineRule="auto"/>
      </w:pPr>
      <w:r>
        <w:separator/>
      </w:r>
    </w:p>
  </w:endnote>
  <w:endnote w:type="continuationSeparator" w:id="0">
    <w:p w:rsidR="00D446E5" w:rsidRDefault="00D446E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4B5B6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852DD">
      <w:rPr>
        <w:rFonts w:ascii="Calibri" w:hAnsi="Calibri" w:cs="Calibri"/>
        <w:noProof/>
        <w:sz w:val="16"/>
        <w:szCs w:val="16"/>
        <w:lang w:val="fr-FR"/>
      </w:rPr>
      <w:t>P:\ARA\SG\CONSEIL\C19\100\118A.docx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F838B6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4B5B6A">
      <w:rPr>
        <w:rFonts w:ascii="Calibri" w:hAnsi="Calibri" w:cs="Calibri"/>
        <w:sz w:val="16"/>
        <w:szCs w:val="16"/>
        <w:lang w:val="fr-FR"/>
      </w:rPr>
      <w:t>457</w:t>
    </w:r>
    <w:r w:rsidR="004B5B6A" w:rsidRPr="004B5B6A">
      <w:rPr>
        <w:rFonts w:ascii="Calibri" w:hAnsi="Calibri" w:cs="Calibri"/>
        <w:sz w:val="16"/>
        <w:szCs w:val="16"/>
        <w:lang w:val="fr-CH"/>
      </w:rPr>
      <w:t>511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F85F3C">
      <w:rPr>
        <w:rFonts w:ascii="Calibri" w:hAnsi="Calibri" w:cs="Calibri"/>
        <w:noProof/>
        <w:sz w:val="16"/>
        <w:szCs w:val="16"/>
        <w:lang w:val="fr-FR"/>
      </w:rPr>
      <w:t>18.07.19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446E5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E5" w:rsidRDefault="00D446E5" w:rsidP="006C3242">
      <w:pPr>
        <w:spacing w:before="0" w:line="240" w:lineRule="auto"/>
      </w:pPr>
      <w:r>
        <w:separator/>
      </w:r>
    </w:p>
  </w:footnote>
  <w:footnote w:type="continuationSeparator" w:id="0">
    <w:p w:rsidR="00D446E5" w:rsidRDefault="00D446E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F85F3C" w:rsidP="004B5B6A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446E5">
          <w:rPr>
            <w:rFonts w:cs="Calibri"/>
            <w:noProof/>
            <w:sz w:val="20"/>
            <w:szCs w:val="20"/>
          </w:rPr>
          <w:t>11</w:t>
        </w:r>
        <w:r w:rsidR="004B5B6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fr-FR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E5"/>
    <w:rsid w:val="0005750B"/>
    <w:rsid w:val="00077E7E"/>
    <w:rsid w:val="00090574"/>
    <w:rsid w:val="000C1C0E"/>
    <w:rsid w:val="000C548A"/>
    <w:rsid w:val="00125FDE"/>
    <w:rsid w:val="0013753D"/>
    <w:rsid w:val="00146C1D"/>
    <w:rsid w:val="001B4583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A4EDD"/>
    <w:rsid w:val="002B028D"/>
    <w:rsid w:val="002E6541"/>
    <w:rsid w:val="0032564C"/>
    <w:rsid w:val="00334924"/>
    <w:rsid w:val="003409BC"/>
    <w:rsid w:val="00357185"/>
    <w:rsid w:val="00383829"/>
    <w:rsid w:val="003E022D"/>
    <w:rsid w:val="003F4B29"/>
    <w:rsid w:val="0042686F"/>
    <w:rsid w:val="004317D8"/>
    <w:rsid w:val="00434183"/>
    <w:rsid w:val="00443869"/>
    <w:rsid w:val="00447F32"/>
    <w:rsid w:val="004B5B6A"/>
    <w:rsid w:val="004E11DC"/>
    <w:rsid w:val="00523A78"/>
    <w:rsid w:val="005409AC"/>
    <w:rsid w:val="0055516A"/>
    <w:rsid w:val="00573DC2"/>
    <w:rsid w:val="0058491B"/>
    <w:rsid w:val="00592EA5"/>
    <w:rsid w:val="005A3170"/>
    <w:rsid w:val="005B1D68"/>
    <w:rsid w:val="00677396"/>
    <w:rsid w:val="0069200F"/>
    <w:rsid w:val="006A65CB"/>
    <w:rsid w:val="006C3242"/>
    <w:rsid w:val="006C7CC0"/>
    <w:rsid w:val="006F63F7"/>
    <w:rsid w:val="007025C7"/>
    <w:rsid w:val="00706D7A"/>
    <w:rsid w:val="00714EA5"/>
    <w:rsid w:val="00722F0D"/>
    <w:rsid w:val="0074420E"/>
    <w:rsid w:val="00783E26"/>
    <w:rsid w:val="007C3BC7"/>
    <w:rsid w:val="007D4ACF"/>
    <w:rsid w:val="007E45CE"/>
    <w:rsid w:val="007F0787"/>
    <w:rsid w:val="00810B7B"/>
    <w:rsid w:val="0082358A"/>
    <w:rsid w:val="008235CD"/>
    <w:rsid w:val="008247DE"/>
    <w:rsid w:val="00840B10"/>
    <w:rsid w:val="008513CB"/>
    <w:rsid w:val="008852DD"/>
    <w:rsid w:val="008A7F84"/>
    <w:rsid w:val="0091702E"/>
    <w:rsid w:val="00923B0C"/>
    <w:rsid w:val="0094021C"/>
    <w:rsid w:val="00952F86"/>
    <w:rsid w:val="00982B28"/>
    <w:rsid w:val="009A2888"/>
    <w:rsid w:val="009D313F"/>
    <w:rsid w:val="00A37ED4"/>
    <w:rsid w:val="00A47A5A"/>
    <w:rsid w:val="00A6683B"/>
    <w:rsid w:val="00A97F94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37EEF"/>
    <w:rsid w:val="00D446E5"/>
    <w:rsid w:val="00D74B1A"/>
    <w:rsid w:val="00D77D0F"/>
    <w:rsid w:val="00DA1CF0"/>
    <w:rsid w:val="00DC1E02"/>
    <w:rsid w:val="00DC24B4"/>
    <w:rsid w:val="00DC5FB0"/>
    <w:rsid w:val="00DF16DC"/>
    <w:rsid w:val="00E45211"/>
    <w:rsid w:val="00E92863"/>
    <w:rsid w:val="00EB3C5E"/>
    <w:rsid w:val="00EB796D"/>
    <w:rsid w:val="00EC3612"/>
    <w:rsid w:val="00EC411B"/>
    <w:rsid w:val="00F058DC"/>
    <w:rsid w:val="00F24FC4"/>
    <w:rsid w:val="00F2676C"/>
    <w:rsid w:val="00F838B6"/>
    <w:rsid w:val="00F84366"/>
    <w:rsid w:val="00F85089"/>
    <w:rsid w:val="00F857BA"/>
    <w:rsid w:val="00F85F3C"/>
    <w:rsid w:val="00FA6F46"/>
    <w:rsid w:val="00FE5872"/>
    <w:rsid w:val="00FE7FCA"/>
    <w:rsid w:val="00F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0A0C5FA8-16C3-4194-B591-81802421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toc0">
    <w:name w:val="toc 0"/>
    <w:basedOn w:val="Normal"/>
    <w:next w:val="TOC1"/>
    <w:rsid w:val="00D446E5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46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003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0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9-CL-C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02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F747-EBE7-4196-935B-D0CF169F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Ganat, ELBAHNASSAWY</dc:creator>
  <cp:keywords/>
  <dc:description/>
  <cp:lastModifiedBy>Janin, Patricia</cp:lastModifiedBy>
  <cp:revision>2</cp:revision>
  <dcterms:created xsi:type="dcterms:W3CDTF">2019-07-23T14:15:00Z</dcterms:created>
  <dcterms:modified xsi:type="dcterms:W3CDTF">2019-07-23T14:15:00Z</dcterms:modified>
</cp:coreProperties>
</file>