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:rsidTr="00C1356A">
        <w:trPr>
          <w:cantSplit/>
        </w:trPr>
        <w:tc>
          <w:tcPr>
            <w:tcW w:w="6912" w:type="dxa"/>
          </w:tcPr>
          <w:p w:rsidR="00520F36" w:rsidRPr="0092392D" w:rsidRDefault="00520F36" w:rsidP="00391D72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391D72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C1356A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391D72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391D72">
            <w:pPr>
              <w:spacing w:before="0"/>
              <w:rPr>
                <w:b/>
                <w:bCs/>
              </w:rPr>
            </w:pPr>
          </w:p>
        </w:tc>
      </w:tr>
      <w:tr w:rsidR="00520F36" w:rsidRPr="0092392D" w:rsidTr="00C1356A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391D72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391D72">
            <w:pPr>
              <w:spacing w:before="0"/>
              <w:rPr>
                <w:b/>
                <w:bCs/>
              </w:rPr>
            </w:pPr>
          </w:p>
        </w:tc>
      </w:tr>
      <w:tr w:rsidR="00520F36" w:rsidRPr="0092392D" w:rsidTr="00C1356A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391D72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520F36" w:rsidP="00391D7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8D4DAA">
              <w:rPr>
                <w:b/>
                <w:bCs/>
              </w:rPr>
              <w:t>11</w:t>
            </w:r>
            <w:r w:rsidR="00453147">
              <w:rPr>
                <w:b/>
                <w:bCs/>
              </w:rPr>
              <w:t>8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:rsidTr="00C1356A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391D72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F825A5" w:rsidP="00391D7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19 juillet</w:t>
            </w:r>
            <w:bookmarkStart w:id="5" w:name="_GoBack"/>
            <w:bookmarkEnd w:id="5"/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 w:rsidTr="00C1356A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391D72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6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391D7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 w:rsidTr="00C1356A">
        <w:trPr>
          <w:cantSplit/>
        </w:trPr>
        <w:tc>
          <w:tcPr>
            <w:tcW w:w="10173" w:type="dxa"/>
            <w:gridSpan w:val="2"/>
          </w:tcPr>
          <w:p w:rsidR="008D4DAA" w:rsidRPr="00DE3725" w:rsidRDefault="008D4DAA" w:rsidP="00391D72">
            <w:pPr>
              <w:pStyle w:val="Title1"/>
              <w:spacing w:before="480"/>
            </w:pPr>
            <w:bookmarkStart w:id="7" w:name="dsource" w:colFirst="0" w:colLast="0"/>
            <w:bookmarkEnd w:id="6"/>
            <w:r w:rsidRPr="00DE3725">
              <w:t>COMPTE RENDU</w:t>
            </w:r>
          </w:p>
          <w:p w:rsidR="008D4DAA" w:rsidRPr="00DE3725" w:rsidRDefault="008D4DAA" w:rsidP="00391D72">
            <w:pPr>
              <w:pStyle w:val="Title1"/>
            </w:pPr>
            <w:r w:rsidRPr="00DE3725">
              <w:t>DE LA</w:t>
            </w:r>
          </w:p>
          <w:p w:rsidR="00520F36" w:rsidRPr="0092392D" w:rsidRDefault="00453147" w:rsidP="00391D72">
            <w:pPr>
              <w:pStyle w:val="Source"/>
              <w:spacing w:before="240"/>
            </w:pPr>
            <w:r>
              <w:rPr>
                <w:b w:val="0"/>
              </w:rPr>
              <w:t>SEPTIÈME</w:t>
            </w:r>
            <w:r w:rsidR="008D4DAA" w:rsidRPr="00DE3725">
              <w:rPr>
                <w:b w:val="0"/>
              </w:rPr>
              <w:t xml:space="preserve"> SÉANCE PLÉNIÈRE</w:t>
            </w:r>
          </w:p>
        </w:tc>
      </w:tr>
      <w:tr w:rsidR="008D4DAA" w:rsidRPr="0092392D" w:rsidTr="00C1356A">
        <w:trPr>
          <w:cantSplit/>
        </w:trPr>
        <w:tc>
          <w:tcPr>
            <w:tcW w:w="10173" w:type="dxa"/>
            <w:gridSpan w:val="2"/>
          </w:tcPr>
          <w:p w:rsidR="008D4DAA" w:rsidRPr="00DE3725" w:rsidRDefault="008D4DAA" w:rsidP="00391D72">
            <w:pPr>
              <w:pStyle w:val="Title1"/>
              <w:rPr>
                <w:sz w:val="24"/>
                <w:szCs w:val="24"/>
              </w:rPr>
            </w:pPr>
            <w:bookmarkStart w:id="8" w:name="dtitle1" w:colFirst="0" w:colLast="0"/>
            <w:bookmarkEnd w:id="7"/>
            <w:r w:rsidRPr="00DE3725">
              <w:rPr>
                <w:caps w:val="0"/>
                <w:sz w:val="24"/>
                <w:szCs w:val="24"/>
              </w:rPr>
              <w:t>Mercredi 19 juin 2019</w:t>
            </w:r>
            <w:r>
              <w:rPr>
                <w:caps w:val="0"/>
                <w:sz w:val="24"/>
                <w:szCs w:val="24"/>
              </w:rPr>
              <w:t>,</w:t>
            </w:r>
            <w:r w:rsidRPr="00DE3725">
              <w:rPr>
                <w:caps w:val="0"/>
                <w:sz w:val="24"/>
                <w:szCs w:val="24"/>
              </w:rPr>
              <w:t xml:space="preserve"> de </w:t>
            </w:r>
            <w:r w:rsidR="00453147" w:rsidRPr="0035279B">
              <w:rPr>
                <w:caps w:val="0"/>
                <w:sz w:val="24"/>
                <w:szCs w:val="24"/>
              </w:rPr>
              <w:t>14 h 45 à 15 h 10</w:t>
            </w:r>
          </w:p>
        </w:tc>
      </w:tr>
      <w:tr w:rsidR="008D4DAA" w:rsidRPr="0092392D" w:rsidTr="00C1356A">
        <w:trPr>
          <w:cantSplit/>
        </w:trPr>
        <w:tc>
          <w:tcPr>
            <w:tcW w:w="10173" w:type="dxa"/>
            <w:gridSpan w:val="2"/>
          </w:tcPr>
          <w:p w:rsidR="008D4DAA" w:rsidRPr="00DE3725" w:rsidRDefault="008D4DAA" w:rsidP="00391D72">
            <w:pPr>
              <w:jc w:val="center"/>
              <w:rPr>
                <w:rFonts w:asciiTheme="minorHAnsi" w:hAnsiTheme="minorHAnsi"/>
                <w:szCs w:val="24"/>
              </w:rPr>
            </w:pPr>
            <w:r w:rsidRPr="00DE3725">
              <w:rPr>
                <w:b/>
                <w:bCs/>
              </w:rPr>
              <w:t xml:space="preserve">Président faisant fonction: </w:t>
            </w:r>
            <w:r w:rsidRPr="00BA0791">
              <w:t>M. F. BIGI (Italie)</w:t>
            </w:r>
          </w:p>
        </w:tc>
      </w:tr>
      <w:bookmarkEnd w:id="8"/>
    </w:tbl>
    <w:p w:rsidR="008D4DAA" w:rsidRPr="00DE3725" w:rsidRDefault="008D4DAA" w:rsidP="00391D72">
      <w:pPr>
        <w:spacing w:before="240"/>
        <w:jc w:val="both"/>
      </w:pPr>
    </w:p>
    <w:tbl>
      <w:tblPr>
        <w:tblW w:w="5272" w:type="pct"/>
        <w:jc w:val="center"/>
        <w:tblLook w:val="0000" w:firstRow="0" w:lastRow="0" w:firstColumn="0" w:lastColumn="0" w:noHBand="0" w:noVBand="0"/>
      </w:tblPr>
      <w:tblGrid>
        <w:gridCol w:w="504"/>
        <w:gridCol w:w="7576"/>
        <w:gridCol w:w="2083"/>
      </w:tblGrid>
      <w:tr w:rsidR="008D4DAA" w:rsidRPr="00DE3725" w:rsidTr="00C1356A">
        <w:trPr>
          <w:jc w:val="center"/>
        </w:trPr>
        <w:tc>
          <w:tcPr>
            <w:tcW w:w="248" w:type="pct"/>
          </w:tcPr>
          <w:p w:rsidR="008D4DAA" w:rsidRPr="00DE3725" w:rsidRDefault="008D4DAA" w:rsidP="00391D72">
            <w:pPr>
              <w:pStyle w:val="toc0"/>
              <w:spacing w:after="120"/>
            </w:pPr>
            <w:r w:rsidRPr="00DE3725">
              <w:rPr>
                <w:b w:val="0"/>
              </w:rPr>
              <w:br w:type="page"/>
            </w:r>
            <w:r w:rsidRPr="00DE3725">
              <w:rPr>
                <w:b w:val="0"/>
              </w:rPr>
              <w:br w:type="page"/>
            </w:r>
          </w:p>
        </w:tc>
        <w:tc>
          <w:tcPr>
            <w:tcW w:w="3727" w:type="pct"/>
          </w:tcPr>
          <w:p w:rsidR="008D4DAA" w:rsidRPr="00DE3725" w:rsidRDefault="008D4DAA" w:rsidP="00391D72">
            <w:pPr>
              <w:pStyle w:val="toc0"/>
              <w:spacing w:after="120"/>
            </w:pPr>
            <w:r w:rsidRPr="00DE3725">
              <w:t>Sujets traités</w:t>
            </w:r>
          </w:p>
        </w:tc>
        <w:tc>
          <w:tcPr>
            <w:tcW w:w="1025" w:type="pct"/>
          </w:tcPr>
          <w:p w:rsidR="008D4DAA" w:rsidRPr="00DE3725" w:rsidRDefault="008D4DAA" w:rsidP="00391D72">
            <w:pPr>
              <w:pStyle w:val="toc0"/>
              <w:spacing w:after="120"/>
              <w:jc w:val="center"/>
            </w:pPr>
            <w:r w:rsidRPr="00DE3725">
              <w:t>Documents</w:t>
            </w:r>
          </w:p>
        </w:tc>
      </w:tr>
      <w:tr w:rsidR="00453147" w:rsidRPr="00DE3725" w:rsidTr="00C1356A">
        <w:trPr>
          <w:jc w:val="center"/>
        </w:trPr>
        <w:tc>
          <w:tcPr>
            <w:tcW w:w="248" w:type="pct"/>
          </w:tcPr>
          <w:p w:rsidR="00453147" w:rsidRPr="00A4508E" w:rsidRDefault="00453147" w:rsidP="00391D72">
            <w:pPr>
              <w:pStyle w:val="toc0"/>
              <w:spacing w:after="120"/>
              <w:rPr>
                <w:b w:val="0"/>
              </w:rPr>
            </w:pPr>
            <w:r w:rsidRPr="00A4508E">
              <w:rPr>
                <w:b w:val="0"/>
              </w:rPr>
              <w:t>1</w:t>
            </w:r>
          </w:p>
        </w:tc>
        <w:tc>
          <w:tcPr>
            <w:tcW w:w="3727" w:type="pct"/>
          </w:tcPr>
          <w:p w:rsidR="00453147" w:rsidRPr="00743B7F" w:rsidRDefault="00453147" w:rsidP="00391D72">
            <w:pPr>
              <w:pStyle w:val="toc0"/>
              <w:spacing w:after="120"/>
              <w:rPr>
                <w:b w:val="0"/>
                <w:bCs/>
              </w:rPr>
            </w:pPr>
            <w:r w:rsidRPr="0035279B">
              <w:rPr>
                <w:b w:val="0"/>
                <w:bCs/>
              </w:rPr>
              <w:t>Rapport du Président du Groupe de travail du Conseil sur les questions de politiques publiques internationales relatives à l'Internet (GTC-Internet) (suite)</w:t>
            </w:r>
          </w:p>
        </w:tc>
        <w:tc>
          <w:tcPr>
            <w:tcW w:w="1025" w:type="pct"/>
          </w:tcPr>
          <w:p w:rsidR="00453147" w:rsidRPr="00A4508E" w:rsidRDefault="00453147" w:rsidP="00391D72">
            <w:pPr>
              <w:pStyle w:val="toc0"/>
              <w:spacing w:after="120"/>
              <w:jc w:val="center"/>
              <w:rPr>
                <w:b w:val="0"/>
                <w:bCs/>
              </w:rPr>
            </w:pPr>
            <w:r w:rsidRPr="00BC5330">
              <w:rPr>
                <w:b w:val="0"/>
                <w:bCs/>
              </w:rPr>
              <w:t>-</w:t>
            </w:r>
          </w:p>
        </w:tc>
      </w:tr>
      <w:tr w:rsidR="00453147" w:rsidRPr="00DE3725" w:rsidTr="00C1356A">
        <w:trPr>
          <w:jc w:val="center"/>
        </w:trPr>
        <w:tc>
          <w:tcPr>
            <w:tcW w:w="248" w:type="pct"/>
          </w:tcPr>
          <w:p w:rsidR="00453147" w:rsidRPr="00A4508E" w:rsidRDefault="00453147" w:rsidP="00391D72">
            <w:pPr>
              <w:pStyle w:val="toc0"/>
              <w:spacing w:after="120"/>
              <w:rPr>
                <w:b w:val="0"/>
              </w:rPr>
            </w:pPr>
            <w:r w:rsidRPr="00A4508E">
              <w:rPr>
                <w:b w:val="0"/>
              </w:rPr>
              <w:t>2</w:t>
            </w:r>
          </w:p>
        </w:tc>
        <w:tc>
          <w:tcPr>
            <w:tcW w:w="3727" w:type="pct"/>
          </w:tcPr>
          <w:p w:rsidR="00453147" w:rsidRPr="0035279B" w:rsidRDefault="00453147" w:rsidP="00391D72">
            <w:pPr>
              <w:pStyle w:val="toc0"/>
              <w:spacing w:after="120"/>
              <w:rPr>
                <w:b w:val="0"/>
                <w:bCs/>
              </w:rPr>
            </w:pPr>
            <w:r w:rsidRPr="0035279B">
              <w:rPr>
                <w:b w:val="0"/>
                <w:bCs/>
              </w:rPr>
              <w:t>Dates et durée proposées pour les sessions de 2020, 2021 et 2022 du Conseil</w:t>
            </w:r>
          </w:p>
        </w:tc>
        <w:tc>
          <w:tcPr>
            <w:tcW w:w="1025" w:type="pct"/>
          </w:tcPr>
          <w:p w:rsidR="00453147" w:rsidRPr="00A4508E" w:rsidRDefault="00F825A5" w:rsidP="00391D72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7" w:history="1">
              <w:r w:rsidR="00453147">
                <w:rPr>
                  <w:rStyle w:val="Hyperlink"/>
                  <w:b w:val="0"/>
                  <w:bCs/>
                </w:rPr>
                <w:t>C19/2(Rév.1)</w:t>
              </w:r>
            </w:hyperlink>
          </w:p>
        </w:tc>
      </w:tr>
      <w:tr w:rsidR="00453147" w:rsidRPr="00DE3725" w:rsidTr="00C1356A">
        <w:trPr>
          <w:jc w:val="center"/>
        </w:trPr>
        <w:tc>
          <w:tcPr>
            <w:tcW w:w="248" w:type="pct"/>
          </w:tcPr>
          <w:p w:rsidR="00453147" w:rsidRPr="00A4508E" w:rsidRDefault="00453147" w:rsidP="00391D72">
            <w:pPr>
              <w:pStyle w:val="toc0"/>
              <w:spacing w:after="120"/>
              <w:rPr>
                <w:b w:val="0"/>
              </w:rPr>
            </w:pPr>
            <w:r w:rsidRPr="00A4508E">
              <w:rPr>
                <w:b w:val="0"/>
              </w:rPr>
              <w:t>3</w:t>
            </w:r>
          </w:p>
        </w:tc>
        <w:tc>
          <w:tcPr>
            <w:tcW w:w="3727" w:type="pct"/>
          </w:tcPr>
          <w:p w:rsidR="00453147" w:rsidRPr="0035279B" w:rsidRDefault="00453147" w:rsidP="00391D72">
            <w:pPr>
              <w:pStyle w:val="toc0"/>
              <w:spacing w:after="120"/>
              <w:rPr>
                <w:b w:val="0"/>
                <w:bCs/>
              </w:rPr>
            </w:pPr>
            <w:r w:rsidRPr="0035279B">
              <w:rPr>
                <w:b w:val="0"/>
              </w:rPr>
              <w:t>Résolutions et décisions du Conseil devenues caduques</w:t>
            </w:r>
          </w:p>
        </w:tc>
        <w:tc>
          <w:tcPr>
            <w:tcW w:w="1025" w:type="pct"/>
          </w:tcPr>
          <w:p w:rsidR="00453147" w:rsidRPr="00A4508E" w:rsidRDefault="00F825A5" w:rsidP="00391D72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8" w:history="1">
              <w:r w:rsidR="00453147">
                <w:rPr>
                  <w:rStyle w:val="Hyperlink"/>
                  <w:b w:val="0"/>
                  <w:bCs/>
                </w:rPr>
                <w:t>C19/3</w:t>
              </w:r>
            </w:hyperlink>
          </w:p>
        </w:tc>
      </w:tr>
    </w:tbl>
    <w:p w:rsidR="008D4DAA" w:rsidRPr="00DE3725" w:rsidRDefault="008D4DAA" w:rsidP="00391D72">
      <w:r w:rsidRPr="00DE3725">
        <w:rPr>
          <w:b/>
        </w:rPr>
        <w:br w:type="page"/>
      </w:r>
    </w:p>
    <w:p w:rsidR="00453147" w:rsidRPr="00453147" w:rsidRDefault="00453147" w:rsidP="00391D72">
      <w:pPr>
        <w:pStyle w:val="Heading1"/>
      </w:pPr>
      <w:bookmarkStart w:id="9" w:name="dstart"/>
      <w:bookmarkStart w:id="10" w:name="dbreak"/>
      <w:bookmarkEnd w:id="9"/>
      <w:bookmarkEnd w:id="10"/>
      <w:r w:rsidRPr="00453147">
        <w:lastRenderedPageBreak/>
        <w:t>1</w:t>
      </w:r>
      <w:r w:rsidRPr="00453147">
        <w:tab/>
        <w:t>Rapport du Président du Groupe de travail du Conseil sur les questions de politiques publiques internationales relatives à l'Internet (GTC-Internet) (suite)</w:t>
      </w:r>
    </w:p>
    <w:p w:rsidR="00453147" w:rsidRPr="00453147" w:rsidRDefault="00453147" w:rsidP="00391D72">
      <w:r w:rsidRPr="00453147">
        <w:t>1.1</w:t>
      </w:r>
      <w:r w:rsidRPr="00453147">
        <w:tab/>
        <w:t xml:space="preserve">Le Conseiller du Brésil rend compte des discussions informelles qui ont </w:t>
      </w:r>
      <w:r w:rsidR="00E27942">
        <w:t xml:space="preserve">eu lieu </w:t>
      </w:r>
      <w:r w:rsidRPr="00453147">
        <w:t>en vue d</w:t>
      </w:r>
      <w:r w:rsidR="00E27942">
        <w:t xml:space="preserve">'arrêter les </w:t>
      </w:r>
      <w:r w:rsidRPr="00453147">
        <w:t xml:space="preserve">deux thèmes des consultations ouvertes qui </w:t>
      </w:r>
      <w:r w:rsidR="00DE14FB">
        <w:t>se tiendront</w:t>
      </w:r>
      <w:r w:rsidRPr="00453147">
        <w:t xml:space="preserve"> lors de la prochaine réunion du GTC-Internet et </w:t>
      </w:r>
      <w:r w:rsidR="00DE14FB">
        <w:t>souligne</w:t>
      </w:r>
      <w:r w:rsidRPr="00453147">
        <w:t xml:space="preserve"> qu</w:t>
      </w:r>
      <w:r w:rsidR="00391D72">
        <w:t>'</w:t>
      </w:r>
      <w:r w:rsidRPr="00453147">
        <w:t>un consensus n</w:t>
      </w:r>
      <w:r w:rsidR="00391D72">
        <w:t>'</w:t>
      </w:r>
      <w:r w:rsidRPr="00453147">
        <w:t xml:space="preserve">a </w:t>
      </w:r>
      <w:r w:rsidR="00DE14FB">
        <w:t xml:space="preserve">été trouvé, </w:t>
      </w:r>
      <w:r w:rsidRPr="00453147">
        <w:t xml:space="preserve">malgré la souplesse dont ont fait preuve les participants tout au long des discussions. </w:t>
      </w:r>
    </w:p>
    <w:p w:rsidR="00453147" w:rsidRPr="00453147" w:rsidRDefault="00453147" w:rsidP="00391D72">
      <w:r w:rsidRPr="00453147">
        <w:t>1.2</w:t>
      </w:r>
      <w:r w:rsidRPr="00453147">
        <w:tab/>
        <w:t>Les conseillers saluent les efforts déployés pour rechercher un consensus et regrettent qu</w:t>
      </w:r>
      <w:r w:rsidR="00391D72">
        <w:t>'</w:t>
      </w:r>
      <w:r w:rsidRPr="00453147">
        <w:t>aucun accord n</w:t>
      </w:r>
      <w:r w:rsidR="00391D72">
        <w:t>'</w:t>
      </w:r>
      <w:r w:rsidRPr="00453147">
        <w:t xml:space="preserve">ait été trouvé. </w:t>
      </w:r>
    </w:p>
    <w:p w:rsidR="00453147" w:rsidRPr="00453147" w:rsidRDefault="00850502" w:rsidP="00391D72">
      <w:r>
        <w:t>1.3</w:t>
      </w:r>
      <w:r w:rsidR="00453147" w:rsidRPr="00453147">
        <w:tab/>
        <w:t>Le Président faisant fonction déclare qu</w:t>
      </w:r>
      <w:r w:rsidR="00391D72">
        <w:t>'</w:t>
      </w:r>
      <w:r w:rsidR="00453147" w:rsidRPr="00453147">
        <w:t xml:space="preserve">il considère que le Conseil souhaite reporter </w:t>
      </w:r>
      <w:r w:rsidR="00DE14FB" w:rsidRPr="00453147">
        <w:t xml:space="preserve">à la réunion de septembre 2019 du GTC-Internet </w:t>
      </w:r>
      <w:r w:rsidR="00453147" w:rsidRPr="00453147">
        <w:t xml:space="preserve">la décision </w:t>
      </w:r>
      <w:r w:rsidR="00DE14FB">
        <w:t>sur</w:t>
      </w:r>
      <w:r w:rsidR="00453147" w:rsidRPr="00453147">
        <w:t xml:space="preserve"> le choix d'un thème pour les consultations ouvertes.</w:t>
      </w:r>
    </w:p>
    <w:p w:rsidR="00453147" w:rsidRPr="00453147" w:rsidRDefault="00850502" w:rsidP="00391D72">
      <w:r>
        <w:t>1.4</w:t>
      </w:r>
      <w:r w:rsidR="00453147" w:rsidRPr="00453147">
        <w:tab/>
        <w:t xml:space="preserve">Il en est ainsi </w:t>
      </w:r>
      <w:r w:rsidR="00453147" w:rsidRPr="00453147">
        <w:rPr>
          <w:b/>
          <w:bCs/>
        </w:rPr>
        <w:t>décidé</w:t>
      </w:r>
      <w:r w:rsidR="00453147" w:rsidRPr="00453147">
        <w:t>.</w:t>
      </w:r>
    </w:p>
    <w:p w:rsidR="00453147" w:rsidRPr="00453147" w:rsidRDefault="00453147" w:rsidP="00391D72">
      <w:pPr>
        <w:pStyle w:val="Heading1"/>
      </w:pPr>
      <w:r w:rsidRPr="00453147">
        <w:rPr>
          <w:bCs/>
        </w:rPr>
        <w:t>2</w:t>
      </w:r>
      <w:r w:rsidRPr="00453147">
        <w:rPr>
          <w:bCs/>
        </w:rPr>
        <w:tab/>
      </w:r>
      <w:r w:rsidRPr="00453147">
        <w:t>Dates et durée proposées pour les sessions d</w:t>
      </w:r>
      <w:r w:rsidR="00E27942">
        <w:t>e 2020, 2021 et 2022 du Conseil </w:t>
      </w:r>
      <w:r w:rsidRPr="00453147">
        <w:t xml:space="preserve">(Document </w:t>
      </w:r>
      <w:hyperlink r:id="rId9" w:history="1">
        <w:r w:rsidRPr="00453147">
          <w:rPr>
            <w:rStyle w:val="Hyperlink"/>
          </w:rPr>
          <w:t>C19/2(Rév.1)</w:t>
        </w:r>
      </w:hyperlink>
      <w:r w:rsidRPr="00453147">
        <w:t>)</w:t>
      </w:r>
    </w:p>
    <w:p w:rsidR="00453147" w:rsidRPr="00453147" w:rsidRDefault="00453147" w:rsidP="00391D72">
      <w:r w:rsidRPr="00453147">
        <w:t>2.1</w:t>
      </w:r>
      <w:r w:rsidRPr="00453147">
        <w:tab/>
        <w:t xml:space="preserve">Le Conseil examine à nouveau et </w:t>
      </w:r>
      <w:r w:rsidRPr="00453147">
        <w:rPr>
          <w:b/>
          <w:bCs/>
        </w:rPr>
        <w:t>approuve</w:t>
      </w:r>
      <w:r w:rsidRPr="00453147">
        <w:t xml:space="preserve"> les dates proposé</w:t>
      </w:r>
      <w:r w:rsidR="00B21EAA">
        <w:t>es pour ses sessions de 2020 et </w:t>
      </w:r>
      <w:r w:rsidRPr="00453147">
        <w:t xml:space="preserve">2021 (9-19 juin 2020 et 8-18 juin 2021, respectivement), </w:t>
      </w:r>
      <w:r w:rsidRPr="00453147">
        <w:rPr>
          <w:b/>
          <w:bCs/>
        </w:rPr>
        <w:t>approuve</w:t>
      </w:r>
      <w:r w:rsidRPr="00453147">
        <w:t xml:space="preserve"> les dates proposées </w:t>
      </w:r>
      <w:r w:rsidR="00DE14FB">
        <w:t xml:space="preserve">à présent </w:t>
      </w:r>
      <w:r w:rsidRPr="00453147">
        <w:t xml:space="preserve">pour sa session de 2022 (22 mars </w:t>
      </w:r>
      <w:r w:rsidR="00DE14FB">
        <w:t>–</w:t>
      </w:r>
      <w:r w:rsidRPr="00453147">
        <w:t xml:space="preserve"> 1er avril), </w:t>
      </w:r>
      <w:r w:rsidR="00DE14FB">
        <w:t xml:space="preserve">après avoir </w:t>
      </w:r>
      <w:r w:rsidRPr="00453147">
        <w:t>confirmé qu</w:t>
      </w:r>
      <w:r w:rsidR="00DE14FB">
        <w:t>e c</w:t>
      </w:r>
      <w:r w:rsidRPr="00453147">
        <w:t>elles</w:t>
      </w:r>
      <w:r w:rsidR="00DE14FB">
        <w:noBreakHyphen/>
        <w:t>ci ne coïncid</w:t>
      </w:r>
      <w:r w:rsidRPr="00453147">
        <w:t xml:space="preserve">ent avec aucune période ou journée </w:t>
      </w:r>
      <w:r w:rsidR="00DE14FB">
        <w:t xml:space="preserve">de célébration d'une fête </w:t>
      </w:r>
      <w:r w:rsidRPr="00453147">
        <w:t xml:space="preserve">religieuse, et </w:t>
      </w:r>
      <w:r w:rsidRPr="00453147">
        <w:rPr>
          <w:b/>
          <w:bCs/>
        </w:rPr>
        <w:t>adopte</w:t>
      </w:r>
      <w:r w:rsidRPr="00453147">
        <w:t xml:space="preserve"> le projet de décision figurant dans l</w:t>
      </w:r>
      <w:r w:rsidR="00391D72">
        <w:t>'</w:t>
      </w:r>
      <w:r w:rsidRPr="00453147">
        <w:t xml:space="preserve">annexe du Document C19/2(Rév. 1), qui rend compte de </w:t>
      </w:r>
      <w:r w:rsidR="00DE14FB">
        <w:t xml:space="preserve">toutes </w:t>
      </w:r>
      <w:r w:rsidRPr="00453147">
        <w:t>ces dates.</w:t>
      </w:r>
    </w:p>
    <w:p w:rsidR="00453147" w:rsidRPr="00453147" w:rsidRDefault="00453147" w:rsidP="00850502">
      <w:pPr>
        <w:pStyle w:val="Heading1"/>
      </w:pPr>
      <w:r w:rsidRPr="00453147">
        <w:rPr>
          <w:bCs/>
        </w:rPr>
        <w:t>3</w:t>
      </w:r>
      <w:r w:rsidRPr="00453147">
        <w:rPr>
          <w:bCs/>
        </w:rPr>
        <w:tab/>
      </w:r>
      <w:r w:rsidRPr="00453147">
        <w:t xml:space="preserve">Résolutions et </w:t>
      </w:r>
      <w:r w:rsidR="00DE14FB" w:rsidRPr="00453147">
        <w:t>d</w:t>
      </w:r>
      <w:r w:rsidRPr="00453147">
        <w:t xml:space="preserve">écisions du Conseil devenues caduques (Document </w:t>
      </w:r>
      <w:hyperlink r:id="rId10" w:history="1">
        <w:r w:rsidRPr="00453147">
          <w:rPr>
            <w:rStyle w:val="Hyperlink"/>
          </w:rPr>
          <w:t>C19/3</w:t>
        </w:r>
      </w:hyperlink>
      <w:r w:rsidRPr="00453147">
        <w:t>)</w:t>
      </w:r>
    </w:p>
    <w:p w:rsidR="008D4DAA" w:rsidRPr="00DE3725" w:rsidRDefault="00453147" w:rsidP="00391D72">
      <w:r w:rsidRPr="00453147">
        <w:t>3.1</w:t>
      </w:r>
      <w:r w:rsidRPr="00453147">
        <w:tab/>
      </w:r>
      <w:r w:rsidR="00DE14FB">
        <w:t>Après avoir reçu</w:t>
      </w:r>
      <w:r w:rsidRPr="00453147">
        <w:t xml:space="preserve"> confirmation </w:t>
      </w:r>
      <w:r w:rsidR="00DE14FB">
        <w:t xml:space="preserve">du fait </w:t>
      </w:r>
      <w:r w:rsidRPr="00453147">
        <w:t xml:space="preserve">que la Résolution 1344 serait ajoutée à la liste des </w:t>
      </w:r>
      <w:r w:rsidR="00850502" w:rsidRPr="00453147">
        <w:t>r</w:t>
      </w:r>
      <w:r w:rsidRPr="00453147">
        <w:t xml:space="preserve">ésolutions et </w:t>
      </w:r>
      <w:r w:rsidR="00DE14FB" w:rsidRPr="00453147">
        <w:t>d</w:t>
      </w:r>
      <w:r w:rsidRPr="00453147">
        <w:t xml:space="preserve">écisions du Conseil devenues caduques et que la Résolution 1379 serait supprimée, le Conseil </w:t>
      </w:r>
      <w:r w:rsidRPr="00453147">
        <w:rPr>
          <w:b/>
          <w:bCs/>
        </w:rPr>
        <w:t>approuve</w:t>
      </w:r>
      <w:r w:rsidRPr="00453147">
        <w:t xml:space="preserve"> la liste figurant dans le Document C19/3.</w:t>
      </w:r>
    </w:p>
    <w:p w:rsidR="008D4DAA" w:rsidRPr="00DE3725" w:rsidRDefault="008D4DAA" w:rsidP="00391D7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840"/>
        <w:jc w:val="both"/>
        <w:rPr>
          <w:szCs w:val="24"/>
        </w:rPr>
      </w:pPr>
      <w:r w:rsidRPr="00DE3725">
        <w:rPr>
          <w:szCs w:val="24"/>
        </w:rPr>
        <w:t>Le Secrétaire général:</w:t>
      </w:r>
      <w:r w:rsidRPr="00DE3725">
        <w:rPr>
          <w:szCs w:val="24"/>
        </w:rPr>
        <w:tab/>
        <w:t>Le Président faisant fonction:</w:t>
      </w:r>
    </w:p>
    <w:p w:rsidR="008D4DAA" w:rsidRPr="00DE3725" w:rsidRDefault="008D4DAA" w:rsidP="00391D7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0" w:after="120"/>
        <w:jc w:val="both"/>
        <w:rPr>
          <w:szCs w:val="24"/>
        </w:rPr>
      </w:pPr>
      <w:r w:rsidRPr="00DE3725">
        <w:rPr>
          <w:szCs w:val="24"/>
        </w:rPr>
        <w:t>H. ZHAO</w:t>
      </w:r>
      <w:r w:rsidRPr="00DE3725">
        <w:rPr>
          <w:szCs w:val="24"/>
        </w:rPr>
        <w:tab/>
        <w:t>F. BIGI</w:t>
      </w:r>
    </w:p>
    <w:sectPr w:rsidR="008D4DAA" w:rsidRPr="00DE3725" w:rsidSect="005C3890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AA" w:rsidRDefault="008D4DAA">
      <w:r>
        <w:separator/>
      </w:r>
    </w:p>
  </w:endnote>
  <w:endnote w:type="continuationSeparator" w:id="0">
    <w:p w:rsidR="008D4DAA" w:rsidRDefault="008D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F825A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50502">
      <w:t>P:\FRA\SG\CONSEIL\C19\100\118F.docx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C34D6">
      <w:t>18.07.19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50502">
      <w:t>18.07.19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F825A5" w:rsidP="00A926AF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50502">
      <w:t>P:\FRA\SG\CONSEIL\C19\100\118F.docx</w:t>
    </w:r>
    <w:r>
      <w:fldChar w:fldCharType="end"/>
    </w:r>
    <w:r w:rsidR="00144B10">
      <w:t xml:space="preserve"> (</w:t>
    </w:r>
    <w:r w:rsidR="00A926AF">
      <w:t>457511</w:t>
    </w:r>
    <w:r w:rsidR="00144B10">
      <w:t>)</w:t>
    </w:r>
    <w:r w:rsidR="00A926A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AA" w:rsidRDefault="008D4DAA">
      <w:r>
        <w:t>____________________</w:t>
      </w:r>
    </w:p>
  </w:footnote>
  <w:footnote w:type="continuationSeparator" w:id="0">
    <w:p w:rsidR="008D4DAA" w:rsidRDefault="008D4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F825A5">
      <w:rPr>
        <w:noProof/>
      </w:rPr>
      <w:t>2</w:t>
    </w:r>
    <w:r>
      <w:rPr>
        <w:noProof/>
      </w:rPr>
      <w:fldChar w:fldCharType="end"/>
    </w:r>
  </w:p>
  <w:p w:rsidR="00732045" w:rsidRDefault="00732045" w:rsidP="00453147">
    <w:pPr>
      <w:pStyle w:val="Header"/>
    </w:pPr>
    <w:r>
      <w:t>C1</w:t>
    </w:r>
    <w:r w:rsidR="00106B19">
      <w:t>9</w:t>
    </w:r>
    <w:r w:rsidR="00C1356A">
      <w:t>/11</w:t>
    </w:r>
    <w:r w:rsidR="00453147">
      <w:t>8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AA"/>
    <w:rsid w:val="000D0D0A"/>
    <w:rsid w:val="00103163"/>
    <w:rsid w:val="00106B19"/>
    <w:rsid w:val="00115D93"/>
    <w:rsid w:val="001247A8"/>
    <w:rsid w:val="001378C0"/>
    <w:rsid w:val="00144B1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D133F"/>
    <w:rsid w:val="002E0BC4"/>
    <w:rsid w:val="002F1B76"/>
    <w:rsid w:val="0033568E"/>
    <w:rsid w:val="00355FF5"/>
    <w:rsid w:val="00361350"/>
    <w:rsid w:val="00391D72"/>
    <w:rsid w:val="003C3FAE"/>
    <w:rsid w:val="004038CB"/>
    <w:rsid w:val="0040546F"/>
    <w:rsid w:val="0042404A"/>
    <w:rsid w:val="0044618F"/>
    <w:rsid w:val="00453147"/>
    <w:rsid w:val="00457E5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0901"/>
    <w:rsid w:val="007956C2"/>
    <w:rsid w:val="007A187E"/>
    <w:rsid w:val="007C34D6"/>
    <w:rsid w:val="007C72C2"/>
    <w:rsid w:val="007D4436"/>
    <w:rsid w:val="007F257A"/>
    <w:rsid w:val="007F3665"/>
    <w:rsid w:val="00800037"/>
    <w:rsid w:val="00850502"/>
    <w:rsid w:val="00861D73"/>
    <w:rsid w:val="008A4E87"/>
    <w:rsid w:val="008D4DAA"/>
    <w:rsid w:val="008D76E6"/>
    <w:rsid w:val="0092392D"/>
    <w:rsid w:val="0093234A"/>
    <w:rsid w:val="009C307F"/>
    <w:rsid w:val="00A2113E"/>
    <w:rsid w:val="00A23A51"/>
    <w:rsid w:val="00A24607"/>
    <w:rsid w:val="00A25CD3"/>
    <w:rsid w:val="00A41644"/>
    <w:rsid w:val="00A82767"/>
    <w:rsid w:val="00A926AF"/>
    <w:rsid w:val="00AA332F"/>
    <w:rsid w:val="00AA7BBB"/>
    <w:rsid w:val="00AB64A8"/>
    <w:rsid w:val="00AC0266"/>
    <w:rsid w:val="00AD24EC"/>
    <w:rsid w:val="00B21EAA"/>
    <w:rsid w:val="00B309F9"/>
    <w:rsid w:val="00B32B60"/>
    <w:rsid w:val="00B61619"/>
    <w:rsid w:val="00B9012E"/>
    <w:rsid w:val="00BB4545"/>
    <w:rsid w:val="00BD5873"/>
    <w:rsid w:val="00C04BE3"/>
    <w:rsid w:val="00C1356A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E14FB"/>
    <w:rsid w:val="00DF74DD"/>
    <w:rsid w:val="00E25AD0"/>
    <w:rsid w:val="00E27942"/>
    <w:rsid w:val="00EB6350"/>
    <w:rsid w:val="00EE7EFB"/>
    <w:rsid w:val="00F15B57"/>
    <w:rsid w:val="00F427DB"/>
    <w:rsid w:val="00F825A5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5E03714-FA89-4C61-8C0D-3686DF29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8D4DA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HAnsi" w:hAnsiTheme="minorHAnsi" w:cstheme="minorBidi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003/e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9-CL-C-0002/en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s://www.itu.int/md/S19-CL-C-0003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9-CL-C-0002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2646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Royer, Veronique</dc:creator>
  <cp:keywords>C2018, C18</cp:keywords>
  <dc:description/>
  <cp:lastModifiedBy>Janin, Patricia</cp:lastModifiedBy>
  <cp:revision>3</cp:revision>
  <cp:lastPrinted>2019-07-18T13:33:00Z</cp:lastPrinted>
  <dcterms:created xsi:type="dcterms:W3CDTF">2019-07-23T14:17:00Z</dcterms:created>
  <dcterms:modified xsi:type="dcterms:W3CDTF">2019-07-23T14:17:00Z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