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90"/>
        <w:tblW w:w="10173" w:type="dxa"/>
        <w:tblLayout w:type="fixed"/>
        <w:tblLook w:val="0000" w:firstRow="0" w:lastRow="0" w:firstColumn="0" w:lastColumn="0" w:noHBand="0" w:noVBand="0"/>
      </w:tblPr>
      <w:tblGrid>
        <w:gridCol w:w="6912"/>
        <w:gridCol w:w="3261"/>
      </w:tblGrid>
      <w:tr w:rsidR="00520F36" w:rsidRPr="0092392D" w:rsidTr="00C1356A">
        <w:trPr>
          <w:cantSplit/>
        </w:trPr>
        <w:tc>
          <w:tcPr>
            <w:tcW w:w="6912" w:type="dxa"/>
          </w:tcPr>
          <w:p w:rsidR="00520F36" w:rsidRPr="0092392D" w:rsidRDefault="00520F36" w:rsidP="00457E5F">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457E5F">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C1356A">
        <w:trPr>
          <w:cantSplit/>
          <w:trHeight w:val="20"/>
        </w:trPr>
        <w:tc>
          <w:tcPr>
            <w:tcW w:w="6912" w:type="dxa"/>
            <w:tcBorders>
              <w:bottom w:val="single" w:sz="12" w:space="0" w:color="auto"/>
            </w:tcBorders>
            <w:vAlign w:val="center"/>
          </w:tcPr>
          <w:p w:rsidR="00520F36" w:rsidRPr="00361350" w:rsidRDefault="00520F36" w:rsidP="00457E5F">
            <w:pPr>
              <w:spacing w:before="0"/>
              <w:rPr>
                <w:b/>
                <w:bCs/>
                <w:sz w:val="26"/>
                <w:szCs w:val="26"/>
                <w:lang w:val="fr-CH"/>
              </w:rPr>
            </w:pPr>
          </w:p>
        </w:tc>
        <w:tc>
          <w:tcPr>
            <w:tcW w:w="3261" w:type="dxa"/>
            <w:tcBorders>
              <w:bottom w:val="single" w:sz="12" w:space="0" w:color="auto"/>
            </w:tcBorders>
          </w:tcPr>
          <w:p w:rsidR="00520F36" w:rsidRPr="0092392D" w:rsidRDefault="00520F36" w:rsidP="00457E5F">
            <w:pPr>
              <w:spacing w:before="0"/>
              <w:rPr>
                <w:b/>
                <w:bCs/>
              </w:rPr>
            </w:pPr>
          </w:p>
        </w:tc>
      </w:tr>
      <w:tr w:rsidR="00520F36" w:rsidRPr="0092392D" w:rsidTr="00C1356A">
        <w:trPr>
          <w:cantSplit/>
          <w:trHeight w:val="20"/>
        </w:trPr>
        <w:tc>
          <w:tcPr>
            <w:tcW w:w="6912" w:type="dxa"/>
            <w:tcBorders>
              <w:top w:val="single" w:sz="12" w:space="0" w:color="auto"/>
            </w:tcBorders>
          </w:tcPr>
          <w:p w:rsidR="00520F36" w:rsidRPr="0092392D" w:rsidRDefault="00520F36" w:rsidP="00457E5F">
            <w:pPr>
              <w:spacing w:before="0"/>
              <w:rPr>
                <w:smallCaps/>
                <w:sz w:val="22"/>
                <w:lang w:val="fr-CH"/>
              </w:rPr>
            </w:pPr>
          </w:p>
        </w:tc>
        <w:tc>
          <w:tcPr>
            <w:tcW w:w="3261" w:type="dxa"/>
            <w:tcBorders>
              <w:top w:val="single" w:sz="12" w:space="0" w:color="auto"/>
            </w:tcBorders>
          </w:tcPr>
          <w:p w:rsidR="00520F36" w:rsidRPr="0092392D" w:rsidRDefault="00520F36" w:rsidP="00457E5F">
            <w:pPr>
              <w:spacing w:before="0"/>
              <w:rPr>
                <w:b/>
                <w:bCs/>
              </w:rPr>
            </w:pPr>
          </w:p>
        </w:tc>
      </w:tr>
      <w:tr w:rsidR="00520F36" w:rsidRPr="0092392D" w:rsidTr="00C1356A">
        <w:trPr>
          <w:cantSplit/>
          <w:trHeight w:val="20"/>
        </w:trPr>
        <w:tc>
          <w:tcPr>
            <w:tcW w:w="6912" w:type="dxa"/>
            <w:vMerge w:val="restart"/>
          </w:tcPr>
          <w:p w:rsidR="00520F36" w:rsidRPr="00520F36" w:rsidRDefault="00520F36" w:rsidP="00457E5F">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C32A10">
            <w:pPr>
              <w:spacing w:before="0"/>
              <w:rPr>
                <w:b/>
                <w:bCs/>
              </w:rPr>
            </w:pPr>
            <w:r>
              <w:rPr>
                <w:b/>
                <w:bCs/>
              </w:rPr>
              <w:t>Document C1</w:t>
            </w:r>
            <w:r w:rsidR="00106B19">
              <w:rPr>
                <w:b/>
                <w:bCs/>
              </w:rPr>
              <w:t>9</w:t>
            </w:r>
            <w:r>
              <w:rPr>
                <w:b/>
                <w:bCs/>
              </w:rPr>
              <w:t>/</w:t>
            </w:r>
            <w:r w:rsidR="008D4DAA">
              <w:rPr>
                <w:b/>
                <w:bCs/>
              </w:rPr>
              <w:t>11</w:t>
            </w:r>
            <w:r w:rsidR="00C32A10">
              <w:rPr>
                <w:b/>
                <w:bCs/>
              </w:rPr>
              <w:t>9</w:t>
            </w:r>
            <w:r>
              <w:rPr>
                <w:b/>
                <w:bCs/>
              </w:rPr>
              <w:t>-F</w:t>
            </w:r>
          </w:p>
        </w:tc>
      </w:tr>
      <w:tr w:rsidR="00520F36" w:rsidRPr="0092392D" w:rsidTr="00C1356A">
        <w:trPr>
          <w:cantSplit/>
          <w:trHeight w:val="20"/>
        </w:trPr>
        <w:tc>
          <w:tcPr>
            <w:tcW w:w="6912" w:type="dxa"/>
            <w:vMerge/>
          </w:tcPr>
          <w:p w:rsidR="00520F36" w:rsidRPr="0092392D" w:rsidRDefault="00520F36" w:rsidP="00457E5F">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DC5B99" w:rsidP="00457E5F">
            <w:pPr>
              <w:spacing w:before="0"/>
              <w:rPr>
                <w:b/>
                <w:bCs/>
              </w:rPr>
            </w:pPr>
            <w:r>
              <w:rPr>
                <w:b/>
                <w:bCs/>
              </w:rPr>
              <w:t>19 juillet</w:t>
            </w:r>
            <w:r w:rsidR="00520F36">
              <w:rPr>
                <w:b/>
                <w:bCs/>
              </w:rPr>
              <w:t xml:space="preserve"> 201</w:t>
            </w:r>
            <w:r w:rsidR="00106B19">
              <w:rPr>
                <w:b/>
                <w:bCs/>
              </w:rPr>
              <w:t>9</w:t>
            </w:r>
          </w:p>
        </w:tc>
      </w:tr>
      <w:tr w:rsidR="00520F36" w:rsidRPr="0092392D" w:rsidTr="00C1356A">
        <w:trPr>
          <w:cantSplit/>
          <w:trHeight w:val="20"/>
        </w:trPr>
        <w:tc>
          <w:tcPr>
            <w:tcW w:w="6912" w:type="dxa"/>
            <w:vMerge/>
          </w:tcPr>
          <w:p w:rsidR="00520F36" w:rsidRPr="0092392D" w:rsidRDefault="00520F36" w:rsidP="00457E5F">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457E5F">
            <w:pPr>
              <w:spacing w:before="0"/>
              <w:rPr>
                <w:b/>
                <w:bCs/>
              </w:rPr>
            </w:pPr>
            <w:r>
              <w:rPr>
                <w:b/>
                <w:bCs/>
              </w:rPr>
              <w:t>Original: anglais</w:t>
            </w:r>
          </w:p>
        </w:tc>
      </w:tr>
      <w:tr w:rsidR="00520F36" w:rsidRPr="0092392D" w:rsidTr="00C1356A">
        <w:trPr>
          <w:cantSplit/>
        </w:trPr>
        <w:tc>
          <w:tcPr>
            <w:tcW w:w="10173" w:type="dxa"/>
            <w:gridSpan w:val="2"/>
          </w:tcPr>
          <w:p w:rsidR="008D4DAA" w:rsidRPr="00DE3725" w:rsidRDefault="008D4DAA" w:rsidP="00457E5F">
            <w:pPr>
              <w:pStyle w:val="Title1"/>
              <w:spacing w:before="480"/>
            </w:pPr>
            <w:bookmarkStart w:id="6" w:name="dsource" w:colFirst="0" w:colLast="0"/>
            <w:bookmarkEnd w:id="5"/>
            <w:r w:rsidRPr="00DE3725">
              <w:t>COMPTE RENDU</w:t>
            </w:r>
          </w:p>
          <w:p w:rsidR="008D4DAA" w:rsidRPr="00DE3725" w:rsidRDefault="008D4DAA" w:rsidP="00457E5F">
            <w:pPr>
              <w:pStyle w:val="Title1"/>
            </w:pPr>
            <w:r w:rsidRPr="00DE3725">
              <w:t>DE LA</w:t>
            </w:r>
          </w:p>
          <w:p w:rsidR="00520F36" w:rsidRPr="0092392D" w:rsidRDefault="00C32A10" w:rsidP="00457E5F">
            <w:pPr>
              <w:pStyle w:val="Source"/>
              <w:spacing w:before="240"/>
            </w:pPr>
            <w:r>
              <w:rPr>
                <w:b w:val="0"/>
              </w:rPr>
              <w:t>HUITIÈME</w:t>
            </w:r>
            <w:r w:rsidR="008D4DAA" w:rsidRPr="00DE3725">
              <w:rPr>
                <w:b w:val="0"/>
              </w:rPr>
              <w:t xml:space="preserve"> SÉANCE PLÉNIÈRE</w:t>
            </w:r>
          </w:p>
        </w:tc>
      </w:tr>
      <w:tr w:rsidR="008D4DAA" w:rsidRPr="0092392D" w:rsidTr="00C1356A">
        <w:trPr>
          <w:cantSplit/>
        </w:trPr>
        <w:tc>
          <w:tcPr>
            <w:tcW w:w="10173" w:type="dxa"/>
            <w:gridSpan w:val="2"/>
          </w:tcPr>
          <w:p w:rsidR="008D4DAA" w:rsidRPr="00DE3725" w:rsidRDefault="00C32A10" w:rsidP="00457E5F">
            <w:pPr>
              <w:pStyle w:val="Title1"/>
              <w:rPr>
                <w:sz w:val="24"/>
                <w:szCs w:val="24"/>
              </w:rPr>
            </w:pPr>
            <w:bookmarkStart w:id="7" w:name="dtitle1" w:colFirst="0" w:colLast="0"/>
            <w:bookmarkEnd w:id="6"/>
            <w:r w:rsidRPr="00F24E75">
              <w:rPr>
                <w:rFonts w:asciiTheme="minorHAnsi" w:hAnsiTheme="minorHAnsi" w:cstheme="minorHAnsi"/>
                <w:caps w:val="0"/>
                <w:sz w:val="24"/>
                <w:szCs w:val="24"/>
              </w:rPr>
              <w:t>Jeudi 20 juin 2019 de 9 h 45 à 10 h 10</w:t>
            </w:r>
          </w:p>
        </w:tc>
      </w:tr>
      <w:tr w:rsidR="008D4DAA" w:rsidRPr="0092392D" w:rsidTr="00C1356A">
        <w:trPr>
          <w:cantSplit/>
        </w:trPr>
        <w:tc>
          <w:tcPr>
            <w:tcW w:w="10173" w:type="dxa"/>
            <w:gridSpan w:val="2"/>
          </w:tcPr>
          <w:p w:rsidR="008D4DAA" w:rsidRPr="00DE3725" w:rsidRDefault="008D4DAA" w:rsidP="00457E5F">
            <w:pPr>
              <w:jc w:val="center"/>
              <w:rPr>
                <w:rFonts w:asciiTheme="minorHAnsi" w:hAnsiTheme="minorHAnsi"/>
                <w:szCs w:val="24"/>
              </w:rPr>
            </w:pPr>
            <w:r w:rsidRPr="00DE3725">
              <w:rPr>
                <w:b/>
                <w:bCs/>
              </w:rPr>
              <w:t xml:space="preserve">Président faisant fonction: </w:t>
            </w:r>
            <w:r w:rsidRPr="00BA0791">
              <w:t>M. F. BIGI (Italie)</w:t>
            </w:r>
          </w:p>
        </w:tc>
      </w:tr>
      <w:bookmarkEnd w:id="7"/>
    </w:tbl>
    <w:p w:rsidR="008D4DAA" w:rsidRPr="00DE3725" w:rsidRDefault="008D4DAA" w:rsidP="00457E5F">
      <w:pPr>
        <w:spacing w:before="240"/>
        <w:jc w:val="both"/>
      </w:pPr>
    </w:p>
    <w:tbl>
      <w:tblPr>
        <w:tblW w:w="5272" w:type="pct"/>
        <w:jc w:val="center"/>
        <w:tblLook w:val="0000" w:firstRow="0" w:lastRow="0" w:firstColumn="0" w:lastColumn="0" w:noHBand="0" w:noVBand="0"/>
      </w:tblPr>
      <w:tblGrid>
        <w:gridCol w:w="504"/>
        <w:gridCol w:w="7576"/>
        <w:gridCol w:w="2083"/>
      </w:tblGrid>
      <w:tr w:rsidR="008D4DAA" w:rsidRPr="00DE3725" w:rsidTr="00C1356A">
        <w:trPr>
          <w:jc w:val="center"/>
        </w:trPr>
        <w:tc>
          <w:tcPr>
            <w:tcW w:w="248" w:type="pct"/>
          </w:tcPr>
          <w:p w:rsidR="008D4DAA" w:rsidRPr="00DE3725" w:rsidRDefault="008D4DAA" w:rsidP="00457E5F">
            <w:pPr>
              <w:pStyle w:val="toc0"/>
              <w:spacing w:after="120"/>
            </w:pPr>
            <w:r w:rsidRPr="00DE3725">
              <w:rPr>
                <w:b w:val="0"/>
              </w:rPr>
              <w:br w:type="page"/>
            </w:r>
            <w:r w:rsidRPr="00DE3725">
              <w:rPr>
                <w:b w:val="0"/>
              </w:rPr>
              <w:br w:type="page"/>
            </w:r>
          </w:p>
        </w:tc>
        <w:tc>
          <w:tcPr>
            <w:tcW w:w="3727" w:type="pct"/>
          </w:tcPr>
          <w:p w:rsidR="008D4DAA" w:rsidRPr="00DE3725" w:rsidRDefault="008D4DAA" w:rsidP="00457E5F">
            <w:pPr>
              <w:pStyle w:val="toc0"/>
              <w:spacing w:after="120"/>
            </w:pPr>
            <w:r w:rsidRPr="00DE3725">
              <w:t>Sujets traités</w:t>
            </w:r>
          </w:p>
        </w:tc>
        <w:tc>
          <w:tcPr>
            <w:tcW w:w="1025" w:type="pct"/>
          </w:tcPr>
          <w:p w:rsidR="008D4DAA" w:rsidRPr="00DE3725" w:rsidRDefault="008D4DAA" w:rsidP="00457E5F">
            <w:pPr>
              <w:pStyle w:val="toc0"/>
              <w:spacing w:after="120"/>
              <w:jc w:val="center"/>
            </w:pPr>
            <w:r w:rsidRPr="00DE3725">
              <w:t>Documents</w:t>
            </w:r>
          </w:p>
        </w:tc>
      </w:tr>
      <w:tr w:rsidR="008D4DAA" w:rsidRPr="00DE3725" w:rsidTr="00C1356A">
        <w:trPr>
          <w:jc w:val="center"/>
        </w:trPr>
        <w:tc>
          <w:tcPr>
            <w:tcW w:w="248" w:type="pct"/>
          </w:tcPr>
          <w:p w:rsidR="008D4DAA" w:rsidRPr="00DE3725" w:rsidRDefault="008D4DAA" w:rsidP="00457E5F">
            <w:pPr>
              <w:pStyle w:val="toc0"/>
              <w:spacing w:after="120"/>
              <w:rPr>
                <w:b w:val="0"/>
              </w:rPr>
            </w:pPr>
            <w:r w:rsidRPr="00DE3725">
              <w:rPr>
                <w:b w:val="0"/>
              </w:rPr>
              <w:t>1</w:t>
            </w:r>
          </w:p>
        </w:tc>
        <w:tc>
          <w:tcPr>
            <w:tcW w:w="3727" w:type="pct"/>
          </w:tcPr>
          <w:p w:rsidR="008D4DAA" w:rsidRPr="00DE3725" w:rsidRDefault="00C32A10" w:rsidP="00402AFE">
            <w:pPr>
              <w:pStyle w:val="toc0"/>
              <w:spacing w:after="120"/>
              <w:rPr>
                <w:b w:val="0"/>
                <w:bCs/>
              </w:rPr>
            </w:pPr>
            <w:r w:rsidRPr="00F24E75">
              <w:rPr>
                <w:rFonts w:asciiTheme="minorHAnsi" w:hAnsiTheme="minorHAnsi" w:cstheme="minorHAnsi"/>
                <w:b w:val="0"/>
                <w:bCs/>
                <w:szCs w:val="24"/>
              </w:rPr>
              <w:t>Liste des candidats aux postes de président et de vice-président des Groupes de travail du conseil et des Groupes d</w:t>
            </w:r>
            <w:r w:rsidR="004E0E23">
              <w:rPr>
                <w:rFonts w:asciiTheme="minorHAnsi" w:hAnsiTheme="minorHAnsi" w:cstheme="minorHAnsi"/>
                <w:b w:val="0"/>
                <w:bCs/>
                <w:szCs w:val="24"/>
              </w:rPr>
              <w:t>'</w:t>
            </w:r>
            <w:r w:rsidRPr="00F24E75">
              <w:rPr>
                <w:rFonts w:asciiTheme="minorHAnsi" w:hAnsiTheme="minorHAnsi" w:cstheme="minorHAnsi"/>
                <w:b w:val="0"/>
                <w:bCs/>
                <w:szCs w:val="24"/>
              </w:rPr>
              <w:t>experts</w:t>
            </w:r>
          </w:p>
        </w:tc>
        <w:tc>
          <w:tcPr>
            <w:tcW w:w="1025" w:type="pct"/>
          </w:tcPr>
          <w:p w:rsidR="008D4DAA" w:rsidRPr="00DE3725" w:rsidRDefault="00F43A22" w:rsidP="00457E5F">
            <w:pPr>
              <w:pStyle w:val="toc0"/>
              <w:spacing w:after="120"/>
              <w:jc w:val="center"/>
              <w:rPr>
                <w:b w:val="0"/>
                <w:bCs/>
              </w:rPr>
            </w:pPr>
            <w:hyperlink r:id="rId7" w:history="1">
              <w:r w:rsidR="00C32A10">
                <w:rPr>
                  <w:rStyle w:val="Hyperlink"/>
                  <w:b w:val="0"/>
                  <w:bCs/>
                </w:rPr>
                <w:t>C19/21(Rév.1)</w:t>
              </w:r>
            </w:hyperlink>
          </w:p>
        </w:tc>
      </w:tr>
      <w:tr w:rsidR="008D4DAA" w:rsidRPr="00DE3725" w:rsidTr="00C1356A">
        <w:trPr>
          <w:jc w:val="center"/>
        </w:trPr>
        <w:tc>
          <w:tcPr>
            <w:tcW w:w="248" w:type="pct"/>
          </w:tcPr>
          <w:p w:rsidR="008D4DAA" w:rsidRPr="00DE3725" w:rsidRDefault="008D4DAA" w:rsidP="00457E5F">
            <w:pPr>
              <w:pStyle w:val="toc0"/>
              <w:spacing w:after="120"/>
              <w:rPr>
                <w:b w:val="0"/>
              </w:rPr>
            </w:pPr>
            <w:r w:rsidRPr="00DE3725">
              <w:rPr>
                <w:b w:val="0"/>
              </w:rPr>
              <w:t>2</w:t>
            </w:r>
          </w:p>
        </w:tc>
        <w:tc>
          <w:tcPr>
            <w:tcW w:w="3727" w:type="pct"/>
          </w:tcPr>
          <w:p w:rsidR="008D4DAA" w:rsidRPr="00DE3725" w:rsidRDefault="00C32A10" w:rsidP="00457E5F">
            <w:pPr>
              <w:pStyle w:val="toc0"/>
              <w:spacing w:after="120"/>
              <w:rPr>
                <w:b w:val="0"/>
                <w:bCs/>
              </w:rPr>
            </w:pPr>
            <w:r w:rsidRPr="00F24E75">
              <w:rPr>
                <w:rFonts w:asciiTheme="minorHAnsi" w:hAnsiTheme="minorHAnsi" w:cstheme="minorHAnsi"/>
                <w:b w:val="0"/>
                <w:bCs/>
                <w:szCs w:val="24"/>
              </w:rPr>
              <w:t>Planification des futures conférences, assemblées et réunions de l</w:t>
            </w:r>
            <w:r w:rsidR="004E0E23">
              <w:rPr>
                <w:rFonts w:asciiTheme="minorHAnsi" w:hAnsiTheme="minorHAnsi" w:cstheme="minorHAnsi"/>
                <w:b w:val="0"/>
                <w:bCs/>
                <w:szCs w:val="24"/>
              </w:rPr>
              <w:t>'</w:t>
            </w:r>
            <w:r w:rsidRPr="00F24E75">
              <w:rPr>
                <w:rFonts w:asciiTheme="minorHAnsi" w:hAnsiTheme="minorHAnsi" w:cstheme="minorHAnsi"/>
                <w:b w:val="0"/>
                <w:bCs/>
                <w:szCs w:val="24"/>
              </w:rPr>
              <w:t>Union (2019-2022)</w:t>
            </w:r>
          </w:p>
        </w:tc>
        <w:tc>
          <w:tcPr>
            <w:tcW w:w="1025" w:type="pct"/>
          </w:tcPr>
          <w:p w:rsidR="008D4DAA" w:rsidRPr="00DE3725" w:rsidRDefault="00F43A22" w:rsidP="00457E5F">
            <w:pPr>
              <w:pStyle w:val="toc0"/>
              <w:spacing w:after="120"/>
              <w:jc w:val="center"/>
              <w:rPr>
                <w:b w:val="0"/>
                <w:bCs/>
              </w:rPr>
            </w:pPr>
            <w:hyperlink r:id="rId8" w:history="1">
              <w:r w:rsidR="00C32A10">
                <w:rPr>
                  <w:rStyle w:val="Hyperlink"/>
                  <w:b w:val="0"/>
                  <w:bCs/>
                </w:rPr>
                <w:t>C19/37(Rév.2)</w:t>
              </w:r>
            </w:hyperlink>
          </w:p>
        </w:tc>
      </w:tr>
    </w:tbl>
    <w:p w:rsidR="00C32A10" w:rsidRDefault="00C32A10" w:rsidP="00C32A10"/>
    <w:p w:rsidR="00C32A10" w:rsidRDefault="00C32A10" w:rsidP="00C32A10"/>
    <w:p w:rsidR="008D4DAA" w:rsidRPr="00DE3725" w:rsidRDefault="008D4DAA" w:rsidP="00457E5F">
      <w:r w:rsidRPr="00DE3725">
        <w:rPr>
          <w:b/>
        </w:rPr>
        <w:br w:type="page"/>
      </w:r>
    </w:p>
    <w:p w:rsidR="008D4DAA" w:rsidRPr="00DE3725" w:rsidRDefault="008D4DAA" w:rsidP="00402AFE">
      <w:pPr>
        <w:pStyle w:val="Heading1"/>
      </w:pPr>
      <w:bookmarkStart w:id="8" w:name="dstart"/>
      <w:bookmarkStart w:id="9" w:name="dbreak"/>
      <w:bookmarkEnd w:id="8"/>
      <w:bookmarkEnd w:id="9"/>
      <w:r w:rsidRPr="00DE3725">
        <w:lastRenderedPageBreak/>
        <w:t>1</w:t>
      </w:r>
      <w:r w:rsidRPr="00DE3725">
        <w:tab/>
      </w:r>
      <w:r w:rsidR="00402AFE" w:rsidRPr="00402AFE">
        <w:t>Liste des candidats aux postes de président et de vice-président des Groupes de travail du conseil et des Groupes d</w:t>
      </w:r>
      <w:r w:rsidR="004E0E23">
        <w:t>'</w:t>
      </w:r>
      <w:r w:rsidR="00402AFE" w:rsidRPr="00402AFE">
        <w:t>experts (Document</w:t>
      </w:r>
      <w:r w:rsidR="00402AFE">
        <w:t> </w:t>
      </w:r>
      <w:hyperlink r:id="rId9" w:history="1">
        <w:r w:rsidR="00402AFE" w:rsidRPr="00402AFE">
          <w:rPr>
            <w:rStyle w:val="Hyperlink"/>
          </w:rPr>
          <w:t>C19/21(Rév.1)</w:t>
        </w:r>
      </w:hyperlink>
      <w:r w:rsidR="00402AFE" w:rsidRPr="00402AFE">
        <w:t>)</w:t>
      </w:r>
    </w:p>
    <w:p w:rsidR="00402AFE" w:rsidRPr="00402AFE" w:rsidRDefault="00402AFE" w:rsidP="00402AFE">
      <w:r w:rsidRPr="00402AFE">
        <w:t>1.1</w:t>
      </w:r>
      <w:r w:rsidRPr="00402AFE">
        <w:tab/>
        <w:t>La secrétaire de la plénière présente le Document C19/21(Rév.1) et ajoute que, contrairement à ce qui est indiqué dans le document, M. Mustapha Mousse (Égypte) représentera la région Afrique au sein du Groupe d</w:t>
      </w:r>
      <w:r w:rsidR="004E0E23">
        <w:t>'</w:t>
      </w:r>
      <w:r w:rsidRPr="00402AFE">
        <w:t>experts sur la Décision 482.</w:t>
      </w:r>
    </w:p>
    <w:p w:rsidR="00402AFE" w:rsidRPr="00402AFE" w:rsidRDefault="00402AFE" w:rsidP="00402AFE">
      <w:r w:rsidRPr="00402AFE">
        <w:t>1.2</w:t>
      </w:r>
      <w:r w:rsidRPr="00402AFE">
        <w:tab/>
        <w:t>Le Président faisant fonction fait remarquer que la liste demeure incomplète et propose que le Conseil l</w:t>
      </w:r>
      <w:r w:rsidR="004E0E23">
        <w:t>'</w:t>
      </w:r>
      <w:r w:rsidRPr="00402AFE">
        <w:t>approuve, étant entendu que la liste complète sera publiée avant la fin de la session.</w:t>
      </w:r>
    </w:p>
    <w:p w:rsidR="00402AFE" w:rsidRPr="00402AFE" w:rsidRDefault="00402AFE" w:rsidP="00402AFE">
      <w:r w:rsidRPr="00402AFE">
        <w:t>1.3</w:t>
      </w:r>
      <w:r w:rsidRPr="00402AFE">
        <w:tab/>
        <w:t xml:space="preserve">Il en est ainsi </w:t>
      </w:r>
      <w:r w:rsidRPr="00402AFE">
        <w:rPr>
          <w:b/>
        </w:rPr>
        <w:t>décidé</w:t>
      </w:r>
      <w:r w:rsidRPr="00402AFE">
        <w:t>.</w:t>
      </w:r>
    </w:p>
    <w:p w:rsidR="00402AFE" w:rsidRPr="00402AFE" w:rsidRDefault="00402AFE" w:rsidP="00765D29">
      <w:r w:rsidRPr="00402AFE">
        <w:t>1.4</w:t>
      </w:r>
      <w:r w:rsidRPr="00402AFE">
        <w:tab/>
        <w:t>La secrétaire de la plénière informe le Conseil que les membres du Groupe consultatif d</w:t>
      </w:r>
      <w:r w:rsidR="004E0E23">
        <w:t>'</w:t>
      </w:r>
      <w:r w:rsidRPr="00402AFE">
        <w:t xml:space="preserve">États Membres pour le projet de locaux du siège (MSAG) sont les suivants: M. Dietmar Plesse (Allemagne) pour la région Europe, M. Hisazumi Shirae (Japon) pour la région Asie et Australasie, Mme Bird Hoeggren (États-Unis) pour la région Amériques (avec </w:t>
      </w:r>
      <w:r w:rsidR="00765D29">
        <w:t xml:space="preserve">comme </w:t>
      </w:r>
      <w:r w:rsidR="00765D29" w:rsidRPr="00402AFE">
        <w:t xml:space="preserve">suppléant </w:t>
      </w:r>
      <w:r w:rsidRPr="00402AFE">
        <w:t>M. Greg Ratta (États-Unis)), M. Andrey Zhivov (Fédération de Russie) pour la région de la CEI, M. Simon Bugaba (Ouganda) pour la région Afrique et M. Abdulaziz A. Alfaiz (Arabie saoudite) pour le groupe des États arabes.</w:t>
      </w:r>
    </w:p>
    <w:p w:rsidR="00402AFE" w:rsidRPr="00402AFE" w:rsidRDefault="00402AFE" w:rsidP="00962107">
      <w:r w:rsidRPr="00402AFE">
        <w:t>1.5</w:t>
      </w:r>
      <w:r w:rsidRPr="00402AFE">
        <w:tab/>
        <w:t xml:space="preserve">Le Président faisant fonction encourage les membres du Groupe MSAG à associer </w:t>
      </w:r>
      <w:r w:rsidR="00962107">
        <w:t xml:space="preserve">à </w:t>
      </w:r>
      <w:r w:rsidR="00962107" w:rsidRPr="00402AFE">
        <w:t xml:space="preserve">leurs débats </w:t>
      </w:r>
      <w:r w:rsidRPr="00402AFE">
        <w:t>des spécialistes de la construction et des experts financiers.</w:t>
      </w:r>
    </w:p>
    <w:p w:rsidR="00402AFE" w:rsidRPr="00402AFE" w:rsidRDefault="00402AFE" w:rsidP="00402AFE">
      <w:pPr>
        <w:pStyle w:val="Heading1"/>
      </w:pPr>
      <w:r w:rsidRPr="00402AFE">
        <w:t>2</w:t>
      </w:r>
      <w:r w:rsidRPr="00402AFE">
        <w:tab/>
        <w:t>Planification des futures conférences, as</w:t>
      </w:r>
      <w:r w:rsidR="005C32B4">
        <w:t>semblées et réunions de l</w:t>
      </w:r>
      <w:r w:rsidR="004E0E23">
        <w:t>'</w:t>
      </w:r>
      <w:r w:rsidR="005C32B4">
        <w:t>Union </w:t>
      </w:r>
      <w:r w:rsidRPr="00402AFE">
        <w:t xml:space="preserve">(2019-2022) (Document </w:t>
      </w:r>
      <w:hyperlink r:id="rId10" w:history="1">
        <w:r w:rsidRPr="00402AFE">
          <w:rPr>
            <w:rStyle w:val="Hyperlink"/>
            <w:bCs/>
          </w:rPr>
          <w:t>C19/37(Rév.2)</w:t>
        </w:r>
      </w:hyperlink>
      <w:r w:rsidRPr="00402AFE">
        <w:t>)</w:t>
      </w:r>
    </w:p>
    <w:p w:rsidR="00402AFE" w:rsidRPr="00402AFE" w:rsidRDefault="00402AFE" w:rsidP="00402AFE">
      <w:r w:rsidRPr="00402AFE">
        <w:t>2.1</w:t>
      </w:r>
      <w:r w:rsidRPr="00402AFE">
        <w:tab/>
        <w:t>Le Chef du Département des conférences et des publications pré</w:t>
      </w:r>
      <w:r w:rsidR="00A548D4">
        <w:t>sente le Document </w:t>
      </w:r>
      <w:r w:rsidRPr="00402AFE">
        <w:t>C19/37(Rév.2), qui contient un calendrier établi confor</w:t>
      </w:r>
      <w:r w:rsidR="00651FFC">
        <w:t>mément aux Résolutions 77 (Rév. Dubaï, </w:t>
      </w:r>
      <w:r w:rsidRPr="00402AFE">
        <w:t>2018) et 111 (Rév. Dubaï, 2018) de la Conférence de plénipotentiaires. Il appelle l</w:t>
      </w:r>
      <w:r w:rsidR="004E0E23">
        <w:t>'</w:t>
      </w:r>
      <w:r w:rsidRPr="00402AFE">
        <w:t>attention sur le fait qu</w:t>
      </w:r>
      <w:r w:rsidR="004E0E23">
        <w:t>'</w:t>
      </w:r>
      <w:r w:rsidRPr="00402AFE">
        <w:t>il est proposé d</w:t>
      </w:r>
      <w:r w:rsidR="004E0E23">
        <w:t>'</w:t>
      </w:r>
      <w:r w:rsidRPr="00402AFE">
        <w:t>organiser l</w:t>
      </w:r>
      <w:r w:rsidR="004E0E23">
        <w:t>'</w:t>
      </w:r>
      <w:r w:rsidRPr="00402AFE">
        <w:t>édition de 2022 du Forum du SMSI en mars plutôt qu</w:t>
      </w:r>
      <w:r w:rsidR="004E0E23">
        <w:t>'</w:t>
      </w:r>
      <w:r w:rsidRPr="00402AFE">
        <w:t>en mai.</w:t>
      </w:r>
    </w:p>
    <w:p w:rsidR="00402AFE" w:rsidRPr="00402AFE" w:rsidRDefault="00402AFE" w:rsidP="00402AFE">
      <w:r w:rsidRPr="00402AFE">
        <w:t>2.2</w:t>
      </w:r>
      <w:r w:rsidRPr="00402AFE">
        <w:tab/>
        <w:t>Le Conseiller de l</w:t>
      </w:r>
      <w:r w:rsidR="004E0E23">
        <w:t>'</w:t>
      </w:r>
      <w:r w:rsidRPr="00402AFE">
        <w:t>Espagne annonce que la neuvième édition de la Semaine Normes vertes aura lieu à Valence (Espagne), du 1er au 4 octobre 2019.</w:t>
      </w:r>
    </w:p>
    <w:p w:rsidR="00402AFE" w:rsidRPr="00402AFE" w:rsidRDefault="00402AFE" w:rsidP="00517C89">
      <w:r w:rsidRPr="00402AFE">
        <w:t>2.3</w:t>
      </w:r>
      <w:r w:rsidRPr="00402AFE">
        <w:tab/>
        <w:t xml:space="preserve">Un conseiller </w:t>
      </w:r>
      <w:r w:rsidR="00517C89">
        <w:t>se réfère aux</w:t>
      </w:r>
      <w:r w:rsidRPr="00402AFE">
        <w:t xml:space="preserve"> options pour les dates du premie</w:t>
      </w:r>
      <w:r w:rsidR="00517C89">
        <w:t>r groupe de réunions des GTC en </w:t>
      </w:r>
      <w:r w:rsidRPr="00402AFE">
        <w:t>2021</w:t>
      </w:r>
      <w:r w:rsidR="00517C89">
        <w:t xml:space="preserve"> et estime</w:t>
      </w:r>
      <w:r w:rsidRPr="00402AFE">
        <w:t xml:space="preserve"> que la première option est préférable, la deuxième coïncid</w:t>
      </w:r>
      <w:r w:rsidR="00517C89">
        <w:t>ant</w:t>
      </w:r>
      <w:r w:rsidRPr="00402AFE">
        <w:t xml:space="preserve"> avec </w:t>
      </w:r>
      <w:r w:rsidR="00517C89">
        <w:t>le Nouvel an</w:t>
      </w:r>
      <w:r w:rsidRPr="00402AFE">
        <w:t xml:space="preserve"> lunaire dans de nombreux pays asiatiques.</w:t>
      </w:r>
    </w:p>
    <w:p w:rsidR="00751F9E" w:rsidRDefault="00402AFE" w:rsidP="00DA78AE">
      <w:r w:rsidRPr="00402AFE">
        <w:t>2.4</w:t>
      </w:r>
      <w:r w:rsidRPr="00402AFE">
        <w:tab/>
        <w:t>En réponse à une question d</w:t>
      </w:r>
      <w:r w:rsidR="004E0E23">
        <w:t>'</w:t>
      </w:r>
      <w:r w:rsidRPr="00402AFE">
        <w:t>un conseiller, la secrétaire de la plénière confirme qu</w:t>
      </w:r>
      <w:r w:rsidR="004E0E23">
        <w:t>'</w:t>
      </w:r>
      <w:r w:rsidR="00344693">
        <w:t>il est </w:t>
      </w:r>
      <w:r w:rsidRPr="00402AFE">
        <w:t>actuellement prévu d</w:t>
      </w:r>
      <w:r w:rsidR="004E0E23">
        <w:t>'</w:t>
      </w:r>
      <w:r w:rsidRPr="00402AFE">
        <w:t>organiser le prochain groupe de réunion</w:t>
      </w:r>
      <w:r w:rsidR="00344693">
        <w:t>s des GTC du 16 au </w:t>
      </w:r>
      <w:r w:rsidR="00517C89">
        <w:t>27 septembre </w:t>
      </w:r>
      <w:r w:rsidRPr="00402AFE">
        <w:t>2019. En réponse à d</w:t>
      </w:r>
      <w:r w:rsidR="004E0E23">
        <w:t>'</w:t>
      </w:r>
      <w:r w:rsidRPr="00402AFE">
        <w:t>autres questions, elle explique qu</w:t>
      </w:r>
      <w:r w:rsidR="004E0E23">
        <w:t>'</w:t>
      </w:r>
      <w:r w:rsidRPr="00402AFE">
        <w:t>il n</w:t>
      </w:r>
      <w:r w:rsidR="004E0E23">
        <w:t>'</w:t>
      </w:r>
      <w:r w:rsidR="00344693">
        <w:t>a pas été possible de </w:t>
      </w:r>
      <w:r w:rsidRPr="00402AFE">
        <w:t>planifier l</w:t>
      </w:r>
      <w:r w:rsidR="004E0E23">
        <w:t>'</w:t>
      </w:r>
      <w:r w:rsidRPr="00402AFE">
        <w:t xml:space="preserve">organisation du Forum de 2021 du SMSI juste avant ou juste après le FMPT-21, et ce pour plusieurs raisons, à savoir: </w:t>
      </w:r>
      <w:r w:rsidR="00344693">
        <w:t xml:space="preserve">les </w:t>
      </w:r>
      <w:r w:rsidRPr="00402AFE">
        <w:t>disponibilité</w:t>
      </w:r>
      <w:r w:rsidR="00517C89">
        <w:t>s</w:t>
      </w:r>
      <w:r w:rsidRPr="00402AFE">
        <w:t xml:space="preserve"> </w:t>
      </w:r>
      <w:r w:rsidR="00517C89">
        <w:t>limitées au</w:t>
      </w:r>
      <w:r w:rsidRPr="00402AFE">
        <w:t xml:space="preserve"> Centre international de conférences de Genève (CICG); le laps de temps </w:t>
      </w:r>
      <w:r w:rsidR="00517C89">
        <w:t>très court</w:t>
      </w:r>
      <w:r w:rsidRPr="00402AFE">
        <w:t xml:space="preserve"> entre la fin du Ramadan, le 12 mai, et le début de la réunion du GCDT, le 24 mai; le fait qu</w:t>
      </w:r>
      <w:r w:rsidR="004E0E23">
        <w:t>'</w:t>
      </w:r>
      <w:r w:rsidRPr="00402AFE">
        <w:t xml:space="preserve">aucune autre salle de conférence </w:t>
      </w:r>
      <w:r w:rsidR="00517C89">
        <w:t>n</w:t>
      </w:r>
      <w:r w:rsidR="004E0E23">
        <w:t>'</w:t>
      </w:r>
      <w:r w:rsidR="00517C89">
        <w:t>était</w:t>
      </w:r>
      <w:r w:rsidRPr="00402AFE">
        <w:t xml:space="preserve"> disponible, même </w:t>
      </w:r>
      <w:r w:rsidR="00517C89">
        <w:t xml:space="preserve">à </w:t>
      </w:r>
      <w:r w:rsidRPr="00402AFE">
        <w:t>l</w:t>
      </w:r>
      <w:r w:rsidR="004E0E23">
        <w:t>'</w:t>
      </w:r>
      <w:r w:rsidRPr="00402AFE">
        <w:t xml:space="preserve">OMPI et </w:t>
      </w:r>
      <w:r w:rsidR="00517C89">
        <w:t xml:space="preserve">à </w:t>
      </w:r>
      <w:r w:rsidRPr="00402AFE">
        <w:t>l</w:t>
      </w:r>
      <w:r w:rsidR="004E0E23">
        <w:t>'</w:t>
      </w:r>
      <w:r w:rsidRPr="00402AFE">
        <w:t xml:space="preserve">OMM, </w:t>
      </w:r>
      <w:r w:rsidR="00DA78AE">
        <w:t>co</w:t>
      </w:r>
      <w:r w:rsidR="00517C89" w:rsidRPr="00402AFE">
        <w:t xml:space="preserve">organisateurs </w:t>
      </w:r>
      <w:r w:rsidR="00517C89">
        <w:t>de ces manifestations consulté</w:t>
      </w:r>
      <w:r w:rsidRPr="00402AFE">
        <w:t xml:space="preserve">s à cet effet; et le coût additionnel de 50 000 CHF que supposerait la location du CICG pendant une période comprenant </w:t>
      </w:r>
      <w:r w:rsidR="00751F9E">
        <w:br w:type="page"/>
      </w:r>
    </w:p>
    <w:p w:rsidR="00402AFE" w:rsidRPr="00402AFE" w:rsidRDefault="00402AFE" w:rsidP="00DA78AE">
      <w:r w:rsidRPr="00402AFE">
        <w:lastRenderedPageBreak/>
        <w:t>deux week</w:t>
      </w:r>
      <w:r w:rsidR="00DA78AE">
        <w:noBreakHyphen/>
      </w:r>
      <w:r w:rsidRPr="00402AFE">
        <w:t xml:space="preserve">ends prolongés à Genève, qui correspondent à des fêtes chrétiennes. Il est donc proposé de </w:t>
      </w:r>
      <w:r w:rsidR="00DA78AE">
        <w:t xml:space="preserve">suivre la même </w:t>
      </w:r>
      <w:r w:rsidRPr="00402AFE">
        <w:t xml:space="preserve">approche </w:t>
      </w:r>
      <w:r w:rsidR="00DA78AE">
        <w:t xml:space="preserve">que celle </w:t>
      </w:r>
      <w:r w:rsidRPr="00402AFE">
        <w:t>adoptée en 2013, c</w:t>
      </w:r>
      <w:r w:rsidR="004E0E23">
        <w:t>'</w:t>
      </w:r>
      <w:r w:rsidRPr="00402AFE">
        <w:t xml:space="preserve">est-à-dire de faire en sorte que les deux manifestations se chevauchent éventuellement pendant deux jours, de façon à limiter les surcoûts et à tirer le meilleur parti </w:t>
      </w:r>
      <w:r w:rsidR="0027451D">
        <w:t xml:space="preserve">possible </w:t>
      </w:r>
      <w:r w:rsidRPr="00402AFE">
        <w:t>de la présence des participants de haut niveau.</w:t>
      </w:r>
    </w:p>
    <w:p w:rsidR="00402AFE" w:rsidRPr="00402AFE" w:rsidRDefault="00402AFE" w:rsidP="00402AFE">
      <w:r w:rsidRPr="00402AFE">
        <w:t>2.5</w:t>
      </w:r>
      <w:r w:rsidRPr="00402AFE">
        <w:tab/>
        <w:t>Un conseiller souscrit à cette approche.</w:t>
      </w:r>
    </w:p>
    <w:p w:rsidR="00402AFE" w:rsidRPr="00402AFE" w:rsidRDefault="00402AFE" w:rsidP="00344693">
      <w:r w:rsidRPr="00402AFE">
        <w:t>2.6</w:t>
      </w:r>
      <w:r w:rsidRPr="00402AFE">
        <w:tab/>
        <w:t>Le Président faisant fonction propose que le Conseil prenne note du document, étant entendu que les préoccupations concernant l</w:t>
      </w:r>
      <w:r w:rsidR="0027451D">
        <w:t>e</w:t>
      </w:r>
      <w:r w:rsidRPr="00402AFE">
        <w:t xml:space="preserve"> </w:t>
      </w:r>
      <w:r w:rsidR="0027451D">
        <w:t>N</w:t>
      </w:r>
      <w:r w:rsidRPr="00402AFE">
        <w:t>ouvel an lunaire en Asie seront prises en considération</w:t>
      </w:r>
      <w:r w:rsidR="00DC5B99">
        <w:t>, dans la mesure du possible,</w:t>
      </w:r>
      <w:r w:rsidRPr="00402AFE">
        <w:t xml:space="preserve"> dans </w:t>
      </w:r>
      <w:r w:rsidR="00DC5B99">
        <w:t xml:space="preserve">une </w:t>
      </w:r>
      <w:r w:rsidRPr="00402AFE">
        <w:t>version</w:t>
      </w:r>
      <w:r w:rsidR="00344693" w:rsidRPr="00344693">
        <w:t xml:space="preserve"> </w:t>
      </w:r>
      <w:r w:rsidR="00344693">
        <w:t>future</w:t>
      </w:r>
      <w:r w:rsidRPr="00402AFE">
        <w:t>.</w:t>
      </w:r>
    </w:p>
    <w:p w:rsidR="00402AFE" w:rsidRPr="00402AFE" w:rsidRDefault="00402AFE" w:rsidP="00402AFE">
      <w:r w:rsidRPr="00402AFE">
        <w:t>2.7</w:t>
      </w:r>
      <w:r w:rsidRPr="00402AFE">
        <w:tab/>
        <w:t xml:space="preserve">Il en est ainsi </w:t>
      </w:r>
      <w:r w:rsidRPr="00402AFE">
        <w:rPr>
          <w:b/>
        </w:rPr>
        <w:t>décidé</w:t>
      </w:r>
      <w:r w:rsidRPr="00402AFE">
        <w:t>.</w:t>
      </w:r>
    </w:p>
    <w:p w:rsidR="008D4DAA" w:rsidRPr="00DE3725" w:rsidRDefault="00402AFE" w:rsidP="0027451D">
      <w:r w:rsidRPr="00402AFE">
        <w:t>2.8</w:t>
      </w:r>
      <w:r w:rsidRPr="00402AFE">
        <w:tab/>
        <w:t xml:space="preserve">Le Secrétaire général rappelle au Conseil que la PP-18 a décidé que la PP-22 se tiendrait entre la mi-septembre et la mi-octobre 2022. Cela signifie que le Conseil devra </w:t>
      </w:r>
      <w:r w:rsidR="0027451D">
        <w:t>tenir sa session</w:t>
      </w:r>
      <w:r w:rsidRPr="00402AFE">
        <w:t xml:space="preserve"> en mars 2022 (pour </w:t>
      </w:r>
      <w:r w:rsidR="0027451D">
        <w:t>qu</w:t>
      </w:r>
      <w:r w:rsidR="004E0E23">
        <w:t>'</w:t>
      </w:r>
      <w:r w:rsidR="0027451D">
        <w:t>elle coïncide</w:t>
      </w:r>
      <w:r w:rsidRPr="00402AFE">
        <w:t xml:space="preserve"> avec le Ramadan de 2022) et que le groupe de réunions préparatoires des GTC devra peut-être avoir lieu à la fin de 2021.</w:t>
      </w:r>
    </w:p>
    <w:p w:rsidR="008D4DAA" w:rsidRPr="00DE3725" w:rsidRDefault="008D4DAA" w:rsidP="0027451D">
      <w:pPr>
        <w:tabs>
          <w:tab w:val="clear" w:pos="567"/>
          <w:tab w:val="clear" w:pos="1134"/>
          <w:tab w:val="clear" w:pos="1701"/>
          <w:tab w:val="clear" w:pos="2268"/>
          <w:tab w:val="clear" w:pos="2835"/>
          <w:tab w:val="left" w:pos="6521"/>
        </w:tabs>
        <w:snapToGrid w:val="0"/>
        <w:spacing w:before="840"/>
        <w:jc w:val="both"/>
        <w:rPr>
          <w:szCs w:val="24"/>
        </w:rPr>
      </w:pPr>
      <w:r w:rsidRPr="00DE3725">
        <w:rPr>
          <w:szCs w:val="24"/>
        </w:rPr>
        <w:t>Le Secrétaire général:</w:t>
      </w:r>
      <w:r w:rsidRPr="00DE3725">
        <w:rPr>
          <w:szCs w:val="24"/>
        </w:rPr>
        <w:tab/>
        <w:t>Le Président faisant fonction:</w:t>
      </w:r>
    </w:p>
    <w:p w:rsidR="008D4DAA" w:rsidRPr="00DE3725" w:rsidRDefault="008D4DAA" w:rsidP="00457E5F">
      <w:pPr>
        <w:tabs>
          <w:tab w:val="clear" w:pos="567"/>
          <w:tab w:val="clear" w:pos="1134"/>
          <w:tab w:val="clear" w:pos="1701"/>
          <w:tab w:val="clear" w:pos="2268"/>
          <w:tab w:val="clear" w:pos="2835"/>
          <w:tab w:val="left" w:pos="6521"/>
        </w:tabs>
        <w:snapToGrid w:val="0"/>
        <w:spacing w:before="0" w:after="120"/>
        <w:jc w:val="both"/>
        <w:rPr>
          <w:szCs w:val="24"/>
        </w:rPr>
      </w:pPr>
      <w:r w:rsidRPr="00DE3725">
        <w:rPr>
          <w:szCs w:val="24"/>
        </w:rPr>
        <w:t>H. ZHAO</w:t>
      </w:r>
      <w:bookmarkStart w:id="10" w:name="_GoBack"/>
      <w:bookmarkEnd w:id="10"/>
      <w:r w:rsidRPr="00DE3725">
        <w:rPr>
          <w:szCs w:val="24"/>
        </w:rPr>
        <w:tab/>
        <w:t>F. BIGI</w:t>
      </w:r>
    </w:p>
    <w:sectPr w:rsidR="008D4DAA" w:rsidRPr="00DE3725"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AA" w:rsidRDefault="008D4DAA">
      <w:r>
        <w:separator/>
      </w:r>
    </w:p>
  </w:endnote>
  <w:endnote w:type="continuationSeparator" w:id="0">
    <w:p w:rsidR="008D4DAA" w:rsidRDefault="008D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C5B99">
    <w:pPr>
      <w:pStyle w:val="Footer"/>
    </w:pPr>
    <w:fldSimple w:instr=" FILENAME \p \* MERGEFORMAT ">
      <w:r w:rsidR="00A548D4">
        <w:t>P:\FRA\SG\CONSEIL\C19\100\119F.docx</w:t>
      </w:r>
    </w:fldSimple>
    <w:r w:rsidR="00732045">
      <w:tab/>
    </w:r>
    <w:r w:rsidR="002F1B76">
      <w:fldChar w:fldCharType="begin"/>
    </w:r>
    <w:r w:rsidR="00732045">
      <w:instrText xml:space="preserve"> savedate \@ dd.MM.yy </w:instrText>
    </w:r>
    <w:r w:rsidR="002F1B76">
      <w:fldChar w:fldCharType="separate"/>
    </w:r>
    <w:r w:rsidR="00046152">
      <w:t>22.07.19</w:t>
    </w:r>
    <w:r w:rsidR="002F1B76">
      <w:fldChar w:fldCharType="end"/>
    </w:r>
    <w:r w:rsidR="00732045">
      <w:tab/>
    </w:r>
    <w:r w:rsidR="002F1B76">
      <w:fldChar w:fldCharType="begin"/>
    </w:r>
    <w:r w:rsidR="00732045">
      <w:instrText xml:space="preserve"> printdate \@ dd.MM.yy </w:instrText>
    </w:r>
    <w:r w:rsidR="002F1B76">
      <w:fldChar w:fldCharType="separate"/>
    </w:r>
    <w:r w:rsidR="00A548D4">
      <w:t>18.07.19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C5B99" w:rsidP="00E30B8B">
    <w:pPr>
      <w:pStyle w:val="Footer"/>
    </w:pPr>
    <w:fldSimple w:instr=" FILENAME \p \* MERGEFORMAT ">
      <w:r w:rsidR="004E0E23">
        <w:t>P:\FRA\SG\CONSEIL\C19\100\119V2F.docx</w:t>
      </w:r>
    </w:fldSimple>
    <w:r w:rsidR="00144B10">
      <w:t xml:space="preserve"> (</w:t>
    </w:r>
    <w:r w:rsidR="00E30B8B">
      <w:t>457512</w:t>
    </w:r>
    <w:r w:rsidR="00144B10">
      <w:t>)</w:t>
    </w:r>
    <w:r w:rsidR="00E30B8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AA" w:rsidRDefault="008D4DAA">
      <w:r>
        <w:t>____________________</w:t>
      </w:r>
    </w:p>
  </w:footnote>
  <w:footnote w:type="continuationSeparator" w:id="0">
    <w:p w:rsidR="008D4DAA" w:rsidRDefault="008D4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F43A22">
      <w:rPr>
        <w:noProof/>
      </w:rPr>
      <w:t>3</w:t>
    </w:r>
    <w:r>
      <w:rPr>
        <w:noProof/>
      </w:rPr>
      <w:fldChar w:fldCharType="end"/>
    </w:r>
  </w:p>
  <w:p w:rsidR="00732045" w:rsidRDefault="00732045" w:rsidP="00E30B8B">
    <w:pPr>
      <w:pStyle w:val="Header"/>
    </w:pPr>
    <w:r>
      <w:t>C1</w:t>
    </w:r>
    <w:r w:rsidR="00106B19">
      <w:t>9</w:t>
    </w:r>
    <w:r w:rsidR="00C1356A">
      <w:t>/11</w:t>
    </w:r>
    <w:r w:rsidR="00E30B8B">
      <w:t>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AA"/>
    <w:rsid w:val="00046152"/>
    <w:rsid w:val="000D0D0A"/>
    <w:rsid w:val="00103163"/>
    <w:rsid w:val="00106B19"/>
    <w:rsid w:val="00115D93"/>
    <w:rsid w:val="001247A8"/>
    <w:rsid w:val="001378C0"/>
    <w:rsid w:val="00144B10"/>
    <w:rsid w:val="0018694A"/>
    <w:rsid w:val="001A3287"/>
    <w:rsid w:val="001A6508"/>
    <w:rsid w:val="001D4C31"/>
    <w:rsid w:val="001E4D21"/>
    <w:rsid w:val="00207CD1"/>
    <w:rsid w:val="002477A2"/>
    <w:rsid w:val="00263A51"/>
    <w:rsid w:val="00267E02"/>
    <w:rsid w:val="0027451D"/>
    <w:rsid w:val="002A5D44"/>
    <w:rsid w:val="002D133F"/>
    <w:rsid w:val="002E0BC4"/>
    <w:rsid w:val="002F1B76"/>
    <w:rsid w:val="0033568E"/>
    <w:rsid w:val="00344693"/>
    <w:rsid w:val="00355FF5"/>
    <w:rsid w:val="00361350"/>
    <w:rsid w:val="003C3FAE"/>
    <w:rsid w:val="00402AFE"/>
    <w:rsid w:val="004038CB"/>
    <w:rsid w:val="0040546F"/>
    <w:rsid w:val="0042404A"/>
    <w:rsid w:val="0044618F"/>
    <w:rsid w:val="00457E5F"/>
    <w:rsid w:val="0046769A"/>
    <w:rsid w:val="00475FB3"/>
    <w:rsid w:val="004C37A9"/>
    <w:rsid w:val="004E0E23"/>
    <w:rsid w:val="004F259E"/>
    <w:rsid w:val="00511F1D"/>
    <w:rsid w:val="00517C89"/>
    <w:rsid w:val="00520F36"/>
    <w:rsid w:val="00540615"/>
    <w:rsid w:val="00540A6D"/>
    <w:rsid w:val="00571EEA"/>
    <w:rsid w:val="00575417"/>
    <w:rsid w:val="005768E1"/>
    <w:rsid w:val="005B1938"/>
    <w:rsid w:val="005C32B4"/>
    <w:rsid w:val="005C3890"/>
    <w:rsid w:val="005F7BFE"/>
    <w:rsid w:val="00600017"/>
    <w:rsid w:val="006235CA"/>
    <w:rsid w:val="00651FFC"/>
    <w:rsid w:val="006643AB"/>
    <w:rsid w:val="007210CD"/>
    <w:rsid w:val="00732045"/>
    <w:rsid w:val="007369DB"/>
    <w:rsid w:val="00751F9E"/>
    <w:rsid w:val="00765D29"/>
    <w:rsid w:val="00790901"/>
    <w:rsid w:val="007956C2"/>
    <w:rsid w:val="007A187E"/>
    <w:rsid w:val="007A53E5"/>
    <w:rsid w:val="007C72C2"/>
    <w:rsid w:val="007D4436"/>
    <w:rsid w:val="007F257A"/>
    <w:rsid w:val="007F3665"/>
    <w:rsid w:val="00800037"/>
    <w:rsid w:val="00861D73"/>
    <w:rsid w:val="008A4E87"/>
    <w:rsid w:val="008D4DAA"/>
    <w:rsid w:val="008D76E6"/>
    <w:rsid w:val="0092392D"/>
    <w:rsid w:val="0093234A"/>
    <w:rsid w:val="00962107"/>
    <w:rsid w:val="009C307F"/>
    <w:rsid w:val="00A2113E"/>
    <w:rsid w:val="00A23A51"/>
    <w:rsid w:val="00A24607"/>
    <w:rsid w:val="00A25CD3"/>
    <w:rsid w:val="00A41644"/>
    <w:rsid w:val="00A548D4"/>
    <w:rsid w:val="00A82767"/>
    <w:rsid w:val="00AA332F"/>
    <w:rsid w:val="00AA528D"/>
    <w:rsid w:val="00AA7BBB"/>
    <w:rsid w:val="00AB64A8"/>
    <w:rsid w:val="00AC0266"/>
    <w:rsid w:val="00AD24EC"/>
    <w:rsid w:val="00B309F9"/>
    <w:rsid w:val="00B32B60"/>
    <w:rsid w:val="00B61619"/>
    <w:rsid w:val="00B9012E"/>
    <w:rsid w:val="00BB4545"/>
    <w:rsid w:val="00BD5873"/>
    <w:rsid w:val="00C04BE3"/>
    <w:rsid w:val="00C1356A"/>
    <w:rsid w:val="00C25D29"/>
    <w:rsid w:val="00C27A7C"/>
    <w:rsid w:val="00C32A10"/>
    <w:rsid w:val="00CA08ED"/>
    <w:rsid w:val="00CF183B"/>
    <w:rsid w:val="00D375CD"/>
    <w:rsid w:val="00D553A2"/>
    <w:rsid w:val="00D774D3"/>
    <w:rsid w:val="00D904E8"/>
    <w:rsid w:val="00DA08C3"/>
    <w:rsid w:val="00DA78AE"/>
    <w:rsid w:val="00DB5A3E"/>
    <w:rsid w:val="00DC22AA"/>
    <w:rsid w:val="00DC5B99"/>
    <w:rsid w:val="00DF74DD"/>
    <w:rsid w:val="00E25AD0"/>
    <w:rsid w:val="00E30B8B"/>
    <w:rsid w:val="00EB6350"/>
    <w:rsid w:val="00EE7EFB"/>
    <w:rsid w:val="00F15B57"/>
    <w:rsid w:val="00F427DB"/>
    <w:rsid w:val="00F43A22"/>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5E03714-FA89-4C61-8C0D-3686DF29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8D4DAA"/>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37/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19-CL-C-0021/en"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19-CL-C-0037/en" TargetMode="External"/><Relationship Id="rId4" Type="http://schemas.openxmlformats.org/officeDocument/2006/relationships/footnotes" Target="footnotes.xml"/><Relationship Id="rId9" Type="http://schemas.openxmlformats.org/officeDocument/2006/relationships/hyperlink" Target="https://www.itu.int/md/S19-CL-C-0021/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3</TotalTime>
  <Pages>3</Pages>
  <Words>761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4924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Royer, Veronique</cp:lastModifiedBy>
  <cp:revision>5</cp:revision>
  <cp:lastPrinted>2019-07-18T13:04:00Z</cp:lastPrinted>
  <dcterms:created xsi:type="dcterms:W3CDTF">2019-07-23T08:24:00Z</dcterms:created>
  <dcterms:modified xsi:type="dcterms:W3CDTF">2019-07-23T08:27:00Z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