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8C29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8C29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8C2919">
              <w:rPr>
                <w:b/>
                <w:bCs/>
                <w:szCs w:val="24"/>
                <w:lang w:val="fr-CH"/>
              </w:rPr>
              <w:t>10-20 juin 2019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520F36" w:rsidRDefault="00520F36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8C29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7D1F1D">
              <w:rPr>
                <w:b/>
                <w:bCs/>
              </w:rPr>
              <w:t>121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7D1F1D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20 juin</w:t>
            </w:r>
            <w:r w:rsidR="00520F36">
              <w:rPr>
                <w:b/>
                <w:bCs/>
              </w:rPr>
              <w:t xml:space="preserve"> 201</w:t>
            </w:r>
            <w:r w:rsidR="008C29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</w:tbl>
    <w:bookmarkEnd w:id="5"/>
    <w:p w:rsidR="007D1F1D" w:rsidRDefault="007D1F1D" w:rsidP="007D1F1D">
      <w:pPr>
        <w:pStyle w:val="ResNo"/>
        <w:spacing w:before="600"/>
        <w:rPr>
          <w:rFonts w:cs="Calibri"/>
          <w:szCs w:val="28"/>
          <w:lang w:val="fr-CH"/>
        </w:rPr>
      </w:pPr>
      <w:r w:rsidRPr="00FA20BF">
        <w:rPr>
          <w:rFonts w:cs="Calibri"/>
          <w:szCs w:val="28"/>
          <w:lang w:val="fr-CH"/>
        </w:rPr>
        <w:t xml:space="preserve">RÉSOLUTION </w:t>
      </w:r>
      <w:r>
        <w:rPr>
          <w:rFonts w:cs="Calibri"/>
          <w:szCs w:val="28"/>
          <w:lang w:val="fr-CH"/>
        </w:rPr>
        <w:t>1395</w:t>
      </w:r>
    </w:p>
    <w:p w:rsidR="007D1F1D" w:rsidRPr="005B0D57" w:rsidRDefault="000C34FF" w:rsidP="007D1F1D">
      <w:pPr>
        <w:pStyle w:val="Restitle"/>
        <w:rPr>
          <w:b w:val="0"/>
          <w:bCs/>
          <w:lang w:val="fr-CH"/>
        </w:rPr>
      </w:pPr>
      <w:r>
        <w:rPr>
          <w:b w:val="0"/>
          <w:bCs/>
          <w:lang w:val="fr-CH"/>
        </w:rPr>
        <w:t>(adoptée à la s</w:t>
      </w:r>
      <w:r w:rsidR="007D1F1D" w:rsidRPr="005B0D57">
        <w:rPr>
          <w:b w:val="0"/>
          <w:bCs/>
          <w:lang w:val="fr-CH"/>
        </w:rPr>
        <w:t>éance plénière</w:t>
      </w:r>
      <w:bookmarkStart w:id="6" w:name="_GoBack"/>
      <w:bookmarkEnd w:id="6"/>
      <w:r w:rsidR="007D1F1D">
        <w:rPr>
          <w:b w:val="0"/>
          <w:bCs/>
          <w:lang w:val="fr-CH"/>
        </w:rPr>
        <w:t xml:space="preserve"> inaugurale</w:t>
      </w:r>
      <w:r w:rsidR="007D1F1D" w:rsidRPr="005B0D57">
        <w:rPr>
          <w:b w:val="0"/>
          <w:bCs/>
          <w:lang w:val="fr-CH"/>
        </w:rPr>
        <w:t>)</w:t>
      </w:r>
    </w:p>
    <w:p w:rsidR="007D1F1D" w:rsidRPr="00FA20BF" w:rsidRDefault="007D1F1D" w:rsidP="007D1F1D">
      <w:pPr>
        <w:pStyle w:val="Restitle"/>
        <w:rPr>
          <w:lang w:val="fr-CH"/>
        </w:rPr>
      </w:pPr>
      <w:r w:rsidRPr="00FA20BF">
        <w:rPr>
          <w:lang w:val="fr-CH"/>
        </w:rPr>
        <w:t xml:space="preserve">Plans opérationnels annuels quadriennaux glissants </w:t>
      </w:r>
      <w:r>
        <w:rPr>
          <w:lang w:val="fr-CH"/>
        </w:rPr>
        <w:t>de</w:t>
      </w:r>
      <w:r w:rsidRPr="00FA20BF">
        <w:rPr>
          <w:lang w:val="fr-CH"/>
        </w:rPr>
        <w:t xml:space="preserve"> l</w:t>
      </w:r>
      <w:r>
        <w:rPr>
          <w:lang w:val="fr-CH"/>
        </w:rPr>
        <w:t>'</w:t>
      </w:r>
      <w:r w:rsidRPr="00FA20BF">
        <w:rPr>
          <w:lang w:val="fr-CH"/>
        </w:rPr>
        <w:t xml:space="preserve">Union </w:t>
      </w:r>
      <w:r w:rsidRPr="00FA20BF">
        <w:rPr>
          <w:lang w:val="fr-CH"/>
        </w:rPr>
        <w:br/>
        <w:t xml:space="preserve">pour la période </w:t>
      </w:r>
      <w:r w:rsidRPr="0043436E">
        <w:rPr>
          <w:lang w:val="fr-CH"/>
        </w:rPr>
        <w:t>2020-2023</w:t>
      </w:r>
    </w:p>
    <w:p w:rsidR="007D1F1D" w:rsidRPr="00FA20BF" w:rsidRDefault="007D1F1D" w:rsidP="00C729A1">
      <w:pPr>
        <w:pStyle w:val="Normalaftertitle"/>
        <w:jc w:val="both"/>
        <w:rPr>
          <w:rFonts w:cstheme="minorHAnsi"/>
          <w:szCs w:val="24"/>
          <w:lang w:val="fr-CH"/>
        </w:rPr>
      </w:pPr>
      <w:r w:rsidRPr="00FA20BF">
        <w:rPr>
          <w:rFonts w:cstheme="minorHAnsi"/>
          <w:szCs w:val="24"/>
          <w:lang w:val="fr-CH"/>
        </w:rPr>
        <w:t>Le Conseil,</w:t>
      </w:r>
    </w:p>
    <w:p w:rsidR="007D1F1D" w:rsidRPr="00FA20BF" w:rsidRDefault="007D1F1D" w:rsidP="00C729A1">
      <w:pPr>
        <w:pStyle w:val="Call"/>
        <w:jc w:val="both"/>
        <w:rPr>
          <w:lang w:val="fr-CH"/>
        </w:rPr>
      </w:pPr>
      <w:proofErr w:type="gramStart"/>
      <w:r w:rsidRPr="00FA20BF">
        <w:rPr>
          <w:lang w:val="fr-CH"/>
        </w:rPr>
        <w:t>reconnaissant</w:t>
      </w:r>
      <w:proofErr w:type="gramEnd"/>
    </w:p>
    <w:p w:rsidR="007D1F1D" w:rsidRPr="00FA20BF" w:rsidRDefault="007D1F1D" w:rsidP="00C729A1">
      <w:pPr>
        <w:jc w:val="both"/>
        <w:rPr>
          <w:lang w:val="fr-CH"/>
        </w:rPr>
      </w:pPr>
      <w:proofErr w:type="gramStart"/>
      <w:r w:rsidRPr="00FA20BF">
        <w:rPr>
          <w:lang w:val="fr-CH"/>
        </w:rPr>
        <w:t>les</w:t>
      </w:r>
      <w:proofErr w:type="gramEnd"/>
      <w:r w:rsidRPr="00FA20BF">
        <w:rPr>
          <w:lang w:val="fr-CH"/>
        </w:rPr>
        <w:t xml:space="preserve"> dispositions des articles 5, 11A, 12, 14A, 15 et 18 de la Convention de l</w:t>
      </w:r>
      <w:r>
        <w:rPr>
          <w:lang w:val="fr-CH"/>
        </w:rPr>
        <w:t>'</w:t>
      </w:r>
      <w:r w:rsidRPr="00FA20BF">
        <w:rPr>
          <w:lang w:val="fr-CH"/>
        </w:rPr>
        <w:t>UIT,</w:t>
      </w:r>
    </w:p>
    <w:p w:rsidR="007D1F1D" w:rsidRPr="00FA20BF" w:rsidRDefault="007D1F1D" w:rsidP="00C729A1">
      <w:pPr>
        <w:pStyle w:val="Call"/>
        <w:jc w:val="both"/>
        <w:rPr>
          <w:lang w:val="fr-CH"/>
        </w:rPr>
      </w:pPr>
      <w:proofErr w:type="gramStart"/>
      <w:r w:rsidRPr="00FA20BF">
        <w:rPr>
          <w:lang w:val="fr-CH"/>
        </w:rPr>
        <w:t>rappelant</w:t>
      </w:r>
      <w:proofErr w:type="gramEnd"/>
    </w:p>
    <w:p w:rsidR="007D1F1D" w:rsidRPr="00FA20BF" w:rsidRDefault="007D1F1D" w:rsidP="00C729A1">
      <w:pPr>
        <w:jc w:val="both"/>
        <w:rPr>
          <w:rFonts w:cstheme="minorHAnsi"/>
          <w:szCs w:val="24"/>
          <w:lang w:val="fr-CH"/>
        </w:rPr>
      </w:pPr>
      <w:proofErr w:type="gramStart"/>
      <w:r w:rsidRPr="00FA20BF">
        <w:rPr>
          <w:rFonts w:cstheme="minorHAnsi"/>
          <w:szCs w:val="24"/>
          <w:lang w:val="fr-CH"/>
        </w:rPr>
        <w:t>la</w:t>
      </w:r>
      <w:proofErr w:type="gramEnd"/>
      <w:r w:rsidRPr="00FA20BF">
        <w:rPr>
          <w:rFonts w:cstheme="minorHAnsi"/>
          <w:szCs w:val="24"/>
          <w:lang w:val="fr-CH"/>
        </w:rPr>
        <w:t xml:space="preserve"> Résolution 71 (</w:t>
      </w:r>
      <w:proofErr w:type="spellStart"/>
      <w:r w:rsidRPr="00FA20BF">
        <w:rPr>
          <w:rFonts w:cstheme="minorHAnsi"/>
          <w:szCs w:val="24"/>
          <w:lang w:val="fr-CH"/>
        </w:rPr>
        <w:t>Rév</w:t>
      </w:r>
      <w:proofErr w:type="spellEnd"/>
      <w:r w:rsidRPr="00FA20BF">
        <w:rPr>
          <w:rFonts w:cstheme="minorHAnsi"/>
          <w:szCs w:val="24"/>
          <w:lang w:val="fr-CH"/>
        </w:rPr>
        <w:t>. Dubaï, 2018) de la Conférence de plénipotentiaires relative au Plan stratégique de l</w:t>
      </w:r>
      <w:r>
        <w:rPr>
          <w:rFonts w:cstheme="minorHAnsi"/>
          <w:szCs w:val="24"/>
          <w:lang w:val="fr-CH"/>
        </w:rPr>
        <w:t>'</w:t>
      </w:r>
      <w:r w:rsidRPr="00FA20BF">
        <w:rPr>
          <w:rFonts w:cstheme="minorHAnsi"/>
          <w:szCs w:val="24"/>
          <w:lang w:val="fr-CH"/>
        </w:rPr>
        <w:t>Union pour la période 2020-2023 et la Résolution 151 (</w:t>
      </w:r>
      <w:proofErr w:type="spellStart"/>
      <w:r w:rsidRPr="00FA20BF">
        <w:rPr>
          <w:rFonts w:cstheme="minorHAnsi"/>
          <w:szCs w:val="24"/>
          <w:lang w:val="fr-CH"/>
        </w:rPr>
        <w:t>Rév</w:t>
      </w:r>
      <w:proofErr w:type="spellEnd"/>
      <w:r w:rsidRPr="00FA20BF">
        <w:rPr>
          <w:rFonts w:cstheme="minorHAnsi"/>
          <w:szCs w:val="24"/>
          <w:lang w:val="fr-CH"/>
        </w:rPr>
        <w:t xml:space="preserve">. Dubaï, 2018) de la Conférence de plénipotentiaires concernant la mise en </w:t>
      </w:r>
      <w:proofErr w:type="spellStart"/>
      <w:r w:rsidRPr="00FA20BF">
        <w:rPr>
          <w:rFonts w:cstheme="minorHAnsi"/>
          <w:szCs w:val="24"/>
          <w:lang w:val="fr-CH"/>
        </w:rPr>
        <w:t>oeuvre</w:t>
      </w:r>
      <w:proofErr w:type="spellEnd"/>
      <w:r w:rsidRPr="00FA20BF">
        <w:rPr>
          <w:rFonts w:cstheme="minorHAnsi"/>
          <w:szCs w:val="24"/>
          <w:lang w:val="fr-CH"/>
        </w:rPr>
        <w:t xml:space="preserve"> à l</w:t>
      </w:r>
      <w:r>
        <w:rPr>
          <w:rFonts w:cstheme="minorHAnsi"/>
          <w:szCs w:val="24"/>
          <w:lang w:val="fr-CH"/>
        </w:rPr>
        <w:t>'</w:t>
      </w:r>
      <w:r w:rsidRPr="00FA20BF">
        <w:rPr>
          <w:rFonts w:cstheme="minorHAnsi"/>
          <w:szCs w:val="24"/>
          <w:lang w:val="fr-CH"/>
        </w:rPr>
        <w:t>UIT de la gestion axée sur les résultats,</w:t>
      </w:r>
    </w:p>
    <w:p w:rsidR="007D1F1D" w:rsidRPr="00FA20BF" w:rsidRDefault="007D1F1D" w:rsidP="00C729A1">
      <w:pPr>
        <w:pStyle w:val="Call"/>
        <w:jc w:val="both"/>
        <w:rPr>
          <w:lang w:val="fr-CH"/>
        </w:rPr>
      </w:pPr>
      <w:proofErr w:type="gramStart"/>
      <w:r w:rsidRPr="00FA20BF">
        <w:rPr>
          <w:lang w:val="fr-CH"/>
        </w:rPr>
        <w:t>ayant</w:t>
      </w:r>
      <w:proofErr w:type="gramEnd"/>
      <w:r w:rsidRPr="00FA20BF">
        <w:rPr>
          <w:lang w:val="fr-CH"/>
        </w:rPr>
        <w:t xml:space="preserve"> considéré</w:t>
      </w:r>
    </w:p>
    <w:p w:rsidR="007D1F1D" w:rsidRPr="00FA20BF" w:rsidRDefault="007D1F1D" w:rsidP="00C729A1">
      <w:pPr>
        <w:jc w:val="both"/>
        <w:rPr>
          <w:lang w:val="fr-CH"/>
        </w:rPr>
      </w:pPr>
      <w:proofErr w:type="gramStart"/>
      <w:r w:rsidRPr="00FA20BF">
        <w:rPr>
          <w:lang w:val="fr-CH"/>
        </w:rPr>
        <w:t>les</w:t>
      </w:r>
      <w:proofErr w:type="gramEnd"/>
      <w:r w:rsidRPr="00FA20BF">
        <w:rPr>
          <w:lang w:val="fr-CH"/>
        </w:rPr>
        <w:t xml:space="preserve"> projets de Plan</w:t>
      </w:r>
      <w:r>
        <w:rPr>
          <w:lang w:val="fr-CH"/>
        </w:rPr>
        <w:t>s</w:t>
      </w:r>
      <w:r w:rsidRPr="00FA20BF">
        <w:rPr>
          <w:lang w:val="fr-CH"/>
        </w:rPr>
        <w:t xml:space="preserve"> opérationnel</w:t>
      </w:r>
      <w:r>
        <w:rPr>
          <w:lang w:val="fr-CH"/>
        </w:rPr>
        <w:t>s</w:t>
      </w:r>
      <w:r w:rsidRPr="00FA20BF">
        <w:rPr>
          <w:lang w:val="fr-CH"/>
        </w:rPr>
        <w:t xml:space="preserve"> quadrienna</w:t>
      </w:r>
      <w:r>
        <w:rPr>
          <w:lang w:val="fr-CH"/>
        </w:rPr>
        <w:t>ux</w:t>
      </w:r>
      <w:r w:rsidRPr="00FA20BF">
        <w:rPr>
          <w:lang w:val="fr-CH"/>
        </w:rPr>
        <w:t xml:space="preserve"> glissant</w:t>
      </w:r>
      <w:r>
        <w:rPr>
          <w:lang w:val="fr-CH"/>
        </w:rPr>
        <w:t>s</w:t>
      </w:r>
      <w:r w:rsidRPr="00FA20BF">
        <w:rPr>
          <w:lang w:val="fr-CH"/>
        </w:rPr>
        <w:t xml:space="preserve"> pour la période 2020-2023 </w:t>
      </w:r>
      <w:r w:rsidRPr="0043436E">
        <w:rPr>
          <w:rFonts w:cstheme="minorHAnsi"/>
          <w:szCs w:val="24"/>
          <w:lang w:val="fr-CH"/>
        </w:rPr>
        <w:t>(Document </w:t>
      </w:r>
      <w:hyperlink r:id="rId7" w:history="1">
        <w:r w:rsidRPr="00FA20BF">
          <w:rPr>
            <w:rStyle w:val="Hyperlink"/>
            <w:lang w:val="fr-CH"/>
          </w:rPr>
          <w:t>C19/28</w:t>
        </w:r>
      </w:hyperlink>
      <w:hyperlink r:id="rId8" w:history="1"/>
      <w:r w:rsidRPr="0043436E">
        <w:rPr>
          <w:rFonts w:cstheme="minorHAnsi"/>
          <w:szCs w:val="24"/>
          <w:lang w:val="fr-CH"/>
        </w:rPr>
        <w:t>),</w:t>
      </w:r>
    </w:p>
    <w:p w:rsidR="007D1F1D" w:rsidRPr="00FA20BF" w:rsidRDefault="007D1F1D" w:rsidP="00C729A1">
      <w:pPr>
        <w:pStyle w:val="Call"/>
        <w:jc w:val="both"/>
        <w:rPr>
          <w:lang w:val="fr-CH"/>
        </w:rPr>
      </w:pPr>
      <w:proofErr w:type="gramStart"/>
      <w:r w:rsidRPr="00FA20BF">
        <w:rPr>
          <w:lang w:val="fr-CH"/>
        </w:rPr>
        <w:t>ayant</w:t>
      </w:r>
      <w:proofErr w:type="gramEnd"/>
      <w:r w:rsidRPr="00FA20BF">
        <w:rPr>
          <w:lang w:val="fr-CH"/>
        </w:rPr>
        <w:t xml:space="preserve"> considéré en outre</w:t>
      </w:r>
    </w:p>
    <w:p w:rsidR="007D1F1D" w:rsidRPr="00FA20BF" w:rsidRDefault="007D1F1D" w:rsidP="00C729A1">
      <w:pPr>
        <w:jc w:val="both"/>
        <w:rPr>
          <w:rFonts w:cstheme="minorHAnsi"/>
          <w:szCs w:val="24"/>
          <w:lang w:val="fr-CH"/>
        </w:rPr>
      </w:pPr>
      <w:proofErr w:type="gramStart"/>
      <w:r w:rsidRPr="00FA20BF">
        <w:rPr>
          <w:lang w:val="fr-CH"/>
        </w:rPr>
        <w:t>la</w:t>
      </w:r>
      <w:proofErr w:type="gramEnd"/>
      <w:r w:rsidRPr="00FA20BF">
        <w:rPr>
          <w:lang w:val="fr-CH"/>
        </w:rPr>
        <w:t xml:space="preserve"> nécessité pour le Secrétaire général et les Directeurs des Bureaux de disposer d</w:t>
      </w:r>
      <w:r>
        <w:rPr>
          <w:lang w:val="fr-CH"/>
        </w:rPr>
        <w:t>'</w:t>
      </w:r>
      <w:r w:rsidRPr="00FA20BF">
        <w:rPr>
          <w:lang w:val="fr-CH"/>
        </w:rPr>
        <w:t xml:space="preserve">une certaine souplesse dans la mise en œuvre des </w:t>
      </w:r>
      <w:r w:rsidRPr="0043436E">
        <w:rPr>
          <w:lang w:val="fr-CH"/>
        </w:rPr>
        <w:t xml:space="preserve">parties des </w:t>
      </w:r>
      <w:r w:rsidRPr="00FA20BF">
        <w:rPr>
          <w:lang w:val="fr-CH"/>
        </w:rPr>
        <w:t xml:space="preserve">plans opérationnels </w:t>
      </w:r>
      <w:r w:rsidRPr="0043436E">
        <w:rPr>
          <w:lang w:val="fr-CH"/>
        </w:rPr>
        <w:t xml:space="preserve">annuels </w:t>
      </w:r>
      <w:r w:rsidRPr="00FA20BF">
        <w:rPr>
          <w:lang w:val="fr-CH"/>
        </w:rPr>
        <w:t>quadriennaux glissants dont ils sont respectivement responsables, afin de tenir compte des changements qui pourraient avoir lieu entre deux sessions du Conseil</w:t>
      </w:r>
      <w:r w:rsidRPr="00FA20BF">
        <w:rPr>
          <w:rFonts w:cstheme="minorHAnsi"/>
          <w:szCs w:val="24"/>
          <w:lang w:val="fr-CH"/>
        </w:rPr>
        <w:t>,</w:t>
      </w:r>
    </w:p>
    <w:p w:rsidR="007D1F1D" w:rsidRPr="00FA20BF" w:rsidRDefault="007D1F1D" w:rsidP="00C729A1">
      <w:pPr>
        <w:pStyle w:val="Call"/>
        <w:jc w:val="both"/>
        <w:rPr>
          <w:lang w:val="fr-CH"/>
        </w:rPr>
      </w:pPr>
      <w:proofErr w:type="gramStart"/>
      <w:r w:rsidRPr="00FA20BF">
        <w:rPr>
          <w:lang w:val="fr-CH"/>
        </w:rPr>
        <w:t>décide</w:t>
      </w:r>
      <w:proofErr w:type="gramEnd"/>
    </w:p>
    <w:p w:rsidR="007D1F1D" w:rsidRPr="00FA20BF" w:rsidRDefault="007D1F1D" w:rsidP="00C729A1">
      <w:pPr>
        <w:jc w:val="both"/>
        <w:rPr>
          <w:rFonts w:cstheme="minorHAnsi"/>
          <w:szCs w:val="24"/>
          <w:lang w:val="fr-CH"/>
        </w:rPr>
      </w:pPr>
      <w:r w:rsidRPr="00FA20BF">
        <w:rPr>
          <w:rFonts w:cstheme="minorHAnsi"/>
          <w:szCs w:val="24"/>
          <w:lang w:val="fr-CH"/>
        </w:rPr>
        <w:t>1</w:t>
      </w:r>
      <w:r w:rsidRPr="00FA20BF">
        <w:rPr>
          <w:rFonts w:cstheme="minorHAnsi"/>
          <w:szCs w:val="24"/>
          <w:lang w:val="fr-CH"/>
        </w:rPr>
        <w:tab/>
        <w:t>d</w:t>
      </w:r>
      <w:r>
        <w:rPr>
          <w:rFonts w:cstheme="minorHAnsi"/>
          <w:szCs w:val="24"/>
          <w:lang w:val="fr-CH"/>
        </w:rPr>
        <w:t>'</w:t>
      </w:r>
      <w:r w:rsidRPr="00FA20BF">
        <w:rPr>
          <w:rFonts w:cstheme="minorHAnsi"/>
          <w:szCs w:val="24"/>
          <w:lang w:val="fr-CH"/>
        </w:rPr>
        <w:t xml:space="preserve">approuver les plans opérationnels annuels quadriennaux glissants </w:t>
      </w:r>
      <w:r w:rsidRPr="0043436E">
        <w:rPr>
          <w:rFonts w:cstheme="minorHAnsi"/>
          <w:szCs w:val="24"/>
          <w:lang w:val="fr-CH"/>
        </w:rPr>
        <w:t>de l</w:t>
      </w:r>
      <w:r>
        <w:rPr>
          <w:rFonts w:cstheme="minorHAnsi"/>
          <w:szCs w:val="24"/>
          <w:lang w:val="fr-CH"/>
        </w:rPr>
        <w:t>'</w:t>
      </w:r>
      <w:r w:rsidRPr="0043436E">
        <w:rPr>
          <w:rFonts w:cstheme="minorHAnsi"/>
          <w:szCs w:val="24"/>
          <w:lang w:val="fr-CH"/>
        </w:rPr>
        <w:t xml:space="preserve">Union </w:t>
      </w:r>
      <w:r w:rsidRPr="00FA20BF">
        <w:rPr>
          <w:rFonts w:cstheme="minorHAnsi"/>
          <w:szCs w:val="24"/>
          <w:lang w:val="fr-CH"/>
        </w:rPr>
        <w:t xml:space="preserve">pour </w:t>
      </w:r>
      <w:r w:rsidRPr="00FA20BF">
        <w:rPr>
          <w:lang w:val="fr-CH"/>
        </w:rPr>
        <w:t>la période </w:t>
      </w:r>
      <w:r w:rsidRPr="00FA20BF">
        <w:rPr>
          <w:rFonts w:cstheme="minorHAnsi"/>
          <w:szCs w:val="24"/>
          <w:lang w:val="fr-CH"/>
        </w:rPr>
        <w:t>2020</w:t>
      </w:r>
      <w:r w:rsidRPr="00FA20BF">
        <w:rPr>
          <w:rFonts w:cstheme="minorHAnsi"/>
          <w:szCs w:val="24"/>
          <w:lang w:val="fr-CH"/>
        </w:rPr>
        <w:noBreakHyphen/>
        <w:t>2023; et</w:t>
      </w:r>
    </w:p>
    <w:p w:rsidR="007D1F1D" w:rsidRPr="00FA20BF" w:rsidRDefault="007D1F1D" w:rsidP="00C729A1">
      <w:pPr>
        <w:jc w:val="both"/>
        <w:rPr>
          <w:lang w:val="fr-CH"/>
        </w:rPr>
      </w:pPr>
      <w:r w:rsidRPr="00FA20BF">
        <w:rPr>
          <w:lang w:val="fr-CH"/>
        </w:rPr>
        <w:t>2</w:t>
      </w:r>
      <w:r w:rsidRPr="00FA20BF">
        <w:rPr>
          <w:lang w:val="fr-CH"/>
        </w:rPr>
        <w:tab/>
        <w:t>d</w:t>
      </w:r>
      <w:r>
        <w:rPr>
          <w:lang w:val="fr-CH"/>
        </w:rPr>
        <w:t>'</w:t>
      </w:r>
      <w:r w:rsidRPr="00FA20BF">
        <w:rPr>
          <w:lang w:val="fr-CH"/>
        </w:rPr>
        <w:t>octroyer au Secrétaire général et aux Directeurs des Bureaux la souplesse nécessaire dans la mise en œuvre des</w:t>
      </w:r>
      <w:r w:rsidRPr="0043436E">
        <w:rPr>
          <w:lang w:val="fr-CH"/>
        </w:rPr>
        <w:t xml:space="preserve"> parties des</w:t>
      </w:r>
      <w:r w:rsidRPr="00FA20BF">
        <w:rPr>
          <w:lang w:val="fr-CH"/>
        </w:rPr>
        <w:t xml:space="preserve"> plans opérationnels quadriennaux glissants dont ils sont respectivement responsables pour la période 2020-2023.</w:t>
      </w:r>
    </w:p>
    <w:p w:rsidR="007D1F1D" w:rsidRPr="00FA20BF" w:rsidRDefault="007D1F1D" w:rsidP="007D1F1D">
      <w:pPr>
        <w:spacing w:before="720"/>
        <w:jc w:val="center"/>
        <w:rPr>
          <w:lang w:val="fr-CH"/>
        </w:rPr>
      </w:pPr>
      <w:r w:rsidRPr="00FA20BF">
        <w:rPr>
          <w:lang w:val="fr-CH"/>
        </w:rPr>
        <w:t>______________</w:t>
      </w:r>
    </w:p>
    <w:sectPr w:rsidR="007D1F1D" w:rsidRPr="00FA20BF" w:rsidSect="005C389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75" w:rsidRDefault="000D6075">
      <w:r>
        <w:separator/>
      </w:r>
    </w:p>
  </w:endnote>
  <w:endnote w:type="continuationSeparator" w:id="0">
    <w:p w:rsidR="000D6075" w:rsidRDefault="000D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45D07">
    <w:pPr>
      <w:pStyle w:val="Footer"/>
    </w:pPr>
    <w:fldSimple w:instr=" FILENAME \p \* MERGEFORMAT ">
      <w:r w:rsidR="000D6075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0C34FF">
      <w:t>04.07.19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D607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45D07" w:rsidP="008C2919">
    <w:pPr>
      <w:pStyle w:val="Footer"/>
    </w:pPr>
    <w:fldSimple w:instr=" FILENAME \p \* MERGEFORMAT ">
      <w:r w:rsidR="000D6075">
        <w:t>Document1</w:t>
      </w:r>
    </w:fldSimple>
    <w:r w:rsidR="00732045">
      <w:tab/>
    </w:r>
    <w:r w:rsidR="00732045">
      <w:tab/>
    </w:r>
    <w:r w:rsidR="008C2919">
      <w:fldChar w:fldCharType="begin"/>
    </w:r>
    <w:r w:rsidR="008C2919">
      <w:instrText xml:space="preserve"> DATE   \* MERGEFORMAT </w:instrText>
    </w:r>
    <w:r w:rsidR="008C2919">
      <w:fldChar w:fldCharType="separate"/>
    </w:r>
    <w:r w:rsidR="000C34FF">
      <w:t>04/07/2019</w:t>
    </w:r>
    <w:r w:rsidR="008C291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4C4937" w:rsidRDefault="008C2919" w:rsidP="008C2919">
    <w:pPr>
      <w:pStyle w:val="Footer"/>
      <w:rPr>
        <w:color w:val="D9D9D9" w:themeColor="background1" w:themeShade="D9"/>
      </w:rPr>
    </w:pPr>
    <w:r w:rsidRPr="004C4937">
      <w:rPr>
        <w:color w:val="D9D9D9" w:themeColor="background1" w:themeShade="D9"/>
      </w:rPr>
      <w:fldChar w:fldCharType="begin"/>
    </w:r>
    <w:r w:rsidRPr="004C4937">
      <w:rPr>
        <w:color w:val="D9D9D9" w:themeColor="background1" w:themeShade="D9"/>
      </w:rPr>
      <w:instrText xml:space="preserve"> FILENAME \p \* MERGEFORMAT </w:instrText>
    </w:r>
    <w:r w:rsidRPr="004C4937">
      <w:rPr>
        <w:color w:val="D9D9D9" w:themeColor="background1" w:themeShade="D9"/>
      </w:rPr>
      <w:fldChar w:fldCharType="separate"/>
    </w:r>
    <w:r w:rsidR="000D6075" w:rsidRPr="004C4937">
      <w:rPr>
        <w:color w:val="D9D9D9" w:themeColor="background1" w:themeShade="D9"/>
      </w:rPr>
      <w:t>Document1</w:t>
    </w:r>
    <w:r w:rsidRPr="004C4937">
      <w:rPr>
        <w:color w:val="D9D9D9" w:themeColor="background1" w:themeShade="D9"/>
      </w:rPr>
      <w:fldChar w:fldCharType="end"/>
    </w:r>
    <w:r w:rsidR="00732045" w:rsidRPr="004C4937">
      <w:rPr>
        <w:color w:val="D9D9D9" w:themeColor="background1" w:themeShade="D9"/>
      </w:rPr>
      <w:tab/>
    </w:r>
    <w:r w:rsidR="00732045" w:rsidRPr="004C4937">
      <w:rPr>
        <w:color w:val="D9D9D9" w:themeColor="background1" w:themeShade="D9"/>
      </w:rPr>
      <w:tab/>
    </w:r>
    <w:r w:rsidRPr="004C4937">
      <w:rPr>
        <w:color w:val="D9D9D9" w:themeColor="background1" w:themeShade="D9"/>
      </w:rPr>
      <w:fldChar w:fldCharType="begin"/>
    </w:r>
    <w:r w:rsidRPr="004C4937">
      <w:rPr>
        <w:color w:val="D9D9D9" w:themeColor="background1" w:themeShade="D9"/>
      </w:rPr>
      <w:instrText xml:space="preserve"> DATE   \* MERGEFORMAT </w:instrText>
    </w:r>
    <w:r w:rsidRPr="004C4937">
      <w:rPr>
        <w:color w:val="D9D9D9" w:themeColor="background1" w:themeShade="D9"/>
      </w:rPr>
      <w:fldChar w:fldCharType="separate"/>
    </w:r>
    <w:r w:rsidR="000C34FF">
      <w:rPr>
        <w:color w:val="D9D9D9" w:themeColor="background1" w:themeShade="D9"/>
      </w:rPr>
      <w:t>04/07/2019</w:t>
    </w:r>
    <w:r w:rsidRPr="004C4937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75" w:rsidRDefault="000D6075">
      <w:r>
        <w:t>____________________</w:t>
      </w:r>
    </w:p>
  </w:footnote>
  <w:footnote w:type="continuationSeparator" w:id="0">
    <w:p w:rsidR="000D6075" w:rsidRDefault="000D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7D1F1D">
      <w:rPr>
        <w:noProof/>
      </w:rPr>
      <w:t>2</w:t>
    </w:r>
    <w:r>
      <w:rPr>
        <w:noProof/>
      </w:rPr>
      <w:fldChar w:fldCharType="end"/>
    </w:r>
  </w:p>
  <w:p w:rsidR="00732045" w:rsidRDefault="00732045" w:rsidP="003C3FAE">
    <w:pPr>
      <w:pStyle w:val="Header"/>
    </w:pPr>
    <w:r>
      <w:t>C1</w:t>
    </w:r>
    <w:r w:rsidR="008C29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5"/>
    <w:rsid w:val="000C34FF"/>
    <w:rsid w:val="000D0D0A"/>
    <w:rsid w:val="000D6075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C4937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1F1D"/>
    <w:rsid w:val="007D4436"/>
    <w:rsid w:val="007F257A"/>
    <w:rsid w:val="007F3665"/>
    <w:rsid w:val="00800037"/>
    <w:rsid w:val="00861D73"/>
    <w:rsid w:val="008A4E87"/>
    <w:rsid w:val="008C2919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37ED7"/>
    <w:rsid w:val="00B61619"/>
    <w:rsid w:val="00BB4545"/>
    <w:rsid w:val="00BD5873"/>
    <w:rsid w:val="00C04BE3"/>
    <w:rsid w:val="00C25D29"/>
    <w:rsid w:val="00C27A7C"/>
    <w:rsid w:val="00C45D07"/>
    <w:rsid w:val="00C729A1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E9F41B8-939E-49D2-8374-FCC9C0E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7D1F1D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7D1F1D"/>
    <w:rPr>
      <w:rFonts w:ascii="Calibri" w:hAnsi="Calibri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7D1F1D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oth/R0B05000017/en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9-CL-C-0028/e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218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1395 -Plans opérationnels annuels quadriennaux glissants de l'Union pour 2020-2023</vt:lpstr>
    </vt:vector>
  </TitlesOfParts>
  <Manager>Secrétariat général - Pool</Manager>
  <Company>Union internationale des télécommunications (UIT)</Company>
  <LinksUpToDate>false</LinksUpToDate>
  <CharactersWithSpaces>1617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1395 -Plans opérationnels annuels quadriennaux glissants de l'Union pour 2020-2023</dc:title>
  <dc:subject>Conseil 2019</dc:subject>
  <dc:creator>Brouard, Ricarda</dc:creator>
  <cp:keywords>C2019, C19</cp:keywords>
  <dc:description/>
  <cp:lastModifiedBy>Brouard, Ricarda</cp:lastModifiedBy>
  <cp:revision>6</cp:revision>
  <cp:lastPrinted>2000-07-18T08:55:00Z</cp:lastPrinted>
  <dcterms:created xsi:type="dcterms:W3CDTF">2019-07-04T09:26:00Z</dcterms:created>
  <dcterms:modified xsi:type="dcterms:W3CDTF">2019-07-04T12:24:00Z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