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C45CF9">
        <w:trPr>
          <w:cantSplit/>
        </w:trPr>
        <w:tc>
          <w:tcPr>
            <w:tcW w:w="6912" w:type="dxa"/>
          </w:tcPr>
          <w:p w:rsidR="00093EEB" w:rsidRPr="00C45CF9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C45CF9">
              <w:rPr>
                <w:b/>
                <w:bCs/>
                <w:sz w:val="30"/>
                <w:szCs w:val="30"/>
              </w:rPr>
              <w:t>Consejo 201</w:t>
            </w:r>
            <w:r w:rsidR="00C2727F" w:rsidRPr="00C45CF9">
              <w:rPr>
                <w:b/>
                <w:bCs/>
                <w:sz w:val="30"/>
                <w:szCs w:val="30"/>
              </w:rPr>
              <w:t>9</w:t>
            </w:r>
            <w:r w:rsidRPr="00C45CF9">
              <w:rPr>
                <w:b/>
                <w:bCs/>
                <w:sz w:val="26"/>
                <w:szCs w:val="26"/>
              </w:rPr>
              <w:br/>
            </w:r>
            <w:r w:rsidRPr="00C45CF9">
              <w:rPr>
                <w:b/>
                <w:bCs/>
                <w:szCs w:val="24"/>
              </w:rPr>
              <w:t>Ginebra, 1</w:t>
            </w:r>
            <w:r w:rsidR="00C2727F" w:rsidRPr="00C45CF9">
              <w:rPr>
                <w:b/>
                <w:bCs/>
                <w:szCs w:val="24"/>
              </w:rPr>
              <w:t>0</w:t>
            </w:r>
            <w:r w:rsidRPr="00C45CF9">
              <w:rPr>
                <w:b/>
                <w:bCs/>
                <w:szCs w:val="24"/>
              </w:rPr>
              <w:t>-2</w:t>
            </w:r>
            <w:r w:rsidR="00C2727F" w:rsidRPr="00C45CF9">
              <w:rPr>
                <w:b/>
                <w:bCs/>
                <w:szCs w:val="24"/>
              </w:rPr>
              <w:t>0</w:t>
            </w:r>
            <w:r w:rsidRPr="00C45CF9">
              <w:rPr>
                <w:b/>
                <w:bCs/>
                <w:szCs w:val="24"/>
              </w:rPr>
              <w:t xml:space="preserve"> de </w:t>
            </w:r>
            <w:r w:rsidR="00C2727F" w:rsidRPr="00C45CF9">
              <w:rPr>
                <w:b/>
                <w:bCs/>
                <w:szCs w:val="24"/>
              </w:rPr>
              <w:t>junio</w:t>
            </w:r>
            <w:r w:rsidRPr="00C45CF9">
              <w:rPr>
                <w:b/>
                <w:bCs/>
                <w:szCs w:val="24"/>
              </w:rPr>
              <w:t xml:space="preserve"> de 201</w:t>
            </w:r>
            <w:r w:rsidR="00C2727F" w:rsidRPr="00C45CF9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C45CF9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C45CF9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C45CF9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C45CF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45CF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C45CF9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C45CF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45CF9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45CF9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C45CF9" w:rsidRDefault="00093EEB" w:rsidP="009E6456">
            <w:pPr>
              <w:spacing w:before="0"/>
              <w:rPr>
                <w:b/>
                <w:bCs/>
                <w:szCs w:val="24"/>
              </w:rPr>
            </w:pPr>
            <w:r w:rsidRPr="00C45CF9">
              <w:rPr>
                <w:b/>
                <w:bCs/>
                <w:szCs w:val="24"/>
              </w:rPr>
              <w:t>Documento C1</w:t>
            </w:r>
            <w:r w:rsidR="00C2727F" w:rsidRPr="00C45CF9">
              <w:rPr>
                <w:b/>
                <w:bCs/>
                <w:szCs w:val="24"/>
              </w:rPr>
              <w:t>9</w:t>
            </w:r>
            <w:r w:rsidRPr="00C45CF9">
              <w:rPr>
                <w:b/>
                <w:bCs/>
                <w:szCs w:val="24"/>
              </w:rPr>
              <w:t>/</w:t>
            </w:r>
            <w:r w:rsidR="009E6456" w:rsidRPr="00C45CF9">
              <w:rPr>
                <w:b/>
                <w:bCs/>
                <w:szCs w:val="24"/>
              </w:rPr>
              <w:t>122</w:t>
            </w:r>
            <w:r w:rsidRPr="00C45CF9">
              <w:rPr>
                <w:b/>
                <w:bCs/>
                <w:szCs w:val="24"/>
              </w:rPr>
              <w:t>-S</w:t>
            </w:r>
          </w:p>
        </w:tc>
      </w:tr>
      <w:tr w:rsidR="00093EEB" w:rsidRPr="00C45CF9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45CF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C45CF9" w:rsidRDefault="009E6456" w:rsidP="00C2727F">
            <w:pPr>
              <w:spacing w:before="0"/>
              <w:rPr>
                <w:b/>
                <w:bCs/>
                <w:szCs w:val="24"/>
              </w:rPr>
            </w:pPr>
            <w:r w:rsidRPr="00C45CF9">
              <w:rPr>
                <w:b/>
                <w:bCs/>
                <w:szCs w:val="24"/>
              </w:rPr>
              <w:t>20 de junio</w:t>
            </w:r>
            <w:r w:rsidR="00093EEB" w:rsidRPr="00C45CF9">
              <w:rPr>
                <w:b/>
                <w:bCs/>
                <w:szCs w:val="24"/>
              </w:rPr>
              <w:t xml:space="preserve"> de 201</w:t>
            </w:r>
            <w:r w:rsidR="00C2727F" w:rsidRPr="00C45CF9">
              <w:rPr>
                <w:b/>
                <w:bCs/>
                <w:szCs w:val="24"/>
              </w:rPr>
              <w:t>9</w:t>
            </w:r>
          </w:p>
        </w:tc>
      </w:tr>
      <w:tr w:rsidR="00093EEB" w:rsidRPr="00C45CF9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45CF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C45CF9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C45CF9">
              <w:rPr>
                <w:b/>
                <w:bCs/>
                <w:szCs w:val="24"/>
              </w:rPr>
              <w:t>Original: inglés</w:t>
            </w:r>
          </w:p>
        </w:tc>
      </w:tr>
    </w:tbl>
    <w:p w:rsidR="009E6456" w:rsidRPr="00C45CF9" w:rsidRDefault="009E6456" w:rsidP="009E6456">
      <w:pPr>
        <w:pStyle w:val="ResNo"/>
      </w:pPr>
      <w:bookmarkStart w:id="7" w:name="_Toc7524843"/>
      <w:bookmarkStart w:id="8" w:name="_Toc7526687"/>
      <w:bookmarkStart w:id="9" w:name="_Toc7526830"/>
      <w:bookmarkStart w:id="10" w:name="_Toc7526883"/>
      <w:bookmarkEnd w:id="1"/>
      <w:bookmarkEnd w:id="6"/>
      <w:r w:rsidRPr="00C45CF9">
        <w:t>RESOLUCIÓN</w:t>
      </w:r>
      <w:bookmarkEnd w:id="7"/>
      <w:bookmarkEnd w:id="8"/>
      <w:bookmarkEnd w:id="9"/>
      <w:bookmarkEnd w:id="10"/>
      <w:r w:rsidRPr="00C45CF9">
        <w:t xml:space="preserve"> 1396</w:t>
      </w:r>
    </w:p>
    <w:p w:rsidR="002A2794" w:rsidRPr="00C45CF9" w:rsidRDefault="002A2794" w:rsidP="002A2794">
      <w:pPr>
        <w:spacing w:before="240"/>
        <w:jc w:val="center"/>
      </w:pPr>
      <w:r w:rsidRPr="00C45CF9">
        <w:rPr>
          <w:sz w:val="28"/>
          <w:szCs w:val="28"/>
        </w:rPr>
        <w:t>(adoptada en la novena Sesión Plenaria)</w:t>
      </w:r>
    </w:p>
    <w:p w:rsidR="009E6456" w:rsidRPr="00C45CF9" w:rsidRDefault="009E6456" w:rsidP="009E6456">
      <w:pPr>
        <w:pStyle w:val="Restitle"/>
        <w:rPr>
          <w:caps/>
        </w:rPr>
      </w:pPr>
      <w:r w:rsidRPr="00C45CF9">
        <w:t xml:space="preserve">Presupuesto bienal de la Unión Internacional </w:t>
      </w:r>
      <w:r w:rsidRPr="00C45CF9">
        <w:br/>
        <w:t>de Telecomunicaciones para 2020-2021</w:t>
      </w:r>
    </w:p>
    <w:p w:rsidR="009E6456" w:rsidRPr="00C45CF9" w:rsidRDefault="009E6456" w:rsidP="009E6456">
      <w:pPr>
        <w:pStyle w:val="Normalaftertitle"/>
      </w:pPr>
      <w:r w:rsidRPr="00C45CF9">
        <w:t>El Consejo,</w:t>
      </w:r>
    </w:p>
    <w:p w:rsidR="009E6456" w:rsidRPr="00C45CF9" w:rsidRDefault="009E6456" w:rsidP="009E6456">
      <w:pPr>
        <w:pStyle w:val="Call"/>
      </w:pPr>
      <w:r w:rsidRPr="00C45CF9">
        <w:t>considerando</w:t>
      </w:r>
    </w:p>
    <w:p w:rsidR="009E6456" w:rsidRPr="00C45CF9" w:rsidRDefault="009E6456" w:rsidP="009E6456">
      <w:pPr>
        <w:tabs>
          <w:tab w:val="left" w:pos="709"/>
        </w:tabs>
      </w:pPr>
      <w:r w:rsidRPr="00C45CF9">
        <w:t>las disposiciones del Convenio de la Unión Internacional de Telecomunicaciones,</w:t>
      </w:r>
    </w:p>
    <w:p w:rsidR="009E6456" w:rsidRPr="00C45CF9" w:rsidRDefault="009E6456" w:rsidP="009E6456">
      <w:pPr>
        <w:pStyle w:val="Call"/>
      </w:pPr>
      <w:r w:rsidRPr="00C45CF9">
        <w:t>teniendo presente</w:t>
      </w:r>
    </w:p>
    <w:p w:rsidR="009E6456" w:rsidRPr="00C45CF9" w:rsidRDefault="009E6456" w:rsidP="009E6456">
      <w:pPr>
        <w:tabs>
          <w:tab w:val="left" w:pos="709"/>
        </w:tabs>
      </w:pPr>
      <w:r w:rsidRPr="00C45CF9">
        <w:rPr>
          <w:i/>
          <w:iCs/>
        </w:rPr>
        <w:t>a)</w:t>
      </w:r>
      <w:r w:rsidRPr="00C45CF9">
        <w:tab/>
        <w:t>lo dispuesto en la Decisión 5 (Rev. Dubái, 2018) de la Conferencia de Plenipotenciarios sobre los ingresos y gastos de la Unión para el periodo 2020-2023, en la que se estipula que el importe de la unidad contributiva no deberá rebasar 318 000 CHF en 2020-2021;</w:t>
      </w:r>
    </w:p>
    <w:p w:rsidR="009E6456" w:rsidRPr="00C45CF9" w:rsidRDefault="009E6456" w:rsidP="009E6456">
      <w:pPr>
        <w:tabs>
          <w:tab w:val="left" w:pos="709"/>
        </w:tabs>
      </w:pPr>
      <w:r w:rsidRPr="00C45CF9">
        <w:rPr>
          <w:i/>
          <w:iCs/>
        </w:rPr>
        <w:t>b)</w:t>
      </w:r>
      <w:r w:rsidRPr="00C45CF9">
        <w:tab/>
        <w:t>las disposiciones del Artículo 11 del Reglamento Financiero y las Reglas Financieras de la Unión, relativo a transferencias de consignaciones presupuestarias,</w:t>
      </w:r>
    </w:p>
    <w:p w:rsidR="009E6456" w:rsidRPr="00C45CF9" w:rsidRDefault="009E6456" w:rsidP="009E6456">
      <w:pPr>
        <w:pStyle w:val="Call"/>
      </w:pPr>
      <w:r w:rsidRPr="00C45CF9">
        <w:t>resuelve aprobar</w:t>
      </w:r>
    </w:p>
    <w:p w:rsidR="00C45CF9" w:rsidRPr="00C45CF9" w:rsidRDefault="009E6456" w:rsidP="004548BA">
      <w:pPr>
        <w:tabs>
          <w:tab w:val="left" w:pos="709"/>
        </w:tabs>
      </w:pPr>
      <w:r w:rsidRPr="00C45CF9">
        <w:t xml:space="preserve">el presupuesto bienal de la Unión para 2020-2021, que asciende a 167 478 000 CHF para 2020 y a 164 535 000 CHF para 2021 </w:t>
      </w:r>
      <w:r w:rsidR="004548BA" w:rsidRPr="00C45CF9">
        <w:t>ó</w:t>
      </w:r>
      <w:r w:rsidRPr="00C45CF9">
        <w:t xml:space="preserve"> 332 013 000 CHF para el bienio 2020-2021, desglosado como sigue:</w:t>
      </w:r>
    </w:p>
    <w:p w:rsidR="00C45CF9" w:rsidRPr="00C45CF9" w:rsidRDefault="00C45CF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45CF9">
        <w:br w:type="page"/>
      </w:r>
    </w:p>
    <w:p w:rsidR="00C45CF9" w:rsidRPr="00C45CF9" w:rsidRDefault="00C45CF9" w:rsidP="00C45CF9">
      <w:pPr>
        <w:pStyle w:val="TableNo"/>
      </w:pPr>
      <w:r w:rsidRPr="00C45CF9">
        <w:lastRenderedPageBreak/>
        <w:t>Cuadro 1</w:t>
      </w:r>
    </w:p>
    <w:p w:rsidR="00C45CF9" w:rsidRPr="00C45CF9" w:rsidRDefault="00C45CF9" w:rsidP="00C45CF9">
      <w:pPr>
        <w:pStyle w:val="Tabletitle"/>
      </w:pPr>
      <w:r w:rsidRPr="00C45CF9">
        <w:t>Gastos previstos por Sector</w:t>
      </w:r>
    </w:p>
    <w:p w:rsidR="00C45CF9" w:rsidRPr="00C45CF9" w:rsidRDefault="00C45CF9" w:rsidP="00C45CF9">
      <w:pPr>
        <w:spacing w:after="240"/>
        <w:jc w:val="right"/>
        <w:rPr>
          <w:rFonts w:cs="Calibri"/>
          <w:i/>
          <w:iCs/>
          <w:sz w:val="22"/>
          <w:szCs w:val="22"/>
        </w:rPr>
      </w:pPr>
      <w:r w:rsidRPr="00C45CF9">
        <w:rPr>
          <w:rFonts w:cs="Calibri"/>
          <w:i/>
          <w:iCs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49273" wp14:editId="2983295C">
                <wp:simplePos x="0" y="0"/>
                <wp:positionH relativeFrom="column">
                  <wp:posOffset>4788116</wp:posOffset>
                </wp:positionH>
                <wp:positionV relativeFrom="paragraph">
                  <wp:posOffset>777839</wp:posOffset>
                </wp:positionV>
                <wp:extent cx="1862593" cy="855980"/>
                <wp:effectExtent l="7938" t="0" r="12382" b="12383"/>
                <wp:wrapNone/>
                <wp:docPr id="28" name="Flowchart: Termina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62593" cy="855980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2627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8" o:spid="_x0000_s1026" type="#_x0000_t116" style="position:absolute;margin-left:377pt;margin-top:61.25pt;width:146.65pt;height:67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" filled="f" strokecolor="#0070c0" strokeweight="1pt"/>
            </w:pict>
          </mc:Fallback>
        </mc:AlternateContent>
      </w:r>
      <w:r w:rsidRPr="00C45CF9">
        <w:rPr>
          <w:rFonts w:cs="Calibri"/>
          <w:i/>
          <w:iCs/>
          <w:sz w:val="22"/>
          <w:szCs w:val="22"/>
        </w:rPr>
        <w:t>miles CHF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417"/>
        <w:gridCol w:w="1426"/>
        <w:gridCol w:w="1409"/>
      </w:tblGrid>
      <w:tr w:rsidR="00C45CF9" w:rsidRPr="00C45CF9" w:rsidTr="00447663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C45CF9" w:rsidRPr="00C45CF9" w:rsidRDefault="00C45CF9" w:rsidP="00447663">
            <w:pPr>
              <w:pStyle w:val="Tabletex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5CF9" w:rsidRPr="00C45CF9" w:rsidRDefault="00C45CF9" w:rsidP="00C45CF9">
            <w:pPr>
              <w:pStyle w:val="Tabletext"/>
              <w:jc w:val="center"/>
              <w:rPr>
                <w:b/>
                <w:bCs/>
                <w:color w:val="365F91" w:themeColor="accent1" w:themeShade="BF"/>
              </w:rPr>
            </w:pPr>
            <w:r w:rsidRPr="00C45CF9">
              <w:rPr>
                <w:b/>
                <w:bCs/>
                <w:color w:val="365F91" w:themeColor="accent1" w:themeShade="BF"/>
              </w:rPr>
              <w:t>Estimación</w:t>
            </w:r>
            <w:r w:rsidRPr="00C45CF9">
              <w:rPr>
                <w:b/>
                <w:bCs/>
                <w:color w:val="365F91" w:themeColor="accent1" w:themeShade="BF"/>
              </w:rPr>
              <w:br/>
              <w:t>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45CF9" w:rsidRPr="00C45CF9" w:rsidRDefault="00C45CF9" w:rsidP="00C45CF9">
            <w:pPr>
              <w:pStyle w:val="Tabletext"/>
              <w:jc w:val="center"/>
              <w:rPr>
                <w:b/>
                <w:bCs/>
                <w:color w:val="365F91" w:themeColor="accent1" w:themeShade="BF"/>
              </w:rPr>
            </w:pPr>
            <w:r w:rsidRPr="00C45CF9">
              <w:rPr>
                <w:b/>
                <w:bCs/>
                <w:color w:val="365F91" w:themeColor="accent1" w:themeShade="BF"/>
              </w:rPr>
              <w:t>Estimación</w:t>
            </w:r>
            <w:r w:rsidRPr="00C45CF9">
              <w:rPr>
                <w:b/>
                <w:bCs/>
                <w:color w:val="365F91" w:themeColor="accent1" w:themeShade="BF"/>
              </w:rPr>
              <w:br/>
              <w:t>2021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C45CF9" w:rsidRPr="00C45CF9" w:rsidRDefault="00C45CF9" w:rsidP="00447663">
            <w:pPr>
              <w:pStyle w:val="Tabletext"/>
              <w:jc w:val="center"/>
              <w:rPr>
                <w:b/>
                <w:bCs/>
                <w:color w:val="365F91" w:themeColor="accent1" w:themeShade="BF"/>
              </w:rPr>
            </w:pPr>
            <w:r w:rsidRPr="00C45CF9">
              <w:rPr>
                <w:b/>
                <w:bCs/>
                <w:color w:val="365F91" w:themeColor="accent1" w:themeShade="BF"/>
              </w:rPr>
              <w:t>Total</w:t>
            </w:r>
            <w:r w:rsidRPr="00C45CF9">
              <w:rPr>
                <w:b/>
                <w:bCs/>
                <w:color w:val="365F91" w:themeColor="accent1" w:themeShade="BF"/>
              </w:rPr>
              <w:br/>
              <w:t>2020-2021</w:t>
            </w:r>
          </w:p>
        </w:tc>
      </w:tr>
      <w:tr w:rsidR="00C45CF9" w:rsidRPr="00C45CF9" w:rsidTr="00447663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:rsidR="00C45CF9" w:rsidRPr="00C45CF9" w:rsidRDefault="00C45CF9" w:rsidP="00C45CF9">
            <w:pPr>
              <w:pStyle w:val="Tabletext"/>
            </w:pPr>
            <w:r w:rsidRPr="00C45CF9">
              <w:t>1 – Secretaría General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  <w:lang w:eastAsia="zh-CN"/>
              </w:rPr>
            </w:pPr>
            <w:r w:rsidRPr="00C45CF9">
              <w:rPr>
                <w:color w:val="365F91" w:themeColor="accent1" w:themeShade="BF"/>
              </w:rPr>
              <w:t>91 920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91 924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183 844</w:t>
            </w:r>
          </w:p>
        </w:tc>
      </w:tr>
      <w:tr w:rsidR="00C45CF9" w:rsidRPr="00C45CF9" w:rsidTr="00447663">
        <w:trPr>
          <w:jc w:val="center"/>
        </w:trPr>
        <w:tc>
          <w:tcPr>
            <w:tcW w:w="5387" w:type="dxa"/>
          </w:tcPr>
          <w:p w:rsidR="00C45CF9" w:rsidRPr="00C45CF9" w:rsidRDefault="00C45CF9" w:rsidP="00C45CF9">
            <w:pPr>
              <w:pStyle w:val="Tabletext"/>
            </w:pPr>
            <w:r w:rsidRPr="00C45CF9">
              <w:t>2 – Sector de Radiocomunicaciones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29 831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29 696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59 527</w:t>
            </w:r>
          </w:p>
        </w:tc>
      </w:tr>
      <w:tr w:rsidR="00C45CF9" w:rsidRPr="00C45CF9" w:rsidTr="00447663">
        <w:trPr>
          <w:jc w:val="center"/>
        </w:trPr>
        <w:tc>
          <w:tcPr>
            <w:tcW w:w="5387" w:type="dxa"/>
          </w:tcPr>
          <w:p w:rsidR="00C45CF9" w:rsidRPr="00C45CF9" w:rsidRDefault="00C45CF9" w:rsidP="00C45CF9">
            <w:pPr>
              <w:pStyle w:val="Tabletext"/>
            </w:pPr>
            <w:r w:rsidRPr="00C45CF9">
              <w:t>3 – Sector de Normalización de las Telecomunicaciones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14 328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13 354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27 682</w:t>
            </w:r>
          </w:p>
        </w:tc>
      </w:tr>
      <w:tr w:rsidR="00C45CF9" w:rsidRPr="00C45CF9" w:rsidTr="00447663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C45CF9" w:rsidRPr="00C45CF9" w:rsidRDefault="00C45CF9" w:rsidP="00C45CF9">
            <w:pPr>
              <w:pStyle w:val="Tabletext"/>
            </w:pPr>
            <w:r w:rsidRPr="00C45CF9">
              <w:t>4 – Sector de Desarrollo de las Telecomunicaciones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31 399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29 561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CF9" w:rsidRPr="00C45CF9" w:rsidRDefault="00C45CF9" w:rsidP="00447663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C45CF9">
              <w:rPr>
                <w:color w:val="365F91" w:themeColor="accent1" w:themeShade="BF"/>
              </w:rPr>
              <w:t>60 960</w:t>
            </w:r>
          </w:p>
        </w:tc>
      </w:tr>
      <w:tr w:rsidR="00C45CF9" w:rsidRPr="00C45CF9" w:rsidTr="00447663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:rsidR="00C45CF9" w:rsidRPr="00C45CF9" w:rsidRDefault="00C45CF9" w:rsidP="00447663">
            <w:pPr>
              <w:pStyle w:val="Tabletext"/>
              <w:rPr>
                <w:b/>
                <w:bCs/>
              </w:rPr>
            </w:pPr>
            <w:r w:rsidRPr="00C45CF9">
              <w:rPr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5CF9" w:rsidRPr="00C45CF9" w:rsidRDefault="00C45CF9" w:rsidP="00447663">
            <w:pPr>
              <w:pStyle w:val="Tabletext"/>
              <w:jc w:val="right"/>
              <w:rPr>
                <w:b/>
                <w:bCs/>
                <w:color w:val="365F91" w:themeColor="accent1" w:themeShade="BF"/>
              </w:rPr>
            </w:pPr>
            <w:r w:rsidRPr="00C45CF9">
              <w:rPr>
                <w:b/>
                <w:bCs/>
                <w:color w:val="365F91" w:themeColor="accent1" w:themeShade="BF"/>
              </w:rPr>
              <w:t>167 478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45CF9" w:rsidRPr="00C45CF9" w:rsidRDefault="00C45CF9" w:rsidP="00447663">
            <w:pPr>
              <w:pStyle w:val="Tabletext"/>
              <w:jc w:val="right"/>
              <w:rPr>
                <w:b/>
                <w:bCs/>
                <w:color w:val="365F91" w:themeColor="accent1" w:themeShade="BF"/>
              </w:rPr>
            </w:pPr>
            <w:r w:rsidRPr="00C45CF9">
              <w:rPr>
                <w:b/>
                <w:bCs/>
                <w:color w:val="365F91" w:themeColor="accent1" w:themeShade="BF"/>
              </w:rPr>
              <w:t>164 535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C45CF9" w:rsidRPr="00C45CF9" w:rsidRDefault="00C45CF9" w:rsidP="00447663">
            <w:pPr>
              <w:pStyle w:val="Tabletext"/>
              <w:jc w:val="right"/>
              <w:rPr>
                <w:b/>
                <w:bCs/>
                <w:color w:val="365F91" w:themeColor="accent1" w:themeShade="BF"/>
              </w:rPr>
            </w:pPr>
            <w:r w:rsidRPr="00C45CF9">
              <w:rPr>
                <w:b/>
                <w:bCs/>
                <w:color w:val="365F91" w:themeColor="accent1" w:themeShade="BF"/>
              </w:rPr>
              <w:t>332 013</w:t>
            </w:r>
          </w:p>
        </w:tc>
      </w:tr>
    </w:tbl>
    <w:p w:rsidR="009E6456" w:rsidRPr="00C45CF9" w:rsidRDefault="009E6456" w:rsidP="00C45CF9">
      <w:pPr>
        <w:keepNext/>
        <w:keepLines/>
        <w:tabs>
          <w:tab w:val="left" w:pos="709"/>
        </w:tabs>
        <w:spacing w:before="240"/>
        <w:ind w:left="567"/>
        <w:rPr>
          <w:i/>
        </w:rPr>
      </w:pPr>
      <w:r w:rsidRPr="00C45CF9">
        <w:rPr>
          <w:i/>
        </w:rPr>
        <w:t>resuelve además</w:t>
      </w:r>
    </w:p>
    <w:p w:rsidR="009E6456" w:rsidRPr="00C45CF9" w:rsidRDefault="009E6456" w:rsidP="009E6456">
      <w:pPr>
        <w:tabs>
          <w:tab w:val="left" w:pos="709"/>
        </w:tabs>
      </w:pPr>
      <w:r w:rsidRPr="00C45CF9">
        <w:t>1</w:t>
      </w:r>
      <w:r w:rsidRPr="00C45CF9">
        <w:tab/>
        <w:t>fijar el importe de la unidad contributiva anual para 2020 y 2021 en 318 000 CHF, basándose en la clase de contribución elegida por los Estados Miembros con arreglo al número 160 de la Constitución y al número 468 del Convenio de la Unión Internacional de Telecomunicaciones, o sea en base a un total de 343 11/16 unidades;</w:t>
      </w:r>
    </w:p>
    <w:p w:rsidR="009E6456" w:rsidRPr="00C45CF9" w:rsidRDefault="009E6456" w:rsidP="009E6456">
      <w:pPr>
        <w:tabs>
          <w:tab w:val="left" w:pos="709"/>
        </w:tabs>
      </w:pPr>
      <w:r w:rsidRPr="00C45CF9">
        <w:t>2</w:t>
      </w:r>
      <w:r w:rsidRPr="00C45CF9">
        <w:tab/>
        <w:t>establecer en 63 600 CHF el valor anual de la unidad contributiva para 2020 y 2021, destinada a sufragar los gastos de las reuniones del Sector de Radiocomunicaciones (UIT-R), el Sector de Normalización de las Telecomunicaciones (UIT-T) y el Sector de Desarrollo de las Telecomunicaciones (UIT-D), importe abonable por los Miembros de Sector de conformidad con el número 480 del Convenio de la Unión Internacional de Telecomunicaciones;</w:t>
      </w:r>
    </w:p>
    <w:p w:rsidR="009E6456" w:rsidRPr="00C45CF9" w:rsidRDefault="009E6456" w:rsidP="009E6456">
      <w:pPr>
        <w:tabs>
          <w:tab w:val="left" w:pos="709"/>
        </w:tabs>
      </w:pPr>
      <w:r w:rsidRPr="00C45CF9">
        <w:t>3</w:t>
      </w:r>
      <w:r w:rsidRPr="00C45CF9">
        <w:tab/>
        <w:t>fijar la contribución financiera de los Asociados en las cantidades siguientes:</w:t>
      </w:r>
    </w:p>
    <w:p w:rsidR="009E6456" w:rsidRPr="00C45CF9" w:rsidRDefault="009E6456" w:rsidP="00C45CF9">
      <w:pPr>
        <w:pStyle w:val="enumlev1"/>
      </w:pPr>
      <w:r w:rsidRPr="00C45CF9">
        <w:t>a)</w:t>
      </w:r>
      <w:r w:rsidRPr="00C45CF9">
        <w:tab/>
        <w:t>10 600 CHF para los Asociados que participen en las actividades del UIT-T y el UIT-R;</w:t>
      </w:r>
    </w:p>
    <w:p w:rsidR="009E6456" w:rsidRPr="00C45CF9" w:rsidRDefault="009E6456" w:rsidP="00C45CF9">
      <w:pPr>
        <w:pStyle w:val="enumlev1"/>
      </w:pPr>
      <w:r w:rsidRPr="00C45CF9">
        <w:t>b)</w:t>
      </w:r>
      <w:r w:rsidRPr="00C45CF9">
        <w:tab/>
        <w:t>3 97</w:t>
      </w:r>
      <w:r w:rsidR="00C45CF9" w:rsidRPr="00C45CF9">
        <w:t>5</w:t>
      </w:r>
      <w:r w:rsidRPr="00C45CF9">
        <w:t xml:space="preserve"> CHF para los Asociados que participen en las actividades del UIT-D;</w:t>
      </w:r>
    </w:p>
    <w:p w:rsidR="009E6456" w:rsidRPr="00C45CF9" w:rsidRDefault="009E6456" w:rsidP="00C45CF9">
      <w:pPr>
        <w:pStyle w:val="enumlev1"/>
      </w:pPr>
      <w:r w:rsidRPr="00C45CF9">
        <w:t>c)</w:t>
      </w:r>
      <w:r w:rsidRPr="00C45CF9">
        <w:tab/>
        <w:t>1 987,50 CHF para los Asociados de países en desarrollo que participen en las actividades del UIT-D;</w:t>
      </w:r>
    </w:p>
    <w:p w:rsidR="009E6456" w:rsidRPr="00C45CF9" w:rsidRDefault="009E6456" w:rsidP="009E6456">
      <w:pPr>
        <w:tabs>
          <w:tab w:val="left" w:pos="709"/>
        </w:tabs>
      </w:pPr>
      <w:r w:rsidRPr="00C45CF9">
        <w:t>4</w:t>
      </w:r>
      <w:r w:rsidRPr="00C45CF9">
        <w:tab/>
        <w:t>fijar el canon anual para las Instituciones Académicas, las universidades y sus organismos de investigación asociados en las cantidades siguientes:</w:t>
      </w:r>
    </w:p>
    <w:p w:rsidR="009E6456" w:rsidRPr="00C45CF9" w:rsidRDefault="009E6456" w:rsidP="00C45CF9">
      <w:pPr>
        <w:pStyle w:val="enumlev1"/>
      </w:pPr>
      <w:r w:rsidRPr="00C45CF9">
        <w:t>a)</w:t>
      </w:r>
      <w:r w:rsidRPr="00C45CF9">
        <w:tab/>
        <w:t>3 975 CHF para organizaciones de países desarrollados que participan en los trabajos de los tres Sectores;</w:t>
      </w:r>
    </w:p>
    <w:p w:rsidR="009E6456" w:rsidRPr="00C45CF9" w:rsidRDefault="009E6456" w:rsidP="00C45CF9">
      <w:pPr>
        <w:pStyle w:val="enumlev1"/>
      </w:pPr>
      <w:r w:rsidRPr="00C45CF9">
        <w:t>b)</w:t>
      </w:r>
      <w:r w:rsidRPr="00C45CF9">
        <w:tab/>
        <w:t>1 987,50 CHF para organizaciones de países en desarrollo que participan en los trabajos de los tres Sectores;</w:t>
      </w:r>
    </w:p>
    <w:p w:rsidR="009E6456" w:rsidRPr="00C45CF9" w:rsidRDefault="009E6456" w:rsidP="009E6456">
      <w:pPr>
        <w:tabs>
          <w:tab w:val="left" w:pos="709"/>
        </w:tabs>
      </w:pPr>
      <w:r w:rsidRPr="00C45CF9">
        <w:t>5</w:t>
      </w:r>
      <w:r w:rsidRPr="00C45CF9">
        <w:tab/>
        <w:t>autorizar al Secretario General a ajustar las consignaciones de las partidas de gastos a) y b) siguientes, de conformidad con las modificaciones resultantes de la utilización de la Cuenta de Provisión, y siempre que ésta se mantenga al nivel prescrito en la Decisión 5 (Rev. Dubái, 2018):</w:t>
      </w:r>
    </w:p>
    <w:p w:rsidR="009E6456" w:rsidRPr="00C45CF9" w:rsidRDefault="009E6456" w:rsidP="00C45CF9">
      <w:pPr>
        <w:pStyle w:val="enumlev1"/>
      </w:pPr>
      <w:r w:rsidRPr="00C45CF9">
        <w:t>a)</w:t>
      </w:r>
      <w:r w:rsidRPr="00C45CF9">
        <w:tab/>
        <w:t>aumentos de las escalas de sueldos, las contribuciones para pensiones y subsidios, incluidos los ajustes por lugar de destino, aplicables en Ginebra, establecidos por el Régimen común de las Naciones Unidas;</w:t>
      </w:r>
    </w:p>
    <w:p w:rsidR="009E6456" w:rsidRPr="00C45CF9" w:rsidRDefault="009E6456" w:rsidP="00C45CF9">
      <w:pPr>
        <w:pStyle w:val="enumlev1"/>
      </w:pPr>
      <w:r w:rsidRPr="00C45CF9">
        <w:lastRenderedPageBreak/>
        <w:t>b)</w:t>
      </w:r>
      <w:r w:rsidRPr="00C45CF9">
        <w:tab/>
        <w:t>las fluctuaciones del tipo de cambio entre el franco suizo y el dólar de EE.UU. en la medida en que dicho tipo afecte a los costes del personal al que se aplican las escalas de las Naciones Unidas;</w:t>
      </w:r>
    </w:p>
    <w:p w:rsidR="009E6456" w:rsidRPr="00C45CF9" w:rsidRDefault="009E6456" w:rsidP="00C45CF9">
      <w:pPr>
        <w:pStyle w:val="enumlev1"/>
      </w:pPr>
      <w:r w:rsidRPr="00C45CF9">
        <w:t>c)</w:t>
      </w:r>
      <w:r w:rsidRPr="00C45CF9">
        <w:tab/>
        <w:t xml:space="preserve">conceder al Secretario General, para el bienio 2020-2021, con respecto a la </w:t>
      </w:r>
      <w:r w:rsidRPr="00C45CF9">
        <w:rPr>
          <w:i/>
          <w:iCs/>
        </w:rPr>
        <w:t>Regla 6.1</w:t>
      </w:r>
      <w:r w:rsidRPr="00C45CF9">
        <w:t xml:space="preserve"> del Reglamento Financiero y las Reglas Financieras, la flexibilidad necesaria para compensar los excedentes de gastos en las categorías 1 y 2 (gastos de personal) con ahorros efectuados en las categorías 3 a 9 (gastos distintos de los de personal) y efectuar las transferencias necesarias, en su caso;</w:t>
      </w:r>
    </w:p>
    <w:p w:rsidR="009E6456" w:rsidRPr="00C45CF9" w:rsidRDefault="009E6456" w:rsidP="009E6456">
      <w:pPr>
        <w:tabs>
          <w:tab w:val="left" w:pos="709"/>
        </w:tabs>
      </w:pPr>
      <w:r w:rsidRPr="00C45CF9">
        <w:t>6</w:t>
      </w:r>
      <w:r w:rsidRPr="00C45CF9">
        <w:tab/>
        <w:t>autorizar que, en caso necesario, se equilibren las cuentas de 2020-2021 con excedentes de ingresos;</w:t>
      </w:r>
    </w:p>
    <w:p w:rsidR="009E6456" w:rsidRPr="00C45CF9" w:rsidRDefault="009E6456" w:rsidP="009E6456">
      <w:pPr>
        <w:tabs>
          <w:tab w:val="left" w:pos="709"/>
        </w:tabs>
      </w:pPr>
      <w:r w:rsidRPr="00C45CF9">
        <w:t>7</w:t>
      </w:r>
      <w:r w:rsidRPr="00C45CF9">
        <w:tab/>
        <w:t>encargar al Secretario General que en enero de 2020 transfiera 1 000 000 CHF de la Cuenta de Provisión al fondo ASHI para cubrir el pasivo a largo plazo no financiado.</w:t>
      </w:r>
    </w:p>
    <w:p w:rsidR="009E6456" w:rsidRPr="00C45CF9" w:rsidRDefault="009E6456" w:rsidP="009E6456">
      <w:pPr>
        <w:tabs>
          <w:tab w:val="left" w:pos="709"/>
        </w:tabs>
        <w:spacing w:before="960"/>
      </w:pPr>
      <w:r w:rsidRPr="00C45CF9">
        <w:rPr>
          <w:b/>
          <w:bCs/>
        </w:rPr>
        <w:t>Anexos</w:t>
      </w:r>
      <w:r w:rsidRPr="00C45CF9">
        <w:t>: Cuadros 1-12</w:t>
      </w:r>
    </w:p>
    <w:p w:rsidR="009E6456" w:rsidRPr="00C45CF9" w:rsidRDefault="009E6456" w:rsidP="009E6456">
      <w:pPr>
        <w:tabs>
          <w:tab w:val="left" w:pos="709"/>
        </w:tabs>
        <w:spacing w:before="960"/>
      </w:pPr>
    </w:p>
    <w:p w:rsidR="009E6456" w:rsidRPr="00C45CF9" w:rsidRDefault="009E6456" w:rsidP="009E6456">
      <w:pPr>
        <w:rPr>
          <w:rFonts w:asciiTheme="minorHAnsi" w:hAnsiTheme="minorHAnsi" w:cstheme="minorHAnsi"/>
        </w:rPr>
        <w:sectPr w:rsidR="009E6456" w:rsidRPr="00C45CF9" w:rsidSect="006710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9E6456" w:rsidRPr="00C45CF9" w:rsidRDefault="009E6456" w:rsidP="009E6456">
      <w:pPr>
        <w:pStyle w:val="Figure"/>
        <w:spacing w:before="1920"/>
      </w:pPr>
      <w:r w:rsidRPr="00C45CF9">
        <w:rPr>
          <w:noProof/>
          <w:lang w:val="en-US" w:eastAsia="zh-CN"/>
        </w:rPr>
        <w:lastRenderedPageBreak/>
        <w:drawing>
          <wp:inline distT="0" distB="0" distL="0" distR="0" wp14:anchorId="6B425A98" wp14:editId="6B9A6FAE">
            <wp:extent cx="6782435" cy="2886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pStyle w:val="Figure"/>
        <w:spacing w:before="1920"/>
      </w:pPr>
      <w:bookmarkStart w:id="12" w:name="Cuadro_3"/>
      <w:r w:rsidRPr="00C45CF9">
        <w:rPr>
          <w:noProof/>
          <w:lang w:val="en-US" w:eastAsia="zh-CN"/>
        </w:rPr>
        <w:lastRenderedPageBreak/>
        <w:drawing>
          <wp:inline distT="0" distB="0" distL="0" distR="0" wp14:anchorId="1EBB46CC" wp14:editId="1197B8D5">
            <wp:extent cx="6220513" cy="5656469"/>
            <wp:effectExtent l="0" t="0" r="889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304" cy="56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keepNext/>
        <w:keepLines/>
        <w:tabs>
          <w:tab w:val="left" w:pos="709"/>
        </w:tabs>
        <w:spacing w:after="120"/>
        <w:jc w:val="center"/>
      </w:pPr>
      <w:r w:rsidRPr="00C45CF9">
        <w:rPr>
          <w:noProof/>
          <w:lang w:val="en-US" w:eastAsia="zh-CN"/>
        </w:rPr>
        <w:lastRenderedPageBreak/>
        <w:drawing>
          <wp:inline distT="0" distB="0" distL="0" distR="0" wp14:anchorId="049A8A1D" wp14:editId="37B13FFF">
            <wp:extent cx="8503200" cy="50364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200" cy="50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:rsidR="009E6456" w:rsidRPr="00C45CF9" w:rsidRDefault="009E6456" w:rsidP="009E6456">
      <w:pPr>
        <w:keepNext/>
        <w:keepLines/>
        <w:tabs>
          <w:tab w:val="left" w:pos="709"/>
        </w:tabs>
        <w:spacing w:after="120"/>
        <w:jc w:val="center"/>
      </w:pPr>
      <w:r w:rsidRPr="00C45CF9">
        <w:rPr>
          <w:noProof/>
          <w:lang w:val="en-US" w:eastAsia="zh-CN"/>
        </w:rPr>
        <w:lastRenderedPageBreak/>
        <w:drawing>
          <wp:inline distT="0" distB="0" distL="0" distR="0" wp14:anchorId="25F0DBBA" wp14:editId="242A29FE">
            <wp:extent cx="8528400" cy="5720400"/>
            <wp:effectExtent l="0" t="0" r="635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400" cy="57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keepNext/>
        <w:keepLines/>
        <w:tabs>
          <w:tab w:val="left" w:pos="709"/>
        </w:tabs>
        <w:spacing w:after="120"/>
        <w:jc w:val="center"/>
      </w:pPr>
      <w:bookmarkStart w:id="13" w:name="Cuadro_5"/>
      <w:r w:rsidRPr="00C45CF9">
        <w:rPr>
          <w:noProof/>
          <w:lang w:val="en-US" w:eastAsia="zh-CN"/>
        </w:rPr>
        <w:lastRenderedPageBreak/>
        <w:drawing>
          <wp:inline distT="0" distB="0" distL="0" distR="0" wp14:anchorId="0099AA54" wp14:editId="2227FCB5">
            <wp:extent cx="7841615" cy="4945380"/>
            <wp:effectExtent l="0" t="0" r="698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615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keepNext/>
        <w:keepLines/>
        <w:tabs>
          <w:tab w:val="left" w:pos="709"/>
        </w:tabs>
        <w:spacing w:after="120"/>
        <w:jc w:val="center"/>
      </w:pPr>
      <w:r w:rsidRPr="00C45CF9">
        <w:rPr>
          <w:noProof/>
          <w:lang w:val="en-US" w:eastAsia="zh-CN"/>
        </w:rPr>
        <w:lastRenderedPageBreak/>
        <w:drawing>
          <wp:inline distT="0" distB="0" distL="0" distR="0" wp14:anchorId="73167B53" wp14:editId="4086271C">
            <wp:extent cx="8888730" cy="5796077"/>
            <wp:effectExtent l="0" t="0" r="762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579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keepNext/>
        <w:keepLines/>
        <w:tabs>
          <w:tab w:val="left" w:pos="709"/>
        </w:tabs>
        <w:spacing w:after="120"/>
        <w:jc w:val="center"/>
      </w:pPr>
      <w:bookmarkStart w:id="14" w:name="Cuadro_7"/>
      <w:r w:rsidRPr="00C45CF9">
        <w:rPr>
          <w:noProof/>
          <w:lang w:val="en-US" w:eastAsia="zh-CN"/>
        </w:rPr>
        <w:lastRenderedPageBreak/>
        <w:drawing>
          <wp:inline distT="0" distB="0" distL="0" distR="0" wp14:anchorId="75973A74" wp14:editId="45AA79D0">
            <wp:extent cx="8522335" cy="459422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335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keepNext/>
        <w:keepLines/>
        <w:tabs>
          <w:tab w:val="left" w:pos="709"/>
        </w:tabs>
        <w:spacing w:after="120"/>
        <w:jc w:val="center"/>
      </w:pPr>
      <w:r w:rsidRPr="00C45CF9">
        <w:rPr>
          <w:noProof/>
          <w:lang w:val="en-US" w:eastAsia="zh-CN"/>
        </w:rPr>
        <w:lastRenderedPageBreak/>
        <w:drawing>
          <wp:inline distT="0" distB="0" distL="0" distR="0" wp14:anchorId="380FFC33" wp14:editId="584B0FFC">
            <wp:extent cx="8636400" cy="57780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400" cy="5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keepNext/>
        <w:keepLines/>
        <w:tabs>
          <w:tab w:val="left" w:pos="709"/>
        </w:tabs>
        <w:spacing w:after="120"/>
        <w:jc w:val="center"/>
        <w:rPr>
          <w:noProof/>
          <w:lang w:eastAsia="zh-CN"/>
        </w:rPr>
      </w:pPr>
      <w:r w:rsidRPr="00C45CF9">
        <w:rPr>
          <w:noProof/>
          <w:lang w:val="en-US" w:eastAsia="zh-CN"/>
        </w:rPr>
        <w:lastRenderedPageBreak/>
        <w:drawing>
          <wp:inline distT="0" distB="0" distL="0" distR="0" wp14:anchorId="52B1201F" wp14:editId="702A1C7A">
            <wp:extent cx="8213725" cy="43014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72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tabs>
          <w:tab w:val="left" w:pos="709"/>
        </w:tabs>
      </w:pPr>
      <w:r w:rsidRPr="00C45CF9">
        <w:rPr>
          <w:noProof/>
          <w:lang w:val="en-US" w:eastAsia="zh-CN"/>
        </w:rPr>
        <w:lastRenderedPageBreak/>
        <w:drawing>
          <wp:inline distT="0" distB="0" distL="0" distR="0" wp14:anchorId="1A935EA5" wp14:editId="22A2B031">
            <wp:extent cx="8720952" cy="5889883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423" cy="589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keepNext/>
        <w:keepLines/>
        <w:tabs>
          <w:tab w:val="left" w:pos="709"/>
        </w:tabs>
        <w:spacing w:after="120"/>
        <w:jc w:val="center"/>
      </w:pPr>
      <w:bookmarkStart w:id="15" w:name="Cuadro_11"/>
      <w:r w:rsidRPr="00C45CF9">
        <w:rPr>
          <w:noProof/>
          <w:lang w:val="en-US" w:eastAsia="zh-CN"/>
        </w:rPr>
        <w:lastRenderedPageBreak/>
        <w:drawing>
          <wp:inline distT="0" distB="0" distL="0" distR="0" wp14:anchorId="564E0FE1" wp14:editId="0BC420E7">
            <wp:extent cx="6829200" cy="54144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200" cy="54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 w:rsidR="009E6456" w:rsidRPr="00C45CF9" w:rsidRDefault="009E6456" w:rsidP="009E6456">
      <w:pPr>
        <w:tabs>
          <w:tab w:val="left" w:pos="709"/>
        </w:tabs>
      </w:pPr>
      <w:r w:rsidRPr="00C45CF9">
        <w:br w:type="page"/>
      </w:r>
    </w:p>
    <w:p w:rsidR="009E6456" w:rsidRPr="00C45CF9" w:rsidRDefault="009E6456" w:rsidP="009E6456">
      <w:pPr>
        <w:keepNext/>
        <w:keepLines/>
        <w:tabs>
          <w:tab w:val="left" w:pos="709"/>
        </w:tabs>
        <w:spacing w:after="120"/>
        <w:jc w:val="center"/>
      </w:pPr>
      <w:bookmarkStart w:id="16" w:name="Cuadro_12"/>
      <w:r w:rsidRPr="00C45CF9">
        <w:rPr>
          <w:noProof/>
          <w:lang w:val="en-US" w:eastAsia="zh-CN"/>
        </w:rPr>
        <w:lastRenderedPageBreak/>
        <w:drawing>
          <wp:inline distT="0" distB="0" distL="0" distR="0" wp14:anchorId="7E2F028C" wp14:editId="6C81C3BF">
            <wp:extent cx="6758940" cy="3372485"/>
            <wp:effectExtent l="0" t="0" r="381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:rsidR="009E6456" w:rsidRPr="00C45CF9" w:rsidRDefault="009E6456" w:rsidP="009E6456">
      <w:pPr>
        <w:pStyle w:val="Reasons"/>
      </w:pPr>
    </w:p>
    <w:p w:rsidR="009E6456" w:rsidRPr="00C45CF9" w:rsidRDefault="009E6456" w:rsidP="009E6456">
      <w:pPr>
        <w:jc w:val="center"/>
      </w:pPr>
      <w:r w:rsidRPr="00C45CF9">
        <w:t>______________</w:t>
      </w:r>
    </w:p>
    <w:p w:rsidR="00C2727F" w:rsidRPr="00C45CF9" w:rsidRDefault="00C2727F" w:rsidP="009E6456"/>
    <w:sectPr w:rsidR="00C2727F" w:rsidRPr="00C45CF9" w:rsidSect="009E6456">
      <w:headerReference w:type="default" r:id="rId26"/>
      <w:footerReference w:type="default" r:id="rId27"/>
      <w:headerReference w:type="first" r:id="rId28"/>
      <w:footerReference w:type="first" r:id="rId29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B7" w:rsidRDefault="00B87CB7">
      <w:r>
        <w:separator/>
      </w:r>
    </w:p>
  </w:endnote>
  <w:endnote w:type="continuationSeparator" w:id="0">
    <w:p w:rsidR="00B87CB7" w:rsidRDefault="00B8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7B" w:rsidRDefault="002941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56" w:rsidRPr="009E6456" w:rsidRDefault="009E6456" w:rsidP="009E6456">
    <w:pPr>
      <w:pStyle w:val="Footer"/>
      <w:rPr>
        <w:lang w:val="fr-CH"/>
      </w:rPr>
    </w:pPr>
    <w:r w:rsidRPr="009E6456">
      <w:rPr>
        <w:lang w:val="en-US"/>
      </w:rPr>
      <w:fldChar w:fldCharType="begin"/>
    </w:r>
    <w:r w:rsidRPr="009E6456">
      <w:rPr>
        <w:lang w:val="fr-CH"/>
      </w:rPr>
      <w:instrText xml:space="preserve"> FILENAME \p  \* MERGEFORMAT </w:instrText>
    </w:r>
    <w:r w:rsidRPr="009E6456">
      <w:rPr>
        <w:lang w:val="en-US"/>
      </w:rPr>
      <w:fldChar w:fldCharType="separate"/>
    </w:r>
    <w:r>
      <w:rPr>
        <w:lang w:val="fr-CH"/>
      </w:rPr>
      <w:t>P:\ESP\SG\CONSEIL\C19\100\122S.docx</w:t>
    </w:r>
    <w:r w:rsidRPr="009E6456">
      <w:rPr>
        <w:lang w:val="en-US"/>
      </w:rPr>
      <w:fldChar w:fldCharType="end"/>
    </w:r>
    <w:r w:rsidRPr="009E6456">
      <w:rPr>
        <w:lang w:val="fr-CH"/>
      </w:rPr>
      <w:t xml:space="preserve"> (</w:t>
    </w:r>
    <w:r>
      <w:rPr>
        <w:lang w:val="fr-CH"/>
      </w:rPr>
      <w:t>457552</w:t>
    </w:r>
    <w:r w:rsidRPr="009E6456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56" w:rsidRDefault="009E645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E9" w:rsidRPr="009E6456" w:rsidRDefault="00DE36E9" w:rsidP="00DE36E9">
    <w:pPr>
      <w:pStyle w:val="Footer"/>
      <w:rPr>
        <w:lang w:val="fr-CH"/>
      </w:rPr>
    </w:pPr>
    <w:r w:rsidRPr="009E6456">
      <w:rPr>
        <w:lang w:val="en-US"/>
      </w:rPr>
      <w:fldChar w:fldCharType="begin"/>
    </w:r>
    <w:r w:rsidRPr="009E6456">
      <w:rPr>
        <w:lang w:val="fr-CH"/>
      </w:rPr>
      <w:instrText xml:space="preserve"> FILENAME \p  \* MERGEFORMAT </w:instrText>
    </w:r>
    <w:r w:rsidRPr="009E6456">
      <w:rPr>
        <w:lang w:val="en-US"/>
      </w:rPr>
      <w:fldChar w:fldCharType="separate"/>
    </w:r>
    <w:r>
      <w:rPr>
        <w:lang w:val="fr-CH"/>
      </w:rPr>
      <w:t>P:\ESP\SG\CONSEIL\C19\100\122S.docx</w:t>
    </w:r>
    <w:r w:rsidRPr="009E6456">
      <w:rPr>
        <w:lang w:val="en-US"/>
      </w:rPr>
      <w:fldChar w:fldCharType="end"/>
    </w:r>
    <w:r w:rsidRPr="009E6456">
      <w:rPr>
        <w:lang w:val="fr-CH"/>
      </w:rPr>
      <w:t xml:space="preserve"> (</w:t>
    </w:r>
    <w:r>
      <w:rPr>
        <w:lang w:val="fr-CH"/>
      </w:rPr>
      <w:t>457552</w:t>
    </w:r>
    <w:r w:rsidRPr="009E6456">
      <w:rPr>
        <w:lang w:val="fr-CH"/>
      </w:rPr>
      <w:t>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E9" w:rsidRPr="009E6456" w:rsidRDefault="00DE36E9" w:rsidP="00DE36E9">
    <w:pPr>
      <w:pStyle w:val="Footer"/>
      <w:rPr>
        <w:lang w:val="fr-CH"/>
      </w:rPr>
    </w:pPr>
    <w:r w:rsidRPr="009E6456">
      <w:rPr>
        <w:lang w:val="en-US"/>
      </w:rPr>
      <w:fldChar w:fldCharType="begin"/>
    </w:r>
    <w:r w:rsidRPr="009E6456">
      <w:rPr>
        <w:lang w:val="fr-CH"/>
      </w:rPr>
      <w:instrText xml:space="preserve"> FILENAME \p  \* MERGEFORMAT </w:instrText>
    </w:r>
    <w:r w:rsidRPr="009E6456">
      <w:rPr>
        <w:lang w:val="en-US"/>
      </w:rPr>
      <w:fldChar w:fldCharType="separate"/>
    </w:r>
    <w:r>
      <w:rPr>
        <w:lang w:val="fr-CH"/>
      </w:rPr>
      <w:t>P:\ESP\SG\CONSEIL\C19\100\122S.docx</w:t>
    </w:r>
    <w:r w:rsidRPr="009E6456">
      <w:rPr>
        <w:lang w:val="en-US"/>
      </w:rPr>
      <w:fldChar w:fldCharType="end"/>
    </w:r>
    <w:r w:rsidRPr="009E6456">
      <w:rPr>
        <w:lang w:val="fr-CH"/>
      </w:rPr>
      <w:t xml:space="preserve"> (</w:t>
    </w:r>
    <w:r>
      <w:rPr>
        <w:lang w:val="fr-CH"/>
      </w:rPr>
      <w:t>457552</w:t>
    </w:r>
    <w:r w:rsidRPr="009E6456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B7" w:rsidRDefault="00B87CB7">
      <w:r>
        <w:t>____________________</w:t>
      </w:r>
    </w:p>
  </w:footnote>
  <w:footnote w:type="continuationSeparator" w:id="0">
    <w:p w:rsidR="00B87CB7" w:rsidRDefault="00B8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7B" w:rsidRDefault="002941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1" w:name="_GoBack"/>
  <w:bookmarkEnd w:id="11"/>
  <w:p w:rsidR="009E6456" w:rsidRDefault="009E6456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29417B">
      <w:rPr>
        <w:noProof/>
      </w:rPr>
      <w:t>2</w:t>
    </w:r>
    <w:r>
      <w:rPr>
        <w:noProof/>
      </w:rPr>
      <w:fldChar w:fldCharType="end"/>
    </w:r>
  </w:p>
  <w:p w:rsidR="009E6456" w:rsidRDefault="009E6456" w:rsidP="009E6456">
    <w:pPr>
      <w:pStyle w:val="Header"/>
    </w:pPr>
    <w:r>
      <w:t>C19/122-S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E9" w:rsidRPr="0029417B" w:rsidRDefault="00DE36E9" w:rsidP="0029417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E9" w:rsidRDefault="00DE36E9" w:rsidP="00DE36E9">
    <w:pPr>
      <w:pStyle w:val="Header"/>
    </w:pPr>
    <w:r>
      <w:fldChar w:fldCharType="begin"/>
    </w:r>
    <w:r>
      <w:instrText>PAGE</w:instrText>
    </w:r>
    <w:r>
      <w:fldChar w:fldCharType="separate"/>
    </w:r>
    <w:r w:rsidR="0029417B">
      <w:rPr>
        <w:noProof/>
      </w:rPr>
      <w:t>15</w:t>
    </w:r>
    <w:r>
      <w:rPr>
        <w:noProof/>
      </w:rPr>
      <w:fldChar w:fldCharType="end"/>
    </w:r>
  </w:p>
  <w:p w:rsidR="00DE36E9" w:rsidRDefault="00DE36E9" w:rsidP="00DE36E9">
    <w:pPr>
      <w:pStyle w:val="Header"/>
    </w:pPr>
    <w:r>
      <w:t>C19/122-S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E9" w:rsidRDefault="00DE36E9" w:rsidP="00DE36E9">
    <w:pPr>
      <w:pStyle w:val="Header"/>
    </w:pPr>
    <w:r>
      <w:fldChar w:fldCharType="begin"/>
    </w:r>
    <w:r>
      <w:instrText>PAGE</w:instrText>
    </w:r>
    <w:r>
      <w:fldChar w:fldCharType="separate"/>
    </w:r>
    <w:r w:rsidR="0029417B">
      <w:rPr>
        <w:noProof/>
      </w:rPr>
      <w:t>4</w:t>
    </w:r>
    <w:r>
      <w:rPr>
        <w:noProof/>
      </w:rPr>
      <w:fldChar w:fldCharType="end"/>
    </w:r>
  </w:p>
  <w:p w:rsidR="00DE36E9" w:rsidRDefault="00DE36E9" w:rsidP="00DE36E9">
    <w:pPr>
      <w:pStyle w:val="Header"/>
    </w:pPr>
    <w:r>
      <w:t>C19/122-S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B7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9417B"/>
    <w:rsid w:val="002A2794"/>
    <w:rsid w:val="002C4676"/>
    <w:rsid w:val="002C70B0"/>
    <w:rsid w:val="002F3CC4"/>
    <w:rsid w:val="004548BA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E6456"/>
    <w:rsid w:val="009F4811"/>
    <w:rsid w:val="00A96F33"/>
    <w:rsid w:val="00AA390C"/>
    <w:rsid w:val="00B0200A"/>
    <w:rsid w:val="00B574DB"/>
    <w:rsid w:val="00B826C2"/>
    <w:rsid w:val="00B8298E"/>
    <w:rsid w:val="00B87CB7"/>
    <w:rsid w:val="00BD0723"/>
    <w:rsid w:val="00BD2518"/>
    <w:rsid w:val="00BF1D1C"/>
    <w:rsid w:val="00C20C59"/>
    <w:rsid w:val="00C2727F"/>
    <w:rsid w:val="00C45CF9"/>
    <w:rsid w:val="00C55B1F"/>
    <w:rsid w:val="00CF1A67"/>
    <w:rsid w:val="00D2750E"/>
    <w:rsid w:val="00D62446"/>
    <w:rsid w:val="00DA4EA2"/>
    <w:rsid w:val="00DC3D3E"/>
    <w:rsid w:val="00DE2C90"/>
    <w:rsid w:val="00DE36E9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AD56B46-D8C5-4C66-9CFF-D0165486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C45C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C45CF9"/>
    <w:rPr>
      <w:rFonts w:ascii="Calibri" w:hAnsi="Calibr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B3AE-9FD2-4439-BBE2-4CAA547C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25</TotalTime>
  <Pages>15</Pages>
  <Words>706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4341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Soriano, Manuel</dc:creator>
  <cp:keywords>C2018, C18</cp:keywords>
  <dc:description/>
  <cp:lastModifiedBy>Soriano, Manuel</cp:lastModifiedBy>
  <cp:revision>7</cp:revision>
  <cp:lastPrinted>2019-07-29T06:59:00Z</cp:lastPrinted>
  <dcterms:created xsi:type="dcterms:W3CDTF">2019-07-29T06:53:00Z</dcterms:created>
  <dcterms:modified xsi:type="dcterms:W3CDTF">2019-07-29T08:13:00Z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