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28119E">
              <w:rPr>
                <w:b/>
                <w:bCs/>
                <w:szCs w:val="24"/>
              </w:rPr>
              <w:t>14</w:t>
            </w:r>
            <w:r w:rsidR="00E003CB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E003CB" w:rsidP="0028119E">
      <w:pPr>
        <w:pStyle w:val="ResNo"/>
      </w:pPr>
      <w:r w:rsidRPr="00FA2C9E">
        <w:t xml:space="preserve">Resolución </w:t>
      </w:r>
      <w:r w:rsidR="0028119E">
        <w:t>925 (Modificada 2019)</w:t>
      </w:r>
    </w:p>
    <w:p w:rsidR="00E003CB" w:rsidRPr="00E04367" w:rsidRDefault="00E003CB" w:rsidP="0028119E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 la </w:t>
      </w:r>
      <w:r w:rsidR="0028119E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E003CB" w:rsidRPr="00FA2C9E" w:rsidRDefault="0028119E" w:rsidP="0028119E">
      <w:pPr>
        <w:pStyle w:val="Restitle"/>
      </w:pPr>
      <w:r>
        <w:t>Condiciones económicas de la participación de las Naciones Unidas,</w:t>
      </w:r>
      <w:r>
        <w:br/>
      </w:r>
      <w:r>
        <w:t>de los organismos especializados y de las otras organizaciones</w:t>
      </w:r>
      <w:r>
        <w:br/>
      </w:r>
      <w:r>
        <w:t>internacionales en las conferencias, asambleas y reuniones de la UI</w:t>
      </w:r>
      <w:bookmarkStart w:id="7" w:name="_GoBack"/>
      <w:bookmarkEnd w:id="7"/>
      <w:r>
        <w:t>T</w:t>
      </w:r>
    </w:p>
    <w:p w:rsidR="0028119E" w:rsidRPr="00192FF0" w:rsidRDefault="0028119E" w:rsidP="0028119E">
      <w:pPr>
        <w:pStyle w:val="Normalaftertitle"/>
      </w:pPr>
      <w:r w:rsidRPr="00192FF0">
        <w:t>El Consejo,</w:t>
      </w:r>
    </w:p>
    <w:p w:rsidR="0028119E" w:rsidRPr="001970BB" w:rsidRDefault="0028119E" w:rsidP="0028119E">
      <w:pPr>
        <w:pStyle w:val="Call"/>
        <w:rPr>
          <w:lang w:val="es-ES"/>
        </w:rPr>
      </w:pPr>
      <w:proofErr w:type="gramStart"/>
      <w:r w:rsidRPr="001970BB">
        <w:rPr>
          <w:lang w:val="es-ES"/>
        </w:rPr>
        <w:t>recordando</w:t>
      </w:r>
      <w:proofErr w:type="gramEnd"/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lang w:val="es-ES"/>
        </w:rPr>
        <w:t>que en el Acuerdo entre las Naciones Unidas y la UIT se prevé que se invite a esa organización a participar en todas las conferencias y asambleas de la Unión, así como en las reuniones de las Comisiones de Estudio, Grupos Asesores y Grupos de Trabajo de los Sectores de la UIT y demás reuniones convocadas por la</w:t>
      </w:r>
      <w:r>
        <w:rPr>
          <w:lang w:val="es-ES"/>
        </w:rPr>
        <w:t xml:space="preserve"> </w:t>
      </w:r>
      <w:r w:rsidRPr="001970BB">
        <w:rPr>
          <w:lang w:val="es-ES"/>
        </w:rPr>
        <w:t>Unión,</w:t>
      </w:r>
    </w:p>
    <w:p w:rsidR="0028119E" w:rsidRPr="001970BB" w:rsidRDefault="0028119E" w:rsidP="0028119E">
      <w:pPr>
        <w:pStyle w:val="Call"/>
        <w:jc w:val="both"/>
        <w:rPr>
          <w:lang w:val="es-ES"/>
        </w:rPr>
      </w:pPr>
      <w:proofErr w:type="gramStart"/>
      <w:r w:rsidRPr="001970BB">
        <w:rPr>
          <w:lang w:val="es-ES"/>
        </w:rPr>
        <w:t>considerando</w:t>
      </w:r>
      <w:proofErr w:type="gramEnd"/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i/>
          <w:iCs/>
          <w:lang w:val="es-ES"/>
        </w:rPr>
        <w:t>a)</w:t>
      </w:r>
      <w:r w:rsidRPr="001970BB">
        <w:rPr>
          <w:lang w:val="es-ES"/>
        </w:rPr>
        <w:tab/>
        <w:t xml:space="preserve">que, según lo dispuesto en el número </w:t>
      </w:r>
      <w:r>
        <w:rPr>
          <w:lang w:val="es-ES"/>
        </w:rPr>
        <w:t>80 (</w:t>
      </w:r>
      <w:r w:rsidRPr="001970BB">
        <w:rPr>
          <w:lang w:val="es-ES"/>
        </w:rPr>
        <w:t>Artículo 4</w:t>
      </w:r>
      <w:r>
        <w:rPr>
          <w:lang w:val="es-ES"/>
        </w:rPr>
        <w:t>)</w:t>
      </w:r>
      <w:r w:rsidRPr="001970BB">
        <w:rPr>
          <w:lang w:val="es-ES"/>
        </w:rPr>
        <w:t xml:space="preserve"> del Convenio de la UIT, el Consejo es responsable de la coordinación con todas las organizaciones internacionales que tengan actividades e intereses conexos, como se prevé en los Artículos 49 y 50 de la Constitución;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i/>
          <w:iCs/>
          <w:lang w:val="es-ES"/>
        </w:rPr>
        <w:t>b)</w:t>
      </w:r>
      <w:r w:rsidRPr="001970BB">
        <w:rPr>
          <w:lang w:val="es-ES"/>
        </w:rPr>
        <w:tab/>
        <w:t>que los organismos especializados relacionados con las Naciones Unidas tienen interés general en cooperar, dentro de los límites de sus posibilidades, para resolver sus problemas comunes, conexos o complementarios;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i/>
          <w:iCs/>
          <w:lang w:val="es-ES"/>
        </w:rPr>
        <w:t>c)</w:t>
      </w:r>
      <w:r w:rsidRPr="001970BB">
        <w:rPr>
          <w:lang w:val="es-ES"/>
        </w:rPr>
        <w:tab/>
        <w:t xml:space="preserve">que, según lo dispuesto en el número </w:t>
      </w:r>
      <w:r>
        <w:rPr>
          <w:lang w:val="es-ES"/>
        </w:rPr>
        <w:t>476 (</w:t>
      </w:r>
      <w:r w:rsidRPr="001970BB">
        <w:rPr>
          <w:lang w:val="es-ES"/>
        </w:rPr>
        <w:t>Artículo 33</w:t>
      </w:r>
      <w:r>
        <w:rPr>
          <w:lang w:val="es-ES"/>
        </w:rPr>
        <w:t>)</w:t>
      </w:r>
      <w:r w:rsidRPr="001970BB">
        <w:rPr>
          <w:lang w:val="es-ES"/>
        </w:rPr>
        <w:t xml:space="preserve"> del Convenio, el Consejo puede exonerar "en régimen de reciprocidad" a ciertas organizaciones internacionales de cualquier participación en los gastos de las conferencias, asambleas y reuniones de la UIT;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i/>
          <w:iCs/>
          <w:lang w:val="es-ES"/>
        </w:rPr>
        <w:t>d)</w:t>
      </w:r>
      <w:r w:rsidRPr="001970BB">
        <w:rPr>
          <w:lang w:val="es-ES"/>
        </w:rPr>
        <w:tab/>
        <w:t>que el único criterio que ha de tenerse en cuenta en este caso deberían ser los beneficios o ventajas que pueden obtener tanto la UIT como la organización en cuestión de su participación en las actividades correspondientes,</w:t>
      </w:r>
    </w:p>
    <w:p w:rsidR="0028119E" w:rsidRPr="001970BB" w:rsidRDefault="0028119E" w:rsidP="0028119E">
      <w:pPr>
        <w:pStyle w:val="Call"/>
        <w:jc w:val="both"/>
        <w:rPr>
          <w:lang w:val="es-ES"/>
        </w:rPr>
      </w:pPr>
      <w:proofErr w:type="gramStart"/>
      <w:r w:rsidRPr="001970BB">
        <w:rPr>
          <w:lang w:val="es-ES"/>
        </w:rPr>
        <w:t>habida</w:t>
      </w:r>
      <w:proofErr w:type="gramEnd"/>
      <w:r w:rsidRPr="001970BB">
        <w:rPr>
          <w:lang w:val="es-ES"/>
        </w:rPr>
        <w:t xml:space="preserve"> cuenta</w:t>
      </w:r>
    </w:p>
    <w:p w:rsidR="0028119E" w:rsidRPr="001970BB" w:rsidRDefault="0028119E" w:rsidP="0028119E">
      <w:pPr>
        <w:jc w:val="both"/>
        <w:rPr>
          <w:lang w:val="es-ES"/>
        </w:rPr>
      </w:pPr>
      <w:proofErr w:type="gramStart"/>
      <w:r w:rsidRPr="001970BB">
        <w:rPr>
          <w:lang w:val="es-ES"/>
        </w:rPr>
        <w:t>de</w:t>
      </w:r>
      <w:proofErr w:type="gramEnd"/>
      <w:r w:rsidRPr="001970BB">
        <w:rPr>
          <w:lang w:val="es-ES"/>
        </w:rPr>
        <w:t xml:space="preserve"> las Resoluciones pertinentes de la Asamblea General de las Naciones Unidas sobre los movimientos de liberación,</w:t>
      </w:r>
    </w:p>
    <w:p w:rsidR="0028119E" w:rsidRPr="001970BB" w:rsidRDefault="0028119E" w:rsidP="0028119E">
      <w:pPr>
        <w:pStyle w:val="Call"/>
        <w:jc w:val="both"/>
        <w:rPr>
          <w:lang w:val="es-ES"/>
        </w:rPr>
      </w:pPr>
      <w:proofErr w:type="gramStart"/>
      <w:r w:rsidRPr="001970BB">
        <w:rPr>
          <w:lang w:val="es-ES"/>
        </w:rPr>
        <w:t>resuelve</w:t>
      </w:r>
      <w:proofErr w:type="gramEnd"/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lang w:val="es-ES"/>
        </w:rPr>
        <w:t>1</w:t>
      </w:r>
      <w:r w:rsidRPr="001970BB">
        <w:rPr>
          <w:lang w:val="es-ES"/>
        </w:rPr>
        <w:tab/>
        <w:t>exonerar a las Naciones Unidas de toda contribución a los gastos de conferencias</w:t>
      </w:r>
      <w:r>
        <w:rPr>
          <w:lang w:val="es-ES"/>
        </w:rPr>
        <w:t>, asambleas</w:t>
      </w:r>
      <w:r w:rsidRPr="001970BB">
        <w:rPr>
          <w:lang w:val="es-ES"/>
        </w:rPr>
        <w:t xml:space="preserve"> y reuniones de la UIT en que participe;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lang w:val="es-ES"/>
        </w:rPr>
        <w:lastRenderedPageBreak/>
        <w:t>2</w:t>
      </w:r>
      <w:r w:rsidRPr="001970BB">
        <w:rPr>
          <w:lang w:val="es-ES"/>
        </w:rPr>
        <w:tab/>
      </w:r>
      <w:proofErr w:type="gramStart"/>
      <w:r w:rsidRPr="001970BB">
        <w:rPr>
          <w:lang w:val="es-ES"/>
        </w:rPr>
        <w:t>que</w:t>
      </w:r>
      <w:proofErr w:type="gramEnd"/>
      <w:r w:rsidRPr="001970BB">
        <w:rPr>
          <w:lang w:val="es-ES"/>
        </w:rPr>
        <w:t>, a reserva de lo dispuesto en los Artículos 23, 24 y 25 del Convenio y del Reglamento general de las conferencias, asambleas y reuniones de la Unión, se invite a participar en las conferencias, asambleas y reuniones de la Unión, con carácter consultivo, a los organismos especializados de las Naciones Unidas, al Organismo Internacional de Energía Atómica y a las demás organizaciones contempladas en los números 269A-</w:t>
      </w:r>
      <w:r>
        <w:rPr>
          <w:lang w:val="es-ES"/>
        </w:rPr>
        <w:t>269E (</w:t>
      </w:r>
      <w:r w:rsidRPr="001970BB">
        <w:rPr>
          <w:lang w:val="es-ES"/>
        </w:rPr>
        <w:t>Artículo 23</w:t>
      </w:r>
      <w:r>
        <w:rPr>
          <w:lang w:val="es-ES"/>
        </w:rPr>
        <w:t>)</w:t>
      </w:r>
      <w:r w:rsidRPr="001970BB">
        <w:rPr>
          <w:lang w:val="es-ES"/>
        </w:rPr>
        <w:t xml:space="preserve"> del Convenio;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lang w:val="es-ES"/>
        </w:rPr>
        <w:t>3</w:t>
      </w:r>
      <w:r w:rsidRPr="001970BB">
        <w:rPr>
          <w:lang w:val="es-ES"/>
        </w:rPr>
        <w:tab/>
        <w:t xml:space="preserve">que, siempre y cuando concedan la reciprocidad a la Unión, se exonere a los organismos especializados, al Organismo Internacional de Energía Atómica y a las demás organizaciones previstas en los números 269A-269E </w:t>
      </w:r>
      <w:r>
        <w:rPr>
          <w:lang w:val="es-ES"/>
        </w:rPr>
        <w:t>(</w:t>
      </w:r>
      <w:r w:rsidRPr="001970BB">
        <w:rPr>
          <w:lang w:val="es-ES"/>
        </w:rPr>
        <w:t>Artículo 23</w:t>
      </w:r>
      <w:r>
        <w:rPr>
          <w:lang w:val="es-ES"/>
        </w:rPr>
        <w:t>)</w:t>
      </w:r>
      <w:r w:rsidRPr="001970BB">
        <w:rPr>
          <w:lang w:val="es-ES"/>
        </w:rPr>
        <w:t xml:space="preserve"> del Convenio de toda contribución a los gastos de las conferencias, asambleas y reuniones de la UIT en que participen;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lang w:val="es-ES"/>
        </w:rPr>
        <w:t>4</w:t>
      </w:r>
      <w:r w:rsidRPr="001970BB">
        <w:rPr>
          <w:lang w:val="es-ES"/>
        </w:rPr>
        <w:tab/>
        <w:t>que, de conformidad con la Resolución 6 (</w:t>
      </w:r>
      <w:proofErr w:type="spellStart"/>
      <w:r w:rsidRPr="001970BB">
        <w:rPr>
          <w:lang w:val="es-ES"/>
        </w:rPr>
        <w:t>Kyoto</w:t>
      </w:r>
      <w:proofErr w:type="spellEnd"/>
      <w:r w:rsidRPr="001970BB">
        <w:rPr>
          <w:lang w:val="es-ES"/>
        </w:rPr>
        <w:t>, 1994), las organizaciones de liberación reconocidas por las Naciones Unidas puedan asistir en todo momento a las conferencias, asambleas y reuniones de la UIT como observadores y se las exonere de toda contribución a los gastos de dichas conferencias, asambleas y reuniones de la UIT;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rPr>
          <w:lang w:val="es-ES"/>
        </w:rPr>
        <w:t>5</w:t>
      </w:r>
      <w:r w:rsidRPr="001970BB">
        <w:rPr>
          <w:lang w:val="es-ES"/>
        </w:rPr>
        <w:tab/>
        <w:t>encargar al Secretario General:</w:t>
      </w:r>
    </w:p>
    <w:p w:rsidR="0028119E" w:rsidRPr="001970BB" w:rsidRDefault="0028119E" w:rsidP="0028119E">
      <w:pPr>
        <w:pStyle w:val="enumlev1"/>
        <w:jc w:val="both"/>
        <w:rPr>
          <w:lang w:val="es-ES"/>
        </w:rPr>
      </w:pPr>
      <w:r w:rsidRPr="001970BB">
        <w:rPr>
          <w:lang w:val="es-ES"/>
        </w:rPr>
        <w:t>5.1</w:t>
      </w:r>
      <w:r w:rsidRPr="001970BB">
        <w:rPr>
          <w:lang w:val="es-ES"/>
        </w:rPr>
        <w:tab/>
        <w:t xml:space="preserve">que, de conformidad con los </w:t>
      </w:r>
      <w:r w:rsidRPr="001970BB">
        <w:rPr>
          <w:i/>
          <w:iCs/>
          <w:lang w:val="es-ES"/>
        </w:rPr>
        <w:t>resuelve</w:t>
      </w:r>
      <w:r w:rsidRPr="001970BB">
        <w:rPr>
          <w:lang w:val="es-ES"/>
        </w:rPr>
        <w:t xml:space="preserve"> 3 y 4 anteriores, establezca y actualice, según proceda, una lista de organizaciones exoneradas de toda contribución a los gastos de conferencias, asambleas y reuniones de la UIT, organizada según las siguientes categorías:</w:t>
      </w:r>
    </w:p>
    <w:p w:rsidR="0028119E" w:rsidRPr="001970BB" w:rsidRDefault="0028119E" w:rsidP="0028119E">
      <w:pPr>
        <w:pStyle w:val="enumlev2"/>
        <w:jc w:val="both"/>
        <w:rPr>
          <w:lang w:val="es-ES"/>
        </w:rPr>
      </w:pPr>
      <w:r w:rsidRPr="001970BB">
        <w:rPr>
          <w:lang w:val="es-ES"/>
        </w:rPr>
        <w:t>–</w:t>
      </w:r>
      <w:r w:rsidRPr="001970BB">
        <w:rPr>
          <w:lang w:val="es-ES"/>
        </w:rPr>
        <w:tab/>
        <w:t>organizaciones regionales de telecomunicaciones;</w:t>
      </w:r>
    </w:p>
    <w:p w:rsidR="0028119E" w:rsidRPr="001970BB" w:rsidRDefault="0028119E" w:rsidP="0028119E">
      <w:pPr>
        <w:pStyle w:val="enumlev2"/>
        <w:jc w:val="both"/>
        <w:rPr>
          <w:lang w:val="es-ES"/>
        </w:rPr>
      </w:pPr>
      <w:r w:rsidRPr="001970BB">
        <w:rPr>
          <w:lang w:val="es-ES"/>
        </w:rPr>
        <w:t>–</w:t>
      </w:r>
      <w:r w:rsidRPr="001970BB">
        <w:rPr>
          <w:lang w:val="es-ES"/>
        </w:rPr>
        <w:tab/>
        <w:t>organizaciones intergubernamentales que explotan sistemas de satélites;</w:t>
      </w:r>
    </w:p>
    <w:p w:rsidR="0028119E" w:rsidRPr="001970BB" w:rsidRDefault="0028119E" w:rsidP="0028119E">
      <w:pPr>
        <w:pStyle w:val="enumlev2"/>
        <w:jc w:val="both"/>
        <w:rPr>
          <w:lang w:val="es-ES"/>
        </w:rPr>
      </w:pPr>
      <w:r w:rsidRPr="001970BB">
        <w:rPr>
          <w:lang w:val="es-ES"/>
        </w:rPr>
        <w:t>–</w:t>
      </w:r>
      <w:r w:rsidRPr="001970BB">
        <w:rPr>
          <w:lang w:val="es-ES"/>
        </w:rPr>
        <w:tab/>
        <w:t>organizaciones regionales y otras organizaciones internacionales;</w:t>
      </w:r>
    </w:p>
    <w:p w:rsidR="0028119E" w:rsidRPr="001970BB" w:rsidRDefault="0028119E" w:rsidP="0028119E">
      <w:pPr>
        <w:pStyle w:val="enumlev2"/>
        <w:jc w:val="both"/>
        <w:rPr>
          <w:lang w:val="es-ES"/>
        </w:rPr>
      </w:pPr>
      <w:r w:rsidRPr="001970BB">
        <w:rPr>
          <w:lang w:val="es-ES"/>
        </w:rPr>
        <w:t>–</w:t>
      </w:r>
      <w:r w:rsidRPr="001970BB">
        <w:rPr>
          <w:lang w:val="es-ES"/>
        </w:rPr>
        <w:tab/>
        <w:t>organismos especializados de las Naciones Unidas y el Organismo Internacional de la Energía Atómica;</w:t>
      </w:r>
    </w:p>
    <w:p w:rsidR="0028119E" w:rsidRPr="001970BB" w:rsidRDefault="0028119E" w:rsidP="0028119E">
      <w:pPr>
        <w:pStyle w:val="enumlev1"/>
        <w:jc w:val="both"/>
        <w:rPr>
          <w:lang w:val="es-ES"/>
        </w:rPr>
      </w:pPr>
      <w:r w:rsidRPr="001970BB">
        <w:rPr>
          <w:lang w:val="es-ES"/>
        </w:rPr>
        <w:t>5.2</w:t>
      </w:r>
      <w:r w:rsidRPr="001970BB">
        <w:rPr>
          <w:lang w:val="es-ES"/>
        </w:rPr>
        <w:tab/>
        <w:t xml:space="preserve">que presente la lista de organizaciones conforme al </w:t>
      </w:r>
      <w:r w:rsidRPr="001970BB">
        <w:rPr>
          <w:i/>
          <w:iCs/>
          <w:lang w:val="es-ES"/>
        </w:rPr>
        <w:t>resuelve</w:t>
      </w:r>
      <w:r w:rsidRPr="001970BB">
        <w:rPr>
          <w:lang w:val="es-ES"/>
        </w:rPr>
        <w:t xml:space="preserve"> 5.1 anterior a la consideración del Consejo para su aprobación;</w:t>
      </w:r>
    </w:p>
    <w:p w:rsidR="0028119E" w:rsidRPr="001970BB" w:rsidRDefault="0028119E" w:rsidP="0028119E">
      <w:pPr>
        <w:pStyle w:val="enumlev1"/>
        <w:jc w:val="both"/>
        <w:rPr>
          <w:lang w:val="es-ES"/>
        </w:rPr>
      </w:pPr>
      <w:r w:rsidRPr="001970BB">
        <w:rPr>
          <w:lang w:val="es-ES"/>
        </w:rPr>
        <w:t>5.3</w:t>
      </w:r>
      <w:r w:rsidRPr="001970BB">
        <w:rPr>
          <w:lang w:val="es-ES"/>
        </w:rPr>
        <w:tab/>
        <w:t>que publique en el sitio web de la UIT la lista de organizaciones aprobada por el Consejo;</w:t>
      </w:r>
    </w:p>
    <w:p w:rsidR="0028119E" w:rsidRPr="001970BB" w:rsidRDefault="0028119E" w:rsidP="0028119E">
      <w:pPr>
        <w:pStyle w:val="enumlev1"/>
        <w:jc w:val="both"/>
        <w:rPr>
          <w:lang w:val="es-ES"/>
        </w:rPr>
      </w:pPr>
      <w:r w:rsidRPr="001970BB">
        <w:rPr>
          <w:lang w:val="es-ES"/>
        </w:rPr>
        <w:t>5.4</w:t>
      </w:r>
      <w:r w:rsidRPr="001970BB">
        <w:rPr>
          <w:lang w:val="es-ES"/>
        </w:rPr>
        <w:tab/>
        <w:t>que informe al Consejo de las medidas adoptadas para aplicar esta Resolución,</w:t>
      </w:r>
    </w:p>
    <w:p w:rsidR="0028119E" w:rsidRPr="001970BB" w:rsidRDefault="0028119E" w:rsidP="0028119E">
      <w:pPr>
        <w:jc w:val="both"/>
        <w:rPr>
          <w:lang w:val="es-ES"/>
        </w:rPr>
      </w:pPr>
      <w:r w:rsidRPr="001970BB">
        <w:t>6</w:t>
      </w:r>
      <w:r w:rsidRPr="001970BB">
        <w:tab/>
      </w:r>
      <w:r w:rsidRPr="001970BB">
        <w:rPr>
          <w:lang w:val="es-ES"/>
        </w:rPr>
        <w:t>mantener la lista de organizaciones mencionadas en la Sección 4 de la Resolución 925 (C</w:t>
      </w:r>
      <w:r w:rsidRPr="001970BB">
        <w:rPr>
          <w:lang w:val="es-ES"/>
        </w:rPr>
        <w:noBreakHyphen/>
        <w:t>1985, enmendada por última vez en el C</w:t>
      </w:r>
      <w:r>
        <w:rPr>
          <w:lang w:val="es-ES"/>
        </w:rPr>
        <w:t>-</w:t>
      </w:r>
      <w:r w:rsidRPr="001970BB">
        <w:rPr>
          <w:lang w:val="es-ES"/>
        </w:rPr>
        <w:t xml:space="preserve">01) hasta que el Consejo adopte una lista que la reemplace de conformidad con el </w:t>
      </w:r>
      <w:r w:rsidRPr="001970BB">
        <w:rPr>
          <w:i/>
          <w:iCs/>
          <w:lang w:val="es-ES"/>
        </w:rPr>
        <w:t>decide</w:t>
      </w:r>
      <w:r w:rsidRPr="001970BB">
        <w:rPr>
          <w:lang w:val="es-ES"/>
        </w:rPr>
        <w:t xml:space="preserve"> 5.2 de la presente Resolución.</w:t>
      </w:r>
    </w:p>
    <w:p w:rsidR="00E003CB" w:rsidRDefault="00E003CB" w:rsidP="00E003CB">
      <w:pPr>
        <w:spacing w:before="720"/>
        <w:jc w:val="center"/>
      </w:pPr>
      <w:r>
        <w:t>______________</w:t>
      </w:r>
    </w:p>
    <w:sectPr w:rsidR="00E003CB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28119E" w:rsidRDefault="007B4981" w:rsidP="0051504E">
    <w:pPr>
      <w:pStyle w:val="Footer"/>
      <w:rPr>
        <w:color w:val="D9D9D9" w:themeColor="background1" w:themeShade="D9"/>
        <w:lang w:val="en-US"/>
      </w:rPr>
    </w:pPr>
    <w:r w:rsidRPr="0028119E">
      <w:rPr>
        <w:color w:val="D9D9D9" w:themeColor="background1" w:themeShade="D9"/>
        <w:lang w:val="en-US"/>
      </w:rPr>
      <w:fldChar w:fldCharType="begin"/>
    </w:r>
    <w:r w:rsidRPr="0028119E">
      <w:rPr>
        <w:color w:val="D9D9D9" w:themeColor="background1" w:themeShade="D9"/>
        <w:lang w:val="en-US"/>
      </w:rPr>
      <w:instrText xml:space="preserve"> FILENAME \p \* MERGEFORMAT </w:instrText>
    </w:r>
    <w:r w:rsidRPr="0028119E">
      <w:rPr>
        <w:color w:val="D9D9D9" w:themeColor="background1" w:themeShade="D9"/>
        <w:lang w:val="en-US"/>
      </w:rPr>
      <w:fldChar w:fldCharType="separate"/>
    </w:r>
    <w:r w:rsidR="00021623" w:rsidRPr="0028119E">
      <w:rPr>
        <w:color w:val="D9D9D9" w:themeColor="background1" w:themeShade="D9"/>
        <w:lang w:val="en-US"/>
      </w:rPr>
      <w:t>Document1</w:t>
    </w:r>
    <w:r w:rsidRPr="0028119E">
      <w:rPr>
        <w:color w:val="D9D9D9" w:themeColor="background1" w:themeShade="D9"/>
        <w:lang w:val="en-US"/>
      </w:rPr>
      <w:fldChar w:fldCharType="end"/>
    </w:r>
    <w:r w:rsidR="00760F1C" w:rsidRPr="0028119E">
      <w:rPr>
        <w:color w:val="D9D9D9" w:themeColor="background1" w:themeShade="D9"/>
        <w:lang w:val="en-US"/>
      </w:rPr>
      <w:tab/>
    </w:r>
    <w:r w:rsidR="00760F1C" w:rsidRPr="0028119E">
      <w:rPr>
        <w:color w:val="D9D9D9" w:themeColor="background1" w:themeShade="D9"/>
        <w:lang w:val="en-US"/>
      </w:rPr>
      <w:tab/>
    </w:r>
    <w:r w:rsidR="0051504E" w:rsidRPr="0028119E">
      <w:rPr>
        <w:color w:val="D9D9D9" w:themeColor="background1" w:themeShade="D9"/>
      </w:rPr>
      <w:fldChar w:fldCharType="begin"/>
    </w:r>
    <w:r w:rsidR="0051504E" w:rsidRPr="0028119E">
      <w:rPr>
        <w:color w:val="D9D9D9" w:themeColor="background1" w:themeShade="D9"/>
      </w:rPr>
      <w:instrText xml:space="preserve"> DATE   \* MERGEFORMAT </w:instrText>
    </w:r>
    <w:r w:rsidR="0051504E" w:rsidRPr="0028119E">
      <w:rPr>
        <w:color w:val="D9D9D9" w:themeColor="background1" w:themeShade="D9"/>
      </w:rPr>
      <w:fldChar w:fldCharType="separate"/>
    </w:r>
    <w:r w:rsidR="00DE5783" w:rsidRPr="0028119E">
      <w:rPr>
        <w:color w:val="D9D9D9" w:themeColor="background1" w:themeShade="D9"/>
      </w:rPr>
      <w:t>05/07/2019</w:t>
    </w:r>
    <w:r w:rsidR="0051504E" w:rsidRPr="0028119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DE5783">
      <w:rPr>
        <w:color w:val="BFBFBF" w:themeColor="background1" w:themeShade="BF"/>
      </w:rPr>
      <w:t>05/07/2019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8119E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 w:rsidR="0028119E">
      <w:t>/141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8119E"/>
    <w:rsid w:val="002C4676"/>
    <w:rsid w:val="002C70B0"/>
    <w:rsid w:val="002F3CC4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DE5783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28119E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28119E"/>
    <w:rPr>
      <w:rFonts w:ascii="Calibri" w:hAnsi="Calibri"/>
      <w:i/>
      <w:sz w:val="24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28119E"/>
    <w:rPr>
      <w:rFonts w:ascii="Calibri" w:hAnsi="Calibri"/>
      <w:sz w:val="24"/>
      <w:lang w:val="es-ES_tradnl" w:eastAsia="en-US"/>
    </w:rPr>
  </w:style>
  <w:style w:type="paragraph" w:customStyle="1" w:styleId="Endtext">
    <w:name w:val="End_text"/>
    <w:basedOn w:val="Normal"/>
    <w:rsid w:val="002811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  <w:textAlignment w:val="auto"/>
    </w:pPr>
    <w:rPr>
      <w:i/>
      <w:iCs/>
      <w:sz w:val="22"/>
      <w:lang w:val="fr-CH"/>
    </w:rPr>
  </w:style>
  <w:style w:type="character" w:customStyle="1" w:styleId="enumlev2Char">
    <w:name w:val="enumlev2 Char"/>
    <w:link w:val="enumlev2"/>
    <w:locked/>
    <w:rsid w:val="0028119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1395 - Planes Operacionales cuatrienales renovables de la Unión para 2020-2023</vt:lpstr>
    </vt:vector>
  </TitlesOfParts>
  <Manager>Secretaría General - Pool</Manager>
  <Company>Unión Internacional de Telecomunicaciones (UIT)</Company>
  <LinksUpToDate>false</LinksUpToDate>
  <CharactersWithSpaces>4293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925 - Condiciones económicas de la participación de las Naciones Unidas, de los organismos especializados y de las otras organizaciones internacionales en las conferencias, asambleas y reuniones de la UIT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2019-07-05T09:03:00Z</dcterms:created>
  <dcterms:modified xsi:type="dcterms:W3CDTF">2019-07-05T09:11:00Z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