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228CE34" w14:textId="77777777" w:rsidTr="00464B6C">
        <w:trPr>
          <w:cantSplit/>
        </w:trPr>
        <w:tc>
          <w:tcPr>
            <w:tcW w:w="6911" w:type="dxa"/>
          </w:tcPr>
          <w:p w14:paraId="5B309A2E" w14:textId="77777777" w:rsidR="002A2188" w:rsidRPr="00813E5E" w:rsidRDefault="00D76925" w:rsidP="00607177">
            <w:pPr>
              <w:spacing w:before="360" w:after="48"/>
              <w:rPr>
                <w:position w:val="6"/>
              </w:rPr>
            </w:pPr>
            <w:r w:rsidRPr="00D76925">
              <w:rPr>
                <w:b/>
                <w:bCs/>
                <w:position w:val="6"/>
                <w:sz w:val="30"/>
                <w:szCs w:val="30"/>
              </w:rPr>
              <w:t xml:space="preserve">Additional </w:t>
            </w:r>
            <w:r w:rsidR="00806A8B">
              <w:rPr>
                <w:b/>
                <w:bCs/>
                <w:position w:val="6"/>
                <w:sz w:val="30"/>
                <w:szCs w:val="30"/>
              </w:rPr>
              <w:t xml:space="preserve">2019 </w:t>
            </w:r>
            <w:r w:rsidRPr="00D76925">
              <w:rPr>
                <w:b/>
                <w:bCs/>
                <w:position w:val="6"/>
                <w:sz w:val="30"/>
                <w:szCs w:val="30"/>
              </w:rPr>
              <w:t xml:space="preserve">session of </w:t>
            </w:r>
            <w:r>
              <w:rPr>
                <w:b/>
                <w:bCs/>
                <w:position w:val="6"/>
                <w:sz w:val="30"/>
                <w:szCs w:val="30"/>
              </w:rPr>
              <w:t xml:space="preserve">the </w:t>
            </w:r>
            <w:r w:rsidR="002A2188" w:rsidRPr="00D76925">
              <w:rPr>
                <w:b/>
                <w:bCs/>
                <w:position w:val="6"/>
                <w:sz w:val="30"/>
                <w:szCs w:val="30"/>
              </w:rPr>
              <w:t>Council</w:t>
            </w:r>
            <w:r w:rsidR="002A2188" w:rsidRPr="00E85629">
              <w:rPr>
                <w:rFonts w:cs="Times"/>
                <w:b/>
                <w:position w:val="6"/>
                <w:sz w:val="26"/>
                <w:szCs w:val="26"/>
                <w:lang w:val="en-US"/>
              </w:rPr>
              <w:br/>
            </w:r>
            <w:r w:rsidR="002A2188" w:rsidRPr="00D76925">
              <w:rPr>
                <w:b/>
                <w:bCs/>
                <w:position w:val="6"/>
                <w:szCs w:val="24"/>
              </w:rPr>
              <w:t xml:space="preserve">Geneva, </w:t>
            </w:r>
            <w:r>
              <w:rPr>
                <w:b/>
                <w:bCs/>
                <w:position w:val="6"/>
                <w:szCs w:val="24"/>
              </w:rPr>
              <w:t>27 September</w:t>
            </w:r>
            <w:r w:rsidR="002A2188" w:rsidRPr="00D76925">
              <w:rPr>
                <w:b/>
                <w:bCs/>
                <w:position w:val="6"/>
                <w:szCs w:val="24"/>
              </w:rPr>
              <w:t xml:space="preserve"> 201</w:t>
            </w:r>
            <w:r w:rsidR="00FB1279" w:rsidRPr="00D76925">
              <w:rPr>
                <w:b/>
                <w:bCs/>
                <w:position w:val="6"/>
                <w:szCs w:val="24"/>
              </w:rPr>
              <w:t>9</w:t>
            </w:r>
          </w:p>
        </w:tc>
        <w:tc>
          <w:tcPr>
            <w:tcW w:w="3120" w:type="dxa"/>
          </w:tcPr>
          <w:p w14:paraId="7297BC89" w14:textId="77777777" w:rsidR="002A2188" w:rsidRPr="00813E5E" w:rsidRDefault="00D76925" w:rsidP="00607177">
            <w:pPr>
              <w:spacing w:before="0"/>
            </w:pPr>
            <w:bookmarkStart w:id="0" w:name="ditulogo"/>
            <w:bookmarkEnd w:id="0"/>
            <w:r>
              <w:rPr>
                <w:noProof/>
                <w:lang w:eastAsia="zh-CN"/>
              </w:rPr>
              <w:drawing>
                <wp:inline distT="0" distB="0" distL="0" distR="0" wp14:anchorId="29F7FDD2" wp14:editId="29D13B21">
                  <wp:extent cx="682406"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cropp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6" cy="720000"/>
                          </a:xfrm>
                          <a:prstGeom prst="rect">
                            <a:avLst/>
                          </a:prstGeom>
                        </pic:spPr>
                      </pic:pic>
                    </a:graphicData>
                  </a:graphic>
                </wp:inline>
              </w:drawing>
            </w:r>
          </w:p>
        </w:tc>
      </w:tr>
      <w:tr w:rsidR="002A2188" w:rsidRPr="00813E5E" w14:paraId="47679BA2" w14:textId="77777777" w:rsidTr="00464B6C">
        <w:trPr>
          <w:cantSplit/>
        </w:trPr>
        <w:tc>
          <w:tcPr>
            <w:tcW w:w="6911" w:type="dxa"/>
            <w:tcBorders>
              <w:bottom w:val="single" w:sz="12" w:space="0" w:color="auto"/>
            </w:tcBorders>
          </w:tcPr>
          <w:p w14:paraId="327B733D" w14:textId="77777777" w:rsidR="002A2188" w:rsidRPr="00813E5E" w:rsidRDefault="002A2188" w:rsidP="00607177">
            <w:pPr>
              <w:spacing w:before="0" w:after="48"/>
              <w:rPr>
                <w:b/>
                <w:smallCaps/>
                <w:szCs w:val="24"/>
              </w:rPr>
            </w:pPr>
          </w:p>
        </w:tc>
        <w:tc>
          <w:tcPr>
            <w:tcW w:w="3120" w:type="dxa"/>
            <w:tcBorders>
              <w:bottom w:val="single" w:sz="12" w:space="0" w:color="auto"/>
            </w:tcBorders>
          </w:tcPr>
          <w:p w14:paraId="4500B68A" w14:textId="77777777" w:rsidR="002A2188" w:rsidRPr="00813E5E" w:rsidRDefault="002A2188" w:rsidP="00607177">
            <w:pPr>
              <w:spacing w:before="0"/>
              <w:rPr>
                <w:szCs w:val="24"/>
              </w:rPr>
            </w:pPr>
          </w:p>
        </w:tc>
      </w:tr>
      <w:tr w:rsidR="002A2188" w:rsidRPr="00813E5E" w14:paraId="65F5C58E" w14:textId="77777777" w:rsidTr="00464B6C">
        <w:trPr>
          <w:cantSplit/>
        </w:trPr>
        <w:tc>
          <w:tcPr>
            <w:tcW w:w="6911" w:type="dxa"/>
            <w:tcBorders>
              <w:top w:val="single" w:sz="12" w:space="0" w:color="auto"/>
            </w:tcBorders>
          </w:tcPr>
          <w:p w14:paraId="6CCA64F9" w14:textId="77777777" w:rsidR="002A2188" w:rsidRPr="00813E5E" w:rsidRDefault="002A2188" w:rsidP="008B30CC">
            <w:pPr>
              <w:spacing w:before="0"/>
              <w:rPr>
                <w:b/>
                <w:smallCaps/>
                <w:szCs w:val="24"/>
              </w:rPr>
            </w:pPr>
          </w:p>
        </w:tc>
        <w:tc>
          <w:tcPr>
            <w:tcW w:w="3120" w:type="dxa"/>
            <w:tcBorders>
              <w:top w:val="single" w:sz="12" w:space="0" w:color="auto"/>
            </w:tcBorders>
          </w:tcPr>
          <w:p w14:paraId="2B909D78" w14:textId="77777777" w:rsidR="002A2188" w:rsidRPr="00813E5E" w:rsidRDefault="002A2188" w:rsidP="008B30CC">
            <w:pPr>
              <w:spacing w:before="0"/>
              <w:rPr>
                <w:szCs w:val="24"/>
              </w:rPr>
            </w:pPr>
          </w:p>
        </w:tc>
      </w:tr>
      <w:tr w:rsidR="002A2188" w:rsidRPr="00813E5E" w14:paraId="2C464874" w14:textId="77777777" w:rsidTr="00464B6C">
        <w:trPr>
          <w:cantSplit/>
          <w:trHeight w:val="23"/>
        </w:trPr>
        <w:tc>
          <w:tcPr>
            <w:tcW w:w="6911" w:type="dxa"/>
            <w:vMerge w:val="restart"/>
          </w:tcPr>
          <w:p w14:paraId="20A8C4EF" w14:textId="77777777" w:rsidR="002A2188" w:rsidRPr="00E85629" w:rsidRDefault="002A2188" w:rsidP="00607177">
            <w:pPr>
              <w:tabs>
                <w:tab w:val="left" w:pos="851"/>
              </w:tabs>
              <w:rPr>
                <w:b/>
              </w:rPr>
            </w:pPr>
            <w:bookmarkStart w:id="1" w:name="dmeeting" w:colFirst="0" w:colLast="0"/>
            <w:bookmarkStart w:id="2" w:name="dnum" w:colFirst="1" w:colLast="1"/>
          </w:p>
        </w:tc>
        <w:tc>
          <w:tcPr>
            <w:tcW w:w="3120" w:type="dxa"/>
          </w:tcPr>
          <w:p w14:paraId="0597D154" w14:textId="3780A01B" w:rsidR="002A2188" w:rsidRPr="00E85629" w:rsidRDefault="002A2188" w:rsidP="008B30CC">
            <w:pPr>
              <w:tabs>
                <w:tab w:val="left" w:pos="851"/>
              </w:tabs>
              <w:spacing w:before="0"/>
              <w:rPr>
                <w:b/>
              </w:rPr>
            </w:pPr>
            <w:r>
              <w:rPr>
                <w:b/>
              </w:rPr>
              <w:t>Document C1</w:t>
            </w:r>
            <w:r w:rsidR="00FB1279">
              <w:rPr>
                <w:b/>
              </w:rPr>
              <w:t>9</w:t>
            </w:r>
            <w:r w:rsidR="00D76925">
              <w:rPr>
                <w:b/>
              </w:rPr>
              <w:t>-ADD</w:t>
            </w:r>
            <w:r>
              <w:rPr>
                <w:b/>
              </w:rPr>
              <w:t>/</w:t>
            </w:r>
            <w:r w:rsidR="008B30CC">
              <w:rPr>
                <w:b/>
              </w:rPr>
              <w:t>3</w:t>
            </w:r>
            <w:r>
              <w:rPr>
                <w:b/>
              </w:rPr>
              <w:t>-E</w:t>
            </w:r>
          </w:p>
        </w:tc>
      </w:tr>
      <w:tr w:rsidR="002A2188" w:rsidRPr="00813E5E" w14:paraId="4A51BDCE" w14:textId="77777777" w:rsidTr="00464B6C">
        <w:trPr>
          <w:cantSplit/>
          <w:trHeight w:val="23"/>
        </w:trPr>
        <w:tc>
          <w:tcPr>
            <w:tcW w:w="6911" w:type="dxa"/>
            <w:vMerge/>
          </w:tcPr>
          <w:p w14:paraId="1F5641D1" w14:textId="77777777" w:rsidR="002A2188" w:rsidRPr="00813E5E" w:rsidRDefault="002A2188" w:rsidP="00607177">
            <w:pPr>
              <w:tabs>
                <w:tab w:val="left" w:pos="851"/>
              </w:tabs>
              <w:rPr>
                <w:b/>
              </w:rPr>
            </w:pPr>
            <w:bookmarkStart w:id="3" w:name="ddate" w:colFirst="1" w:colLast="1"/>
            <w:bookmarkEnd w:id="1"/>
            <w:bookmarkEnd w:id="2"/>
          </w:p>
        </w:tc>
        <w:tc>
          <w:tcPr>
            <w:tcW w:w="3120" w:type="dxa"/>
          </w:tcPr>
          <w:p w14:paraId="4B27A0D4" w14:textId="2922F730" w:rsidR="002A2188" w:rsidRPr="00E85629" w:rsidRDefault="005C7EDD" w:rsidP="00607177">
            <w:pPr>
              <w:tabs>
                <w:tab w:val="left" w:pos="993"/>
              </w:tabs>
              <w:spacing w:before="0"/>
              <w:rPr>
                <w:b/>
              </w:rPr>
            </w:pPr>
            <w:r>
              <w:rPr>
                <w:b/>
              </w:rPr>
              <w:t>9 September</w:t>
            </w:r>
            <w:r w:rsidR="002A2188">
              <w:rPr>
                <w:b/>
              </w:rPr>
              <w:t xml:space="preserve"> 201</w:t>
            </w:r>
            <w:r w:rsidR="00FB1279">
              <w:rPr>
                <w:b/>
              </w:rPr>
              <w:t>9</w:t>
            </w:r>
          </w:p>
        </w:tc>
      </w:tr>
      <w:tr w:rsidR="002A2188" w:rsidRPr="00813E5E" w14:paraId="0B35AB0B" w14:textId="77777777" w:rsidTr="00464B6C">
        <w:trPr>
          <w:cantSplit/>
          <w:trHeight w:val="23"/>
        </w:trPr>
        <w:tc>
          <w:tcPr>
            <w:tcW w:w="6911" w:type="dxa"/>
            <w:vMerge/>
          </w:tcPr>
          <w:p w14:paraId="3CEB6B0B" w14:textId="77777777" w:rsidR="002A2188" w:rsidRPr="00813E5E" w:rsidRDefault="002A2188" w:rsidP="00607177">
            <w:pPr>
              <w:tabs>
                <w:tab w:val="left" w:pos="851"/>
              </w:tabs>
              <w:rPr>
                <w:b/>
              </w:rPr>
            </w:pPr>
            <w:bookmarkStart w:id="4" w:name="dorlang" w:colFirst="1" w:colLast="1"/>
            <w:bookmarkEnd w:id="3"/>
          </w:p>
        </w:tc>
        <w:tc>
          <w:tcPr>
            <w:tcW w:w="3120" w:type="dxa"/>
          </w:tcPr>
          <w:p w14:paraId="2E764B5B" w14:textId="77777777" w:rsidR="002A2188" w:rsidRPr="00E85629" w:rsidRDefault="002A2188" w:rsidP="00607177">
            <w:pPr>
              <w:tabs>
                <w:tab w:val="left" w:pos="993"/>
              </w:tabs>
              <w:spacing w:before="0"/>
              <w:rPr>
                <w:b/>
              </w:rPr>
            </w:pPr>
            <w:r>
              <w:rPr>
                <w:b/>
              </w:rPr>
              <w:t>Original: English</w:t>
            </w:r>
          </w:p>
        </w:tc>
      </w:tr>
      <w:tr w:rsidR="002A2188" w:rsidRPr="00813E5E" w14:paraId="1174D110" w14:textId="77777777" w:rsidTr="00464B6C">
        <w:trPr>
          <w:cantSplit/>
        </w:trPr>
        <w:tc>
          <w:tcPr>
            <w:tcW w:w="10031" w:type="dxa"/>
            <w:gridSpan w:val="2"/>
          </w:tcPr>
          <w:p w14:paraId="24EF7554" w14:textId="63BBABF2" w:rsidR="002A2188" w:rsidRPr="00813E5E" w:rsidRDefault="008B30CC" w:rsidP="00361BA2">
            <w:pPr>
              <w:pStyle w:val="Source"/>
              <w:framePr w:hSpace="0" w:wrap="auto" w:hAnchor="text" w:yAlign="inline"/>
            </w:pPr>
            <w:bookmarkStart w:id="5" w:name="dsource" w:colFirst="0" w:colLast="0"/>
            <w:bookmarkEnd w:id="4"/>
            <w:r>
              <w:t>Contribution from the United States of America</w:t>
            </w:r>
          </w:p>
        </w:tc>
      </w:tr>
      <w:tr w:rsidR="002A2188" w:rsidRPr="00813E5E" w14:paraId="2E8B02FD" w14:textId="77777777" w:rsidTr="00464B6C">
        <w:trPr>
          <w:cantSplit/>
        </w:trPr>
        <w:tc>
          <w:tcPr>
            <w:tcW w:w="10031" w:type="dxa"/>
            <w:gridSpan w:val="2"/>
          </w:tcPr>
          <w:p w14:paraId="122EF573" w14:textId="77777777" w:rsidR="002A2188" w:rsidRPr="00813E5E" w:rsidRDefault="00613B86" w:rsidP="00361BA2">
            <w:pPr>
              <w:pStyle w:val="Title1"/>
              <w:framePr w:hSpace="0" w:wrap="auto" w:hAnchor="text" w:yAlign="inline"/>
            </w:pPr>
            <w:bookmarkStart w:id="6" w:name="dtitle1" w:colFirst="0" w:colLast="0"/>
            <w:bookmarkEnd w:id="5"/>
            <w:r>
              <w:t>United States views on the ITU HEADQUARTERS BUILDING PROJECT</w:t>
            </w:r>
          </w:p>
        </w:tc>
      </w:tr>
      <w:bookmarkEnd w:id="6"/>
    </w:tbl>
    <w:p w14:paraId="25FE5EF5" w14:textId="77777777" w:rsidR="002A2188" w:rsidRPr="00813E5E" w:rsidRDefault="002A2188" w:rsidP="00607177"/>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3C253B63"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2A8D9594" w14:textId="77777777" w:rsidR="00101589" w:rsidRDefault="002A2188" w:rsidP="00607177">
            <w:pPr>
              <w:pStyle w:val="Headingb"/>
            </w:pPr>
            <w:r w:rsidRPr="00813E5E">
              <w:t>Summary</w:t>
            </w:r>
          </w:p>
          <w:p w14:paraId="14B00790" w14:textId="77777777" w:rsidR="002A2188" w:rsidRPr="00101589" w:rsidRDefault="00101589" w:rsidP="005A58B3">
            <w:pPr>
              <w:pStyle w:val="Headingb"/>
              <w:tabs>
                <w:tab w:val="clear" w:pos="567"/>
              </w:tabs>
              <w:ind w:left="0" w:hanging="2"/>
              <w:jc w:val="both"/>
              <w:rPr>
                <w:b w:val="0"/>
              </w:rPr>
            </w:pPr>
            <w:r w:rsidRPr="00101589">
              <w:rPr>
                <w:b w:val="0"/>
              </w:rPr>
              <w:t>The critical need for a financial plan that includes a credible financial risk analysis and a realistic funding plan for the entire project of bringing into use a new headquarters building for ITU in Geneva depends upon the information requested by Council 2019</w:t>
            </w:r>
            <w:r w:rsidR="00480105">
              <w:rPr>
                <w:b w:val="0"/>
              </w:rPr>
              <w:t xml:space="preserve"> and steps to ensure that the project is well managed</w:t>
            </w:r>
            <w:r w:rsidR="00D873B7">
              <w:rPr>
                <w:b w:val="0"/>
              </w:rPr>
              <w:t xml:space="preserve"> and that costs are kept within previously considered and approved levels</w:t>
            </w:r>
            <w:r w:rsidR="00613B86" w:rsidRPr="00101589">
              <w:rPr>
                <w:b w:val="0"/>
              </w:rPr>
              <w:t>.</w:t>
            </w:r>
          </w:p>
          <w:p w14:paraId="401EED03" w14:textId="77777777" w:rsidR="002A2188" w:rsidRPr="00813E5E" w:rsidRDefault="002A2188" w:rsidP="005A58B3">
            <w:pPr>
              <w:pStyle w:val="Headingb"/>
              <w:jc w:val="both"/>
            </w:pPr>
            <w:r w:rsidRPr="00813E5E">
              <w:t>Action required</w:t>
            </w:r>
          </w:p>
          <w:p w14:paraId="7D7773CA" w14:textId="77777777" w:rsidR="002A2188" w:rsidRPr="00813E5E" w:rsidRDefault="00101589" w:rsidP="005A58B3">
            <w:pPr>
              <w:jc w:val="both"/>
            </w:pPr>
            <w:r w:rsidRPr="00101589">
              <w:t xml:space="preserve">The </w:t>
            </w:r>
            <w:r>
              <w:t>United States of America</w:t>
            </w:r>
            <w:r w:rsidRPr="00101589">
              <w:t xml:space="preserve"> invites the Council to </w:t>
            </w:r>
            <w:r w:rsidRPr="00101589">
              <w:rPr>
                <w:b/>
              </w:rPr>
              <w:t xml:space="preserve">consider </w:t>
            </w:r>
            <w:r w:rsidRPr="00101589">
              <w:t xml:space="preserve">the content of this </w:t>
            </w:r>
            <w:r w:rsidRPr="005A58B3">
              <w:rPr>
                <w:spacing w:val="-2"/>
              </w:rPr>
              <w:t xml:space="preserve">contribution when </w:t>
            </w:r>
            <w:r w:rsidR="00E253F9" w:rsidRPr="005A58B3">
              <w:rPr>
                <w:spacing w:val="-2"/>
              </w:rPr>
              <w:t>deciding on the next steps for the headquarters building project</w:t>
            </w:r>
            <w:r w:rsidRPr="005A58B3">
              <w:rPr>
                <w:spacing w:val="-2"/>
              </w:rPr>
              <w:t>.</w:t>
            </w:r>
          </w:p>
          <w:p w14:paraId="6AA1F535" w14:textId="77777777" w:rsidR="002A2188" w:rsidRPr="00813E5E" w:rsidRDefault="002A2188" w:rsidP="00607177">
            <w:pPr>
              <w:pStyle w:val="Table"/>
              <w:keepNext w:val="0"/>
              <w:spacing w:before="0" w:after="0"/>
              <w:rPr>
                <w:rFonts w:ascii="Calibri" w:hAnsi="Calibri"/>
                <w:caps w:val="0"/>
                <w:sz w:val="22"/>
              </w:rPr>
            </w:pPr>
            <w:r w:rsidRPr="00813E5E">
              <w:rPr>
                <w:rFonts w:ascii="Calibri" w:hAnsi="Calibri"/>
                <w:caps w:val="0"/>
                <w:sz w:val="22"/>
              </w:rPr>
              <w:t>____________</w:t>
            </w:r>
          </w:p>
          <w:p w14:paraId="6248D096" w14:textId="77777777" w:rsidR="005737CD" w:rsidRDefault="002A2188" w:rsidP="00607177">
            <w:pPr>
              <w:pStyle w:val="Headingb"/>
            </w:pPr>
            <w:r w:rsidRPr="00813E5E">
              <w:t>References</w:t>
            </w:r>
            <w:r w:rsidR="005737CD">
              <w:t>:</w:t>
            </w:r>
          </w:p>
          <w:p w14:paraId="1E76FEA2" w14:textId="77777777" w:rsidR="002A2188" w:rsidRPr="005737CD" w:rsidRDefault="005A58B3" w:rsidP="00607177">
            <w:pPr>
              <w:pStyle w:val="Headingb"/>
              <w:rPr>
                <w:b w:val="0"/>
                <w:i/>
              </w:rPr>
            </w:pPr>
            <w:hyperlink r:id="rId13" w:history="1">
              <w:r w:rsidR="005737CD">
                <w:rPr>
                  <w:rStyle w:val="Hyperlink"/>
                  <w:b w:val="0"/>
                </w:rPr>
                <w:t>C19/DL/12</w:t>
              </w:r>
            </w:hyperlink>
            <w:r w:rsidR="00613B86" w:rsidRPr="005737CD">
              <w:rPr>
                <w:b w:val="0"/>
              </w:rPr>
              <w:t xml:space="preserve">, </w:t>
            </w:r>
            <w:r w:rsidR="00613B86" w:rsidRPr="005737CD">
              <w:rPr>
                <w:b w:val="0"/>
                <w:i/>
              </w:rPr>
              <w:t>Questions on the building project</w:t>
            </w:r>
          </w:p>
          <w:p w14:paraId="56135528" w14:textId="77777777" w:rsidR="00AB4977" w:rsidRDefault="005A58B3" w:rsidP="008B30CC">
            <w:pPr>
              <w:spacing w:before="60"/>
            </w:pPr>
            <w:hyperlink r:id="rId14" w:history="1">
              <w:r w:rsidR="00AB4977" w:rsidRPr="00A6725B">
                <w:rPr>
                  <w:rStyle w:val="Hyperlink"/>
                  <w:szCs w:val="24"/>
                </w:rPr>
                <w:t>C18/</w:t>
              </w:r>
              <w:r w:rsidR="00AB4977" w:rsidRPr="00A6725B">
                <w:rPr>
                  <w:rStyle w:val="Hyperlink"/>
                  <w:szCs w:val="24"/>
                  <w:lang w:val="en-CA"/>
                </w:rPr>
                <w:t>123</w:t>
              </w:r>
            </w:hyperlink>
            <w:r w:rsidR="00AB4977">
              <w:t xml:space="preserve">, </w:t>
            </w:r>
            <w:r w:rsidR="00AB4977" w:rsidRPr="00A6725B">
              <w:rPr>
                <w:i/>
              </w:rPr>
              <w:t>Report on progress on the Union’s headquarters premises project</w:t>
            </w:r>
          </w:p>
          <w:p w14:paraId="3EB6C43C" w14:textId="77777777" w:rsidR="00613B86" w:rsidRPr="00062F34" w:rsidRDefault="005A58B3" w:rsidP="008B30CC">
            <w:pPr>
              <w:spacing w:before="60"/>
              <w:jc w:val="both"/>
              <w:rPr>
                <w:i/>
              </w:rPr>
            </w:pPr>
            <w:hyperlink r:id="rId15" w:history="1">
              <w:r w:rsidR="00613B86" w:rsidRPr="00100312">
                <w:rPr>
                  <w:rStyle w:val="Hyperlink"/>
                </w:rPr>
                <w:t>C19/7</w:t>
              </w:r>
            </w:hyperlink>
            <w:r w:rsidR="00613B86" w:rsidRPr="00062F34">
              <w:rPr>
                <w:szCs w:val="24"/>
              </w:rPr>
              <w:t xml:space="preserve">, </w:t>
            </w:r>
            <w:r w:rsidR="00613B86" w:rsidRPr="00062F34">
              <w:rPr>
                <w:i/>
              </w:rPr>
              <w:t>Report on progress on the Union’s headquarters premises project</w:t>
            </w:r>
          </w:p>
          <w:p w14:paraId="0493106F" w14:textId="77777777" w:rsidR="00613B86" w:rsidRDefault="005A58B3" w:rsidP="008B30CC">
            <w:pPr>
              <w:spacing w:before="60"/>
              <w:jc w:val="both"/>
              <w:rPr>
                <w:szCs w:val="24"/>
              </w:rPr>
            </w:pPr>
            <w:hyperlink r:id="rId16" w:history="1">
              <w:r w:rsidR="00613B86">
                <w:rPr>
                  <w:rStyle w:val="Hyperlink"/>
                </w:rPr>
                <w:t>C19/48</w:t>
              </w:r>
            </w:hyperlink>
            <w:r w:rsidR="00613B86" w:rsidRPr="007C2BAC">
              <w:rPr>
                <w:szCs w:val="24"/>
              </w:rPr>
              <w:t xml:space="preserve">, </w:t>
            </w:r>
            <w:r w:rsidR="00613B86" w:rsidRPr="006C6935">
              <w:rPr>
                <w:i/>
                <w:szCs w:val="24"/>
              </w:rPr>
              <w:t>S</w:t>
            </w:r>
            <w:r w:rsidR="00613B86">
              <w:rPr>
                <w:i/>
                <w:szCs w:val="24"/>
              </w:rPr>
              <w:t>ummary report on the work of the Member States Advisory Group on the Union’s headquarters premises project</w:t>
            </w:r>
          </w:p>
          <w:p w14:paraId="18EA359D" w14:textId="77777777" w:rsidR="00A35832" w:rsidRPr="00A35832" w:rsidRDefault="005A58B3" w:rsidP="008B30CC">
            <w:pPr>
              <w:spacing w:before="60"/>
              <w:jc w:val="both"/>
              <w:rPr>
                <w:i/>
                <w:szCs w:val="24"/>
              </w:rPr>
            </w:pPr>
            <w:hyperlink r:id="rId17" w:history="1">
              <w:r w:rsidR="00A35832">
                <w:rPr>
                  <w:rStyle w:val="Hyperlink"/>
                </w:rPr>
                <w:t>C19/120</w:t>
              </w:r>
            </w:hyperlink>
            <w:r w:rsidR="00A35832">
              <w:rPr>
                <w:rStyle w:val="Hyperlink"/>
                <w:color w:val="auto"/>
                <w:u w:val="none"/>
              </w:rPr>
              <w:t xml:space="preserve">, </w:t>
            </w:r>
            <w:r w:rsidR="00A35832" w:rsidRPr="00A35832">
              <w:rPr>
                <w:rStyle w:val="Strong"/>
                <w:rFonts w:asciiTheme="minorHAnsi" w:hAnsiTheme="minorHAnsi" w:cstheme="minorHAnsi"/>
                <w:b w:val="0"/>
                <w:i/>
                <w:szCs w:val="24"/>
              </w:rPr>
              <w:t>Summary record of the ninth and final Plenary meeting</w:t>
            </w:r>
            <w:r w:rsidR="00A35832">
              <w:rPr>
                <w:rStyle w:val="Strong"/>
                <w:rFonts w:asciiTheme="minorHAnsi" w:hAnsiTheme="minorHAnsi" w:cstheme="minorHAnsi"/>
                <w:b w:val="0"/>
                <w:i/>
                <w:szCs w:val="24"/>
              </w:rPr>
              <w:t xml:space="preserve"> </w:t>
            </w:r>
            <w:r w:rsidR="00A35832" w:rsidRPr="00A35832">
              <w:rPr>
                <w:rStyle w:val="Strong"/>
                <w:rFonts w:asciiTheme="minorHAnsi" w:hAnsiTheme="minorHAnsi" w:cstheme="minorHAnsi"/>
                <w:b w:val="0"/>
                <w:szCs w:val="24"/>
              </w:rPr>
              <w:t>[of Council 2019]</w:t>
            </w:r>
          </w:p>
          <w:p w14:paraId="6C177FDB" w14:textId="77777777" w:rsidR="00AB4977" w:rsidRDefault="005A58B3" w:rsidP="008B30CC">
            <w:pPr>
              <w:spacing w:before="60"/>
              <w:rPr>
                <w:szCs w:val="24"/>
              </w:rPr>
            </w:pPr>
            <w:hyperlink r:id="rId18" w:history="1">
              <w:r w:rsidR="00AB4977" w:rsidRPr="00EA3B8B">
                <w:rPr>
                  <w:rStyle w:val="Hyperlink"/>
                  <w:szCs w:val="24"/>
                </w:rPr>
                <w:t>Council Decision 588</w:t>
              </w:r>
            </w:hyperlink>
            <w:r w:rsidR="00AB4977">
              <w:rPr>
                <w:szCs w:val="24"/>
              </w:rPr>
              <w:t xml:space="preserve">, </w:t>
            </w:r>
            <w:r w:rsidR="00AB4977" w:rsidRPr="00EA3B8B">
              <w:rPr>
                <w:i/>
                <w:szCs w:val="24"/>
              </w:rPr>
              <w:t>Headquarters Premises</w:t>
            </w:r>
          </w:p>
          <w:p w14:paraId="5C90DAC2" w14:textId="77777777" w:rsidR="002A2188" w:rsidRPr="00813E5E" w:rsidRDefault="005A58B3" w:rsidP="008B30CC">
            <w:pPr>
              <w:spacing w:before="60" w:after="120"/>
              <w:rPr>
                <w:i/>
                <w:iCs/>
              </w:rPr>
            </w:pPr>
            <w:hyperlink r:id="rId19" w:history="1">
              <w:r w:rsidR="00AB4977" w:rsidRPr="000C10A1">
                <w:rPr>
                  <w:rStyle w:val="Hyperlink"/>
                  <w:iCs/>
                </w:rPr>
                <w:t>Resolution 212 (Dubai, 2018)</w:t>
              </w:r>
            </w:hyperlink>
            <w:r w:rsidR="00AB4977" w:rsidRPr="003857D3">
              <w:rPr>
                <w:color w:val="000000"/>
                <w:szCs w:val="24"/>
              </w:rPr>
              <w:t xml:space="preserve">, </w:t>
            </w:r>
            <w:r w:rsidR="00AB4977" w:rsidRPr="006C6935">
              <w:rPr>
                <w:i/>
                <w:color w:val="000000"/>
                <w:szCs w:val="24"/>
              </w:rPr>
              <w:t>The Union's future headquarters premises</w:t>
            </w:r>
          </w:p>
        </w:tc>
        <w:bookmarkStart w:id="7" w:name="_GoBack"/>
        <w:bookmarkEnd w:id="7"/>
      </w:tr>
    </w:tbl>
    <w:p w14:paraId="4C82A50C" w14:textId="77777777" w:rsidR="000375DB" w:rsidRDefault="000375DB" w:rsidP="00607177">
      <w:pPr>
        <w:tabs>
          <w:tab w:val="clear" w:pos="567"/>
          <w:tab w:val="clear" w:pos="1134"/>
          <w:tab w:val="clear" w:pos="1701"/>
          <w:tab w:val="clear" w:pos="2268"/>
          <w:tab w:val="clear" w:pos="2835"/>
        </w:tabs>
        <w:overflowPunct/>
        <w:autoSpaceDE/>
        <w:autoSpaceDN/>
        <w:adjustRightInd/>
        <w:spacing w:before="0"/>
        <w:textAlignment w:val="auto"/>
        <w:rPr>
          <w:lang w:val="en-US"/>
        </w:rPr>
      </w:pPr>
      <w:bookmarkStart w:id="8" w:name="dstart"/>
      <w:bookmarkStart w:id="9" w:name="dbreak"/>
      <w:bookmarkEnd w:id="8"/>
      <w:bookmarkEnd w:id="9"/>
      <w:r>
        <w:rPr>
          <w:lang w:val="en-US"/>
        </w:rPr>
        <w:br w:type="page"/>
      </w:r>
    </w:p>
    <w:p w14:paraId="2A831160" w14:textId="77777777" w:rsidR="008B30CC" w:rsidRPr="008B30CC" w:rsidRDefault="008B30CC" w:rsidP="008B30CC">
      <w:pPr>
        <w:jc w:val="center"/>
        <w:rPr>
          <w:b/>
          <w:bCs/>
          <w:sz w:val="28"/>
          <w:szCs w:val="28"/>
        </w:rPr>
      </w:pPr>
      <w:r w:rsidRPr="008B30CC">
        <w:rPr>
          <w:b/>
          <w:bCs/>
          <w:sz w:val="28"/>
          <w:szCs w:val="28"/>
        </w:rPr>
        <w:lastRenderedPageBreak/>
        <w:t>Contribution from the United States of America</w:t>
      </w:r>
    </w:p>
    <w:p w14:paraId="234E5396" w14:textId="013E5124" w:rsidR="00613B86" w:rsidRPr="008B30CC" w:rsidRDefault="008B30CC" w:rsidP="008B30CC">
      <w:pPr>
        <w:jc w:val="center"/>
        <w:rPr>
          <w:sz w:val="28"/>
          <w:szCs w:val="28"/>
        </w:rPr>
      </w:pPr>
      <w:r w:rsidRPr="008B30CC">
        <w:rPr>
          <w:sz w:val="28"/>
          <w:szCs w:val="28"/>
        </w:rPr>
        <w:t>UNITED STATES VIEWS ON THE ITU HEADQUARTERS BUILDING PROJECT</w:t>
      </w:r>
    </w:p>
    <w:p w14:paraId="0EE95A4B" w14:textId="77777777" w:rsidR="00613B86" w:rsidRPr="00F167C6" w:rsidRDefault="00613B86" w:rsidP="00607177">
      <w:pPr>
        <w:pStyle w:val="Heading1"/>
      </w:pPr>
      <w:r w:rsidRPr="00F167C6">
        <w:t>Introduction</w:t>
      </w:r>
    </w:p>
    <w:p w14:paraId="29399696" w14:textId="404A8E57" w:rsidR="00370679" w:rsidRDefault="00613B86" w:rsidP="008B30CC">
      <w:pPr>
        <w:spacing w:after="120"/>
        <w:jc w:val="both"/>
      </w:pPr>
      <w:r w:rsidRPr="00546054">
        <w:t xml:space="preserve">The United States </w:t>
      </w:r>
      <w:r w:rsidR="008B30CC">
        <w:t>appreciates the efforts of the s</w:t>
      </w:r>
      <w:r w:rsidRPr="00546054">
        <w:t xml:space="preserve">ecretariat to </w:t>
      </w:r>
      <w:r>
        <w:t>inform the membership and</w:t>
      </w:r>
      <w:r w:rsidR="008B30CC">
        <w:t xml:space="preserve"> expects the s</w:t>
      </w:r>
      <w:r w:rsidR="00BE7D04">
        <w:t>ecretariat</w:t>
      </w:r>
      <w:r>
        <w:t xml:space="preserve"> to </w:t>
      </w:r>
      <w:r w:rsidRPr="00546054">
        <w:t xml:space="preserve">seek ways to </w:t>
      </w:r>
      <w:r w:rsidR="00BE7D04">
        <w:t xml:space="preserve">maintain the project costs as close to the </w:t>
      </w:r>
      <w:r w:rsidR="008B30CC">
        <w:t>original approved amount of CHF </w:t>
      </w:r>
      <w:r w:rsidR="00BE7D04">
        <w:t>147.5 million as possible</w:t>
      </w:r>
      <w:r w:rsidR="008B30CC">
        <w:t xml:space="preserve">. </w:t>
      </w:r>
      <w:r>
        <w:t>We noted at the extraordinary Council 2018 meeting, that two years into what was considered then to be a seven-year project, the projected costs</w:t>
      </w:r>
      <w:r w:rsidR="00805E41">
        <w:t xml:space="preserve"> at that time</w:t>
      </w:r>
      <w:r>
        <w:t xml:space="preserve"> were about </w:t>
      </w:r>
      <w:r w:rsidRPr="006F1757">
        <w:t>20</w:t>
      </w:r>
      <w:r>
        <w:t>% above the cost limit decided by Council in 2016, according to the Sec</w:t>
      </w:r>
      <w:r w:rsidR="008B30CC">
        <w:t>retary</w:t>
      </w:r>
      <w:r>
        <w:t>-Gen</w:t>
      </w:r>
      <w:r w:rsidR="008B30CC">
        <w:t>eral</w:t>
      </w:r>
      <w:r>
        <w:t xml:space="preserve">’s report in Council </w:t>
      </w:r>
      <w:hyperlink r:id="rId20" w:history="1">
        <w:r w:rsidRPr="00613B86">
          <w:rPr>
            <w:rStyle w:val="Hyperlink"/>
            <w:szCs w:val="24"/>
          </w:rPr>
          <w:t>C18/</w:t>
        </w:r>
        <w:r w:rsidRPr="00613B86">
          <w:rPr>
            <w:rStyle w:val="Hyperlink"/>
            <w:szCs w:val="24"/>
            <w:lang w:val="en-CA"/>
          </w:rPr>
          <w:t>123</w:t>
        </w:r>
      </w:hyperlink>
      <w:r w:rsidR="00805E41" w:rsidRPr="00805E41">
        <w:rPr>
          <w:rStyle w:val="Hyperlink"/>
          <w:color w:val="auto"/>
          <w:szCs w:val="24"/>
          <w:u w:val="none"/>
          <w:lang w:val="en-CA"/>
        </w:rPr>
        <w:t>, an</w:t>
      </w:r>
      <w:r w:rsidR="008B30CC" w:rsidRPr="008B30CC">
        <w:rPr>
          <w:rStyle w:val="Hyperlink"/>
          <w:color w:val="auto"/>
          <w:szCs w:val="24"/>
          <w:u w:val="none"/>
          <w:lang w:val="en-CA"/>
        </w:rPr>
        <w:t xml:space="preserve"> </w:t>
      </w:r>
      <w:r w:rsidR="008B30CC">
        <w:rPr>
          <w:rStyle w:val="Hyperlink"/>
          <w:color w:val="auto"/>
          <w:u w:val="none"/>
          <w:lang w:val="en-CA"/>
        </w:rPr>
        <w:t>increase from CHF 147.5 million to CHF </w:t>
      </w:r>
      <w:r w:rsidR="00805E41" w:rsidRPr="00805E41">
        <w:rPr>
          <w:rStyle w:val="Hyperlink"/>
          <w:color w:val="auto"/>
          <w:u w:val="none"/>
          <w:lang w:val="en-CA"/>
        </w:rPr>
        <w:t>177 million</w:t>
      </w:r>
      <w:r w:rsidRPr="00805E41">
        <w:rPr>
          <w:rStyle w:val="Hyperlink"/>
          <w:color w:val="auto"/>
          <w:szCs w:val="24"/>
          <w:u w:val="none"/>
          <w:lang w:val="en-CA"/>
        </w:rPr>
        <w:t>.</w:t>
      </w:r>
      <w:r w:rsidR="008B30CC">
        <w:t xml:space="preserve"> </w:t>
      </w:r>
      <w:r>
        <w:t xml:space="preserve">When reading Council </w:t>
      </w:r>
      <w:hyperlink r:id="rId21" w:history="1">
        <w:r w:rsidRPr="00100312">
          <w:rPr>
            <w:rStyle w:val="Hyperlink"/>
          </w:rPr>
          <w:t>C19/7</w:t>
        </w:r>
      </w:hyperlink>
      <w:r>
        <w:t>, we understand the projected costs to be higher by an additional C</w:t>
      </w:r>
      <w:r w:rsidR="008B30CC">
        <w:t>H</w:t>
      </w:r>
      <w:r>
        <w:t>F</w:t>
      </w:r>
      <w:r w:rsidR="008B30CC">
        <w:t> </w:t>
      </w:r>
      <w:r>
        <w:t>20</w:t>
      </w:r>
      <w:r w:rsidR="008B30CC">
        <w:t> </w:t>
      </w:r>
      <w:r>
        <w:t>million to C</w:t>
      </w:r>
      <w:r w:rsidR="008B30CC">
        <w:t>HF </w:t>
      </w:r>
      <w:r>
        <w:t>25</w:t>
      </w:r>
      <w:r w:rsidR="008B30CC">
        <w:t> </w:t>
      </w:r>
      <w:r>
        <w:t xml:space="preserve">million above the amount reported </w:t>
      </w:r>
      <w:r w:rsidR="008E53AF">
        <w:t>in</w:t>
      </w:r>
      <w:r>
        <w:t xml:space="preserve"> October </w:t>
      </w:r>
      <w:r w:rsidR="008E53AF">
        <w:t>2018</w:t>
      </w:r>
      <w:r w:rsidR="00C00C44">
        <w:t xml:space="preserve"> </w:t>
      </w:r>
      <w:r w:rsidR="008B30CC">
        <w:t>(CHF </w:t>
      </w:r>
      <w:r w:rsidR="00C00C44" w:rsidRPr="00C00C44">
        <w:t>1</w:t>
      </w:r>
      <w:r w:rsidR="00C00C44">
        <w:t>7</w:t>
      </w:r>
      <w:r w:rsidR="008B30CC">
        <w:t>7 million to CHF </w:t>
      </w:r>
      <w:r w:rsidR="00C00C44" w:rsidRPr="00C00C44">
        <w:t>202 million)</w:t>
      </w:r>
      <w:r w:rsidR="008E53AF">
        <w:t xml:space="preserve"> </w:t>
      </w:r>
      <w:r>
        <w:t xml:space="preserve">and the schedule has been extended so that reception of the new building is not expected until mid-2026. </w:t>
      </w:r>
    </w:p>
    <w:p w14:paraId="7DAFE2D6" w14:textId="0245A248" w:rsidR="00370679" w:rsidRDefault="008E53AF" w:rsidP="00607177">
      <w:pPr>
        <w:spacing w:after="120"/>
        <w:jc w:val="both"/>
      </w:pPr>
      <w:r>
        <w:t xml:space="preserve">During Council 2019, many nations, including the United States, </w:t>
      </w:r>
      <w:r w:rsidR="00AB4977">
        <w:t>stressed</w:t>
      </w:r>
      <w:r>
        <w:t xml:space="preserve"> the cri</w:t>
      </w:r>
      <w:r w:rsidR="00AB4977">
        <w:t>tical need for a financial plan that includes a credible financial risk analysis and a realistic funding plan for the entire project of bringing into use a new headquarters building for ITU in Geneva</w:t>
      </w:r>
      <w:r w:rsidR="00370679">
        <w:t>, prior to granting final approval of the project</w:t>
      </w:r>
      <w:r w:rsidR="00792539">
        <w:t>.</w:t>
      </w:r>
      <w:r w:rsidR="008B30CC">
        <w:t xml:space="preserve"> </w:t>
      </w:r>
      <w:r w:rsidR="00370679">
        <w:t>Similar projects at ILO and WHO have undergone very deliberate planning processes that endeavoured to accurately capture project costs before agreements were reac</w:t>
      </w:r>
      <w:r w:rsidR="008B30CC">
        <w:t xml:space="preserve">hed on financing the projects. </w:t>
      </w:r>
      <w:r w:rsidR="00AB4977">
        <w:t xml:space="preserve">It is for this reason that </w:t>
      </w:r>
      <w:r w:rsidR="00792539">
        <w:t>the decision to request the next portion of the loan</w:t>
      </w:r>
      <w:r w:rsidR="00370679">
        <w:t xml:space="preserve"> was delay</w:t>
      </w:r>
      <w:r w:rsidR="00792539">
        <w:t>ed</w:t>
      </w:r>
      <w:r w:rsidR="00370679">
        <w:t xml:space="preserve"> slightly</w:t>
      </w:r>
      <w:r w:rsidR="00D94A3E">
        <w:t xml:space="preserve"> so that the current extraordinary session of Council could review</w:t>
      </w:r>
      <w:r w:rsidR="00370679">
        <w:t xml:space="preserve"> more detailed documents to </w:t>
      </w:r>
      <w:r w:rsidR="00D94A3E">
        <w:t xml:space="preserve">answer the questions raised by </w:t>
      </w:r>
      <w:r w:rsidR="00370679">
        <w:t>the Member States.</w:t>
      </w:r>
    </w:p>
    <w:p w14:paraId="5F9E305D" w14:textId="77777777" w:rsidR="00613B86" w:rsidRPr="00F167C6" w:rsidRDefault="00613B86" w:rsidP="00607177">
      <w:pPr>
        <w:jc w:val="both"/>
        <w:rPr>
          <w:rFonts w:asciiTheme="minorHAnsi" w:hAnsiTheme="minorHAnsi" w:cstheme="minorHAnsi"/>
          <w:szCs w:val="24"/>
        </w:rPr>
      </w:pPr>
      <w:r>
        <w:rPr>
          <w:rFonts w:asciiTheme="minorHAnsi" w:hAnsiTheme="minorHAnsi" w:cstheme="minorHAnsi"/>
          <w:szCs w:val="24"/>
        </w:rPr>
        <w:t>This contribution presents the Unites States</w:t>
      </w:r>
      <w:r w:rsidR="00AB4977">
        <w:rPr>
          <w:rFonts w:asciiTheme="minorHAnsi" w:hAnsiTheme="minorHAnsi" w:cstheme="minorHAnsi"/>
          <w:szCs w:val="24"/>
        </w:rPr>
        <w:t>’</w:t>
      </w:r>
      <w:r>
        <w:rPr>
          <w:rFonts w:asciiTheme="minorHAnsi" w:hAnsiTheme="minorHAnsi" w:cstheme="minorHAnsi"/>
          <w:szCs w:val="24"/>
        </w:rPr>
        <w:t xml:space="preserve"> views on the building project</w:t>
      </w:r>
      <w:r w:rsidR="00AB4977">
        <w:rPr>
          <w:rFonts w:asciiTheme="minorHAnsi" w:hAnsiTheme="minorHAnsi" w:cstheme="minorHAnsi"/>
          <w:szCs w:val="24"/>
        </w:rPr>
        <w:t xml:space="preserve"> and the necessary information to allow this project to proceed.</w:t>
      </w:r>
    </w:p>
    <w:p w14:paraId="52B24D1B" w14:textId="77777777" w:rsidR="00613B86" w:rsidRPr="00F167C6" w:rsidRDefault="00613B86" w:rsidP="00607177">
      <w:pPr>
        <w:pStyle w:val="Heading1"/>
      </w:pPr>
      <w:r w:rsidRPr="00F167C6">
        <w:t>Discussion</w:t>
      </w:r>
    </w:p>
    <w:p w14:paraId="1D44DF2D" w14:textId="1E07A23D" w:rsidR="00613B86" w:rsidRDefault="00613B86" w:rsidP="00607177">
      <w:pPr>
        <w:jc w:val="both"/>
        <w:rPr>
          <w:rFonts w:asciiTheme="minorHAnsi" w:hAnsiTheme="minorHAnsi" w:cstheme="minorHAnsi"/>
          <w:szCs w:val="24"/>
        </w:rPr>
      </w:pPr>
      <w:r>
        <w:rPr>
          <w:rFonts w:asciiTheme="minorHAnsi" w:hAnsiTheme="minorHAnsi"/>
        </w:rPr>
        <w:t xml:space="preserve">As reported in </w:t>
      </w:r>
      <w:hyperlink r:id="rId22" w:history="1">
        <w:r w:rsidRPr="00387227">
          <w:rPr>
            <w:rStyle w:val="Hyperlink"/>
            <w:rFonts w:cs="Segoe UI"/>
          </w:rPr>
          <w:t>C16/7</w:t>
        </w:r>
      </w:hyperlink>
      <w:r>
        <w:rPr>
          <w:rFonts w:asciiTheme="minorHAnsi" w:hAnsiTheme="minorHAnsi"/>
        </w:rPr>
        <w:t xml:space="preserve">, CWG-HQP concluded in 2016 that the “replacement of </w:t>
      </w:r>
      <w:proofErr w:type="spellStart"/>
      <w:r>
        <w:rPr>
          <w:rFonts w:asciiTheme="minorHAnsi" w:hAnsiTheme="minorHAnsi"/>
        </w:rPr>
        <w:t>Varembé</w:t>
      </w:r>
      <w:proofErr w:type="spellEnd"/>
      <w:r>
        <w:rPr>
          <w:rFonts w:asciiTheme="minorHAnsi" w:hAnsiTheme="minorHAnsi"/>
        </w:rPr>
        <w:t xml:space="preserve"> with a single building that also accommodates the necessary functionality of the Tower is the most cost-effective option. It is also the option with greatest accessibility, lowest maintenance costs for the future, and is cheapest in the long-term.” </w:t>
      </w:r>
      <w:r>
        <w:rPr>
          <w:rFonts w:asciiTheme="minorHAnsi" w:hAnsiTheme="minorHAnsi" w:cstheme="minorHAnsi"/>
          <w:szCs w:val="24"/>
        </w:rPr>
        <w:t xml:space="preserve">The recommendation of CWG-HQP was agreed by Council 2016 as indicated in </w:t>
      </w:r>
      <w:hyperlink r:id="rId23" w:history="1">
        <w:r w:rsidRPr="00810690">
          <w:rPr>
            <w:rStyle w:val="Hyperlink"/>
            <w:rFonts w:asciiTheme="minorHAnsi" w:hAnsiTheme="minorHAnsi" w:cstheme="minorHAnsi"/>
            <w:szCs w:val="24"/>
          </w:rPr>
          <w:t>Decision 588</w:t>
        </w:r>
      </w:hyperlink>
      <w:r w:rsidR="008B30CC">
        <w:rPr>
          <w:rFonts w:asciiTheme="minorHAnsi" w:hAnsiTheme="minorHAnsi" w:cstheme="minorHAnsi"/>
          <w:szCs w:val="24"/>
        </w:rPr>
        <w:t xml:space="preserve">. </w:t>
      </w:r>
      <w:r>
        <w:rPr>
          <w:rFonts w:asciiTheme="minorHAnsi" w:hAnsiTheme="minorHAnsi" w:cstheme="minorHAnsi"/>
          <w:szCs w:val="24"/>
        </w:rPr>
        <w:t>This Decision documents that Council decided “</w:t>
      </w:r>
      <w:r>
        <w:t>to authorize a maximum budget for total project costs before sale of the Tower of CHF 140 million and an additional contingency fund of CHF 7 million to be used, if necessary, for unforeseen cost overruns”.</w:t>
      </w:r>
      <w:r>
        <w:rPr>
          <w:rFonts w:asciiTheme="minorHAnsi" w:hAnsiTheme="minorHAnsi" w:cstheme="minorHAnsi"/>
          <w:szCs w:val="24"/>
        </w:rPr>
        <w:t xml:space="preserve"> Also part of Decision 588 was the establishment of “</w:t>
      </w:r>
      <w:r w:rsidRPr="00EB2E7B">
        <w:rPr>
          <w:rFonts w:asciiTheme="minorHAnsi" w:hAnsiTheme="minorHAnsi" w:cstheme="minorHAnsi"/>
          <w:szCs w:val="24"/>
        </w:rPr>
        <w:t>an Advisory Board of Member States to provide independent and impartial advice on the project to the Council and Secretary-General</w:t>
      </w:r>
      <w:r>
        <w:rPr>
          <w:rFonts w:asciiTheme="minorHAnsi" w:hAnsiTheme="minorHAnsi" w:cstheme="minorHAnsi"/>
          <w:szCs w:val="24"/>
        </w:rPr>
        <w:t>”.</w:t>
      </w:r>
    </w:p>
    <w:p w14:paraId="76327711" w14:textId="77777777" w:rsidR="00613B86" w:rsidRDefault="00613B86" w:rsidP="00607177">
      <w:pPr>
        <w:snapToGrid w:val="0"/>
        <w:jc w:val="both"/>
      </w:pPr>
      <w:r>
        <w:t>The United States is pleased to see in the 24 May 2018 letter from the Secretary-General to the host country that “the ITU secretariat fully intends to respect the ITU Council’s request for the secretariat to comply with the terms and conditions of Council Decision 588 currently in force, and all the more so as we are fully aware that it was on the basis of that decision (including the business model evoked in it) that DFAE agreed to proceed with matters”.</w:t>
      </w:r>
    </w:p>
    <w:p w14:paraId="090ED073" w14:textId="375B1CA7" w:rsidR="00F34E4A" w:rsidRDefault="00613B86" w:rsidP="00607177">
      <w:pPr>
        <w:snapToGrid w:val="0"/>
        <w:jc w:val="both"/>
        <w:rPr>
          <w:rStyle w:val="Hyperlink"/>
          <w:color w:val="auto"/>
          <w:u w:val="none"/>
        </w:rPr>
      </w:pPr>
      <w:r>
        <w:rPr>
          <w:rFonts w:asciiTheme="minorHAnsi" w:hAnsiTheme="minorHAnsi" w:cstheme="minorHAnsi"/>
          <w:szCs w:val="24"/>
        </w:rPr>
        <w:t xml:space="preserve">Furthermore, the United States is of the view that </w:t>
      </w:r>
      <w:r w:rsidRPr="00950F37">
        <w:rPr>
          <w:rFonts w:asciiTheme="minorHAnsi" w:hAnsiTheme="minorHAnsi" w:cstheme="minorHAnsi"/>
          <w:szCs w:val="24"/>
        </w:rPr>
        <w:t xml:space="preserve">Council decided </w:t>
      </w:r>
      <w:r>
        <w:rPr>
          <w:rFonts w:asciiTheme="minorHAnsi" w:hAnsiTheme="minorHAnsi" w:cstheme="minorHAnsi"/>
          <w:szCs w:val="24"/>
        </w:rPr>
        <w:t xml:space="preserve">to </w:t>
      </w:r>
      <w:r w:rsidRPr="00950F37">
        <w:rPr>
          <w:rFonts w:asciiTheme="minorHAnsi" w:hAnsiTheme="minorHAnsi" w:cstheme="minorHAnsi"/>
          <w:szCs w:val="24"/>
        </w:rPr>
        <w:t>allocat</w:t>
      </w:r>
      <w:r>
        <w:rPr>
          <w:rFonts w:asciiTheme="minorHAnsi" w:hAnsiTheme="minorHAnsi" w:cstheme="minorHAnsi"/>
          <w:szCs w:val="24"/>
        </w:rPr>
        <w:t>e</w:t>
      </w:r>
      <w:r w:rsidRPr="00950F37">
        <w:rPr>
          <w:rFonts w:asciiTheme="minorHAnsi" w:hAnsiTheme="minorHAnsi" w:cstheme="minorHAnsi"/>
          <w:szCs w:val="24"/>
        </w:rPr>
        <w:t xml:space="preserve"> a ma</w:t>
      </w:r>
      <w:r w:rsidR="008B30CC">
        <w:rPr>
          <w:rFonts w:asciiTheme="minorHAnsi" w:hAnsiTheme="minorHAnsi" w:cstheme="minorHAnsi"/>
          <w:szCs w:val="24"/>
        </w:rPr>
        <w:t>ximum financial envelope of CHF </w:t>
      </w:r>
      <w:r w:rsidRPr="00950F37">
        <w:rPr>
          <w:rFonts w:asciiTheme="minorHAnsi" w:hAnsiTheme="minorHAnsi" w:cstheme="minorHAnsi"/>
          <w:szCs w:val="24"/>
        </w:rPr>
        <w:t>140 Million</w:t>
      </w:r>
      <w:r>
        <w:rPr>
          <w:rFonts w:asciiTheme="minorHAnsi" w:hAnsiTheme="minorHAnsi" w:cstheme="minorHAnsi"/>
          <w:szCs w:val="24"/>
        </w:rPr>
        <w:t xml:space="preserve"> so as to make available more of the Union’s limited resources for the </w:t>
      </w:r>
      <w:r>
        <w:rPr>
          <w:rFonts w:asciiTheme="minorHAnsi" w:hAnsiTheme="minorHAnsi" w:cstheme="minorHAnsi"/>
          <w:szCs w:val="24"/>
        </w:rPr>
        <w:lastRenderedPageBreak/>
        <w:t>ITU’s mission. The United States</w:t>
      </w:r>
      <w:r w:rsidR="00F47629">
        <w:rPr>
          <w:rFonts w:asciiTheme="minorHAnsi" w:hAnsiTheme="minorHAnsi" w:cstheme="minorHAnsi"/>
          <w:szCs w:val="24"/>
        </w:rPr>
        <w:t xml:space="preserve"> and many other delegations agreed to an amount that was deemed reasonable</w:t>
      </w:r>
      <w:r w:rsidR="008B30CC">
        <w:rPr>
          <w:rFonts w:asciiTheme="minorHAnsi" w:hAnsiTheme="minorHAnsi" w:cstheme="minorHAnsi"/>
          <w:szCs w:val="24"/>
        </w:rPr>
        <w:t xml:space="preserve">. </w:t>
      </w:r>
      <w:r w:rsidR="00480105">
        <w:rPr>
          <w:rFonts w:asciiTheme="minorHAnsi" w:hAnsiTheme="minorHAnsi" w:cstheme="minorHAnsi"/>
          <w:szCs w:val="24"/>
        </w:rPr>
        <w:t>We are therefore</w:t>
      </w:r>
      <w:r>
        <w:rPr>
          <w:rFonts w:asciiTheme="minorHAnsi" w:hAnsiTheme="minorHAnsi" w:cstheme="minorHAnsi"/>
          <w:szCs w:val="24"/>
        </w:rPr>
        <w:t xml:space="preserve"> disappointed to observe that costs are now estimated to extend beyond that envelope</w:t>
      </w:r>
      <w:r w:rsidR="00E23AFA">
        <w:rPr>
          <w:rFonts w:asciiTheme="minorHAnsi" w:hAnsiTheme="minorHAnsi" w:cstheme="minorHAnsi"/>
          <w:szCs w:val="24"/>
        </w:rPr>
        <w:t>.</w:t>
      </w:r>
      <w:r w:rsidR="00F47629">
        <w:rPr>
          <w:rFonts w:asciiTheme="minorHAnsi" w:hAnsiTheme="minorHAnsi" w:cstheme="minorHAnsi"/>
          <w:szCs w:val="24"/>
        </w:rPr>
        <w:t xml:space="preserve"> </w:t>
      </w:r>
      <w:hyperlink r:id="rId24" w:history="1">
        <w:r w:rsidR="00E23AFA" w:rsidRPr="000C10A1">
          <w:rPr>
            <w:rStyle w:val="Hyperlink"/>
            <w:iCs/>
          </w:rPr>
          <w:t>Resolution 212 (Dubai, 2018)</w:t>
        </w:r>
      </w:hyperlink>
      <w:r w:rsidR="00E23AFA" w:rsidRPr="00DA2A6C">
        <w:rPr>
          <w:rStyle w:val="Hyperlink"/>
          <w:iCs/>
          <w:color w:val="auto"/>
          <w:u w:val="none"/>
        </w:rPr>
        <w:t xml:space="preserve"> </w:t>
      </w:r>
      <w:r w:rsidR="00DA2A6C">
        <w:rPr>
          <w:rStyle w:val="Hyperlink"/>
          <w:iCs/>
          <w:color w:val="auto"/>
          <w:u w:val="none"/>
        </w:rPr>
        <w:t xml:space="preserve">introduced the concept that </w:t>
      </w:r>
      <w:r w:rsidR="00DA2A6C" w:rsidRPr="00DA2A6C">
        <w:rPr>
          <w:rStyle w:val="Hyperlink"/>
          <w:iCs/>
          <w:color w:val="auto"/>
          <w:u w:val="none"/>
        </w:rPr>
        <w:t>the project financing</w:t>
      </w:r>
      <w:r w:rsidR="00DA2A6C">
        <w:rPr>
          <w:rStyle w:val="Hyperlink"/>
          <w:iCs/>
          <w:color w:val="auto"/>
          <w:u w:val="none"/>
        </w:rPr>
        <w:t xml:space="preserve"> </w:t>
      </w:r>
      <w:r w:rsidR="00DA2A6C" w:rsidRPr="00DA2A6C">
        <w:rPr>
          <w:rStyle w:val="Hyperlink"/>
          <w:iCs/>
          <w:color w:val="auto"/>
          <w:u w:val="none"/>
        </w:rPr>
        <w:t>can be supplemented by sponsorships</w:t>
      </w:r>
      <w:r w:rsidR="000D38E5">
        <w:rPr>
          <w:rStyle w:val="Hyperlink"/>
          <w:iCs/>
          <w:color w:val="auto"/>
          <w:u w:val="none"/>
        </w:rPr>
        <w:t xml:space="preserve">, </w:t>
      </w:r>
      <w:r w:rsidR="00DA2A6C" w:rsidRPr="00DA2A6C">
        <w:rPr>
          <w:rStyle w:val="Hyperlink"/>
          <w:iCs/>
          <w:color w:val="auto"/>
          <w:u w:val="none"/>
        </w:rPr>
        <w:t>donation</w:t>
      </w:r>
      <w:r w:rsidR="00DA2A6C">
        <w:rPr>
          <w:rStyle w:val="Hyperlink"/>
          <w:iCs/>
          <w:color w:val="auto"/>
          <w:u w:val="none"/>
        </w:rPr>
        <w:t>s</w:t>
      </w:r>
      <w:r w:rsidR="000D38E5">
        <w:rPr>
          <w:rStyle w:val="Hyperlink"/>
          <w:iCs/>
          <w:color w:val="auto"/>
          <w:u w:val="none"/>
        </w:rPr>
        <w:t xml:space="preserve"> </w:t>
      </w:r>
      <w:r w:rsidR="000D38E5" w:rsidRPr="00D373E4">
        <w:t xml:space="preserve">and </w:t>
      </w:r>
      <w:r w:rsidR="000D38E5">
        <w:t>the temporary</w:t>
      </w:r>
      <w:r w:rsidR="000D38E5" w:rsidRPr="00D373E4">
        <w:t xml:space="preserve"> </w:t>
      </w:r>
      <w:r w:rsidR="000D38E5">
        <w:t>fund established by the Council from budgetary surpluses</w:t>
      </w:r>
      <w:r w:rsidR="00DA2A6C">
        <w:rPr>
          <w:rStyle w:val="Hyperlink"/>
          <w:iCs/>
          <w:color w:val="auto"/>
          <w:u w:val="none"/>
        </w:rPr>
        <w:t>.</w:t>
      </w:r>
      <w:r w:rsidR="000D38E5">
        <w:rPr>
          <w:rStyle w:val="Hyperlink"/>
          <w:iCs/>
          <w:color w:val="auto"/>
          <w:u w:val="none"/>
        </w:rPr>
        <w:t xml:space="preserve"> </w:t>
      </w:r>
      <w:r w:rsidR="00F34E4A" w:rsidRPr="00FD2F13">
        <w:t xml:space="preserve">The temporary fund </w:t>
      </w:r>
      <w:r w:rsidR="00F34E4A">
        <w:t>had been</w:t>
      </w:r>
      <w:r w:rsidR="00F34E4A" w:rsidRPr="00FD2F13">
        <w:t xml:space="preserve"> created only for additional items that are excluded</w:t>
      </w:r>
      <w:r w:rsidR="00F34E4A">
        <w:t xml:space="preserve"> by Swiss law</w:t>
      </w:r>
      <w:r w:rsidR="00F34E4A" w:rsidRPr="00FD2F13">
        <w:t xml:space="preserve"> from financing through the loan</w:t>
      </w:r>
      <w:r w:rsidR="00F34E4A">
        <w:t xml:space="preserve">. </w:t>
      </w:r>
      <w:r w:rsidR="000D38E5">
        <w:rPr>
          <w:rStyle w:val="Hyperlink"/>
          <w:iCs/>
          <w:color w:val="auto"/>
          <w:u w:val="none"/>
        </w:rPr>
        <w:t xml:space="preserve">Utilization of </w:t>
      </w:r>
      <w:r w:rsidR="00F34E4A">
        <w:rPr>
          <w:rStyle w:val="Hyperlink"/>
          <w:iCs/>
          <w:color w:val="auto"/>
          <w:u w:val="none"/>
        </w:rPr>
        <w:t>the above-mentioned</w:t>
      </w:r>
      <w:r w:rsidR="000D38E5">
        <w:rPr>
          <w:rStyle w:val="Hyperlink"/>
          <w:iCs/>
          <w:color w:val="auto"/>
          <w:u w:val="none"/>
        </w:rPr>
        <w:t xml:space="preserve"> generosity still requires an understanding on the total project cost and the financ</w:t>
      </w:r>
      <w:r w:rsidR="008B30CC">
        <w:rPr>
          <w:rStyle w:val="Hyperlink"/>
          <w:iCs/>
          <w:color w:val="auto"/>
          <w:u w:val="none"/>
        </w:rPr>
        <w:t xml:space="preserve">ial risks of the project. </w:t>
      </w:r>
      <w:r w:rsidR="000D38E5">
        <w:rPr>
          <w:rStyle w:val="Hyperlink"/>
          <w:iCs/>
          <w:color w:val="auto"/>
          <w:u w:val="none"/>
        </w:rPr>
        <w:t>Relying upon yet-to-be-realised surpluses is risky financial planning and diverts resources away from services to Member States.</w:t>
      </w:r>
      <w:r w:rsidR="005737CD">
        <w:rPr>
          <w:rStyle w:val="Hyperlink"/>
          <w:iCs/>
          <w:color w:val="auto"/>
          <w:u w:val="none"/>
        </w:rPr>
        <w:t xml:space="preserve"> </w:t>
      </w:r>
      <w:r w:rsidR="005737CD" w:rsidRPr="00546054">
        <w:t>The United States</w:t>
      </w:r>
      <w:r w:rsidR="005737CD">
        <w:t xml:space="preserve"> supports the views expressed in the </w:t>
      </w:r>
      <w:r w:rsidR="005737CD" w:rsidRPr="005737CD">
        <w:t>Member States Advisory Group</w:t>
      </w:r>
      <w:r w:rsidR="005737CD">
        <w:t>’</w:t>
      </w:r>
      <w:r w:rsidR="00F34E4A">
        <w:t>s</w:t>
      </w:r>
      <w:r w:rsidR="005737CD">
        <w:t xml:space="preserve"> </w:t>
      </w:r>
      <w:r w:rsidR="00F34E4A">
        <w:t xml:space="preserve">(MSAG’s) </w:t>
      </w:r>
      <w:r w:rsidR="005737CD">
        <w:t xml:space="preserve">report (Council </w:t>
      </w:r>
      <w:hyperlink r:id="rId25" w:history="1">
        <w:r w:rsidR="005737CD">
          <w:rPr>
            <w:rStyle w:val="Hyperlink"/>
          </w:rPr>
          <w:t>C19/48</w:t>
        </w:r>
      </w:hyperlink>
      <w:r w:rsidR="005737CD" w:rsidRPr="005737CD">
        <w:rPr>
          <w:rStyle w:val="Hyperlink"/>
          <w:color w:val="auto"/>
          <w:u w:val="none"/>
        </w:rPr>
        <w:t xml:space="preserve">) that </w:t>
      </w:r>
      <w:r w:rsidR="005737CD">
        <w:rPr>
          <w:rStyle w:val="Hyperlink"/>
          <w:color w:val="auto"/>
          <w:u w:val="none"/>
        </w:rPr>
        <w:t>t</w:t>
      </w:r>
      <w:r w:rsidR="005737CD" w:rsidRPr="005737CD">
        <w:rPr>
          <w:rStyle w:val="Hyperlink"/>
          <w:color w:val="auto"/>
          <w:u w:val="none"/>
        </w:rPr>
        <w:t xml:space="preserve">he dependence upon future savings to finance the elements of this construction project will impact the ability to react </w:t>
      </w:r>
      <w:r w:rsidR="005737CD">
        <w:rPr>
          <w:rStyle w:val="Hyperlink"/>
          <w:color w:val="auto"/>
          <w:u w:val="none"/>
        </w:rPr>
        <w:t xml:space="preserve">to </w:t>
      </w:r>
      <w:r w:rsidR="005737CD" w:rsidRPr="005737CD">
        <w:rPr>
          <w:rStyle w:val="Hyperlink"/>
          <w:color w:val="auto"/>
          <w:u w:val="none"/>
        </w:rPr>
        <w:t>unforeseen operating expenses, which increases financial risk to the Union.</w:t>
      </w:r>
    </w:p>
    <w:p w14:paraId="185F7644" w14:textId="297AC56B" w:rsidR="00E23AFA" w:rsidRDefault="00F34E4A" w:rsidP="00607177">
      <w:pPr>
        <w:snapToGrid w:val="0"/>
        <w:jc w:val="both"/>
        <w:rPr>
          <w:rFonts w:asciiTheme="minorHAnsi" w:hAnsiTheme="minorHAnsi" w:cstheme="minorHAnsi"/>
          <w:szCs w:val="24"/>
        </w:rPr>
      </w:pPr>
      <w:r w:rsidRPr="00F34E4A">
        <w:rPr>
          <w:rStyle w:val="Hyperlink"/>
          <w:color w:val="auto"/>
          <w:u w:val="none"/>
        </w:rPr>
        <w:t>Based upon the information shared through April 2019 with MSAG, this group considers that the total p</w:t>
      </w:r>
      <w:r w:rsidR="008B30CC">
        <w:rPr>
          <w:rStyle w:val="Hyperlink"/>
          <w:color w:val="auto"/>
          <w:u w:val="none"/>
        </w:rPr>
        <w:t xml:space="preserve">roject cost may increase to CHF 220,299,000. </w:t>
      </w:r>
      <w:r w:rsidRPr="00F34E4A">
        <w:rPr>
          <w:rStyle w:val="Hyperlink"/>
          <w:color w:val="auto"/>
          <w:u w:val="none"/>
        </w:rPr>
        <w:t>This figure does not include the additional Project Team salary, which is to be paid from the regular budget. This amounts to a 50% increase above the maximum budget for total project costs ident</w:t>
      </w:r>
      <w:r w:rsidR="008B30CC">
        <w:rPr>
          <w:rStyle w:val="Hyperlink"/>
          <w:color w:val="auto"/>
          <w:u w:val="none"/>
        </w:rPr>
        <w:t>ified in Council Decision 588. The s</w:t>
      </w:r>
      <w:r>
        <w:rPr>
          <w:rStyle w:val="Hyperlink"/>
          <w:color w:val="auto"/>
          <w:u w:val="none"/>
        </w:rPr>
        <w:t>ecretariat does not concur with th</w:t>
      </w:r>
      <w:r w:rsidR="008B30CC">
        <w:rPr>
          <w:rStyle w:val="Hyperlink"/>
          <w:color w:val="auto"/>
          <w:u w:val="none"/>
        </w:rPr>
        <w:t xml:space="preserve">e MSAG view of potential cost. </w:t>
      </w:r>
      <w:r>
        <w:rPr>
          <w:rStyle w:val="Hyperlink"/>
          <w:color w:val="auto"/>
          <w:u w:val="none"/>
        </w:rPr>
        <w:t xml:space="preserve">The difference in perspective is derived from the difference in assumptions </w:t>
      </w:r>
      <w:r w:rsidR="001E5053">
        <w:rPr>
          <w:rStyle w:val="Hyperlink"/>
          <w:color w:val="auto"/>
          <w:u w:val="none"/>
        </w:rPr>
        <w:t>and in</w:t>
      </w:r>
      <w:r>
        <w:rPr>
          <w:rStyle w:val="Hyperlink"/>
          <w:color w:val="auto"/>
          <w:u w:val="none"/>
        </w:rPr>
        <w:t xml:space="preserve"> confidence level</w:t>
      </w:r>
      <w:r w:rsidR="001E5053">
        <w:rPr>
          <w:rStyle w:val="Hyperlink"/>
          <w:color w:val="auto"/>
          <w:u w:val="none"/>
        </w:rPr>
        <w:t>s that</w:t>
      </w:r>
      <w:r>
        <w:rPr>
          <w:rStyle w:val="Hyperlink"/>
          <w:color w:val="auto"/>
          <w:u w:val="none"/>
        </w:rPr>
        <w:t xml:space="preserve"> one </w:t>
      </w:r>
      <w:r w:rsidR="008B30CC">
        <w:rPr>
          <w:rStyle w:val="Hyperlink"/>
          <w:color w:val="auto"/>
          <w:u w:val="none"/>
        </w:rPr>
        <w:t xml:space="preserve">has in the provided estimates. </w:t>
      </w:r>
      <w:r w:rsidR="001E5053">
        <w:rPr>
          <w:rStyle w:val="Hyperlink"/>
          <w:color w:val="auto"/>
          <w:u w:val="none"/>
        </w:rPr>
        <w:t>These assumptions and levels of confidence in the estimates for aspects of the project should be documented to a degree adequate for establishing a financial plan that addresses the financial risks of the project.</w:t>
      </w:r>
      <w:r w:rsidR="008B30CC">
        <w:rPr>
          <w:rStyle w:val="Hyperlink"/>
          <w:color w:val="auto"/>
          <w:u w:val="none"/>
        </w:rPr>
        <w:t xml:space="preserve"> </w:t>
      </w:r>
      <w:r w:rsidR="001D30FC">
        <w:rPr>
          <w:rStyle w:val="Hyperlink"/>
          <w:color w:val="auto"/>
          <w:u w:val="none"/>
        </w:rPr>
        <w:t xml:space="preserve">To the extent that the estimated costs </w:t>
      </w:r>
      <w:r w:rsidR="00D873B7">
        <w:rPr>
          <w:rStyle w:val="Hyperlink"/>
          <w:color w:val="auto"/>
          <w:u w:val="none"/>
        </w:rPr>
        <w:t xml:space="preserve">being considered now </w:t>
      </w:r>
      <w:r w:rsidR="001D30FC">
        <w:rPr>
          <w:rStyle w:val="Hyperlink"/>
          <w:color w:val="auto"/>
          <w:u w:val="none"/>
        </w:rPr>
        <w:t xml:space="preserve">exceed amounts previously considered and approved by Council, </w:t>
      </w:r>
      <w:r w:rsidR="00D873B7">
        <w:rPr>
          <w:rStyle w:val="Hyperlink"/>
          <w:color w:val="auto"/>
          <w:u w:val="none"/>
        </w:rPr>
        <w:t>the United States e</w:t>
      </w:r>
      <w:r w:rsidR="001D30FC">
        <w:rPr>
          <w:szCs w:val="24"/>
        </w:rPr>
        <w:t>xpect</w:t>
      </w:r>
      <w:r w:rsidR="00D873B7">
        <w:rPr>
          <w:szCs w:val="24"/>
        </w:rPr>
        <w:t>s</w:t>
      </w:r>
      <w:r w:rsidR="008B30CC">
        <w:rPr>
          <w:szCs w:val="24"/>
        </w:rPr>
        <w:t xml:space="preserve"> the s</w:t>
      </w:r>
      <w:r w:rsidR="001D30FC">
        <w:rPr>
          <w:szCs w:val="24"/>
        </w:rPr>
        <w:t xml:space="preserve">ecretariat to consider altering the design where possible </w:t>
      </w:r>
      <w:r w:rsidR="00D873B7">
        <w:rPr>
          <w:szCs w:val="24"/>
        </w:rPr>
        <w:t xml:space="preserve">and taking other necessary steps </w:t>
      </w:r>
      <w:r w:rsidR="001D30FC">
        <w:rPr>
          <w:szCs w:val="24"/>
        </w:rPr>
        <w:t>to keep the costs</w:t>
      </w:r>
      <w:r w:rsidR="00D873B7">
        <w:rPr>
          <w:szCs w:val="24"/>
        </w:rPr>
        <w:t xml:space="preserve"> within previously approved amounts, while still achieving the goal of a functional office building that meets the organization</w:t>
      </w:r>
      <w:r w:rsidR="00BF7B87">
        <w:rPr>
          <w:szCs w:val="24"/>
        </w:rPr>
        <w:t>’</w:t>
      </w:r>
      <w:r w:rsidR="008B30CC">
        <w:rPr>
          <w:szCs w:val="24"/>
        </w:rPr>
        <w:t>s requirements. Further, we urge the s</w:t>
      </w:r>
      <w:r w:rsidR="00D873B7">
        <w:rPr>
          <w:szCs w:val="24"/>
        </w:rPr>
        <w:t xml:space="preserve">ecretariat to continue working with the Swiss government to determine if any of the exterior security costs, or other costs in general, can be borne by the host country. </w:t>
      </w:r>
    </w:p>
    <w:p w14:paraId="2148C1CE" w14:textId="21B8B92D" w:rsidR="00DC29EC" w:rsidRDefault="00E23AFA" w:rsidP="001232AC">
      <w:pPr>
        <w:snapToGrid w:val="0"/>
        <w:spacing w:after="120"/>
        <w:jc w:val="both"/>
        <w:rPr>
          <w:rFonts w:asciiTheme="minorHAnsi" w:hAnsiTheme="minorHAnsi" w:cstheme="minorHAnsi"/>
          <w:lang w:val="en-US"/>
        </w:rPr>
      </w:pPr>
      <w:r>
        <w:rPr>
          <w:rFonts w:asciiTheme="minorHAnsi" w:hAnsiTheme="minorHAnsi" w:cstheme="minorHAnsi"/>
          <w:szCs w:val="24"/>
        </w:rPr>
        <w:t xml:space="preserve">Regardless of the actual cost, a sound financial plan </w:t>
      </w:r>
      <w:r>
        <w:t>that includes a credible financial risk analysis and a realistic funding plan for the entire project of bringing into use a new headquarters building for ITU in Geneva</w:t>
      </w:r>
      <w:r>
        <w:rPr>
          <w:rFonts w:asciiTheme="minorHAnsi" w:hAnsiTheme="minorHAnsi" w:cstheme="minorHAnsi"/>
          <w:szCs w:val="24"/>
        </w:rPr>
        <w:t xml:space="preserve"> is necessary. The regular session of Council 2019 exhibited wide support of the Member States for this perspective. </w:t>
      </w:r>
      <w:r>
        <w:t>It is for this reason that the current extraordinary session of Council has been called.</w:t>
      </w:r>
      <w:r w:rsidR="001E5053">
        <w:t xml:space="preserve"> That session identified </w:t>
      </w:r>
      <w:r w:rsidR="001E5053" w:rsidRPr="001E5053">
        <w:t xml:space="preserve">in </w:t>
      </w:r>
      <w:hyperlink r:id="rId26" w:history="1">
        <w:r w:rsidR="001E5053" w:rsidRPr="001E5053">
          <w:rPr>
            <w:rStyle w:val="Hyperlink"/>
          </w:rPr>
          <w:t>C19/DL/12</w:t>
        </w:r>
      </w:hyperlink>
      <w:r w:rsidR="001E5053" w:rsidRPr="00D96E01">
        <w:rPr>
          <w:rStyle w:val="Hyperlink"/>
          <w:color w:val="auto"/>
          <w:u w:val="none"/>
        </w:rPr>
        <w:t xml:space="preserve"> </w:t>
      </w:r>
      <w:r w:rsidR="001E5053">
        <w:t xml:space="preserve">several points to be clarified in </w:t>
      </w:r>
      <w:r w:rsidR="008B30CC">
        <w:t>advance of the current session.</w:t>
      </w:r>
      <w:r w:rsidR="001E5053">
        <w:t xml:space="preserve"> These are repeated </w:t>
      </w:r>
      <w:r w:rsidR="00DC29EC">
        <w:t>in the Annex to this contribution</w:t>
      </w:r>
      <w:r w:rsidR="0047476F">
        <w:t>, with some reorganization of the words</w:t>
      </w:r>
      <w:r w:rsidR="00710B29">
        <w:t xml:space="preserve"> and the addition of the supplemental question identified in </w:t>
      </w:r>
      <w:hyperlink r:id="rId27" w:history="1">
        <w:r w:rsidR="00710B29">
          <w:rPr>
            <w:rStyle w:val="Hyperlink"/>
          </w:rPr>
          <w:t>C19/120</w:t>
        </w:r>
      </w:hyperlink>
      <w:r w:rsidR="001E5053">
        <w:t>.</w:t>
      </w:r>
      <w:r w:rsidR="00DC29EC">
        <w:t xml:space="preserve"> The regular session of Council 2019 </w:t>
      </w:r>
      <w:r w:rsidR="00DC29EC" w:rsidRPr="001E5053">
        <w:rPr>
          <w:rFonts w:asciiTheme="minorHAnsi" w:hAnsiTheme="minorHAnsi" w:cstheme="minorHAnsi"/>
          <w:lang w:val="en-US"/>
        </w:rPr>
        <w:t>request</w:t>
      </w:r>
      <w:r w:rsidR="008B30CC">
        <w:rPr>
          <w:rFonts w:asciiTheme="minorHAnsi" w:hAnsiTheme="minorHAnsi" w:cstheme="minorHAnsi"/>
          <w:lang w:val="en-US"/>
        </w:rPr>
        <w:t>ed that the s</w:t>
      </w:r>
      <w:r w:rsidR="00DC29EC">
        <w:rPr>
          <w:rFonts w:asciiTheme="minorHAnsi" w:hAnsiTheme="minorHAnsi" w:cstheme="minorHAnsi"/>
          <w:lang w:val="en-US"/>
        </w:rPr>
        <w:t xml:space="preserve">ecretariat address these points in writing </w:t>
      </w:r>
      <w:r w:rsidR="00DC29EC" w:rsidRPr="001E5053">
        <w:rPr>
          <w:rFonts w:asciiTheme="minorHAnsi" w:hAnsiTheme="minorHAnsi" w:cstheme="minorHAnsi"/>
          <w:lang w:val="en-US"/>
        </w:rPr>
        <w:t xml:space="preserve">at least 2 weeks prior to the date of </w:t>
      </w:r>
      <w:r w:rsidR="00DC29EC">
        <w:rPr>
          <w:rFonts w:asciiTheme="minorHAnsi" w:hAnsiTheme="minorHAnsi" w:cstheme="minorHAnsi"/>
          <w:lang w:val="en-US"/>
        </w:rPr>
        <w:t>this</w:t>
      </w:r>
      <w:r w:rsidR="00DC29EC" w:rsidRPr="001E5053">
        <w:rPr>
          <w:rFonts w:asciiTheme="minorHAnsi" w:hAnsiTheme="minorHAnsi" w:cstheme="minorHAnsi"/>
          <w:lang w:val="en-US"/>
        </w:rPr>
        <w:t xml:space="preserve"> extraordinary session.</w:t>
      </w:r>
    </w:p>
    <w:p w14:paraId="7F3FD107" w14:textId="2968762A" w:rsidR="001232AC" w:rsidRPr="00762CC7" w:rsidRDefault="001232AC" w:rsidP="001232AC">
      <w:pPr>
        <w:tabs>
          <w:tab w:val="clear" w:pos="567"/>
        </w:tabs>
        <w:jc w:val="both"/>
        <w:rPr>
          <w:rFonts w:asciiTheme="minorHAnsi" w:hAnsiTheme="minorHAnsi" w:cstheme="minorHAnsi"/>
        </w:rPr>
      </w:pPr>
      <w:r>
        <w:rPr>
          <w:rFonts w:asciiTheme="minorHAnsi" w:hAnsiTheme="minorHAnsi" w:cstheme="minorHAnsi"/>
          <w:lang w:val="en-US"/>
        </w:rPr>
        <w:t xml:space="preserve">Furthermore, </w:t>
      </w:r>
      <w:r>
        <w:rPr>
          <w:rFonts w:asciiTheme="minorHAnsi" w:hAnsiTheme="minorHAnsi" w:cstheme="minorHAnsi"/>
        </w:rPr>
        <w:t xml:space="preserve">Council 2019, as documented in </w:t>
      </w:r>
      <w:hyperlink r:id="rId28" w:history="1">
        <w:r>
          <w:rPr>
            <w:rStyle w:val="Hyperlink"/>
          </w:rPr>
          <w:t>C19/120</w:t>
        </w:r>
      </w:hyperlink>
      <w:r w:rsidRPr="00A35832">
        <w:rPr>
          <w:rStyle w:val="Hyperlink"/>
          <w:color w:val="auto"/>
          <w:u w:val="none"/>
        </w:rPr>
        <w:t>,</w:t>
      </w:r>
      <w:r>
        <w:rPr>
          <w:rFonts w:asciiTheme="minorHAnsi" w:hAnsiTheme="minorHAnsi" w:cstheme="minorHAnsi"/>
        </w:rPr>
        <w:t xml:space="preserve"> raised a question as to whether it is legally possible to have </w:t>
      </w:r>
      <w:r w:rsidRPr="00A35832">
        <w:rPr>
          <w:rFonts w:asciiTheme="minorHAnsi" w:hAnsiTheme="minorHAnsi" w:cstheme="minorHAnsi"/>
        </w:rPr>
        <w:t xml:space="preserve">a condition </w:t>
      </w:r>
      <w:r>
        <w:rPr>
          <w:rFonts w:asciiTheme="minorHAnsi" w:hAnsiTheme="minorHAnsi" w:cstheme="minorHAnsi"/>
        </w:rPr>
        <w:t xml:space="preserve">on the sale of the Tower </w:t>
      </w:r>
      <w:r w:rsidRPr="00A35832">
        <w:rPr>
          <w:rFonts w:asciiTheme="minorHAnsi" w:hAnsiTheme="minorHAnsi" w:cstheme="minorHAnsi"/>
        </w:rPr>
        <w:t xml:space="preserve">that the ITU </w:t>
      </w:r>
      <w:r>
        <w:rPr>
          <w:rFonts w:asciiTheme="minorHAnsi" w:hAnsiTheme="minorHAnsi" w:cstheme="minorHAnsi"/>
        </w:rPr>
        <w:t xml:space="preserve">could </w:t>
      </w:r>
      <w:r w:rsidRPr="00A35832">
        <w:rPr>
          <w:rFonts w:asciiTheme="minorHAnsi" w:hAnsiTheme="minorHAnsi" w:cstheme="minorHAnsi"/>
        </w:rPr>
        <w:t xml:space="preserve">retain </w:t>
      </w:r>
      <w:r>
        <w:rPr>
          <w:rFonts w:asciiTheme="minorHAnsi" w:hAnsiTheme="minorHAnsi" w:cstheme="minorHAnsi"/>
        </w:rPr>
        <w:t>the Popov</w:t>
      </w:r>
      <w:r w:rsidRPr="00A35832">
        <w:rPr>
          <w:rFonts w:asciiTheme="minorHAnsi" w:hAnsiTheme="minorHAnsi" w:cstheme="minorHAnsi"/>
        </w:rPr>
        <w:t xml:space="preserve"> room for a period of time</w:t>
      </w:r>
      <w:r>
        <w:rPr>
          <w:rFonts w:asciiTheme="minorHAnsi" w:hAnsiTheme="minorHAnsi" w:cstheme="minorHAnsi"/>
        </w:rPr>
        <w:t xml:space="preserve"> after the </w:t>
      </w:r>
      <w:r w:rsidR="008B30CC">
        <w:rPr>
          <w:rFonts w:asciiTheme="minorHAnsi" w:hAnsiTheme="minorHAnsi" w:cstheme="minorHAnsi"/>
        </w:rPr>
        <w:t xml:space="preserve">Tower is placed on the market. </w:t>
      </w:r>
      <w:r w:rsidRPr="00A35832">
        <w:rPr>
          <w:rFonts w:asciiTheme="minorHAnsi" w:hAnsiTheme="minorHAnsi" w:cstheme="minorHAnsi"/>
        </w:rPr>
        <w:t>The secretariat will verify with the Swiss authorities whether there is no legal impediment to such a condition.</w:t>
      </w:r>
      <w:r>
        <w:rPr>
          <w:rFonts w:asciiTheme="minorHAnsi" w:hAnsiTheme="minorHAnsi" w:cstheme="minorHAnsi"/>
        </w:rPr>
        <w:t xml:space="preserve"> Pursuing such an option</w:t>
      </w:r>
      <w:r w:rsidRPr="00CA55DC">
        <w:t xml:space="preserve"> could have financial implications</w:t>
      </w:r>
      <w:r>
        <w:t xml:space="preserve"> for the cost of the project and revenue obtainab</w:t>
      </w:r>
      <w:r w:rsidR="008B30CC">
        <w:t xml:space="preserve">le from the sale of the Tower. </w:t>
      </w:r>
      <w:r>
        <w:t>These implications need to be captured in the financial plan.</w:t>
      </w:r>
    </w:p>
    <w:p w14:paraId="4E42E78A" w14:textId="77777777" w:rsidR="00045A46" w:rsidRPr="00F167C6" w:rsidRDefault="00045A46" w:rsidP="00045A46">
      <w:pPr>
        <w:pStyle w:val="Heading1"/>
      </w:pPr>
      <w:r>
        <w:lastRenderedPageBreak/>
        <w:t>Conclu</w:t>
      </w:r>
      <w:r w:rsidRPr="00F167C6">
        <w:t>sion</w:t>
      </w:r>
    </w:p>
    <w:p w14:paraId="77B9657B" w14:textId="3DE6CD5B" w:rsidR="00DC29EC" w:rsidRDefault="00DC29EC" w:rsidP="00101589">
      <w:pPr>
        <w:snapToGrid w:val="0"/>
        <w:spacing w:after="120"/>
        <w:jc w:val="both"/>
      </w:pPr>
      <w:r>
        <w:rPr>
          <w:rFonts w:asciiTheme="minorHAnsi" w:hAnsiTheme="minorHAnsi" w:cstheme="minorHAnsi"/>
          <w:lang w:val="en-US"/>
        </w:rPr>
        <w:t>The United States</w:t>
      </w:r>
      <w:r w:rsidR="001232AC">
        <w:rPr>
          <w:rFonts w:asciiTheme="minorHAnsi" w:hAnsiTheme="minorHAnsi" w:cstheme="minorHAnsi"/>
          <w:lang w:val="en-US"/>
        </w:rPr>
        <w:t xml:space="preserve"> continues to believe </w:t>
      </w:r>
      <w:r w:rsidR="001232AC">
        <w:t xml:space="preserve">that there is a critical need </w:t>
      </w:r>
      <w:r w:rsidR="00D873B7">
        <w:t>to address and seek to reduce the projected increased costs for the project, as well as develop a</w:t>
      </w:r>
      <w:r w:rsidR="001232AC">
        <w:t xml:space="preserve"> financial plan that includes a credible financial risk analysis and a realistic funding plan for the entire project of bringing into use a new headquarte</w:t>
      </w:r>
      <w:r w:rsidR="008B30CC">
        <w:t xml:space="preserve">rs building for ITU in Geneva. </w:t>
      </w:r>
      <w:r w:rsidR="001232AC">
        <w:t xml:space="preserve">The United States expects to receive the information requested by Council 2019 and </w:t>
      </w:r>
      <w:r w:rsidR="008B30CC">
        <w:t xml:space="preserve">repeated in this contribution. </w:t>
      </w:r>
      <w:r w:rsidR="001232AC">
        <w:t xml:space="preserve">Only if satisfactory information </w:t>
      </w:r>
      <w:r w:rsidR="00D873B7">
        <w:t xml:space="preserve">can </w:t>
      </w:r>
      <w:r w:rsidR="001232AC">
        <w:t xml:space="preserve">be provided by September 14, as requested by Council, to establish such a financial plan could the United States support going forward </w:t>
      </w:r>
      <w:r w:rsidR="00101589">
        <w:t>with the construction project.</w:t>
      </w:r>
    </w:p>
    <w:p w14:paraId="1E772369" w14:textId="23B3F26C" w:rsidR="00101589" w:rsidRPr="001E5053" w:rsidRDefault="00101589" w:rsidP="00101589">
      <w:pPr>
        <w:snapToGrid w:val="0"/>
        <w:spacing w:after="120"/>
        <w:jc w:val="both"/>
        <w:rPr>
          <w:rFonts w:asciiTheme="minorHAnsi" w:hAnsiTheme="minorHAnsi" w:cstheme="minorHAnsi"/>
          <w:lang w:val="en-US"/>
        </w:rPr>
      </w:pPr>
      <w:r>
        <w:t xml:space="preserve">Once the </w:t>
      </w:r>
      <w:r w:rsidR="008B30CC">
        <w:t>information is provided by the s</w:t>
      </w:r>
      <w:r>
        <w:t>ecretariat, the United States may have additional observations to</w:t>
      </w:r>
      <w:r w:rsidR="008B30CC">
        <w:t xml:space="preserve"> share during the meeting. </w:t>
      </w:r>
      <w:r>
        <w:t xml:space="preserve">Nonetheless, its position that a responsible approach that </w:t>
      </w:r>
      <w:r w:rsidR="00D873B7">
        <w:t xml:space="preserve">optimizes the use of </w:t>
      </w:r>
      <w:r>
        <w:t>the funds provided by the Member States to support the Union’s mission should not change.</w:t>
      </w:r>
    </w:p>
    <w:p w14:paraId="2C375DB5" w14:textId="77777777" w:rsidR="00DC69A6" w:rsidRDefault="00DC69A6" w:rsidP="00BF7B87">
      <w:pPr>
        <w:tabs>
          <w:tab w:val="clear" w:pos="567"/>
          <w:tab w:val="clear" w:pos="1134"/>
          <w:tab w:val="clear" w:pos="1701"/>
          <w:tab w:val="clear" w:pos="2268"/>
          <w:tab w:val="clear" w:pos="2835"/>
        </w:tabs>
        <w:overflowPunct/>
        <w:autoSpaceDE/>
        <w:autoSpaceDN/>
        <w:adjustRightInd/>
        <w:spacing w:before="0"/>
        <w:textAlignment w:val="auto"/>
      </w:pPr>
      <w:r>
        <w:br w:type="page"/>
      </w:r>
    </w:p>
    <w:p w14:paraId="0CC9750A" w14:textId="77777777" w:rsidR="008B30CC" w:rsidRDefault="00DC69A6" w:rsidP="008B30CC">
      <w:pPr>
        <w:pStyle w:val="AnnexNo"/>
      </w:pPr>
      <w:r>
        <w:lastRenderedPageBreak/>
        <w:t>ANNEX</w:t>
      </w:r>
    </w:p>
    <w:p w14:paraId="6312C058" w14:textId="279BC618" w:rsidR="00DC69A6" w:rsidRPr="001E5053" w:rsidRDefault="00DC29EC" w:rsidP="008B30CC">
      <w:pPr>
        <w:pStyle w:val="Annextitle"/>
      </w:pPr>
      <w:r w:rsidRPr="00DC29EC">
        <w:t>Questions on the building project</w:t>
      </w:r>
      <w:r>
        <w:t xml:space="preserve"> identified in Document </w:t>
      </w:r>
      <w:r w:rsidRPr="00DC29EC">
        <w:t>C19/DL/12</w:t>
      </w:r>
    </w:p>
    <w:p w14:paraId="6169D6C5" w14:textId="77777777" w:rsidR="008E53AF" w:rsidRPr="001E5053" w:rsidRDefault="008E53AF" w:rsidP="008B30CC">
      <w:pPr>
        <w:pStyle w:val="ListParagraph"/>
        <w:numPr>
          <w:ilvl w:val="0"/>
          <w:numId w:val="7"/>
        </w:numPr>
        <w:spacing w:before="360" w:after="120" w:line="240" w:lineRule="auto"/>
        <w:ind w:left="709" w:hanging="709"/>
        <w:contextualSpacing w:val="0"/>
        <w:rPr>
          <w:rFonts w:asciiTheme="minorHAnsi" w:hAnsiTheme="minorHAnsi" w:cstheme="minorHAnsi"/>
        </w:rPr>
      </w:pPr>
      <w:r w:rsidRPr="001E5053">
        <w:rPr>
          <w:rFonts w:asciiTheme="minorHAnsi" w:hAnsiTheme="minorHAnsi" w:cstheme="minorHAnsi"/>
        </w:rPr>
        <w:t xml:space="preserve">Uncertainty of the </w:t>
      </w:r>
      <w:r w:rsidR="001E5053" w:rsidRPr="001E5053">
        <w:rPr>
          <w:rFonts w:asciiTheme="minorHAnsi" w:hAnsiTheme="minorHAnsi" w:cstheme="minorHAnsi"/>
        </w:rPr>
        <w:t xml:space="preserve">project </w:t>
      </w:r>
      <w:r w:rsidRPr="001E5053">
        <w:rPr>
          <w:rFonts w:asciiTheme="minorHAnsi" w:hAnsiTheme="minorHAnsi" w:cstheme="minorHAnsi"/>
        </w:rPr>
        <w:t>cost estimate</w:t>
      </w:r>
      <w:r w:rsidR="001E5053">
        <w:rPr>
          <w:rFonts w:asciiTheme="minorHAnsi" w:hAnsiTheme="minorHAnsi" w:cstheme="minorHAnsi"/>
        </w:rPr>
        <w:t xml:space="preserve"> with respect to</w:t>
      </w:r>
      <w:r w:rsidRPr="001E5053">
        <w:rPr>
          <w:rFonts w:asciiTheme="minorHAnsi" w:hAnsiTheme="minorHAnsi" w:cstheme="minorHAnsi"/>
        </w:rPr>
        <w:t>:</w:t>
      </w:r>
    </w:p>
    <w:p w14:paraId="34612580" w14:textId="77777777" w:rsidR="008E53AF" w:rsidRPr="001E5053" w:rsidRDefault="008E53AF" w:rsidP="008B30CC">
      <w:pPr>
        <w:pStyle w:val="ListParagraph"/>
        <w:numPr>
          <w:ilvl w:val="0"/>
          <w:numId w:val="5"/>
        </w:numPr>
        <w:spacing w:after="160" w:line="240" w:lineRule="auto"/>
        <w:ind w:left="1134" w:hanging="425"/>
        <w:rPr>
          <w:rFonts w:asciiTheme="minorHAnsi" w:hAnsiTheme="minorHAnsi" w:cstheme="minorHAnsi"/>
        </w:rPr>
      </w:pPr>
      <w:r w:rsidRPr="001E5053">
        <w:rPr>
          <w:rFonts w:asciiTheme="minorHAnsi" w:hAnsiTheme="minorHAnsi" w:cstheme="minorHAnsi"/>
        </w:rPr>
        <w:t>Building demolition/construction costs</w:t>
      </w:r>
    </w:p>
    <w:p w14:paraId="0DE8627D" w14:textId="77777777" w:rsidR="008E53AF" w:rsidRPr="001E5053" w:rsidRDefault="008E53AF" w:rsidP="008B30CC">
      <w:pPr>
        <w:pStyle w:val="ListParagraph"/>
        <w:numPr>
          <w:ilvl w:val="0"/>
          <w:numId w:val="5"/>
        </w:numPr>
        <w:spacing w:after="160" w:line="240" w:lineRule="auto"/>
        <w:ind w:left="1134" w:hanging="425"/>
        <w:rPr>
          <w:rFonts w:asciiTheme="minorHAnsi" w:hAnsiTheme="minorHAnsi" w:cstheme="minorHAnsi"/>
        </w:rPr>
      </w:pPr>
      <w:r w:rsidRPr="001E5053">
        <w:rPr>
          <w:rFonts w:asciiTheme="minorHAnsi" w:hAnsiTheme="minorHAnsi" w:cstheme="minorHAnsi"/>
        </w:rPr>
        <w:t>safety and security measures</w:t>
      </w:r>
    </w:p>
    <w:p w14:paraId="271717B9" w14:textId="77777777" w:rsidR="008E53AF" w:rsidRPr="001E5053" w:rsidRDefault="008E53AF" w:rsidP="008B30CC">
      <w:pPr>
        <w:pStyle w:val="ListParagraph"/>
        <w:numPr>
          <w:ilvl w:val="0"/>
          <w:numId w:val="5"/>
        </w:numPr>
        <w:spacing w:after="160" w:line="240" w:lineRule="auto"/>
        <w:ind w:left="1134" w:hanging="425"/>
        <w:rPr>
          <w:rFonts w:asciiTheme="minorHAnsi" w:hAnsiTheme="minorHAnsi" w:cstheme="minorHAnsi"/>
        </w:rPr>
      </w:pPr>
      <w:r w:rsidRPr="001E5053">
        <w:rPr>
          <w:rFonts w:asciiTheme="minorHAnsi" w:hAnsiTheme="minorHAnsi" w:cstheme="minorHAnsi"/>
        </w:rPr>
        <w:t>relocation of staff</w:t>
      </w:r>
    </w:p>
    <w:p w14:paraId="3BF5E488" w14:textId="77777777" w:rsidR="008E53AF" w:rsidRPr="001E5053" w:rsidRDefault="008E53AF" w:rsidP="008B30CC">
      <w:pPr>
        <w:pStyle w:val="ListParagraph"/>
        <w:numPr>
          <w:ilvl w:val="0"/>
          <w:numId w:val="5"/>
        </w:numPr>
        <w:spacing w:after="160" w:line="240" w:lineRule="auto"/>
        <w:ind w:left="1134" w:hanging="425"/>
        <w:rPr>
          <w:rFonts w:asciiTheme="minorHAnsi" w:hAnsiTheme="minorHAnsi" w:cstheme="minorHAnsi"/>
        </w:rPr>
      </w:pPr>
      <w:r w:rsidRPr="001E5053">
        <w:rPr>
          <w:rFonts w:asciiTheme="minorHAnsi" w:hAnsiTheme="minorHAnsi" w:cstheme="minorHAnsi"/>
        </w:rPr>
        <w:t>meeting room rental</w:t>
      </w:r>
    </w:p>
    <w:p w14:paraId="634D0474" w14:textId="77777777" w:rsidR="008E53AF" w:rsidRPr="001E5053" w:rsidRDefault="008E53AF" w:rsidP="008B30CC">
      <w:pPr>
        <w:pStyle w:val="ListParagraph"/>
        <w:numPr>
          <w:ilvl w:val="0"/>
          <w:numId w:val="5"/>
        </w:numPr>
        <w:spacing w:after="160" w:line="240" w:lineRule="auto"/>
        <w:ind w:left="1134" w:hanging="425"/>
        <w:rPr>
          <w:rFonts w:asciiTheme="minorHAnsi" w:hAnsiTheme="minorHAnsi" w:cstheme="minorHAnsi"/>
        </w:rPr>
      </w:pPr>
      <w:r w:rsidRPr="001E5053">
        <w:rPr>
          <w:rFonts w:asciiTheme="minorHAnsi" w:hAnsiTheme="minorHAnsi" w:cstheme="minorHAnsi"/>
        </w:rPr>
        <w:t>movable furniture</w:t>
      </w:r>
    </w:p>
    <w:p w14:paraId="1CB0C82F" w14:textId="77777777" w:rsidR="008E53AF" w:rsidRDefault="008E53AF" w:rsidP="008B30CC">
      <w:pPr>
        <w:pStyle w:val="ListParagraph"/>
        <w:numPr>
          <w:ilvl w:val="0"/>
          <w:numId w:val="5"/>
        </w:numPr>
        <w:spacing w:after="120" w:line="240" w:lineRule="auto"/>
        <w:ind w:left="1134" w:hanging="425"/>
        <w:contextualSpacing w:val="0"/>
        <w:rPr>
          <w:rFonts w:asciiTheme="minorHAnsi" w:hAnsiTheme="minorHAnsi" w:cstheme="minorHAnsi"/>
        </w:rPr>
      </w:pPr>
      <w:r w:rsidRPr="001E5053">
        <w:rPr>
          <w:rFonts w:asciiTheme="minorHAnsi" w:hAnsiTheme="minorHAnsi" w:cstheme="minorHAnsi"/>
        </w:rPr>
        <w:t>active ICT equipment</w:t>
      </w:r>
    </w:p>
    <w:p w14:paraId="44FC7815" w14:textId="513F94DD" w:rsidR="00762CC7" w:rsidRPr="00762CC7" w:rsidRDefault="00762CC7" w:rsidP="00607177">
      <w:pPr>
        <w:ind w:left="630"/>
        <w:jc w:val="both"/>
        <w:rPr>
          <w:rFonts w:asciiTheme="minorHAnsi" w:hAnsiTheme="minorHAnsi" w:cstheme="minorHAnsi"/>
        </w:rPr>
      </w:pPr>
      <w:r w:rsidRPr="00762CC7">
        <w:rPr>
          <w:rFonts w:asciiTheme="minorHAnsi" w:hAnsiTheme="minorHAnsi" w:cstheme="minorHAnsi"/>
        </w:rPr>
        <w:t>The</w:t>
      </w:r>
      <w:r w:rsidRPr="00762CC7">
        <w:rPr>
          <w:rFonts w:asciiTheme="minorHAnsi" w:hAnsiTheme="minorHAnsi" w:cstheme="minorHAnsi"/>
          <w:bCs/>
        </w:rPr>
        <w:t xml:space="preserve"> </w:t>
      </w:r>
      <w:r w:rsidRPr="00762CC7">
        <w:rPr>
          <w:rFonts w:asciiTheme="minorHAnsi" w:hAnsiTheme="minorHAnsi" w:cstheme="minorHAnsi"/>
        </w:rPr>
        <w:t>5%</w:t>
      </w:r>
      <w:r>
        <w:rPr>
          <w:rFonts w:asciiTheme="minorHAnsi" w:hAnsiTheme="minorHAnsi" w:cstheme="minorHAnsi"/>
        </w:rPr>
        <w:t xml:space="preserve"> </w:t>
      </w:r>
      <w:r w:rsidRPr="00762CC7">
        <w:rPr>
          <w:rFonts w:asciiTheme="minorHAnsi" w:hAnsiTheme="minorHAnsi" w:cstheme="minorHAnsi"/>
          <w:bCs/>
        </w:rPr>
        <w:t>uncertainty</w:t>
      </w:r>
      <w:r w:rsidRPr="00762CC7">
        <w:rPr>
          <w:rFonts w:asciiTheme="minorHAnsi" w:hAnsiTheme="minorHAnsi" w:cstheme="minorHAnsi"/>
        </w:rPr>
        <w:t xml:space="preserve"> </w:t>
      </w:r>
      <w:r>
        <w:rPr>
          <w:rFonts w:asciiTheme="minorHAnsi" w:hAnsiTheme="minorHAnsi" w:cstheme="minorHAnsi"/>
        </w:rPr>
        <w:t>(</w:t>
      </w:r>
      <w:r w:rsidRPr="00762CC7">
        <w:rPr>
          <w:rFonts w:asciiTheme="minorHAnsi" w:hAnsiTheme="minorHAnsi" w:cstheme="minorHAnsi"/>
        </w:rPr>
        <w:t>per IEC</w:t>
      </w:r>
      <w:r>
        <w:rPr>
          <w:rFonts w:asciiTheme="minorHAnsi" w:hAnsiTheme="minorHAnsi" w:cstheme="minorHAnsi"/>
        </w:rPr>
        <w:t>)</w:t>
      </w:r>
      <w:r w:rsidRPr="00762CC7">
        <w:rPr>
          <w:rFonts w:asciiTheme="minorHAnsi" w:hAnsiTheme="minorHAnsi" w:cstheme="minorHAnsi"/>
        </w:rPr>
        <w:t xml:space="preserve"> applied </w:t>
      </w:r>
      <w:r>
        <w:rPr>
          <w:rFonts w:asciiTheme="minorHAnsi" w:hAnsiTheme="minorHAnsi" w:cstheme="minorHAnsi"/>
        </w:rPr>
        <w:t>to</w:t>
      </w:r>
      <w:r w:rsidRPr="00762CC7">
        <w:rPr>
          <w:rFonts w:asciiTheme="minorHAnsi" w:hAnsiTheme="minorHAnsi" w:cstheme="minorHAnsi"/>
        </w:rPr>
        <w:t xml:space="preserve"> the entire </w:t>
      </w:r>
      <w:r w:rsidR="008B30CC">
        <w:rPr>
          <w:rFonts w:asciiTheme="minorHAnsi" w:hAnsiTheme="minorHAnsi" w:cstheme="minorHAnsi"/>
        </w:rPr>
        <w:t>project cost of CHF </w:t>
      </w:r>
      <w:r>
        <w:rPr>
          <w:rFonts w:asciiTheme="minorHAnsi" w:hAnsiTheme="minorHAnsi" w:cstheme="minorHAnsi"/>
        </w:rPr>
        <w:t>180 million</w:t>
      </w:r>
      <w:r w:rsidRPr="00762CC7">
        <w:rPr>
          <w:rFonts w:asciiTheme="minorHAnsi" w:hAnsiTheme="minorHAnsi" w:cstheme="minorHAnsi"/>
        </w:rPr>
        <w:t xml:space="preserve"> shall be confirmed by CDTK</w:t>
      </w:r>
      <w:r>
        <w:rPr>
          <w:rFonts w:asciiTheme="minorHAnsi" w:hAnsiTheme="minorHAnsi" w:cstheme="minorHAnsi"/>
        </w:rPr>
        <w:t>,</w:t>
      </w:r>
      <w:r w:rsidRPr="00762CC7">
        <w:rPr>
          <w:rFonts w:asciiTheme="minorHAnsi" w:hAnsiTheme="minorHAnsi" w:cstheme="minorHAnsi"/>
        </w:rPr>
        <w:t xml:space="preserve"> together with justification </w:t>
      </w:r>
      <w:r>
        <w:rPr>
          <w:rFonts w:asciiTheme="minorHAnsi" w:hAnsiTheme="minorHAnsi" w:cstheme="minorHAnsi"/>
        </w:rPr>
        <w:t>for</w:t>
      </w:r>
      <w:r w:rsidRPr="00762CC7">
        <w:rPr>
          <w:rFonts w:asciiTheme="minorHAnsi" w:hAnsiTheme="minorHAnsi" w:cstheme="minorHAnsi"/>
        </w:rPr>
        <w:t xml:space="preserve"> why this uncertainty can be reduced to 5% from </w:t>
      </w:r>
      <w:r>
        <w:rPr>
          <w:rFonts w:asciiTheme="minorHAnsi" w:hAnsiTheme="minorHAnsi" w:cstheme="minorHAnsi"/>
        </w:rPr>
        <w:t xml:space="preserve">the </w:t>
      </w:r>
      <w:r w:rsidRPr="00762CC7">
        <w:rPr>
          <w:rFonts w:asciiTheme="minorHAnsi" w:hAnsiTheme="minorHAnsi" w:cstheme="minorHAnsi"/>
        </w:rPr>
        <w:t xml:space="preserve">15% </w:t>
      </w:r>
      <w:r w:rsidR="0047476F">
        <w:rPr>
          <w:rFonts w:asciiTheme="minorHAnsi" w:hAnsiTheme="minorHAnsi" w:cstheme="minorHAnsi"/>
        </w:rPr>
        <w:t xml:space="preserve">that CDTK indicated on April 1, 2019 in </w:t>
      </w:r>
      <w:r w:rsidRPr="00762CC7">
        <w:rPr>
          <w:rFonts w:asciiTheme="minorHAnsi" w:hAnsiTheme="minorHAnsi" w:cstheme="minorHAnsi"/>
        </w:rPr>
        <w:t>the Design proje</w:t>
      </w:r>
      <w:r w:rsidR="00607177">
        <w:rPr>
          <w:rFonts w:asciiTheme="minorHAnsi" w:hAnsiTheme="minorHAnsi" w:cstheme="minorHAnsi"/>
        </w:rPr>
        <w:t>ct</w:t>
      </w:r>
      <w:r w:rsidR="0047476F">
        <w:rPr>
          <w:rFonts w:asciiTheme="minorHAnsi" w:hAnsiTheme="minorHAnsi" w:cstheme="minorHAnsi"/>
        </w:rPr>
        <w:t xml:space="preserve"> documentation </w:t>
      </w:r>
      <w:r w:rsidRPr="00762CC7">
        <w:rPr>
          <w:rFonts w:asciiTheme="minorHAnsi" w:hAnsiTheme="minorHAnsi" w:cstheme="minorHAnsi"/>
        </w:rPr>
        <w:t xml:space="preserve">(01.04.2019, phase 4.31 </w:t>
      </w:r>
      <w:r w:rsidRPr="0047476F">
        <w:rPr>
          <w:rFonts w:asciiTheme="minorHAnsi" w:hAnsiTheme="minorHAnsi" w:cstheme="minorHAnsi"/>
          <w:i/>
        </w:rPr>
        <w:t>Avant-</w:t>
      </w:r>
      <w:proofErr w:type="spellStart"/>
      <w:r w:rsidRPr="0047476F">
        <w:rPr>
          <w:rFonts w:asciiTheme="minorHAnsi" w:hAnsiTheme="minorHAnsi" w:cstheme="minorHAnsi"/>
          <w:i/>
        </w:rPr>
        <w:t>projet</w:t>
      </w:r>
      <w:proofErr w:type="spellEnd"/>
      <w:r w:rsidRPr="00762CC7">
        <w:rPr>
          <w:rFonts w:asciiTheme="minorHAnsi" w:hAnsiTheme="minorHAnsi" w:cstheme="minorHAnsi"/>
        </w:rPr>
        <w:t>).</w:t>
      </w:r>
      <w:r w:rsidR="008B30CC">
        <w:rPr>
          <w:rFonts w:asciiTheme="minorHAnsi" w:hAnsiTheme="minorHAnsi" w:cstheme="minorHAnsi"/>
        </w:rPr>
        <w:t xml:space="preserve"> </w:t>
      </w:r>
      <w:r w:rsidR="0047476F" w:rsidRPr="00762CC7">
        <w:rPr>
          <w:rFonts w:asciiTheme="minorHAnsi" w:hAnsiTheme="minorHAnsi" w:cstheme="minorHAnsi"/>
        </w:rPr>
        <w:t>It is noted that</w:t>
      </w:r>
      <w:r w:rsidR="0047476F">
        <w:rPr>
          <w:rFonts w:asciiTheme="minorHAnsi" w:hAnsiTheme="minorHAnsi" w:cstheme="minorHAnsi"/>
        </w:rPr>
        <w:t>,</w:t>
      </w:r>
      <w:r w:rsidR="0047476F" w:rsidRPr="00762CC7">
        <w:rPr>
          <w:rFonts w:asciiTheme="minorHAnsi" w:hAnsiTheme="minorHAnsi" w:cstheme="minorHAnsi"/>
        </w:rPr>
        <w:t xml:space="preserve"> </w:t>
      </w:r>
      <w:r w:rsidR="0047476F">
        <w:rPr>
          <w:rFonts w:asciiTheme="minorHAnsi" w:hAnsiTheme="minorHAnsi" w:cstheme="minorHAnsi"/>
        </w:rPr>
        <w:t>unlike</w:t>
      </w:r>
      <w:r w:rsidR="0047476F" w:rsidRPr="00762CC7">
        <w:rPr>
          <w:rFonts w:asciiTheme="minorHAnsi" w:hAnsiTheme="minorHAnsi" w:cstheme="minorHAnsi"/>
        </w:rPr>
        <w:t xml:space="preserve"> the architect’s estimations, the </w:t>
      </w:r>
      <w:r w:rsidR="0047476F" w:rsidRPr="0047476F">
        <w:rPr>
          <w:rFonts w:asciiTheme="minorHAnsi" w:hAnsiTheme="minorHAnsi" w:cstheme="minorHAnsi"/>
        </w:rPr>
        <w:t>figures for which ITU is responsible have no uncertainty assigned to them</w:t>
      </w:r>
      <w:r w:rsidR="0047476F" w:rsidRPr="00762CC7">
        <w:rPr>
          <w:rFonts w:asciiTheme="minorHAnsi" w:hAnsiTheme="minorHAnsi" w:cstheme="minorHAnsi"/>
        </w:rPr>
        <w:t>, unless one applies at least the 5% of the IEC document. In the latter case this uncertainty shall be taken into account within the financial risk analysis.</w:t>
      </w:r>
      <w:r w:rsidR="00AC0806">
        <w:rPr>
          <w:rFonts w:asciiTheme="minorHAnsi" w:hAnsiTheme="minorHAnsi" w:cstheme="minorHAnsi"/>
        </w:rPr>
        <w:t xml:space="preserve"> </w:t>
      </w:r>
      <w:r w:rsidR="00AC0806" w:rsidRPr="00AC0806">
        <w:rPr>
          <w:rFonts w:asciiTheme="minorHAnsi" w:hAnsiTheme="minorHAnsi" w:cstheme="minorHAnsi"/>
        </w:rPr>
        <w:t>In order to allow the advanced planning stages of the building to proceed, any sponsorships or donations that will affect the architect's plans or otherwise increase the cost envelope of the project shall be in</w:t>
      </w:r>
      <w:r w:rsidR="00AC0806">
        <w:rPr>
          <w:rFonts w:asciiTheme="minorHAnsi" w:hAnsiTheme="minorHAnsi" w:cstheme="minorHAnsi"/>
        </w:rPr>
        <w:t>dicat</w:t>
      </w:r>
      <w:r w:rsidR="00AC0806" w:rsidRPr="00AC0806">
        <w:rPr>
          <w:rFonts w:asciiTheme="minorHAnsi" w:hAnsiTheme="minorHAnsi" w:cstheme="minorHAnsi"/>
        </w:rPr>
        <w:t>ed.</w:t>
      </w:r>
    </w:p>
    <w:p w14:paraId="2497A2A2" w14:textId="77777777" w:rsidR="00762CC7" w:rsidRPr="00762CC7" w:rsidRDefault="00762CC7" w:rsidP="00607177">
      <w:pPr>
        <w:ind w:left="630"/>
        <w:jc w:val="both"/>
        <w:rPr>
          <w:rFonts w:asciiTheme="minorHAnsi" w:hAnsiTheme="minorHAnsi" w:cstheme="minorHAnsi"/>
        </w:rPr>
      </w:pPr>
      <w:r w:rsidRPr="00762CC7">
        <w:rPr>
          <w:rFonts w:asciiTheme="minorHAnsi" w:hAnsiTheme="minorHAnsi" w:cstheme="minorHAnsi"/>
        </w:rPr>
        <w:t xml:space="preserve">The risk analysis currently established by Hill shall include a </w:t>
      </w:r>
      <w:r w:rsidRPr="0047476F">
        <w:rPr>
          <w:rFonts w:asciiTheme="minorHAnsi" w:hAnsiTheme="minorHAnsi" w:cstheme="minorHAnsi"/>
          <w:bCs/>
        </w:rPr>
        <w:t>financial risk analysis</w:t>
      </w:r>
      <w:r w:rsidRPr="00762CC7">
        <w:rPr>
          <w:rFonts w:asciiTheme="minorHAnsi" w:hAnsiTheme="minorHAnsi" w:cstheme="minorHAnsi"/>
        </w:rPr>
        <w:t xml:space="preserve"> that</w:t>
      </w:r>
      <w:r w:rsidR="0047476F">
        <w:rPr>
          <w:rFonts w:asciiTheme="minorHAnsi" w:hAnsiTheme="minorHAnsi" w:cstheme="minorHAnsi"/>
        </w:rPr>
        <w:t>,</w:t>
      </w:r>
      <w:r w:rsidRPr="00762CC7">
        <w:rPr>
          <w:rFonts w:asciiTheme="minorHAnsi" w:hAnsiTheme="minorHAnsi" w:cstheme="minorHAnsi"/>
        </w:rPr>
        <w:t xml:space="preserve"> among other</w:t>
      </w:r>
      <w:r w:rsidR="0047476F">
        <w:rPr>
          <w:rFonts w:asciiTheme="minorHAnsi" w:hAnsiTheme="minorHAnsi" w:cstheme="minorHAnsi"/>
        </w:rPr>
        <w:t xml:space="preserve"> things,</w:t>
      </w:r>
      <w:r w:rsidRPr="00762CC7">
        <w:rPr>
          <w:rFonts w:asciiTheme="minorHAnsi" w:hAnsiTheme="minorHAnsi" w:cstheme="minorHAnsi"/>
        </w:rPr>
        <w:t xml:space="preserve"> takes </w:t>
      </w:r>
      <w:r w:rsidR="0047476F" w:rsidRPr="00762CC7">
        <w:rPr>
          <w:rFonts w:asciiTheme="minorHAnsi" w:hAnsiTheme="minorHAnsi" w:cstheme="minorHAnsi"/>
        </w:rPr>
        <w:t xml:space="preserve">into account </w:t>
      </w:r>
      <w:r w:rsidRPr="00762CC7">
        <w:rPr>
          <w:rFonts w:asciiTheme="minorHAnsi" w:hAnsiTheme="minorHAnsi" w:cstheme="minorHAnsi"/>
        </w:rPr>
        <w:t>the uncertainty of the estimated cost (</w:t>
      </w:r>
      <w:r w:rsidR="0047476F">
        <w:rPr>
          <w:rFonts w:asciiTheme="minorHAnsi" w:hAnsiTheme="minorHAnsi" w:cstheme="minorHAnsi"/>
        </w:rPr>
        <w:t xml:space="preserve">addressing the </w:t>
      </w:r>
      <w:r w:rsidRPr="00762CC7">
        <w:rPr>
          <w:rFonts w:asciiTheme="minorHAnsi" w:hAnsiTheme="minorHAnsi" w:cstheme="minorHAnsi"/>
        </w:rPr>
        <w:t xml:space="preserve">worst case scenario). Furthermore, any risks identified by CDTK in its design project shall be </w:t>
      </w:r>
      <w:r w:rsidR="0047476F">
        <w:rPr>
          <w:rFonts w:asciiTheme="minorHAnsi" w:hAnsiTheme="minorHAnsi" w:cstheme="minorHAnsi"/>
        </w:rPr>
        <w:t>addressed</w:t>
      </w:r>
      <w:r w:rsidRPr="00762CC7">
        <w:rPr>
          <w:rFonts w:asciiTheme="minorHAnsi" w:hAnsiTheme="minorHAnsi" w:cstheme="minorHAnsi"/>
        </w:rPr>
        <w:t>.</w:t>
      </w:r>
    </w:p>
    <w:p w14:paraId="6846F4FE" w14:textId="69AA3BDC" w:rsidR="00762CC7" w:rsidRPr="00607177" w:rsidRDefault="00762CC7" w:rsidP="00607177">
      <w:pPr>
        <w:ind w:left="630"/>
        <w:jc w:val="both"/>
        <w:rPr>
          <w:rFonts w:asciiTheme="minorHAnsi" w:hAnsiTheme="minorHAnsi" w:cstheme="minorHAnsi"/>
          <w:bCs/>
        </w:rPr>
      </w:pPr>
      <w:r w:rsidRPr="00762CC7">
        <w:rPr>
          <w:rFonts w:asciiTheme="minorHAnsi" w:hAnsiTheme="minorHAnsi" w:cstheme="minorHAnsi"/>
        </w:rPr>
        <w:t xml:space="preserve">The additional </w:t>
      </w:r>
      <w:r w:rsidRPr="0047476F">
        <w:rPr>
          <w:rFonts w:asciiTheme="minorHAnsi" w:hAnsiTheme="minorHAnsi" w:cstheme="minorHAnsi"/>
          <w:bCs/>
        </w:rPr>
        <w:t>safety and security measures</w:t>
      </w:r>
      <w:r w:rsidRPr="00762CC7">
        <w:rPr>
          <w:rFonts w:asciiTheme="minorHAnsi" w:hAnsiTheme="minorHAnsi" w:cstheme="minorHAnsi"/>
        </w:rPr>
        <w:t xml:space="preserve"> included in the project cost </w:t>
      </w:r>
      <w:r w:rsidR="001B0117">
        <w:rPr>
          <w:rFonts w:asciiTheme="minorHAnsi" w:hAnsiTheme="minorHAnsi" w:cstheme="minorHAnsi"/>
        </w:rPr>
        <w:t xml:space="preserve">of </w:t>
      </w:r>
      <w:hyperlink r:id="rId29" w:history="1">
        <w:r w:rsidR="001B0117" w:rsidRPr="00100312">
          <w:rPr>
            <w:rStyle w:val="Hyperlink"/>
          </w:rPr>
          <w:t>C19/7</w:t>
        </w:r>
      </w:hyperlink>
      <w:r w:rsidR="001B0117" w:rsidRPr="001B0117">
        <w:rPr>
          <w:rStyle w:val="Hyperlink"/>
          <w:color w:val="auto"/>
          <w:u w:val="none"/>
        </w:rPr>
        <w:t xml:space="preserve"> </w:t>
      </w:r>
      <w:r w:rsidR="001B0117">
        <w:rPr>
          <w:rFonts w:asciiTheme="minorHAnsi" w:hAnsiTheme="minorHAnsi" w:cstheme="minorHAnsi"/>
        </w:rPr>
        <w:t>that total</w:t>
      </w:r>
      <w:r w:rsidR="008B30CC">
        <w:rPr>
          <w:rFonts w:asciiTheme="minorHAnsi" w:hAnsiTheme="minorHAnsi" w:cstheme="minorHAnsi"/>
        </w:rPr>
        <w:t xml:space="preserve"> CHF </w:t>
      </w:r>
      <w:r w:rsidRPr="00762CC7">
        <w:rPr>
          <w:rFonts w:asciiTheme="minorHAnsi" w:hAnsiTheme="minorHAnsi" w:cstheme="minorHAnsi"/>
        </w:rPr>
        <w:t xml:space="preserve">3 million need to be detailed and </w:t>
      </w:r>
      <w:r w:rsidR="00D96E01">
        <w:rPr>
          <w:rFonts w:asciiTheme="minorHAnsi" w:hAnsiTheme="minorHAnsi" w:cstheme="minorHAnsi"/>
        </w:rPr>
        <w:t>identified relative to</w:t>
      </w:r>
      <w:r w:rsidRPr="00762CC7">
        <w:rPr>
          <w:rFonts w:asciiTheme="minorHAnsi" w:hAnsiTheme="minorHAnsi" w:cstheme="minorHAnsi"/>
        </w:rPr>
        <w:t xml:space="preserve"> the measures r</w:t>
      </w:r>
      <w:r w:rsidR="008B30CC">
        <w:rPr>
          <w:rFonts w:asciiTheme="minorHAnsi" w:hAnsiTheme="minorHAnsi" w:cstheme="minorHAnsi"/>
        </w:rPr>
        <w:t>ecommended in the UNDSS report.</w:t>
      </w:r>
      <w:r w:rsidR="00607177">
        <w:rPr>
          <w:rFonts w:asciiTheme="minorHAnsi" w:hAnsiTheme="minorHAnsi" w:cstheme="minorHAnsi"/>
        </w:rPr>
        <w:t xml:space="preserve"> </w:t>
      </w:r>
      <w:r w:rsidRPr="00762CC7">
        <w:rPr>
          <w:rFonts w:asciiTheme="minorHAnsi" w:hAnsiTheme="minorHAnsi" w:cstheme="minorHAnsi"/>
        </w:rPr>
        <w:t>For those measures that are outside the ITU perimeter</w:t>
      </w:r>
      <w:r w:rsidR="00607177">
        <w:rPr>
          <w:rFonts w:asciiTheme="minorHAnsi" w:hAnsiTheme="minorHAnsi" w:cstheme="minorHAnsi"/>
        </w:rPr>
        <w:t>,</w:t>
      </w:r>
      <w:r w:rsidRPr="00762CC7">
        <w:rPr>
          <w:rFonts w:asciiTheme="minorHAnsi" w:hAnsiTheme="minorHAnsi" w:cstheme="minorHAnsi"/>
        </w:rPr>
        <w:t xml:space="preserve"> </w:t>
      </w:r>
      <w:hyperlink r:id="rId30" w:history="1">
        <w:r w:rsidR="00D96E01" w:rsidRPr="001E5053">
          <w:rPr>
            <w:rStyle w:val="Hyperlink"/>
          </w:rPr>
          <w:t>C19/DL/12</w:t>
        </w:r>
      </w:hyperlink>
      <w:r w:rsidR="00D96E01" w:rsidRPr="001B0117">
        <w:rPr>
          <w:rStyle w:val="Hyperlink"/>
          <w:color w:val="auto"/>
          <w:u w:val="none"/>
        </w:rPr>
        <w:t xml:space="preserve"> </w:t>
      </w:r>
      <w:r w:rsidRPr="00762CC7">
        <w:rPr>
          <w:rFonts w:asciiTheme="minorHAnsi" w:hAnsiTheme="minorHAnsi" w:cstheme="minorHAnsi"/>
        </w:rPr>
        <w:t>request</w:t>
      </w:r>
      <w:r w:rsidR="00D96E01">
        <w:rPr>
          <w:rFonts w:asciiTheme="minorHAnsi" w:hAnsiTheme="minorHAnsi" w:cstheme="minorHAnsi"/>
        </w:rPr>
        <w:t>ed</w:t>
      </w:r>
      <w:r w:rsidRPr="00762CC7">
        <w:rPr>
          <w:rFonts w:asciiTheme="minorHAnsi" w:hAnsiTheme="minorHAnsi" w:cstheme="minorHAnsi"/>
        </w:rPr>
        <w:t xml:space="preserve"> a written agreement by the relevant Swiss authorities that the measures recommended in the UNDSS report will be implemented</w:t>
      </w:r>
      <w:r w:rsidR="00607177">
        <w:rPr>
          <w:rFonts w:asciiTheme="minorHAnsi" w:hAnsiTheme="minorHAnsi" w:cstheme="minorHAnsi"/>
        </w:rPr>
        <w:t xml:space="preserve">; otherwise, </w:t>
      </w:r>
      <w:r w:rsidR="008B30CC">
        <w:rPr>
          <w:rFonts w:asciiTheme="minorHAnsi" w:hAnsiTheme="minorHAnsi" w:cstheme="minorHAnsi"/>
          <w:bCs/>
        </w:rPr>
        <w:t>CDTK’s maximum estimate of CHF </w:t>
      </w:r>
      <w:r w:rsidRPr="00607177">
        <w:rPr>
          <w:rFonts w:asciiTheme="minorHAnsi" w:hAnsiTheme="minorHAnsi" w:cstheme="minorHAnsi"/>
          <w:bCs/>
        </w:rPr>
        <w:t>6 million shall be included in the project cost.</w:t>
      </w:r>
    </w:p>
    <w:p w14:paraId="0531B3CE" w14:textId="3ED62380" w:rsidR="00762CC7" w:rsidRPr="00607177" w:rsidRDefault="00762CC7" w:rsidP="00AC0806">
      <w:pPr>
        <w:tabs>
          <w:tab w:val="clear" w:pos="567"/>
          <w:tab w:val="left" w:pos="630"/>
        </w:tabs>
        <w:ind w:left="630"/>
        <w:jc w:val="both"/>
        <w:rPr>
          <w:rFonts w:asciiTheme="minorHAnsi" w:hAnsiTheme="minorHAnsi" w:cstheme="minorHAnsi"/>
        </w:rPr>
      </w:pPr>
      <w:r w:rsidRPr="008B30CC">
        <w:rPr>
          <w:rFonts w:asciiTheme="minorHAnsi" w:hAnsiTheme="minorHAnsi" w:cstheme="minorHAnsi"/>
          <w:spacing w:val="-2"/>
        </w:rPr>
        <w:t xml:space="preserve">The costs associated with </w:t>
      </w:r>
      <w:r w:rsidRPr="008B30CC">
        <w:rPr>
          <w:rFonts w:asciiTheme="minorHAnsi" w:hAnsiTheme="minorHAnsi" w:cstheme="minorHAnsi"/>
          <w:bCs/>
          <w:spacing w:val="-2"/>
        </w:rPr>
        <w:t>relocating staff</w:t>
      </w:r>
      <w:r w:rsidR="008B30CC" w:rsidRPr="008B30CC">
        <w:rPr>
          <w:rFonts w:asciiTheme="minorHAnsi" w:hAnsiTheme="minorHAnsi" w:cstheme="minorHAnsi"/>
          <w:spacing w:val="-2"/>
        </w:rPr>
        <w:t xml:space="preserve"> were recently reduced from</w:t>
      </w:r>
      <w:r w:rsidR="008B30CC">
        <w:rPr>
          <w:rFonts w:asciiTheme="minorHAnsi" w:hAnsiTheme="minorHAnsi" w:cstheme="minorHAnsi"/>
        </w:rPr>
        <w:t xml:space="preserve"> CHF 11 to CHF 6 </w:t>
      </w:r>
      <w:r w:rsidRPr="00762CC7">
        <w:rPr>
          <w:rFonts w:asciiTheme="minorHAnsi" w:hAnsiTheme="minorHAnsi" w:cstheme="minorHAnsi"/>
        </w:rPr>
        <w:t>million</w:t>
      </w:r>
      <w:r w:rsidR="00607177">
        <w:rPr>
          <w:rFonts w:asciiTheme="minorHAnsi" w:hAnsiTheme="minorHAnsi" w:cstheme="minorHAnsi"/>
        </w:rPr>
        <w:t>,</w:t>
      </w:r>
      <w:r w:rsidRPr="00762CC7">
        <w:rPr>
          <w:rFonts w:asciiTheme="minorHAnsi" w:hAnsiTheme="minorHAnsi" w:cstheme="minorHAnsi"/>
        </w:rPr>
        <w:t xml:space="preserve"> based on a new study of room availability that seem</w:t>
      </w:r>
      <w:r w:rsidR="00607177">
        <w:rPr>
          <w:rFonts w:asciiTheme="minorHAnsi" w:hAnsiTheme="minorHAnsi" w:cstheme="minorHAnsi"/>
        </w:rPr>
        <w:t>s</w:t>
      </w:r>
      <w:r w:rsidRPr="00762CC7">
        <w:rPr>
          <w:rFonts w:asciiTheme="minorHAnsi" w:hAnsiTheme="minorHAnsi" w:cstheme="minorHAnsi"/>
        </w:rPr>
        <w:t xml:space="preserve"> to confirm that all </w:t>
      </w:r>
      <w:proofErr w:type="spellStart"/>
      <w:r w:rsidRPr="00762CC7">
        <w:rPr>
          <w:rFonts w:asciiTheme="minorHAnsi" w:hAnsiTheme="minorHAnsi" w:cstheme="minorHAnsi"/>
        </w:rPr>
        <w:t>Varemb</w:t>
      </w:r>
      <w:r w:rsidR="00101589">
        <w:rPr>
          <w:rFonts w:asciiTheme="minorHAnsi" w:hAnsiTheme="minorHAnsi"/>
        </w:rPr>
        <w:t>é</w:t>
      </w:r>
      <w:proofErr w:type="spellEnd"/>
      <w:r w:rsidRPr="00762CC7">
        <w:rPr>
          <w:rFonts w:asciiTheme="minorHAnsi" w:hAnsiTheme="minorHAnsi" w:cstheme="minorHAnsi"/>
        </w:rPr>
        <w:t xml:space="preserve"> staff can be relocated either </w:t>
      </w:r>
      <w:r w:rsidR="00607177">
        <w:rPr>
          <w:rFonts w:asciiTheme="minorHAnsi" w:hAnsiTheme="minorHAnsi" w:cstheme="minorHAnsi"/>
        </w:rPr>
        <w:t>to the Tower or to</w:t>
      </w:r>
      <w:r w:rsidRPr="00762CC7">
        <w:rPr>
          <w:rFonts w:asciiTheme="minorHAnsi" w:hAnsiTheme="minorHAnsi" w:cstheme="minorHAnsi"/>
        </w:rPr>
        <w:t xml:space="preserve"> </w:t>
      </w:r>
      <w:r w:rsidR="00607177">
        <w:rPr>
          <w:rFonts w:asciiTheme="minorHAnsi" w:hAnsiTheme="minorHAnsi" w:cstheme="minorHAnsi"/>
        </w:rPr>
        <w:t xml:space="preserve">the </w:t>
      </w:r>
      <w:proofErr w:type="spellStart"/>
      <w:r w:rsidRPr="00762CC7">
        <w:rPr>
          <w:rFonts w:asciiTheme="minorHAnsi" w:hAnsiTheme="minorHAnsi" w:cstheme="minorHAnsi"/>
        </w:rPr>
        <w:t>Montbrillant</w:t>
      </w:r>
      <w:proofErr w:type="spellEnd"/>
      <w:r w:rsidR="00607177">
        <w:rPr>
          <w:rFonts w:asciiTheme="minorHAnsi" w:hAnsiTheme="minorHAnsi" w:cstheme="minorHAnsi"/>
        </w:rPr>
        <w:t xml:space="preserve"> building. </w:t>
      </w:r>
      <w:hyperlink r:id="rId31" w:history="1">
        <w:r w:rsidR="00607177" w:rsidRPr="001E5053">
          <w:rPr>
            <w:rStyle w:val="Hyperlink"/>
          </w:rPr>
          <w:t>C19/DL/12</w:t>
        </w:r>
      </w:hyperlink>
      <w:r w:rsidR="00607177" w:rsidRPr="001B0117">
        <w:rPr>
          <w:rStyle w:val="Hyperlink"/>
          <w:color w:val="auto"/>
          <w:u w:val="none"/>
        </w:rPr>
        <w:t xml:space="preserve"> </w:t>
      </w:r>
      <w:r w:rsidR="00607177" w:rsidRPr="00762CC7">
        <w:rPr>
          <w:rFonts w:asciiTheme="minorHAnsi" w:hAnsiTheme="minorHAnsi" w:cstheme="minorHAnsi"/>
        </w:rPr>
        <w:t>request</w:t>
      </w:r>
      <w:r w:rsidR="00607177">
        <w:rPr>
          <w:rFonts w:asciiTheme="minorHAnsi" w:hAnsiTheme="minorHAnsi" w:cstheme="minorHAnsi"/>
        </w:rPr>
        <w:t xml:space="preserve">ed that this </w:t>
      </w:r>
      <w:r w:rsidRPr="00762CC7">
        <w:rPr>
          <w:rFonts w:asciiTheme="minorHAnsi" w:hAnsiTheme="minorHAnsi" w:cstheme="minorHAnsi"/>
        </w:rPr>
        <w:t>study be made available</w:t>
      </w:r>
      <w:r w:rsidR="00AC0806">
        <w:rPr>
          <w:rFonts w:asciiTheme="minorHAnsi" w:hAnsiTheme="minorHAnsi" w:cstheme="minorHAnsi"/>
        </w:rPr>
        <w:t xml:space="preserve">; otherwise, </w:t>
      </w:r>
      <w:r w:rsidR="00607177" w:rsidRPr="00607177">
        <w:rPr>
          <w:rFonts w:asciiTheme="minorHAnsi" w:hAnsiTheme="minorHAnsi" w:cstheme="minorHAnsi"/>
          <w:bCs/>
        </w:rPr>
        <w:t>t</w:t>
      </w:r>
      <w:r w:rsidR="008B30CC">
        <w:rPr>
          <w:rFonts w:asciiTheme="minorHAnsi" w:hAnsiTheme="minorHAnsi" w:cstheme="minorHAnsi"/>
          <w:bCs/>
        </w:rPr>
        <w:t>he staff relocation cost of CHF </w:t>
      </w:r>
      <w:r w:rsidR="00607177" w:rsidRPr="00607177">
        <w:rPr>
          <w:rFonts w:asciiTheme="minorHAnsi" w:hAnsiTheme="minorHAnsi" w:cstheme="minorHAnsi"/>
          <w:bCs/>
        </w:rPr>
        <w:t xml:space="preserve">11 million shall be maintained. </w:t>
      </w:r>
      <w:r w:rsidR="00607177" w:rsidRPr="00607177">
        <w:rPr>
          <w:rFonts w:asciiTheme="minorHAnsi" w:hAnsiTheme="minorHAnsi" w:cstheme="minorHAnsi"/>
        </w:rPr>
        <w:t>An uncertainty needs to be applied for this amount in a financial risk analysis.</w:t>
      </w:r>
    </w:p>
    <w:p w14:paraId="5ECB9F28" w14:textId="20F7621A" w:rsidR="00762CC7" w:rsidRDefault="00762CC7" w:rsidP="00AC0806">
      <w:pPr>
        <w:tabs>
          <w:tab w:val="clear" w:pos="567"/>
          <w:tab w:val="left" w:pos="630"/>
        </w:tabs>
        <w:ind w:left="630"/>
        <w:jc w:val="both"/>
        <w:rPr>
          <w:rFonts w:asciiTheme="minorHAnsi" w:hAnsiTheme="minorHAnsi" w:cstheme="minorHAnsi"/>
        </w:rPr>
      </w:pPr>
      <w:r w:rsidRPr="00AC0806">
        <w:rPr>
          <w:rFonts w:asciiTheme="minorHAnsi" w:hAnsiTheme="minorHAnsi" w:cstheme="minorHAnsi"/>
          <w:bCs/>
        </w:rPr>
        <w:t>Meetings and conferences</w:t>
      </w:r>
      <w:r w:rsidRPr="00762CC7">
        <w:rPr>
          <w:rFonts w:asciiTheme="minorHAnsi" w:hAnsiTheme="minorHAnsi" w:cstheme="minorHAnsi"/>
        </w:rPr>
        <w:t xml:space="preserve"> to be held during the demolition and construction period shall be estimated including expected number of participants and room need (i.e. main meeting room plus 4 breakout rooms, etc.) and an estimated cost for hosting these events in</w:t>
      </w:r>
      <w:r w:rsidR="00AC0806">
        <w:rPr>
          <w:rFonts w:asciiTheme="minorHAnsi" w:hAnsiTheme="minorHAnsi" w:cstheme="minorHAnsi"/>
        </w:rPr>
        <w:t>side</w:t>
      </w:r>
      <w:r w:rsidRPr="00762CC7">
        <w:rPr>
          <w:rFonts w:asciiTheme="minorHAnsi" w:hAnsiTheme="minorHAnsi" w:cstheme="minorHAnsi"/>
        </w:rPr>
        <w:t xml:space="preserve"> or outside Geneva. </w:t>
      </w:r>
      <w:hyperlink r:id="rId32" w:history="1">
        <w:r w:rsidR="00AC0806" w:rsidRPr="001E5053">
          <w:rPr>
            <w:rStyle w:val="Hyperlink"/>
          </w:rPr>
          <w:t>C19/DL/12</w:t>
        </w:r>
      </w:hyperlink>
      <w:r w:rsidR="00AC0806" w:rsidRPr="001B0117">
        <w:rPr>
          <w:rStyle w:val="Hyperlink"/>
          <w:color w:val="auto"/>
          <w:u w:val="none"/>
        </w:rPr>
        <w:t xml:space="preserve"> </w:t>
      </w:r>
      <w:r w:rsidR="00AC0806" w:rsidRPr="00762CC7">
        <w:rPr>
          <w:rFonts w:asciiTheme="minorHAnsi" w:hAnsiTheme="minorHAnsi" w:cstheme="minorHAnsi"/>
        </w:rPr>
        <w:t>request</w:t>
      </w:r>
      <w:r w:rsidR="00AC0806">
        <w:rPr>
          <w:rFonts w:asciiTheme="minorHAnsi" w:hAnsiTheme="minorHAnsi" w:cstheme="minorHAnsi"/>
        </w:rPr>
        <w:t>ed that w</w:t>
      </w:r>
      <w:r w:rsidRPr="00762CC7">
        <w:rPr>
          <w:rFonts w:asciiTheme="minorHAnsi" w:hAnsiTheme="minorHAnsi" w:cstheme="minorHAnsi"/>
        </w:rPr>
        <w:t>ritten agreements with host countries and/or relevant Swiss authorities (FIPOI) shall be provide</w:t>
      </w:r>
      <w:r w:rsidR="00AC0806">
        <w:rPr>
          <w:rFonts w:asciiTheme="minorHAnsi" w:hAnsiTheme="minorHAnsi" w:cstheme="minorHAnsi"/>
        </w:rPr>
        <w:t>d; otherwise</w:t>
      </w:r>
      <w:r w:rsidR="00AC0806" w:rsidRPr="00AC0806">
        <w:rPr>
          <w:rFonts w:asciiTheme="minorHAnsi" w:hAnsiTheme="minorHAnsi" w:cstheme="minorHAnsi"/>
        </w:rPr>
        <w:t xml:space="preserve">, </w:t>
      </w:r>
      <w:r w:rsidRPr="00AC0806">
        <w:rPr>
          <w:rFonts w:asciiTheme="minorHAnsi" w:hAnsiTheme="minorHAnsi" w:cstheme="minorHAnsi"/>
          <w:bCs/>
        </w:rPr>
        <w:t xml:space="preserve">the meeting room rental </w:t>
      </w:r>
      <w:r w:rsidR="00AC0806" w:rsidRPr="00AC0806">
        <w:rPr>
          <w:rFonts w:asciiTheme="minorHAnsi" w:hAnsiTheme="minorHAnsi" w:cstheme="minorHAnsi"/>
          <w:bCs/>
        </w:rPr>
        <w:t>projection</w:t>
      </w:r>
      <w:r w:rsidR="008B30CC">
        <w:rPr>
          <w:rFonts w:asciiTheme="minorHAnsi" w:hAnsiTheme="minorHAnsi" w:cstheme="minorHAnsi"/>
          <w:bCs/>
        </w:rPr>
        <w:t xml:space="preserve"> of CHF 2.5 </w:t>
      </w:r>
      <w:r w:rsidRPr="00AC0806">
        <w:rPr>
          <w:rFonts w:asciiTheme="minorHAnsi" w:hAnsiTheme="minorHAnsi" w:cstheme="minorHAnsi"/>
          <w:bCs/>
        </w:rPr>
        <w:t xml:space="preserve">million shall be maintained. </w:t>
      </w:r>
      <w:r w:rsidRPr="00AC0806">
        <w:rPr>
          <w:rFonts w:asciiTheme="minorHAnsi" w:hAnsiTheme="minorHAnsi" w:cstheme="minorHAnsi"/>
        </w:rPr>
        <w:t>An uncertai</w:t>
      </w:r>
      <w:r w:rsidRPr="00762CC7">
        <w:rPr>
          <w:rFonts w:asciiTheme="minorHAnsi" w:hAnsiTheme="minorHAnsi" w:cstheme="minorHAnsi"/>
        </w:rPr>
        <w:t>nty needs to be applied for this amount in a financial risk analysis.</w:t>
      </w:r>
    </w:p>
    <w:p w14:paraId="44A599A6" w14:textId="77777777" w:rsidR="00762CC7" w:rsidRPr="00762CC7" w:rsidRDefault="00AC0806" w:rsidP="00AC0806">
      <w:pPr>
        <w:tabs>
          <w:tab w:val="clear" w:pos="567"/>
          <w:tab w:val="left" w:pos="630"/>
        </w:tabs>
        <w:spacing w:after="120"/>
        <w:ind w:left="634"/>
        <w:jc w:val="both"/>
        <w:rPr>
          <w:rFonts w:asciiTheme="minorHAnsi" w:hAnsiTheme="minorHAnsi" w:cstheme="minorHAnsi"/>
        </w:rPr>
      </w:pPr>
      <w:r>
        <w:rPr>
          <w:rFonts w:asciiTheme="minorHAnsi" w:hAnsiTheme="minorHAnsi" w:cstheme="minorHAnsi"/>
        </w:rPr>
        <w:t>A</w:t>
      </w:r>
      <w:r w:rsidR="00762CC7" w:rsidRPr="00762CC7">
        <w:rPr>
          <w:rFonts w:asciiTheme="minorHAnsi" w:hAnsiTheme="minorHAnsi" w:cstheme="minorHAnsi"/>
        </w:rPr>
        <w:t xml:space="preserve">n uncertainty </w:t>
      </w:r>
      <w:r w:rsidRPr="00762CC7">
        <w:rPr>
          <w:rFonts w:asciiTheme="minorHAnsi" w:hAnsiTheme="minorHAnsi" w:cstheme="minorHAnsi"/>
        </w:rPr>
        <w:t xml:space="preserve">for </w:t>
      </w:r>
      <w:r w:rsidRPr="00AC0806">
        <w:rPr>
          <w:rFonts w:asciiTheme="minorHAnsi" w:hAnsiTheme="minorHAnsi" w:cstheme="minorHAnsi"/>
          <w:bCs/>
        </w:rPr>
        <w:t>movable furniture and active ICT</w:t>
      </w:r>
      <w:r>
        <w:rPr>
          <w:rFonts w:asciiTheme="minorHAnsi" w:hAnsiTheme="minorHAnsi" w:cstheme="minorHAnsi"/>
        </w:rPr>
        <w:t xml:space="preserve"> equipment </w:t>
      </w:r>
      <w:r w:rsidR="00762CC7" w:rsidRPr="00AC0806">
        <w:rPr>
          <w:rFonts w:asciiTheme="minorHAnsi" w:hAnsiTheme="minorHAnsi" w:cstheme="minorHAnsi"/>
        </w:rPr>
        <w:t>shall be a</w:t>
      </w:r>
      <w:r w:rsidR="00762CC7" w:rsidRPr="00762CC7">
        <w:rPr>
          <w:rFonts w:asciiTheme="minorHAnsi" w:hAnsiTheme="minorHAnsi" w:cstheme="minorHAnsi"/>
        </w:rPr>
        <w:t>ssigned to the figures and taken into account in a financial risk analysis.</w:t>
      </w:r>
    </w:p>
    <w:p w14:paraId="20044029" w14:textId="77777777" w:rsidR="008E53AF" w:rsidRPr="001E5053" w:rsidRDefault="00024EFB" w:rsidP="008B30CC">
      <w:pPr>
        <w:pStyle w:val="ListParagraph"/>
        <w:numPr>
          <w:ilvl w:val="0"/>
          <w:numId w:val="7"/>
        </w:numPr>
        <w:spacing w:after="120" w:line="240" w:lineRule="auto"/>
        <w:ind w:left="709" w:hanging="709"/>
        <w:contextualSpacing w:val="0"/>
        <w:rPr>
          <w:rFonts w:asciiTheme="minorHAnsi" w:hAnsiTheme="minorHAnsi" w:cstheme="minorHAnsi"/>
        </w:rPr>
      </w:pPr>
      <w:r>
        <w:rPr>
          <w:rFonts w:asciiTheme="minorHAnsi" w:hAnsiTheme="minorHAnsi" w:cstheme="minorHAnsi"/>
        </w:rPr>
        <w:lastRenderedPageBreak/>
        <w:t>Specification of a r</w:t>
      </w:r>
      <w:r w:rsidR="008E53AF" w:rsidRPr="001E5053">
        <w:rPr>
          <w:rFonts w:asciiTheme="minorHAnsi" w:hAnsiTheme="minorHAnsi" w:cstheme="minorHAnsi"/>
        </w:rPr>
        <w:t>ealistic contingency</w:t>
      </w:r>
      <w:r>
        <w:rPr>
          <w:rFonts w:asciiTheme="minorHAnsi" w:hAnsiTheme="minorHAnsi" w:cstheme="minorHAnsi"/>
        </w:rPr>
        <w:t xml:space="preserve"> plan </w:t>
      </w:r>
      <w:r w:rsidR="00762CC7">
        <w:rPr>
          <w:rFonts w:asciiTheme="minorHAnsi" w:hAnsiTheme="minorHAnsi" w:cstheme="minorHAnsi"/>
        </w:rPr>
        <w:t>(A c</w:t>
      </w:r>
      <w:r w:rsidR="00762CC7" w:rsidRPr="001E5053">
        <w:rPr>
          <w:rFonts w:asciiTheme="minorHAnsi" w:hAnsiTheme="minorHAnsi" w:cstheme="minorHAnsi"/>
        </w:rPr>
        <w:t>ontingency</w:t>
      </w:r>
      <w:r w:rsidR="00762CC7">
        <w:rPr>
          <w:rFonts w:asciiTheme="minorHAnsi" w:hAnsiTheme="minorHAnsi" w:cstheme="minorHAnsi"/>
        </w:rPr>
        <w:t xml:space="preserve"> fund </w:t>
      </w:r>
      <w:r w:rsidR="00762CC7" w:rsidRPr="001E5053">
        <w:rPr>
          <w:rFonts w:asciiTheme="minorHAnsi" w:hAnsiTheme="minorHAnsi" w:cstheme="minorHAnsi"/>
        </w:rPr>
        <w:t>is not supposed to offset uncertainties of the planning estimates</w:t>
      </w:r>
      <w:r w:rsidR="00762CC7">
        <w:rPr>
          <w:rFonts w:asciiTheme="minorHAnsi" w:hAnsiTheme="minorHAnsi" w:cstheme="minorHAnsi"/>
        </w:rPr>
        <w:t xml:space="preserve">, </w:t>
      </w:r>
      <w:r w:rsidR="00762CC7" w:rsidRPr="001E5053">
        <w:rPr>
          <w:rFonts w:asciiTheme="minorHAnsi" w:hAnsiTheme="minorHAnsi" w:cstheme="minorHAnsi"/>
        </w:rPr>
        <w:t xml:space="preserve">but </w:t>
      </w:r>
      <w:r w:rsidR="00762CC7">
        <w:rPr>
          <w:rFonts w:asciiTheme="minorHAnsi" w:hAnsiTheme="minorHAnsi" w:cstheme="minorHAnsi"/>
        </w:rPr>
        <w:t>is to</w:t>
      </w:r>
      <w:r w:rsidR="00762CC7" w:rsidRPr="001E5053">
        <w:rPr>
          <w:rFonts w:asciiTheme="minorHAnsi" w:hAnsiTheme="minorHAnsi" w:cstheme="minorHAnsi"/>
        </w:rPr>
        <w:t xml:space="preserve"> be used for unforeseen additional works not included in the planning.</w:t>
      </w:r>
      <w:r w:rsidR="00762CC7">
        <w:rPr>
          <w:rFonts w:asciiTheme="minorHAnsi" w:hAnsiTheme="minorHAnsi" w:cstheme="minorHAnsi"/>
        </w:rPr>
        <w:t>)</w:t>
      </w:r>
    </w:p>
    <w:p w14:paraId="5E1E29FA" w14:textId="77777777" w:rsidR="008E53AF" w:rsidRPr="001E5053" w:rsidRDefault="008E53AF" w:rsidP="008B30CC">
      <w:pPr>
        <w:pStyle w:val="ListParagraph"/>
        <w:numPr>
          <w:ilvl w:val="0"/>
          <w:numId w:val="7"/>
        </w:numPr>
        <w:spacing w:after="120" w:line="240" w:lineRule="auto"/>
        <w:ind w:left="709" w:hanging="709"/>
        <w:contextualSpacing w:val="0"/>
        <w:rPr>
          <w:rFonts w:asciiTheme="minorHAnsi" w:hAnsiTheme="minorHAnsi" w:cstheme="minorHAnsi"/>
        </w:rPr>
      </w:pPr>
      <w:r w:rsidRPr="001E5053">
        <w:rPr>
          <w:rFonts w:asciiTheme="minorHAnsi" w:hAnsiTheme="minorHAnsi" w:cstheme="minorHAnsi"/>
        </w:rPr>
        <w:t>Certification of estimated final project cost including all direct and indirect cost</w:t>
      </w:r>
    </w:p>
    <w:p w14:paraId="463D47CB" w14:textId="77777777" w:rsidR="008E53AF" w:rsidRPr="001E5053" w:rsidRDefault="005A58B3" w:rsidP="008B30CC">
      <w:pPr>
        <w:tabs>
          <w:tab w:val="clear" w:pos="567"/>
        </w:tabs>
        <w:spacing w:after="120"/>
        <w:ind w:left="709"/>
        <w:rPr>
          <w:rFonts w:asciiTheme="minorHAnsi" w:hAnsiTheme="minorHAnsi" w:cstheme="minorHAnsi"/>
          <w:lang w:val="en-US"/>
        </w:rPr>
      </w:pPr>
      <w:hyperlink r:id="rId33" w:history="1">
        <w:r w:rsidR="00AC0806" w:rsidRPr="001E5053">
          <w:rPr>
            <w:rStyle w:val="Hyperlink"/>
          </w:rPr>
          <w:t>C19/DL/12</w:t>
        </w:r>
      </w:hyperlink>
      <w:r w:rsidR="00AC0806" w:rsidRPr="001B0117">
        <w:rPr>
          <w:rStyle w:val="Hyperlink"/>
          <w:color w:val="auto"/>
          <w:u w:val="none"/>
        </w:rPr>
        <w:t xml:space="preserve"> </w:t>
      </w:r>
      <w:r w:rsidR="00AC0806" w:rsidRPr="00762CC7">
        <w:rPr>
          <w:rFonts w:asciiTheme="minorHAnsi" w:hAnsiTheme="minorHAnsi" w:cstheme="minorHAnsi"/>
        </w:rPr>
        <w:t>request</w:t>
      </w:r>
      <w:r w:rsidR="00AC0806">
        <w:rPr>
          <w:rFonts w:asciiTheme="minorHAnsi" w:hAnsiTheme="minorHAnsi" w:cstheme="minorHAnsi"/>
        </w:rPr>
        <w:t>ed that</w:t>
      </w:r>
      <w:r w:rsidR="00AC0806">
        <w:rPr>
          <w:rFonts w:asciiTheme="minorHAnsi" w:hAnsiTheme="minorHAnsi" w:cstheme="minorHAnsi"/>
          <w:lang w:val="en-US"/>
        </w:rPr>
        <w:t xml:space="preserve"> the Secretary-General </w:t>
      </w:r>
      <w:r w:rsidR="008E53AF" w:rsidRPr="001E5053">
        <w:rPr>
          <w:rFonts w:asciiTheme="minorHAnsi" w:hAnsiTheme="minorHAnsi" w:cstheme="minorHAnsi"/>
          <w:lang w:val="en-US"/>
        </w:rPr>
        <w:t xml:space="preserve">certify </w:t>
      </w:r>
      <w:bookmarkStart w:id="10" w:name="_Hlk11821405"/>
      <w:r w:rsidR="00AC0806">
        <w:rPr>
          <w:rFonts w:asciiTheme="minorHAnsi" w:hAnsiTheme="minorHAnsi" w:cstheme="minorHAnsi"/>
          <w:lang w:val="en-US"/>
        </w:rPr>
        <w:t xml:space="preserve">the </w:t>
      </w:r>
      <w:r w:rsidR="008E53AF" w:rsidRPr="001E5053">
        <w:rPr>
          <w:rFonts w:asciiTheme="minorHAnsi" w:hAnsiTheme="minorHAnsi" w:cstheme="minorHAnsi"/>
          <w:lang w:val="en-US"/>
        </w:rPr>
        <w:t xml:space="preserve">estimated final project </w:t>
      </w:r>
      <w:bookmarkEnd w:id="10"/>
      <w:r w:rsidR="008E53AF" w:rsidRPr="001E5053">
        <w:rPr>
          <w:rFonts w:asciiTheme="minorHAnsi" w:hAnsiTheme="minorHAnsi" w:cstheme="minorHAnsi"/>
          <w:lang w:val="en-US"/>
        </w:rPr>
        <w:t>cost including all direct and indirect cost and the uncertainty assigned to this amount.</w:t>
      </w:r>
    </w:p>
    <w:p w14:paraId="37F806C5" w14:textId="77777777" w:rsidR="008E53AF" w:rsidRPr="00DC69A6" w:rsidRDefault="008E53AF" w:rsidP="008B30CC">
      <w:pPr>
        <w:pStyle w:val="ListParagraph"/>
        <w:numPr>
          <w:ilvl w:val="0"/>
          <w:numId w:val="8"/>
        </w:numPr>
        <w:spacing w:after="120" w:line="240" w:lineRule="auto"/>
        <w:ind w:left="709" w:hanging="709"/>
        <w:contextualSpacing w:val="0"/>
        <w:rPr>
          <w:rFonts w:asciiTheme="minorHAnsi" w:hAnsiTheme="minorHAnsi" w:cstheme="minorHAnsi"/>
        </w:rPr>
      </w:pPr>
      <w:r w:rsidRPr="00DC69A6">
        <w:rPr>
          <w:rFonts w:asciiTheme="minorHAnsi" w:hAnsiTheme="minorHAnsi" w:cstheme="minorHAnsi"/>
        </w:rPr>
        <w:t xml:space="preserve">Financing </w:t>
      </w:r>
      <w:r w:rsidR="00DC69A6">
        <w:rPr>
          <w:rFonts w:asciiTheme="minorHAnsi" w:hAnsiTheme="minorHAnsi" w:cstheme="minorHAnsi"/>
        </w:rPr>
        <w:t xml:space="preserve">sufficient for the </w:t>
      </w:r>
      <w:r w:rsidRPr="00DC69A6">
        <w:rPr>
          <w:rFonts w:asciiTheme="minorHAnsi" w:hAnsiTheme="minorHAnsi" w:cstheme="minorHAnsi"/>
        </w:rPr>
        <w:t>total estimated project cost</w:t>
      </w:r>
    </w:p>
    <w:p w14:paraId="41288D1B" w14:textId="40406EDD" w:rsidR="008E53AF" w:rsidRPr="001E5053" w:rsidRDefault="008B30CC" w:rsidP="008B30CC">
      <w:pPr>
        <w:tabs>
          <w:tab w:val="clear" w:pos="567"/>
        </w:tabs>
        <w:spacing w:after="120"/>
        <w:ind w:left="709"/>
        <w:jc w:val="both"/>
        <w:rPr>
          <w:rFonts w:asciiTheme="minorHAnsi" w:hAnsiTheme="minorHAnsi" w:cstheme="minorHAnsi"/>
          <w:lang w:val="en-US"/>
        </w:rPr>
      </w:pPr>
      <w:r>
        <w:rPr>
          <w:rFonts w:asciiTheme="minorHAnsi" w:hAnsiTheme="minorHAnsi" w:cstheme="minorHAnsi"/>
          <w:lang w:val="en-US"/>
        </w:rPr>
        <w:t>The s</w:t>
      </w:r>
      <w:r w:rsidR="008E53AF" w:rsidRPr="001E5053">
        <w:rPr>
          <w:rFonts w:asciiTheme="minorHAnsi" w:hAnsiTheme="minorHAnsi" w:cstheme="minorHAnsi"/>
          <w:lang w:val="en-US"/>
        </w:rPr>
        <w:t xml:space="preserve">ecretariat shall present </w:t>
      </w:r>
      <w:r w:rsidR="008E53AF" w:rsidRPr="00DC69A6">
        <w:rPr>
          <w:rFonts w:asciiTheme="minorHAnsi" w:hAnsiTheme="minorHAnsi" w:cstheme="minorHAnsi"/>
          <w:lang w:val="en-US"/>
        </w:rPr>
        <w:t xml:space="preserve">a </w:t>
      </w:r>
      <w:r w:rsidR="008E53AF" w:rsidRPr="00DC69A6">
        <w:rPr>
          <w:rFonts w:asciiTheme="minorHAnsi" w:hAnsiTheme="minorHAnsi" w:cstheme="minorHAnsi"/>
          <w:bCs/>
          <w:lang w:val="en-US"/>
        </w:rPr>
        <w:t>financial plan</w:t>
      </w:r>
      <w:r w:rsidR="008E53AF" w:rsidRPr="00DC69A6">
        <w:rPr>
          <w:rFonts w:asciiTheme="minorHAnsi" w:hAnsiTheme="minorHAnsi" w:cstheme="minorHAnsi"/>
          <w:lang w:val="en-US"/>
        </w:rPr>
        <w:t xml:space="preserve"> for</w:t>
      </w:r>
      <w:r w:rsidR="008E53AF" w:rsidRPr="001E5053">
        <w:rPr>
          <w:rFonts w:asciiTheme="minorHAnsi" w:hAnsiTheme="minorHAnsi" w:cstheme="minorHAnsi"/>
          <w:lang w:val="en-US"/>
        </w:rPr>
        <w:t xml:space="preserve"> the estimated final project cost that provides for regular budget financing of any amount not covered by the loan, sponsorships, donations, and the CHF 5 million in the building fund. </w:t>
      </w:r>
      <w:r w:rsidR="00DC69A6">
        <w:rPr>
          <w:rFonts w:asciiTheme="minorHAnsi" w:hAnsiTheme="minorHAnsi" w:cstheme="minorHAnsi"/>
          <w:lang w:val="en-US"/>
        </w:rPr>
        <w:t xml:space="preserve"> </w:t>
      </w:r>
      <w:r w:rsidR="008E53AF" w:rsidRPr="001E5053">
        <w:rPr>
          <w:rFonts w:asciiTheme="minorHAnsi" w:hAnsiTheme="minorHAnsi" w:cstheme="minorHAnsi"/>
          <w:lang w:val="en-US"/>
        </w:rPr>
        <w:t>This plan shall encompass the contingency to be specified in the risk management plan currently being drafted by Hill International and to be reviewed by MSAG.</w:t>
      </w:r>
      <w:r w:rsidR="00DC69A6">
        <w:rPr>
          <w:rFonts w:asciiTheme="minorHAnsi" w:hAnsiTheme="minorHAnsi" w:cstheme="minorHAnsi"/>
          <w:lang w:val="en-US"/>
        </w:rPr>
        <w:t xml:space="preserve"> </w:t>
      </w:r>
      <w:r w:rsidR="008E53AF" w:rsidRPr="001E5053">
        <w:rPr>
          <w:rFonts w:asciiTheme="minorHAnsi" w:hAnsiTheme="minorHAnsi" w:cstheme="minorHAnsi"/>
          <w:lang w:val="en-US"/>
        </w:rPr>
        <w:t>Any sponsorships or donations confirmed in writing shall be included in this plan.</w:t>
      </w:r>
      <w:r w:rsidR="00DC69A6">
        <w:rPr>
          <w:rFonts w:asciiTheme="minorHAnsi" w:hAnsiTheme="minorHAnsi" w:cstheme="minorHAnsi"/>
          <w:lang w:val="en-US"/>
        </w:rPr>
        <w:t xml:space="preserve"> </w:t>
      </w:r>
      <w:r w:rsidR="008E53AF" w:rsidRPr="001E5053">
        <w:rPr>
          <w:rFonts w:asciiTheme="minorHAnsi" w:hAnsiTheme="minorHAnsi" w:cstheme="minorHAnsi"/>
          <w:lang w:val="en-US"/>
        </w:rPr>
        <w:t xml:space="preserve">The Secretary-General shall ensure that any new sponsorship or donation as of </w:t>
      </w:r>
      <w:r w:rsidR="00DC69A6">
        <w:rPr>
          <w:rFonts w:asciiTheme="minorHAnsi" w:hAnsiTheme="minorHAnsi" w:cstheme="minorHAnsi"/>
          <w:lang w:val="en-US"/>
        </w:rPr>
        <w:t>this extraordinary council meeting</w:t>
      </w:r>
      <w:r w:rsidR="008E53AF" w:rsidRPr="001E5053">
        <w:rPr>
          <w:rFonts w:asciiTheme="minorHAnsi" w:hAnsiTheme="minorHAnsi" w:cstheme="minorHAnsi"/>
          <w:lang w:val="en-US"/>
        </w:rPr>
        <w:t xml:space="preserve"> will not be used to </w:t>
      </w:r>
      <w:r w:rsidR="00DC69A6">
        <w:rPr>
          <w:rFonts w:asciiTheme="minorHAnsi" w:hAnsiTheme="minorHAnsi" w:cstheme="minorHAnsi"/>
          <w:lang w:val="en-US"/>
        </w:rPr>
        <w:t>increase</w:t>
      </w:r>
      <w:r w:rsidR="008E53AF" w:rsidRPr="001E5053">
        <w:rPr>
          <w:rFonts w:asciiTheme="minorHAnsi" w:hAnsiTheme="minorHAnsi" w:cstheme="minorHAnsi"/>
          <w:lang w:val="en-US"/>
        </w:rPr>
        <w:t xml:space="preserve"> the overall cost, but only be applied at offsetting the current estimated project cost.</w:t>
      </w:r>
      <w:r w:rsidR="00DC69A6">
        <w:rPr>
          <w:rFonts w:asciiTheme="minorHAnsi" w:hAnsiTheme="minorHAnsi" w:cstheme="minorHAnsi"/>
          <w:lang w:val="en-US"/>
        </w:rPr>
        <w:t xml:space="preserve">  </w:t>
      </w:r>
      <w:r w:rsidR="008E53AF" w:rsidRPr="001E5053">
        <w:rPr>
          <w:rFonts w:asciiTheme="minorHAnsi" w:hAnsiTheme="minorHAnsi" w:cstheme="minorHAnsi"/>
          <w:lang w:val="en-US"/>
        </w:rPr>
        <w:t>Sponsorships or donations that consist of decoration or other non-infrastructure related items will be welcome at any time.</w:t>
      </w:r>
    </w:p>
    <w:p w14:paraId="4BBA20F8" w14:textId="77777777" w:rsidR="00DC69A6" w:rsidRPr="00DC69A6" w:rsidRDefault="00DC69A6" w:rsidP="008B30CC">
      <w:pPr>
        <w:pStyle w:val="ListParagraph"/>
        <w:numPr>
          <w:ilvl w:val="0"/>
          <w:numId w:val="8"/>
        </w:numPr>
        <w:spacing w:after="120" w:line="240" w:lineRule="auto"/>
        <w:ind w:left="709" w:hanging="709"/>
        <w:contextualSpacing w:val="0"/>
        <w:rPr>
          <w:rFonts w:asciiTheme="minorHAnsi" w:hAnsiTheme="minorHAnsi" w:cstheme="minorHAnsi"/>
        </w:rPr>
      </w:pPr>
      <w:r w:rsidRPr="00DC69A6">
        <w:rPr>
          <w:rFonts w:asciiTheme="minorHAnsi" w:hAnsiTheme="minorHAnsi" w:cstheme="minorHAnsi"/>
        </w:rPr>
        <w:t xml:space="preserve">Financing </w:t>
      </w:r>
      <w:r>
        <w:rPr>
          <w:rFonts w:asciiTheme="minorHAnsi" w:hAnsiTheme="minorHAnsi" w:cstheme="minorHAnsi"/>
        </w:rPr>
        <w:t xml:space="preserve">sufficient for the </w:t>
      </w:r>
      <w:r w:rsidRPr="00DC69A6">
        <w:rPr>
          <w:rFonts w:asciiTheme="minorHAnsi" w:hAnsiTheme="minorHAnsi" w:cstheme="minorHAnsi"/>
        </w:rPr>
        <w:t>worst-case scenario</w:t>
      </w:r>
    </w:p>
    <w:p w14:paraId="3E8FB3F8" w14:textId="14A6B71F" w:rsidR="008E53AF" w:rsidRDefault="008B30CC" w:rsidP="008B30CC">
      <w:pPr>
        <w:tabs>
          <w:tab w:val="clear" w:pos="567"/>
        </w:tabs>
        <w:ind w:left="709"/>
        <w:rPr>
          <w:rFonts w:asciiTheme="minorHAnsi" w:hAnsiTheme="minorHAnsi" w:cstheme="minorHAnsi"/>
          <w:lang w:val="en-US"/>
        </w:rPr>
      </w:pPr>
      <w:r>
        <w:rPr>
          <w:rFonts w:asciiTheme="minorHAnsi" w:hAnsiTheme="minorHAnsi" w:cstheme="minorHAnsi"/>
          <w:lang w:val="en-US"/>
        </w:rPr>
        <w:t>The s</w:t>
      </w:r>
      <w:r w:rsidR="008E53AF" w:rsidRPr="001E5053">
        <w:rPr>
          <w:rFonts w:asciiTheme="minorHAnsi" w:hAnsiTheme="minorHAnsi" w:cstheme="minorHAnsi"/>
          <w:lang w:val="en-US"/>
        </w:rPr>
        <w:t xml:space="preserve">ecretariat shall also provide a proposal for a financing plan for the </w:t>
      </w:r>
      <w:r w:rsidR="008E53AF" w:rsidRPr="00DC69A6">
        <w:rPr>
          <w:rFonts w:asciiTheme="minorHAnsi" w:hAnsiTheme="minorHAnsi" w:cstheme="minorHAnsi"/>
          <w:bCs/>
          <w:lang w:val="en-US"/>
        </w:rPr>
        <w:t>worst-case scenario</w:t>
      </w:r>
      <w:r w:rsidR="008E53AF" w:rsidRPr="00DC69A6">
        <w:rPr>
          <w:rFonts w:asciiTheme="minorHAnsi" w:hAnsiTheme="minorHAnsi" w:cstheme="minorHAnsi"/>
          <w:lang w:val="en-US"/>
        </w:rPr>
        <w:t>.</w:t>
      </w:r>
    </w:p>
    <w:p w14:paraId="5FD3D043" w14:textId="5BE99297" w:rsidR="008B30CC" w:rsidRPr="00DC69A6" w:rsidRDefault="008B30CC" w:rsidP="008B30CC">
      <w:pPr>
        <w:tabs>
          <w:tab w:val="clear" w:pos="567"/>
        </w:tabs>
        <w:spacing w:before="840"/>
        <w:ind w:left="709"/>
        <w:jc w:val="center"/>
        <w:rPr>
          <w:rFonts w:asciiTheme="minorHAnsi" w:hAnsiTheme="minorHAnsi" w:cstheme="minorHAnsi"/>
          <w:lang w:val="en-US"/>
        </w:rPr>
      </w:pPr>
      <w:r>
        <w:rPr>
          <w:rFonts w:asciiTheme="minorHAnsi" w:hAnsiTheme="minorHAnsi" w:cstheme="minorHAnsi"/>
          <w:lang w:val="en-US"/>
        </w:rPr>
        <w:t>_____________________</w:t>
      </w:r>
    </w:p>
    <w:sectPr w:rsidR="008B30CC" w:rsidRPr="00DC69A6" w:rsidSect="004D1851">
      <w:headerReference w:type="default" r:id="rId34"/>
      <w:footerReference w:type="default" r:id="rId35"/>
      <w:footerReference w:type="first" r:id="rId3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3EB17" w14:textId="77777777" w:rsidR="00D273BC" w:rsidRDefault="00D273BC">
      <w:r>
        <w:separator/>
      </w:r>
    </w:p>
  </w:endnote>
  <w:endnote w:type="continuationSeparator" w:id="0">
    <w:p w14:paraId="2DC2F37E" w14:textId="77777777" w:rsidR="00D273BC" w:rsidRDefault="00D273BC">
      <w:r>
        <w:continuationSeparator/>
      </w:r>
    </w:p>
  </w:endnote>
  <w:endnote w:type="continuationNotice" w:id="1">
    <w:p w14:paraId="53105C47" w14:textId="77777777" w:rsidR="00D273BC" w:rsidRDefault="00D273B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83D9F" w14:textId="1EBDCC02" w:rsidR="00CB18FF" w:rsidRPr="008B30CC" w:rsidRDefault="00D273BC">
    <w:pPr>
      <w:pStyle w:val="Footer"/>
      <w:rPr>
        <w:color w:val="BFBFBF" w:themeColor="background1" w:themeShade="BF"/>
      </w:rPr>
    </w:pPr>
    <w:r w:rsidRPr="008B30CC">
      <w:rPr>
        <w:color w:val="BFBFBF" w:themeColor="background1" w:themeShade="BF"/>
      </w:rPr>
      <w:fldChar w:fldCharType="begin"/>
    </w:r>
    <w:r w:rsidRPr="008B30CC">
      <w:rPr>
        <w:color w:val="BFBFBF" w:themeColor="background1" w:themeShade="BF"/>
      </w:rPr>
      <w:instrText xml:space="preserve"> FILENAME \p  \* MERGEFORMAT </w:instrText>
    </w:r>
    <w:r w:rsidRPr="008B30CC">
      <w:rPr>
        <w:color w:val="BFBFBF" w:themeColor="background1" w:themeShade="BF"/>
      </w:rPr>
      <w:fldChar w:fldCharType="separate"/>
    </w:r>
    <w:r w:rsidR="00D76925" w:rsidRPr="008B30CC">
      <w:rPr>
        <w:color w:val="BFBFBF" w:themeColor="background1" w:themeShade="BF"/>
      </w:rPr>
      <w:t>P:\SPM\GBS\c19-additional\C19-ADD-Template_en.docx</w:t>
    </w:r>
    <w:r w:rsidRPr="008B30CC">
      <w:rPr>
        <w:color w:val="BFBFBF" w:themeColor="background1" w:themeShade="BF"/>
      </w:rPr>
      <w:fldChar w:fldCharType="end"/>
    </w:r>
    <w:r w:rsidR="00CB18FF" w:rsidRPr="008B30CC">
      <w:rPr>
        <w:color w:val="BFBFBF" w:themeColor="background1" w:themeShade="BF"/>
      </w:rPr>
      <w:tab/>
    </w:r>
    <w:r w:rsidR="00864AFF" w:rsidRPr="008B30CC">
      <w:rPr>
        <w:color w:val="BFBFBF" w:themeColor="background1" w:themeShade="BF"/>
      </w:rPr>
      <w:fldChar w:fldCharType="begin"/>
    </w:r>
    <w:r w:rsidR="00CB18FF" w:rsidRPr="008B30CC">
      <w:rPr>
        <w:color w:val="BFBFBF" w:themeColor="background1" w:themeShade="BF"/>
      </w:rPr>
      <w:instrText xml:space="preserve"> SAVEDATE \@ DD.MM.YY </w:instrText>
    </w:r>
    <w:r w:rsidR="00864AFF" w:rsidRPr="008B30CC">
      <w:rPr>
        <w:color w:val="BFBFBF" w:themeColor="background1" w:themeShade="BF"/>
      </w:rPr>
      <w:fldChar w:fldCharType="separate"/>
    </w:r>
    <w:r w:rsidR="005A58B3">
      <w:rPr>
        <w:color w:val="BFBFBF" w:themeColor="background1" w:themeShade="BF"/>
      </w:rPr>
      <w:t>10.09.19</w:t>
    </w:r>
    <w:r w:rsidR="00864AFF" w:rsidRPr="008B30CC">
      <w:rPr>
        <w:color w:val="BFBFBF" w:themeColor="background1" w:themeShade="BF"/>
      </w:rPr>
      <w:fldChar w:fldCharType="end"/>
    </w:r>
    <w:r w:rsidR="00CB18FF" w:rsidRPr="008B30CC">
      <w:rPr>
        <w:color w:val="BFBFBF" w:themeColor="background1" w:themeShade="BF"/>
      </w:rPr>
      <w:tab/>
    </w:r>
    <w:r w:rsidR="00864AFF" w:rsidRPr="008B30CC">
      <w:rPr>
        <w:color w:val="BFBFBF" w:themeColor="background1" w:themeShade="BF"/>
      </w:rPr>
      <w:fldChar w:fldCharType="begin"/>
    </w:r>
    <w:r w:rsidR="00CB18FF" w:rsidRPr="008B30CC">
      <w:rPr>
        <w:color w:val="BFBFBF" w:themeColor="background1" w:themeShade="BF"/>
      </w:rPr>
      <w:instrText xml:space="preserve"> PRINTDATE \@ DD.MM.YY </w:instrText>
    </w:r>
    <w:r w:rsidR="00864AFF" w:rsidRPr="008B30CC">
      <w:rPr>
        <w:color w:val="BFBFBF" w:themeColor="background1" w:themeShade="BF"/>
      </w:rPr>
      <w:fldChar w:fldCharType="separate"/>
    </w:r>
    <w:r w:rsidR="00D76925" w:rsidRPr="008B30CC">
      <w:rPr>
        <w:color w:val="BFBFBF" w:themeColor="background1" w:themeShade="BF"/>
      </w:rPr>
      <w:t>18.07.00</w:t>
    </w:r>
    <w:r w:rsidR="00864AFF" w:rsidRPr="008B30CC">
      <w:rPr>
        <w:color w:val="BFBFBF" w:themeColor="background1" w:themeShade="B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321BF" w14:textId="755A0873"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7D42C" w14:textId="77777777" w:rsidR="00D273BC" w:rsidRDefault="00D273BC">
      <w:r>
        <w:t>____________________</w:t>
      </w:r>
    </w:p>
  </w:footnote>
  <w:footnote w:type="continuationSeparator" w:id="0">
    <w:p w14:paraId="13E00A45" w14:textId="77777777" w:rsidR="00D273BC" w:rsidRDefault="00D273BC">
      <w:r>
        <w:continuationSeparator/>
      </w:r>
    </w:p>
  </w:footnote>
  <w:footnote w:type="continuationNotice" w:id="1">
    <w:p w14:paraId="596AFDF5" w14:textId="77777777" w:rsidR="00D273BC" w:rsidRDefault="00D273BC">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7663C" w14:textId="77777777" w:rsidR="00322D0D" w:rsidRDefault="006535F1" w:rsidP="00CE433C">
    <w:pPr>
      <w:pStyle w:val="Header"/>
    </w:pPr>
    <w:r>
      <w:fldChar w:fldCharType="begin"/>
    </w:r>
    <w:r>
      <w:instrText>PAGE</w:instrText>
    </w:r>
    <w:r>
      <w:fldChar w:fldCharType="separate"/>
    </w:r>
    <w:r w:rsidR="005A58B3">
      <w:rPr>
        <w:noProof/>
      </w:rPr>
      <w:t>6</w:t>
    </w:r>
    <w:r>
      <w:rPr>
        <w:noProof/>
      </w:rPr>
      <w:fldChar w:fldCharType="end"/>
    </w:r>
  </w:p>
  <w:p w14:paraId="06B9EEB5" w14:textId="681A5B6C" w:rsidR="00322D0D" w:rsidRPr="00623AE3" w:rsidRDefault="00623AE3" w:rsidP="008B30CC">
    <w:pPr>
      <w:pStyle w:val="Header"/>
      <w:rPr>
        <w:bCs/>
      </w:rPr>
    </w:pPr>
    <w:r w:rsidRPr="00623AE3">
      <w:rPr>
        <w:bCs/>
      </w:rPr>
      <w:t>C1</w:t>
    </w:r>
    <w:r w:rsidR="00FB1279">
      <w:rPr>
        <w:bCs/>
      </w:rPr>
      <w:t>9</w:t>
    </w:r>
    <w:r w:rsidR="000375DB">
      <w:rPr>
        <w:bCs/>
      </w:rPr>
      <w:t>-ADD</w:t>
    </w:r>
    <w:r w:rsidRPr="00623AE3">
      <w:rPr>
        <w:bCs/>
      </w:rPr>
      <w:t>/</w:t>
    </w:r>
    <w:r w:rsidR="008B30CC">
      <w:rPr>
        <w:bCs/>
      </w:rPr>
      <w:t>3</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FE0194"/>
    <w:multiLevelType w:val="hybridMultilevel"/>
    <w:tmpl w:val="EBF24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76C02"/>
    <w:multiLevelType w:val="hybridMultilevel"/>
    <w:tmpl w:val="BE623E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91501D"/>
    <w:multiLevelType w:val="hybridMultilevel"/>
    <w:tmpl w:val="B98237A4"/>
    <w:lvl w:ilvl="0" w:tplc="5F0CD0A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1442F"/>
    <w:multiLevelType w:val="hybridMultilevel"/>
    <w:tmpl w:val="15C6ACF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20773591"/>
    <w:multiLevelType w:val="hybridMultilevel"/>
    <w:tmpl w:val="5980D9C2"/>
    <w:lvl w:ilvl="0" w:tplc="8FFC541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9C0AE0"/>
    <w:multiLevelType w:val="hybridMultilevel"/>
    <w:tmpl w:val="1360A6C8"/>
    <w:lvl w:ilvl="0" w:tplc="04090015">
      <w:start w:val="1"/>
      <w:numFmt w:val="upperLetter"/>
      <w:lvlText w:val="%1."/>
      <w:lvlJc w:val="left"/>
      <w:pPr>
        <w:ind w:left="720" w:hanging="360"/>
      </w:pPr>
    </w:lvl>
    <w:lvl w:ilvl="1" w:tplc="C520F26A">
      <w:numFmt w:val="bullet"/>
      <w:lvlText w:val="•"/>
      <w:lvlJc w:val="left"/>
      <w:pPr>
        <w:ind w:left="1800" w:hanging="720"/>
      </w:pPr>
      <w:rPr>
        <w:rFonts w:ascii="Times New Roman" w:eastAsiaTheme="minorHAnsi" w:hAnsi="Times New Roman" w:cs="Times New Roman" w:hint="default"/>
      </w:rPr>
    </w:lvl>
    <w:lvl w:ilvl="2" w:tplc="B9382E1C">
      <w:numFmt w:val="bullet"/>
      <w:lvlText w:val=""/>
      <w:lvlJc w:val="left"/>
      <w:pPr>
        <w:ind w:left="2700" w:hanging="720"/>
      </w:pPr>
      <w:rPr>
        <w:rFonts w:ascii="Symbol" w:eastAsiaTheme="minorHAnsi" w:hAnsi="Symbol"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F06C0D"/>
    <w:multiLevelType w:val="hybridMultilevel"/>
    <w:tmpl w:val="19EE35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F5072E7"/>
    <w:multiLevelType w:val="hybridMultilevel"/>
    <w:tmpl w:val="A94A1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8F3B13"/>
    <w:multiLevelType w:val="hybridMultilevel"/>
    <w:tmpl w:val="2018A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0E52BD"/>
    <w:multiLevelType w:val="hybridMultilevel"/>
    <w:tmpl w:val="69FC4FA0"/>
    <w:lvl w:ilvl="0" w:tplc="C114C86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B23506"/>
    <w:multiLevelType w:val="hybridMultilevel"/>
    <w:tmpl w:val="248A1E6A"/>
    <w:lvl w:ilvl="0" w:tplc="B38A29E8">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385E1F"/>
    <w:multiLevelType w:val="hybridMultilevel"/>
    <w:tmpl w:val="F94A5944"/>
    <w:lvl w:ilvl="0" w:tplc="38AC7C6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6"/>
  </w:num>
  <w:num w:numId="5">
    <w:abstractNumId w:val="7"/>
  </w:num>
  <w:num w:numId="6">
    <w:abstractNumId w:val="8"/>
  </w:num>
  <w:num w:numId="7">
    <w:abstractNumId w:val="3"/>
  </w:num>
  <w:num w:numId="8">
    <w:abstractNumId w:val="10"/>
  </w:num>
  <w:num w:numId="9">
    <w:abstractNumId w:val="11"/>
  </w:num>
  <w:num w:numId="10">
    <w:abstractNumId w:val="12"/>
  </w:num>
  <w:num w:numId="11">
    <w:abstractNumId w:val="1"/>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A52"/>
    <w:rsid w:val="000210D4"/>
    <w:rsid w:val="00024EFB"/>
    <w:rsid w:val="000375DB"/>
    <w:rsid w:val="00045A46"/>
    <w:rsid w:val="00063016"/>
    <w:rsid w:val="00066795"/>
    <w:rsid w:val="00076AF6"/>
    <w:rsid w:val="00085CF2"/>
    <w:rsid w:val="000B1705"/>
    <w:rsid w:val="000C4B5A"/>
    <w:rsid w:val="000D38E5"/>
    <w:rsid w:val="000D75B2"/>
    <w:rsid w:val="00101589"/>
    <w:rsid w:val="001121F5"/>
    <w:rsid w:val="001232AC"/>
    <w:rsid w:val="001400DC"/>
    <w:rsid w:val="00140CE1"/>
    <w:rsid w:val="00172433"/>
    <w:rsid w:val="0017539C"/>
    <w:rsid w:val="00175AC2"/>
    <w:rsid w:val="0017609F"/>
    <w:rsid w:val="00186C94"/>
    <w:rsid w:val="001B0117"/>
    <w:rsid w:val="001C628E"/>
    <w:rsid w:val="001D30FC"/>
    <w:rsid w:val="001E0F7B"/>
    <w:rsid w:val="001E5053"/>
    <w:rsid w:val="002119FD"/>
    <w:rsid w:val="002130E0"/>
    <w:rsid w:val="00264425"/>
    <w:rsid w:val="00265875"/>
    <w:rsid w:val="0027303B"/>
    <w:rsid w:val="0028109B"/>
    <w:rsid w:val="002A2188"/>
    <w:rsid w:val="002B1F58"/>
    <w:rsid w:val="002B402C"/>
    <w:rsid w:val="002C1C7A"/>
    <w:rsid w:val="0030160F"/>
    <w:rsid w:val="00322D0D"/>
    <w:rsid w:val="00324ECC"/>
    <w:rsid w:val="00361BA2"/>
    <w:rsid w:val="00370679"/>
    <w:rsid w:val="003942D4"/>
    <w:rsid w:val="003958A8"/>
    <w:rsid w:val="003C2533"/>
    <w:rsid w:val="004010C2"/>
    <w:rsid w:val="0040435A"/>
    <w:rsid w:val="00416A24"/>
    <w:rsid w:val="00431D9E"/>
    <w:rsid w:val="00433CE8"/>
    <w:rsid w:val="00434A5C"/>
    <w:rsid w:val="004544D9"/>
    <w:rsid w:val="0047476F"/>
    <w:rsid w:val="00480105"/>
    <w:rsid w:val="00490E72"/>
    <w:rsid w:val="00491157"/>
    <w:rsid w:val="004921C8"/>
    <w:rsid w:val="004A19DE"/>
    <w:rsid w:val="004D1851"/>
    <w:rsid w:val="004D599D"/>
    <w:rsid w:val="004E2949"/>
    <w:rsid w:val="004E2EA5"/>
    <w:rsid w:val="004E3AEB"/>
    <w:rsid w:val="0050223C"/>
    <w:rsid w:val="005053A1"/>
    <w:rsid w:val="005243FF"/>
    <w:rsid w:val="00546AD5"/>
    <w:rsid w:val="00564FBC"/>
    <w:rsid w:val="005668F3"/>
    <w:rsid w:val="005737CD"/>
    <w:rsid w:val="00582442"/>
    <w:rsid w:val="00590C5A"/>
    <w:rsid w:val="005A58B3"/>
    <w:rsid w:val="005C7EDD"/>
    <w:rsid w:val="005F3269"/>
    <w:rsid w:val="00607177"/>
    <w:rsid w:val="00613B86"/>
    <w:rsid w:val="00623AE3"/>
    <w:rsid w:val="00636120"/>
    <w:rsid w:val="00641720"/>
    <w:rsid w:val="0064737F"/>
    <w:rsid w:val="006535F1"/>
    <w:rsid w:val="0065557D"/>
    <w:rsid w:val="006570BF"/>
    <w:rsid w:val="00662984"/>
    <w:rsid w:val="006716BB"/>
    <w:rsid w:val="006B6680"/>
    <w:rsid w:val="006B6DCC"/>
    <w:rsid w:val="00702DEF"/>
    <w:rsid w:val="00706861"/>
    <w:rsid w:val="00710B29"/>
    <w:rsid w:val="007401DC"/>
    <w:rsid w:val="00750135"/>
    <w:rsid w:val="0075051B"/>
    <w:rsid w:val="00762CC7"/>
    <w:rsid w:val="00792539"/>
    <w:rsid w:val="00793188"/>
    <w:rsid w:val="00794D34"/>
    <w:rsid w:val="007D2A52"/>
    <w:rsid w:val="007F4EF0"/>
    <w:rsid w:val="00805E41"/>
    <w:rsid w:val="00806A8B"/>
    <w:rsid w:val="00813E5E"/>
    <w:rsid w:val="00821CA7"/>
    <w:rsid w:val="0083581B"/>
    <w:rsid w:val="00840FD1"/>
    <w:rsid w:val="00864AFF"/>
    <w:rsid w:val="008B30CC"/>
    <w:rsid w:val="008B4A6A"/>
    <w:rsid w:val="008C7E27"/>
    <w:rsid w:val="008E53AF"/>
    <w:rsid w:val="009173EF"/>
    <w:rsid w:val="00932906"/>
    <w:rsid w:val="00961B0B"/>
    <w:rsid w:val="009B38C3"/>
    <w:rsid w:val="009E17BD"/>
    <w:rsid w:val="009E485A"/>
    <w:rsid w:val="00A04CEC"/>
    <w:rsid w:val="00A27F92"/>
    <w:rsid w:val="00A32257"/>
    <w:rsid w:val="00A35832"/>
    <w:rsid w:val="00A36D20"/>
    <w:rsid w:val="00A55622"/>
    <w:rsid w:val="00A56EE0"/>
    <w:rsid w:val="00A83502"/>
    <w:rsid w:val="00AB4977"/>
    <w:rsid w:val="00AC0806"/>
    <w:rsid w:val="00AD15B3"/>
    <w:rsid w:val="00AF6E49"/>
    <w:rsid w:val="00B04A67"/>
    <w:rsid w:val="00B0583C"/>
    <w:rsid w:val="00B40A81"/>
    <w:rsid w:val="00B44910"/>
    <w:rsid w:val="00B72267"/>
    <w:rsid w:val="00B76EB6"/>
    <w:rsid w:val="00B7737B"/>
    <w:rsid w:val="00B824C8"/>
    <w:rsid w:val="00BC251A"/>
    <w:rsid w:val="00BD032B"/>
    <w:rsid w:val="00BE2640"/>
    <w:rsid w:val="00BE7D04"/>
    <w:rsid w:val="00BF7B87"/>
    <w:rsid w:val="00C00C44"/>
    <w:rsid w:val="00C01189"/>
    <w:rsid w:val="00C374DE"/>
    <w:rsid w:val="00C47AD4"/>
    <w:rsid w:val="00C52D81"/>
    <w:rsid w:val="00C55198"/>
    <w:rsid w:val="00CA6393"/>
    <w:rsid w:val="00CB18FF"/>
    <w:rsid w:val="00CD0C08"/>
    <w:rsid w:val="00CE03FB"/>
    <w:rsid w:val="00CE433C"/>
    <w:rsid w:val="00CF33F3"/>
    <w:rsid w:val="00D06183"/>
    <w:rsid w:val="00D22C42"/>
    <w:rsid w:val="00D273BC"/>
    <w:rsid w:val="00D65041"/>
    <w:rsid w:val="00D76925"/>
    <w:rsid w:val="00D873B7"/>
    <w:rsid w:val="00D94A3E"/>
    <w:rsid w:val="00D96E01"/>
    <w:rsid w:val="00DA2A6C"/>
    <w:rsid w:val="00DB384B"/>
    <w:rsid w:val="00DC29EC"/>
    <w:rsid w:val="00DC69A6"/>
    <w:rsid w:val="00DE2863"/>
    <w:rsid w:val="00DF5053"/>
    <w:rsid w:val="00E10E80"/>
    <w:rsid w:val="00E124F0"/>
    <w:rsid w:val="00E23AFA"/>
    <w:rsid w:val="00E253F9"/>
    <w:rsid w:val="00E27909"/>
    <w:rsid w:val="00E52E56"/>
    <w:rsid w:val="00E60F04"/>
    <w:rsid w:val="00E6307F"/>
    <w:rsid w:val="00E854E4"/>
    <w:rsid w:val="00EB0D6F"/>
    <w:rsid w:val="00EB2232"/>
    <w:rsid w:val="00EC5337"/>
    <w:rsid w:val="00F2150A"/>
    <w:rsid w:val="00F231D8"/>
    <w:rsid w:val="00F34E4A"/>
    <w:rsid w:val="00F46C5F"/>
    <w:rsid w:val="00F47629"/>
    <w:rsid w:val="00F60366"/>
    <w:rsid w:val="00F94A63"/>
    <w:rsid w:val="00FA1C28"/>
    <w:rsid w:val="00FB1279"/>
    <w:rsid w:val="00FB56F8"/>
    <w:rsid w:val="00FB7596"/>
    <w:rsid w:val="00FE345C"/>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62FDF6"/>
  <w15:docId w15:val="{E0BCD1F0-9D1E-4C4A-996C-CBFA9192B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361BA2"/>
    <w:pPr>
      <w:framePr w:hSpace="180" w:wrap="around" w:hAnchor="margin" w:y="-675"/>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alloonText">
    <w:name w:val="Balloon Text"/>
    <w:basedOn w:val="Normal"/>
    <w:link w:val="BalloonTextChar"/>
    <w:semiHidden/>
    <w:unhideWhenUsed/>
    <w:rsid w:val="007401DC"/>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7401DC"/>
    <w:rPr>
      <w:rFonts w:ascii="Tahoma" w:hAnsi="Tahoma" w:cs="Tahoma"/>
      <w:sz w:val="16"/>
      <w:szCs w:val="16"/>
      <w:lang w:val="en-GB" w:eastAsia="en-US"/>
    </w:rPr>
  </w:style>
  <w:style w:type="paragraph" w:styleId="ListParagraph">
    <w:name w:val="List Paragraph"/>
    <w:basedOn w:val="Normal"/>
    <w:uiPriority w:val="34"/>
    <w:qFormat/>
    <w:rsid w:val="00613B86"/>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imes New Roman" w:eastAsiaTheme="minorHAnsi" w:hAnsi="Times New Roman" w:cstheme="minorBidi"/>
      <w:szCs w:val="22"/>
      <w:lang w:val="en-US"/>
    </w:rPr>
  </w:style>
  <w:style w:type="character" w:styleId="Strong">
    <w:name w:val="Strong"/>
    <w:basedOn w:val="DefaultParagraphFont"/>
    <w:uiPriority w:val="22"/>
    <w:qFormat/>
    <w:rsid w:val="00A35832"/>
    <w:rPr>
      <w:b/>
      <w:bCs/>
    </w:rPr>
  </w:style>
  <w:style w:type="paragraph" w:styleId="Revision">
    <w:name w:val="Revision"/>
    <w:hidden/>
    <w:uiPriority w:val="99"/>
    <w:semiHidden/>
    <w:rsid w:val="00BE7D04"/>
    <w:rPr>
      <w:rFonts w:ascii="Calibri" w:hAnsi="Calibri"/>
      <w:sz w:val="24"/>
      <w:lang w:val="en-GB" w:eastAsia="en-US"/>
    </w:rPr>
  </w:style>
  <w:style w:type="character" w:styleId="CommentReference">
    <w:name w:val="annotation reference"/>
    <w:basedOn w:val="DefaultParagraphFont"/>
    <w:semiHidden/>
    <w:unhideWhenUsed/>
    <w:rsid w:val="00D873B7"/>
    <w:rPr>
      <w:sz w:val="16"/>
      <w:szCs w:val="16"/>
    </w:rPr>
  </w:style>
  <w:style w:type="paragraph" w:styleId="CommentText">
    <w:name w:val="annotation text"/>
    <w:basedOn w:val="Normal"/>
    <w:link w:val="CommentTextChar"/>
    <w:semiHidden/>
    <w:unhideWhenUsed/>
    <w:rsid w:val="00D873B7"/>
    <w:rPr>
      <w:sz w:val="20"/>
    </w:rPr>
  </w:style>
  <w:style w:type="character" w:customStyle="1" w:styleId="CommentTextChar">
    <w:name w:val="Comment Text Char"/>
    <w:basedOn w:val="DefaultParagraphFont"/>
    <w:link w:val="CommentText"/>
    <w:semiHidden/>
    <w:rsid w:val="00D873B7"/>
    <w:rPr>
      <w:rFonts w:ascii="Calibri" w:hAnsi="Calibri"/>
      <w:lang w:val="en-GB" w:eastAsia="en-US"/>
    </w:rPr>
  </w:style>
  <w:style w:type="paragraph" w:styleId="CommentSubject">
    <w:name w:val="annotation subject"/>
    <w:basedOn w:val="CommentText"/>
    <w:next w:val="CommentText"/>
    <w:link w:val="CommentSubjectChar"/>
    <w:semiHidden/>
    <w:unhideWhenUsed/>
    <w:rsid w:val="00D873B7"/>
    <w:rPr>
      <w:b/>
      <w:bCs/>
    </w:rPr>
  </w:style>
  <w:style w:type="character" w:customStyle="1" w:styleId="CommentSubjectChar">
    <w:name w:val="Comment Subject Char"/>
    <w:basedOn w:val="CommentTextChar"/>
    <w:link w:val="CommentSubject"/>
    <w:semiHidden/>
    <w:rsid w:val="00D873B7"/>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S19-CL-190610-DL-0012/en" TargetMode="External"/><Relationship Id="rId18" Type="http://schemas.openxmlformats.org/officeDocument/2006/relationships/hyperlink" Target="https://www.itu.int/md/S16-CL-C-0124/en" TargetMode="External"/><Relationship Id="rId26" Type="http://schemas.openxmlformats.org/officeDocument/2006/relationships/hyperlink" Target="https://www.itu.int/md/S19-CL-190610-DL-0012/en" TargetMode="External"/><Relationship Id="rId3" Type="http://schemas.openxmlformats.org/officeDocument/2006/relationships/customXml" Target="../customXml/item3.xml"/><Relationship Id="rId21" Type="http://schemas.openxmlformats.org/officeDocument/2006/relationships/hyperlink" Target="https://www.itu.int/md/S19-CL-C-0007/en" TargetMode="External"/><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md/S19-CL-C-0120/en" TargetMode="External"/><Relationship Id="rId25" Type="http://schemas.openxmlformats.org/officeDocument/2006/relationships/hyperlink" Target="https://www.itu.int/md/S19-CL-C-0048/en" TargetMode="External"/><Relationship Id="rId33" Type="http://schemas.openxmlformats.org/officeDocument/2006/relationships/hyperlink" Target="https://www.itu.int/md/S19-CL-190610-DL-0012/en"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S19-CL-C-0048/en" TargetMode="External"/><Relationship Id="rId20" Type="http://schemas.openxmlformats.org/officeDocument/2006/relationships/hyperlink" Target="http://www.itu.int/md/S18-CL-C-0123/en" TargetMode="External"/><Relationship Id="rId29" Type="http://schemas.openxmlformats.org/officeDocument/2006/relationships/hyperlink" Target="https://www.itu.int/md/S19-CL-C-0007/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en/council/Documents/basic-texts/RES-212-E.pdf" TargetMode="External"/><Relationship Id="rId32" Type="http://schemas.openxmlformats.org/officeDocument/2006/relationships/hyperlink" Target="https://www.itu.int/md/S19-CL-190610-DL-0012/en"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itu.int/md/S19-CL-C-0007/en" TargetMode="External"/><Relationship Id="rId23" Type="http://schemas.openxmlformats.org/officeDocument/2006/relationships/hyperlink" Target="https://www.itu.int/md/S16-CL-C-0124/en" TargetMode="External"/><Relationship Id="rId28" Type="http://schemas.openxmlformats.org/officeDocument/2006/relationships/hyperlink" Target="https://www.itu.int/md/S19-CL-C-0120/en"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itu.int/en/council/Documents/basic-texts/RES-212-E.pdf" TargetMode="External"/><Relationship Id="rId31" Type="http://schemas.openxmlformats.org/officeDocument/2006/relationships/hyperlink" Target="https://www.itu.int/md/S19-CL-190610-DL-0012/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md/S18-CL-C-0123/en" TargetMode="External"/><Relationship Id="rId22" Type="http://schemas.openxmlformats.org/officeDocument/2006/relationships/hyperlink" Target="http://www.itu.int/md/S16-CL-C-0007/en" TargetMode="External"/><Relationship Id="rId27" Type="http://schemas.openxmlformats.org/officeDocument/2006/relationships/hyperlink" Target="https://www.itu.int/md/S19-CL-C-0120/en" TargetMode="External"/><Relationship Id="rId30" Type="http://schemas.openxmlformats.org/officeDocument/2006/relationships/hyperlink" Target="https://www.itu.int/md/S19-CL-190610-DL-0012/en" TargetMode="External"/><Relationship Id="rId35"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90DCA8CFB2CE4889D8B30E0381F6C5" ma:contentTypeVersion="2" ma:contentTypeDescription="Create a new document." ma:contentTypeScope="" ma:versionID="e107d229a766ff456f736b2882bdb555">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1896B-E530-45E1-9F51-FD3F7EC1B356}">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1aaea1ea-72e4-4374-b05e-72e2f16fb7ae"/>
    <ds:schemaRef ds:uri="http://schemas.microsoft.com/sharepoint/v3"/>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AD8D6941-A5C3-49B1-85A8-AD7051916D3B}">
  <ds:schemaRefs>
    <ds:schemaRef ds:uri="http://schemas.microsoft.com/sharepoint/v3/contenttype/forms"/>
  </ds:schemaRefs>
</ds:datastoreItem>
</file>

<file path=customXml/itemProps3.xml><?xml version="1.0" encoding="utf-8"?>
<ds:datastoreItem xmlns:ds="http://schemas.openxmlformats.org/officeDocument/2006/customXml" ds:itemID="{0337866F-BB90-4A05-957C-F5B000A02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1CA91B-AAA6-438F-AC32-514C7E600ABD}">
  <ds:schemaRefs>
    <ds:schemaRef ds:uri="http://schemas.openxmlformats.org/officeDocument/2006/bibliography"/>
  </ds:schemaRefs>
</ds:datastoreItem>
</file>

<file path=customXml/itemProps5.xml><?xml version="1.0" encoding="utf-8"?>
<ds:datastoreItem xmlns:ds="http://schemas.openxmlformats.org/officeDocument/2006/customXml" ds:itemID="{31633B32-0139-43D3-B43B-2D91885BA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PE_C19.dotx</Template>
  <TotalTime>3</TotalTime>
  <Pages>6</Pages>
  <Words>2259</Words>
  <Characters>13339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15567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USA - United States views on the ITU headquarters building project</dc:title>
  <dc:subject>Council 2019</dc:subject>
  <dc:creator>Brouard, Ricarda</dc:creator>
  <cp:keywords>C2019, C19, C19-ADD</cp:keywords>
  <cp:lastModifiedBy>Brouard, Ricarda</cp:lastModifiedBy>
  <cp:revision>3</cp:revision>
  <cp:lastPrinted>2000-07-18T13:30:00Z</cp:lastPrinted>
  <dcterms:created xsi:type="dcterms:W3CDTF">2019-09-10T07:46:00Z</dcterms:created>
  <dcterms:modified xsi:type="dcterms:W3CDTF">2019-09-10T07:55:00Z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0x0101006890DCA8CFB2CE4889D8B30E0381F6C5</vt:lpwstr>
  </property>
  <property fmtid="{D5CDD505-2E9C-101B-9397-08002B2CF9AE}" pid="9" name="MSIP_Label_1665d9ee-429a-4d5f-97cc-cfb56e044a6e_Enabled">
    <vt:lpwstr>True</vt:lpwstr>
  </property>
  <property fmtid="{D5CDD505-2E9C-101B-9397-08002B2CF9AE}" pid="10" name="MSIP_Label_1665d9ee-429a-4d5f-97cc-cfb56e044a6e_SiteId">
    <vt:lpwstr>66cf5074-5afe-48d1-a691-a12b2121f44b</vt:lpwstr>
  </property>
  <property fmtid="{D5CDD505-2E9C-101B-9397-08002B2CF9AE}" pid="11" name="MSIP_Label_1665d9ee-429a-4d5f-97cc-cfb56e044a6e_Owner">
    <vt:lpwstr>ManceHM@state.gov</vt:lpwstr>
  </property>
  <property fmtid="{D5CDD505-2E9C-101B-9397-08002B2CF9AE}" pid="12" name="MSIP_Label_1665d9ee-429a-4d5f-97cc-cfb56e044a6e_SetDate">
    <vt:lpwstr>2019-08-29T18:34:45.4145008Z</vt:lpwstr>
  </property>
  <property fmtid="{D5CDD505-2E9C-101B-9397-08002B2CF9AE}" pid="13" name="MSIP_Label_1665d9ee-429a-4d5f-97cc-cfb56e044a6e_Name">
    <vt:lpwstr>Unclassified</vt:lpwstr>
  </property>
  <property fmtid="{D5CDD505-2E9C-101B-9397-08002B2CF9AE}" pid="14" name="MSIP_Label_1665d9ee-429a-4d5f-97cc-cfb56e044a6e_Application">
    <vt:lpwstr>Microsoft Azure Information Protection</vt:lpwstr>
  </property>
  <property fmtid="{D5CDD505-2E9C-101B-9397-08002B2CF9AE}" pid="15" name="MSIP_Label_1665d9ee-429a-4d5f-97cc-cfb56e044a6e_ActionId">
    <vt:lpwstr>49ffca4e-94e3-43b4-866a-dbe50b159cea</vt:lpwstr>
  </property>
  <property fmtid="{D5CDD505-2E9C-101B-9397-08002B2CF9AE}" pid="16" name="MSIP_Label_1665d9ee-429a-4d5f-97cc-cfb56e044a6e_Extended_MSFT_Method">
    <vt:lpwstr>Manual</vt:lpwstr>
  </property>
  <property fmtid="{D5CDD505-2E9C-101B-9397-08002B2CF9AE}" pid="17" name="Sensitivity">
    <vt:lpwstr>Unclassified</vt:lpwstr>
  </property>
</Properties>
</file>