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A59F3" w14:paraId="49BDBB25" w14:textId="77777777">
        <w:trPr>
          <w:cantSplit/>
        </w:trPr>
        <w:tc>
          <w:tcPr>
            <w:tcW w:w="6912" w:type="dxa"/>
          </w:tcPr>
          <w:p w14:paraId="2E6EA2C6" w14:textId="77777777" w:rsidR="00520F36" w:rsidRPr="005A59F3" w:rsidRDefault="00DD6F6F" w:rsidP="004E255B">
            <w:pPr>
              <w:spacing w:before="360"/>
            </w:pPr>
            <w:bookmarkStart w:id="0" w:name="dc06"/>
            <w:bookmarkEnd w:id="0"/>
            <w:r w:rsidRPr="005A59F3">
              <w:rPr>
                <w:b/>
                <w:bCs/>
                <w:sz w:val="30"/>
                <w:szCs w:val="30"/>
              </w:rPr>
              <w:t xml:space="preserve">Session additionnelle de 2019 du </w:t>
            </w:r>
            <w:r w:rsidR="00520F36" w:rsidRPr="005A59F3">
              <w:rPr>
                <w:b/>
                <w:bCs/>
                <w:sz w:val="30"/>
                <w:szCs w:val="30"/>
              </w:rPr>
              <w:t>Conseil</w:t>
            </w:r>
            <w:r w:rsidR="00520F36" w:rsidRPr="005A59F3">
              <w:rPr>
                <w:rFonts w:ascii="Verdana" w:hAnsi="Verdana"/>
                <w:b/>
                <w:bCs/>
                <w:sz w:val="26"/>
                <w:szCs w:val="26"/>
              </w:rPr>
              <w:br/>
            </w:r>
            <w:r w:rsidR="00520F36" w:rsidRPr="005A59F3">
              <w:rPr>
                <w:b/>
                <w:bCs/>
                <w:szCs w:val="24"/>
              </w:rPr>
              <w:t xml:space="preserve">Genève, </w:t>
            </w:r>
            <w:r w:rsidRPr="005A59F3">
              <w:rPr>
                <w:b/>
                <w:bCs/>
                <w:szCs w:val="24"/>
              </w:rPr>
              <w:t>27 septembre</w:t>
            </w:r>
            <w:r w:rsidR="00520F36" w:rsidRPr="005A59F3">
              <w:rPr>
                <w:b/>
                <w:bCs/>
                <w:szCs w:val="24"/>
              </w:rPr>
              <w:t xml:space="preserve"> 201</w:t>
            </w:r>
            <w:r w:rsidR="00106B19" w:rsidRPr="005A59F3">
              <w:rPr>
                <w:b/>
                <w:bCs/>
                <w:szCs w:val="24"/>
              </w:rPr>
              <w:t>9</w:t>
            </w:r>
          </w:p>
        </w:tc>
        <w:tc>
          <w:tcPr>
            <w:tcW w:w="3261" w:type="dxa"/>
          </w:tcPr>
          <w:p w14:paraId="65675F3E" w14:textId="77777777" w:rsidR="00520F36" w:rsidRPr="005A59F3" w:rsidRDefault="00DD6F6F" w:rsidP="004E255B">
            <w:pPr>
              <w:spacing w:before="0"/>
              <w:jc w:val="right"/>
            </w:pPr>
            <w:bookmarkStart w:id="1" w:name="ditulogo"/>
            <w:bookmarkEnd w:id="1"/>
            <w:r w:rsidRPr="005A59F3">
              <w:rPr>
                <w:noProof/>
                <w:lang w:val="en-GB" w:eastAsia="zh-CN"/>
              </w:rPr>
              <w:drawing>
                <wp:inline distT="0" distB="0" distL="0" distR="0" wp14:anchorId="287C7ABA" wp14:editId="4A7D087D">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520F36" w:rsidRPr="005A59F3" w14:paraId="25FBDDF3" w14:textId="77777777" w:rsidTr="00D151EB">
        <w:trPr>
          <w:cantSplit/>
          <w:trHeight w:val="20"/>
        </w:trPr>
        <w:tc>
          <w:tcPr>
            <w:tcW w:w="6912" w:type="dxa"/>
            <w:tcBorders>
              <w:bottom w:val="single" w:sz="12" w:space="0" w:color="auto"/>
            </w:tcBorders>
            <w:vAlign w:val="center"/>
          </w:tcPr>
          <w:p w14:paraId="0EC14A51" w14:textId="77777777" w:rsidR="00520F36" w:rsidRPr="005A59F3" w:rsidRDefault="00520F36" w:rsidP="004E255B">
            <w:pPr>
              <w:spacing w:before="0"/>
              <w:rPr>
                <w:b/>
                <w:bCs/>
                <w:sz w:val="26"/>
                <w:szCs w:val="26"/>
              </w:rPr>
            </w:pPr>
          </w:p>
        </w:tc>
        <w:tc>
          <w:tcPr>
            <w:tcW w:w="3261" w:type="dxa"/>
            <w:tcBorders>
              <w:bottom w:val="single" w:sz="12" w:space="0" w:color="auto"/>
            </w:tcBorders>
          </w:tcPr>
          <w:p w14:paraId="284CD108" w14:textId="77777777" w:rsidR="00520F36" w:rsidRPr="005A59F3" w:rsidRDefault="00520F36" w:rsidP="004E255B">
            <w:pPr>
              <w:spacing w:before="0"/>
              <w:rPr>
                <w:b/>
                <w:bCs/>
              </w:rPr>
            </w:pPr>
          </w:p>
        </w:tc>
      </w:tr>
      <w:tr w:rsidR="00520F36" w:rsidRPr="005A59F3" w14:paraId="740B191A" w14:textId="77777777">
        <w:trPr>
          <w:cantSplit/>
          <w:trHeight w:val="20"/>
        </w:trPr>
        <w:tc>
          <w:tcPr>
            <w:tcW w:w="6912" w:type="dxa"/>
            <w:tcBorders>
              <w:top w:val="single" w:sz="12" w:space="0" w:color="auto"/>
            </w:tcBorders>
          </w:tcPr>
          <w:p w14:paraId="4A7E760A" w14:textId="77777777" w:rsidR="00520F36" w:rsidRPr="005A59F3" w:rsidRDefault="00520F36" w:rsidP="004E255B">
            <w:pPr>
              <w:spacing w:before="0"/>
              <w:rPr>
                <w:smallCaps/>
                <w:sz w:val="22"/>
              </w:rPr>
            </w:pPr>
          </w:p>
        </w:tc>
        <w:tc>
          <w:tcPr>
            <w:tcW w:w="3261" w:type="dxa"/>
            <w:tcBorders>
              <w:top w:val="single" w:sz="12" w:space="0" w:color="auto"/>
            </w:tcBorders>
          </w:tcPr>
          <w:p w14:paraId="70833166" w14:textId="77777777" w:rsidR="00520F36" w:rsidRPr="005A59F3" w:rsidRDefault="00520F36" w:rsidP="004E255B">
            <w:pPr>
              <w:spacing w:before="0"/>
              <w:rPr>
                <w:b/>
                <w:bCs/>
              </w:rPr>
            </w:pPr>
          </w:p>
        </w:tc>
      </w:tr>
      <w:tr w:rsidR="00520F36" w:rsidRPr="005A59F3" w14:paraId="1FCB6C5C" w14:textId="77777777">
        <w:trPr>
          <w:cantSplit/>
          <w:trHeight w:val="20"/>
        </w:trPr>
        <w:tc>
          <w:tcPr>
            <w:tcW w:w="6912" w:type="dxa"/>
            <w:vMerge w:val="restart"/>
          </w:tcPr>
          <w:p w14:paraId="68CEEECF" w14:textId="77777777" w:rsidR="00520F36" w:rsidRPr="005A59F3" w:rsidRDefault="00520F36" w:rsidP="004E255B">
            <w:pPr>
              <w:spacing w:before="0"/>
              <w:rPr>
                <w:rFonts w:cs="Times"/>
                <w:b/>
                <w:bCs/>
                <w:szCs w:val="24"/>
              </w:rPr>
            </w:pPr>
            <w:bookmarkStart w:id="2" w:name="dnum" w:colFirst="1" w:colLast="1"/>
            <w:bookmarkStart w:id="3" w:name="dmeeting" w:colFirst="0" w:colLast="0"/>
          </w:p>
        </w:tc>
        <w:tc>
          <w:tcPr>
            <w:tcW w:w="3261" w:type="dxa"/>
          </w:tcPr>
          <w:p w14:paraId="65AC587C" w14:textId="33D65FE3" w:rsidR="00520F36" w:rsidRPr="005A59F3" w:rsidRDefault="00520F36" w:rsidP="004E255B">
            <w:pPr>
              <w:spacing w:before="0"/>
              <w:rPr>
                <w:b/>
                <w:bCs/>
              </w:rPr>
            </w:pPr>
            <w:r w:rsidRPr="005A59F3">
              <w:rPr>
                <w:b/>
                <w:bCs/>
              </w:rPr>
              <w:t>Document C1</w:t>
            </w:r>
            <w:r w:rsidR="00106B19" w:rsidRPr="005A59F3">
              <w:rPr>
                <w:b/>
                <w:bCs/>
              </w:rPr>
              <w:t>9</w:t>
            </w:r>
            <w:r w:rsidR="00DD6F6F" w:rsidRPr="005A59F3">
              <w:rPr>
                <w:b/>
                <w:bCs/>
              </w:rPr>
              <w:t>-ADD</w:t>
            </w:r>
            <w:r w:rsidRPr="005A59F3">
              <w:rPr>
                <w:b/>
                <w:bCs/>
              </w:rPr>
              <w:t>/</w:t>
            </w:r>
            <w:r w:rsidR="00D52D49" w:rsidRPr="005A59F3">
              <w:rPr>
                <w:b/>
                <w:bCs/>
              </w:rPr>
              <w:t>3</w:t>
            </w:r>
            <w:r w:rsidRPr="005A59F3">
              <w:rPr>
                <w:b/>
                <w:bCs/>
              </w:rPr>
              <w:t>-F</w:t>
            </w:r>
          </w:p>
        </w:tc>
      </w:tr>
      <w:tr w:rsidR="00520F36" w:rsidRPr="005A59F3" w14:paraId="3F6374D6" w14:textId="77777777">
        <w:trPr>
          <w:cantSplit/>
          <w:trHeight w:val="20"/>
        </w:trPr>
        <w:tc>
          <w:tcPr>
            <w:tcW w:w="6912" w:type="dxa"/>
            <w:vMerge/>
          </w:tcPr>
          <w:p w14:paraId="5A08BAB2" w14:textId="77777777" w:rsidR="00520F36" w:rsidRPr="005A59F3" w:rsidRDefault="00520F36" w:rsidP="004E255B">
            <w:pPr>
              <w:shd w:val="solid" w:color="FFFFFF" w:fill="FFFFFF"/>
              <w:spacing w:before="180"/>
              <w:rPr>
                <w:smallCaps/>
              </w:rPr>
            </w:pPr>
            <w:bookmarkStart w:id="4" w:name="ddate" w:colFirst="1" w:colLast="1"/>
            <w:bookmarkEnd w:id="2"/>
            <w:bookmarkEnd w:id="3"/>
          </w:p>
        </w:tc>
        <w:tc>
          <w:tcPr>
            <w:tcW w:w="3261" w:type="dxa"/>
          </w:tcPr>
          <w:p w14:paraId="1BEF1E20" w14:textId="5FE6989B" w:rsidR="00520F36" w:rsidRPr="005A59F3" w:rsidRDefault="00D52D49" w:rsidP="004E255B">
            <w:pPr>
              <w:spacing w:before="0"/>
              <w:rPr>
                <w:b/>
                <w:bCs/>
              </w:rPr>
            </w:pPr>
            <w:r w:rsidRPr="005A59F3">
              <w:rPr>
                <w:b/>
                <w:bCs/>
              </w:rPr>
              <w:t xml:space="preserve">9 septembre </w:t>
            </w:r>
            <w:r w:rsidR="00520F36" w:rsidRPr="005A59F3">
              <w:rPr>
                <w:b/>
                <w:bCs/>
              </w:rPr>
              <w:t>201</w:t>
            </w:r>
            <w:r w:rsidR="00106B19" w:rsidRPr="005A59F3">
              <w:rPr>
                <w:b/>
                <w:bCs/>
              </w:rPr>
              <w:t>9</w:t>
            </w:r>
          </w:p>
        </w:tc>
      </w:tr>
      <w:tr w:rsidR="00520F36" w:rsidRPr="005A59F3" w14:paraId="7B224FB0" w14:textId="77777777">
        <w:trPr>
          <w:cantSplit/>
          <w:trHeight w:val="20"/>
        </w:trPr>
        <w:tc>
          <w:tcPr>
            <w:tcW w:w="6912" w:type="dxa"/>
            <w:vMerge/>
          </w:tcPr>
          <w:p w14:paraId="65860CF5" w14:textId="77777777" w:rsidR="00520F36" w:rsidRPr="005A59F3" w:rsidRDefault="00520F36" w:rsidP="004E255B">
            <w:pPr>
              <w:shd w:val="solid" w:color="FFFFFF" w:fill="FFFFFF"/>
              <w:spacing w:before="180"/>
              <w:rPr>
                <w:smallCaps/>
              </w:rPr>
            </w:pPr>
            <w:bookmarkStart w:id="5" w:name="dorlang" w:colFirst="1" w:colLast="1"/>
            <w:bookmarkEnd w:id="4"/>
          </w:p>
        </w:tc>
        <w:tc>
          <w:tcPr>
            <w:tcW w:w="3261" w:type="dxa"/>
          </w:tcPr>
          <w:p w14:paraId="62ABFD53" w14:textId="77777777" w:rsidR="00520F36" w:rsidRPr="005A59F3" w:rsidRDefault="00520F36" w:rsidP="004E255B">
            <w:pPr>
              <w:spacing w:before="0"/>
              <w:rPr>
                <w:b/>
                <w:bCs/>
              </w:rPr>
            </w:pPr>
            <w:r w:rsidRPr="005A59F3">
              <w:rPr>
                <w:b/>
                <w:bCs/>
              </w:rPr>
              <w:t>Original: anglais</w:t>
            </w:r>
          </w:p>
        </w:tc>
      </w:tr>
      <w:tr w:rsidR="00520F36" w:rsidRPr="005A59F3" w14:paraId="402E8881" w14:textId="77777777">
        <w:trPr>
          <w:cantSplit/>
        </w:trPr>
        <w:tc>
          <w:tcPr>
            <w:tcW w:w="10173" w:type="dxa"/>
            <w:gridSpan w:val="2"/>
          </w:tcPr>
          <w:p w14:paraId="6E57FA69" w14:textId="6C1C7A95" w:rsidR="00520F36" w:rsidRPr="005A59F3" w:rsidRDefault="002704D9" w:rsidP="004E255B">
            <w:pPr>
              <w:pStyle w:val="Source"/>
            </w:pPr>
            <w:bookmarkStart w:id="6" w:name="dsource" w:colFirst="0" w:colLast="0"/>
            <w:bookmarkEnd w:id="5"/>
            <w:r w:rsidRPr="005A59F3">
              <w:t xml:space="preserve">Contribution des </w:t>
            </w:r>
            <w:r>
              <w:t>É</w:t>
            </w:r>
            <w:r w:rsidRPr="005A59F3">
              <w:t>tats-</w:t>
            </w:r>
            <w:r>
              <w:t>U</w:t>
            </w:r>
            <w:r w:rsidRPr="005A59F3">
              <w:t>nis d'</w:t>
            </w:r>
            <w:r>
              <w:t>A</w:t>
            </w:r>
            <w:r w:rsidRPr="005A59F3">
              <w:t>mérique</w:t>
            </w:r>
          </w:p>
        </w:tc>
      </w:tr>
      <w:tr w:rsidR="00520F36" w:rsidRPr="005A59F3" w14:paraId="716FA226" w14:textId="77777777">
        <w:trPr>
          <w:cantSplit/>
        </w:trPr>
        <w:tc>
          <w:tcPr>
            <w:tcW w:w="10173" w:type="dxa"/>
            <w:gridSpan w:val="2"/>
          </w:tcPr>
          <w:p w14:paraId="5437882A" w14:textId="22F4D907" w:rsidR="00520F36" w:rsidRPr="005A59F3" w:rsidRDefault="00D52D49" w:rsidP="004E255B">
            <w:pPr>
              <w:pStyle w:val="Title1"/>
            </w:pPr>
            <w:bookmarkStart w:id="7" w:name="dtitle1" w:colFirst="0" w:colLast="0"/>
            <w:bookmarkEnd w:id="6"/>
            <w:r w:rsidRPr="005A59F3">
              <w:t>POINT DE VUE DES ÉTATS-UNIS SUR LE PROJET DE BÂTIMENT DU SIÈGE DE L'UIT</w:t>
            </w:r>
          </w:p>
        </w:tc>
      </w:tr>
      <w:bookmarkEnd w:id="7"/>
    </w:tbl>
    <w:p w14:paraId="62AC8569" w14:textId="77777777" w:rsidR="00520F36" w:rsidRPr="005A59F3" w:rsidRDefault="00520F36" w:rsidP="004E255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A59F3" w14:paraId="0BE47D9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F8705DB" w14:textId="77777777" w:rsidR="00520F36" w:rsidRPr="005A59F3" w:rsidRDefault="00520F36" w:rsidP="004E255B">
            <w:pPr>
              <w:pStyle w:val="Headingb"/>
            </w:pPr>
            <w:r w:rsidRPr="005A59F3">
              <w:t>Résumé</w:t>
            </w:r>
          </w:p>
          <w:p w14:paraId="49F86DF0" w14:textId="0DF3AAFE" w:rsidR="00520F36" w:rsidRPr="005A59F3" w:rsidRDefault="0061594C" w:rsidP="004E255B">
            <w:r>
              <w:t>Il est absolument</w:t>
            </w:r>
            <w:r w:rsidR="005A59F3" w:rsidRPr="005A59F3">
              <w:t xml:space="preserve"> </w:t>
            </w:r>
            <w:r>
              <w:t xml:space="preserve">nécessaire </w:t>
            </w:r>
            <w:r w:rsidR="005A59F3" w:rsidRPr="005A59F3">
              <w:t xml:space="preserve">de </w:t>
            </w:r>
            <w:r>
              <w:t xml:space="preserve">disposer </w:t>
            </w:r>
            <w:r w:rsidR="005A59F3" w:rsidRPr="005A59F3">
              <w:t>d'un plan financier comprenant une analyse crédible d</w:t>
            </w:r>
            <w:r>
              <w:t>es</w:t>
            </w:r>
            <w:r w:rsidR="005A59F3" w:rsidRPr="005A59F3">
              <w:t xml:space="preserve"> </w:t>
            </w:r>
            <w:r w:rsidR="002704D9">
              <w:t>risque</w:t>
            </w:r>
            <w:r>
              <w:t>s</w:t>
            </w:r>
            <w:r w:rsidR="005A59F3" w:rsidRPr="005A59F3">
              <w:t xml:space="preserve"> financier</w:t>
            </w:r>
            <w:r>
              <w:t>s</w:t>
            </w:r>
            <w:r w:rsidR="00D52D49" w:rsidRPr="005A59F3">
              <w:t xml:space="preserve"> </w:t>
            </w:r>
            <w:r w:rsidR="005A59F3" w:rsidRPr="005A59F3">
              <w:t xml:space="preserve">et un plan de financement réaliste </w:t>
            </w:r>
            <w:r w:rsidR="002704D9">
              <w:t>pour l'intégralité</w:t>
            </w:r>
            <w:r w:rsidR="005A59F3" w:rsidRPr="005A59F3">
              <w:t xml:space="preserve"> du projet </w:t>
            </w:r>
            <w:r w:rsidR="00F07D71">
              <w:t xml:space="preserve">visant à mettre en </w:t>
            </w:r>
            <w:r w:rsidR="007B3761">
              <w:t>service u</w:t>
            </w:r>
            <w:r w:rsidR="00F07D71">
              <w:t>n</w:t>
            </w:r>
            <w:r w:rsidR="005A59F3" w:rsidRPr="005A59F3">
              <w:t xml:space="preserve"> nouveau bâtiment du siège de l'UIT à Genève</w:t>
            </w:r>
            <w:r>
              <w:t>.</w:t>
            </w:r>
            <w:r w:rsidR="005A59F3" w:rsidRPr="005A59F3">
              <w:t xml:space="preserve"> </w:t>
            </w:r>
            <w:r>
              <w:t xml:space="preserve">À cet égard, il faut obtenir les </w:t>
            </w:r>
            <w:r w:rsidR="005A59F3">
              <w:t xml:space="preserve">informations </w:t>
            </w:r>
            <w:r>
              <w:t xml:space="preserve">demandées </w:t>
            </w:r>
            <w:r w:rsidR="005A59F3">
              <w:t xml:space="preserve">par le Conseil à sa session de 2019 et </w:t>
            </w:r>
            <w:r>
              <w:t xml:space="preserve">prendre </w:t>
            </w:r>
            <w:r w:rsidR="005A59F3">
              <w:t xml:space="preserve">des mesures pour </w:t>
            </w:r>
            <w:r>
              <w:t xml:space="preserve">faire en sorte que </w:t>
            </w:r>
            <w:r w:rsidR="00F07D71">
              <w:t xml:space="preserve">le projet soit bien géré et que </w:t>
            </w:r>
            <w:r>
              <w:t xml:space="preserve">les coûts ne dépassent pas les </w:t>
            </w:r>
            <w:r w:rsidR="005A59F3">
              <w:t xml:space="preserve">niveaux préalablement envisagés et approuvés. </w:t>
            </w:r>
          </w:p>
          <w:p w14:paraId="5A9E5FAF" w14:textId="77777777" w:rsidR="00520F36" w:rsidRPr="006F1B91" w:rsidRDefault="00520F36" w:rsidP="004E255B">
            <w:pPr>
              <w:pStyle w:val="Headingb"/>
            </w:pPr>
            <w:r w:rsidRPr="006F1B91">
              <w:t>Suite à donner</w:t>
            </w:r>
          </w:p>
          <w:p w14:paraId="08C9B211" w14:textId="4D7036C2" w:rsidR="00520F36" w:rsidRPr="005A59F3" w:rsidRDefault="005A59F3" w:rsidP="004E255B">
            <w:r w:rsidRPr="005A59F3">
              <w:t xml:space="preserve">Les États-Unis d'Amérique invitent le Conseil à </w:t>
            </w:r>
            <w:r w:rsidR="00F07D71">
              <w:rPr>
                <w:b/>
                <w:bCs/>
              </w:rPr>
              <w:t>prendre en considération</w:t>
            </w:r>
            <w:r w:rsidRPr="005A59F3">
              <w:t xml:space="preserve"> la </w:t>
            </w:r>
            <w:r w:rsidR="00F07D71">
              <w:t xml:space="preserve">teneur de la </w:t>
            </w:r>
            <w:r w:rsidRPr="005A59F3">
              <w:t xml:space="preserve">présente contribution lorsqu'il </w:t>
            </w:r>
            <w:r w:rsidR="00F07D71">
              <w:t>prendra une décision concernant les prochaines phases du</w:t>
            </w:r>
            <w:r w:rsidRPr="005A59F3">
              <w:t xml:space="preserve"> projet de b</w:t>
            </w:r>
            <w:r>
              <w:t xml:space="preserve">âtiment du siège. </w:t>
            </w:r>
          </w:p>
          <w:p w14:paraId="3CC0E275" w14:textId="77777777" w:rsidR="00520F36" w:rsidRPr="005A59F3" w:rsidRDefault="00520F36" w:rsidP="004E255B">
            <w:pPr>
              <w:pStyle w:val="Table"/>
              <w:keepNext w:val="0"/>
              <w:spacing w:before="0" w:after="0"/>
              <w:rPr>
                <w:rFonts w:ascii="Calibri" w:hAnsi="Calibri"/>
                <w:caps w:val="0"/>
                <w:sz w:val="22"/>
                <w:lang w:val="fr-FR"/>
              </w:rPr>
            </w:pPr>
            <w:r w:rsidRPr="005A59F3">
              <w:rPr>
                <w:rFonts w:ascii="Calibri" w:hAnsi="Calibri"/>
                <w:caps w:val="0"/>
                <w:sz w:val="22"/>
                <w:lang w:val="fr-FR"/>
              </w:rPr>
              <w:t>____________</w:t>
            </w:r>
          </w:p>
          <w:p w14:paraId="4EBC89C1" w14:textId="77777777" w:rsidR="00520F36" w:rsidRPr="005A59F3" w:rsidRDefault="00520F36" w:rsidP="004E255B">
            <w:pPr>
              <w:pStyle w:val="Headingb"/>
            </w:pPr>
            <w:r w:rsidRPr="005A59F3">
              <w:t>Références</w:t>
            </w:r>
          </w:p>
          <w:p w14:paraId="1B55BB42" w14:textId="2C656429" w:rsidR="00D52D49" w:rsidRPr="005A59F3" w:rsidRDefault="00430CAA" w:rsidP="004E255B">
            <w:pPr>
              <w:spacing w:after="120"/>
              <w:rPr>
                <w:i/>
                <w:iCs/>
              </w:rPr>
            </w:pPr>
            <w:hyperlink r:id="rId9" w:history="1">
              <w:r w:rsidR="00D52D49" w:rsidRPr="005A59F3">
                <w:rPr>
                  <w:rStyle w:val="Hyperlink"/>
                </w:rPr>
                <w:t>C19/DL/12</w:t>
              </w:r>
            </w:hyperlink>
            <w:r w:rsidR="00D52D49" w:rsidRPr="005A59F3">
              <w:t>,</w:t>
            </w:r>
            <w:r w:rsidR="00D52D49" w:rsidRPr="005A59F3">
              <w:rPr>
                <w:i/>
                <w:iCs/>
              </w:rPr>
              <w:t xml:space="preserve"> Questions </w:t>
            </w:r>
            <w:r w:rsidR="005A59F3">
              <w:rPr>
                <w:i/>
                <w:iCs/>
              </w:rPr>
              <w:t>sur le projet de bâtiment</w:t>
            </w:r>
          </w:p>
          <w:p w14:paraId="42FD986F" w14:textId="2E2FA2CD" w:rsidR="00D52D49" w:rsidRPr="005A59F3" w:rsidRDefault="00430CAA" w:rsidP="004E255B">
            <w:pPr>
              <w:spacing w:after="120"/>
              <w:rPr>
                <w:i/>
                <w:iCs/>
              </w:rPr>
            </w:pPr>
            <w:hyperlink r:id="rId10" w:history="1">
              <w:r w:rsidR="00D52D49" w:rsidRPr="005A59F3">
                <w:rPr>
                  <w:rStyle w:val="Hyperlink"/>
                </w:rPr>
                <w:t>C18/123</w:t>
              </w:r>
            </w:hyperlink>
            <w:r w:rsidR="00D52D49" w:rsidRPr="005A59F3">
              <w:t>,</w:t>
            </w:r>
            <w:r w:rsidR="00D52D49" w:rsidRPr="005A59F3">
              <w:rPr>
                <w:i/>
                <w:iCs/>
              </w:rPr>
              <w:t xml:space="preserve"> </w:t>
            </w:r>
            <w:r w:rsidR="007B1BAE" w:rsidRPr="005A59F3">
              <w:rPr>
                <w:i/>
                <w:iCs/>
              </w:rPr>
              <w:t xml:space="preserve">Rapport sur les progrès réalisés concernant le projet de locaux du </w:t>
            </w:r>
            <w:r w:rsidR="00FD4175" w:rsidRPr="005A59F3">
              <w:rPr>
                <w:i/>
                <w:iCs/>
              </w:rPr>
              <w:t>s</w:t>
            </w:r>
            <w:r w:rsidR="007B1BAE" w:rsidRPr="005A59F3">
              <w:rPr>
                <w:i/>
                <w:iCs/>
              </w:rPr>
              <w:t>iège de l'Union</w:t>
            </w:r>
          </w:p>
          <w:p w14:paraId="15CDC2C7" w14:textId="2C4A5653" w:rsidR="00D52D49" w:rsidRPr="005A59F3" w:rsidRDefault="00430CAA" w:rsidP="004E255B">
            <w:pPr>
              <w:spacing w:after="120"/>
              <w:rPr>
                <w:i/>
                <w:iCs/>
              </w:rPr>
            </w:pPr>
            <w:hyperlink r:id="rId11" w:history="1">
              <w:r w:rsidR="00D52D49" w:rsidRPr="005A59F3">
                <w:rPr>
                  <w:rStyle w:val="Hyperlink"/>
                </w:rPr>
                <w:t>C19/7</w:t>
              </w:r>
            </w:hyperlink>
            <w:r w:rsidR="00D52D49" w:rsidRPr="005A59F3">
              <w:t>,</w:t>
            </w:r>
            <w:r w:rsidR="00D52D49" w:rsidRPr="005A59F3">
              <w:rPr>
                <w:i/>
                <w:iCs/>
              </w:rPr>
              <w:t xml:space="preserve"> </w:t>
            </w:r>
            <w:r w:rsidR="007B1BAE" w:rsidRPr="005A59F3">
              <w:rPr>
                <w:i/>
                <w:iCs/>
              </w:rPr>
              <w:t>Rapport sur l'avancement du projet de locaux du siège de l'Union</w:t>
            </w:r>
          </w:p>
          <w:p w14:paraId="11B607B7" w14:textId="4C5A2AA5" w:rsidR="00D52D49" w:rsidRPr="005A59F3" w:rsidRDefault="00430CAA" w:rsidP="004E255B">
            <w:pPr>
              <w:spacing w:after="120"/>
              <w:rPr>
                <w:i/>
                <w:iCs/>
              </w:rPr>
            </w:pPr>
            <w:hyperlink r:id="rId12" w:history="1">
              <w:r w:rsidR="00D52D49" w:rsidRPr="005A59F3">
                <w:rPr>
                  <w:rStyle w:val="Hyperlink"/>
                </w:rPr>
                <w:t>C19/48</w:t>
              </w:r>
            </w:hyperlink>
            <w:r w:rsidR="00D52D49" w:rsidRPr="005A59F3">
              <w:t>,</w:t>
            </w:r>
            <w:r w:rsidR="00D52D49" w:rsidRPr="005A59F3">
              <w:rPr>
                <w:i/>
                <w:iCs/>
              </w:rPr>
              <w:t xml:space="preserve"> </w:t>
            </w:r>
            <w:r w:rsidR="007B1BAE" w:rsidRPr="005A59F3">
              <w:rPr>
                <w:i/>
                <w:iCs/>
              </w:rPr>
              <w:t>Compte rendu des travaux du Groupe consultatif d'États Membres pour le projet de locaux du siège de l'Union</w:t>
            </w:r>
          </w:p>
          <w:p w14:paraId="0F52AC88" w14:textId="330A7550" w:rsidR="00D52D49" w:rsidRPr="005A59F3" w:rsidRDefault="00430CAA" w:rsidP="004E255B">
            <w:pPr>
              <w:spacing w:after="120"/>
              <w:rPr>
                <w:i/>
                <w:iCs/>
              </w:rPr>
            </w:pPr>
            <w:hyperlink r:id="rId13" w:history="1">
              <w:r w:rsidR="00D52D49" w:rsidRPr="005A59F3">
                <w:rPr>
                  <w:rStyle w:val="Hyperlink"/>
                </w:rPr>
                <w:t>C19/120</w:t>
              </w:r>
            </w:hyperlink>
            <w:r w:rsidR="00D52D49" w:rsidRPr="005A59F3">
              <w:t>,</w:t>
            </w:r>
            <w:r w:rsidR="00D52D49" w:rsidRPr="005A59F3">
              <w:rPr>
                <w:i/>
                <w:iCs/>
              </w:rPr>
              <w:t xml:space="preserve"> </w:t>
            </w:r>
            <w:r w:rsidR="007B1BAE" w:rsidRPr="005A59F3">
              <w:rPr>
                <w:bCs/>
                <w:i/>
                <w:iCs/>
              </w:rPr>
              <w:t>Compte rendu de la neuvième et dernière séance plénière</w:t>
            </w:r>
            <w:r w:rsidR="00D52D49" w:rsidRPr="005A59F3">
              <w:rPr>
                <w:bCs/>
                <w:i/>
                <w:iCs/>
              </w:rPr>
              <w:t xml:space="preserve"> [</w:t>
            </w:r>
            <w:r w:rsidR="003673E5">
              <w:rPr>
                <w:bCs/>
                <w:i/>
                <w:iCs/>
              </w:rPr>
              <w:t>de la session de 2019 du Conseil</w:t>
            </w:r>
            <w:r w:rsidR="00D52D49" w:rsidRPr="005A59F3">
              <w:rPr>
                <w:bCs/>
                <w:i/>
                <w:iCs/>
              </w:rPr>
              <w:t>]</w:t>
            </w:r>
          </w:p>
          <w:p w14:paraId="71B1A7F5" w14:textId="42EDD6E7" w:rsidR="00D52D49" w:rsidRPr="005A59F3" w:rsidRDefault="00430CAA" w:rsidP="004E255B">
            <w:pPr>
              <w:spacing w:after="120"/>
              <w:rPr>
                <w:i/>
                <w:iCs/>
              </w:rPr>
            </w:pPr>
            <w:hyperlink r:id="rId14" w:history="1">
              <w:r w:rsidR="007B1BAE" w:rsidRPr="005A59F3">
                <w:rPr>
                  <w:rStyle w:val="Hyperlink"/>
                </w:rPr>
                <w:t>Décision 588 du Conseil</w:t>
              </w:r>
            </w:hyperlink>
            <w:r w:rsidR="00D52D49" w:rsidRPr="005A59F3">
              <w:t>,</w:t>
            </w:r>
            <w:r w:rsidR="00D52D49" w:rsidRPr="005A59F3">
              <w:rPr>
                <w:i/>
                <w:iCs/>
              </w:rPr>
              <w:t xml:space="preserve"> </w:t>
            </w:r>
            <w:r w:rsidR="007B1BAE" w:rsidRPr="005A59F3">
              <w:rPr>
                <w:i/>
                <w:iCs/>
              </w:rPr>
              <w:t>Locaux du siège de l'Union</w:t>
            </w:r>
          </w:p>
          <w:p w14:paraId="68833065" w14:textId="396C7E7F" w:rsidR="00520F36" w:rsidRPr="005A59F3" w:rsidRDefault="00430CAA" w:rsidP="004E255B">
            <w:pPr>
              <w:spacing w:after="120"/>
              <w:rPr>
                <w:i/>
                <w:iCs/>
              </w:rPr>
            </w:pPr>
            <w:hyperlink r:id="rId15" w:history="1">
              <w:r w:rsidR="007B1BAE" w:rsidRPr="005A59F3">
                <w:rPr>
                  <w:rStyle w:val="Hyperlink"/>
                </w:rPr>
                <w:t>Résolution 212 (Dubaï, 2018)</w:t>
              </w:r>
            </w:hyperlink>
            <w:r w:rsidR="00D52D49" w:rsidRPr="005A59F3">
              <w:t>,</w:t>
            </w:r>
            <w:r w:rsidR="00D52D49" w:rsidRPr="005A59F3">
              <w:rPr>
                <w:i/>
                <w:iCs/>
              </w:rPr>
              <w:t xml:space="preserve"> </w:t>
            </w:r>
            <w:r w:rsidR="007B1BAE" w:rsidRPr="005A59F3">
              <w:rPr>
                <w:i/>
                <w:iCs/>
              </w:rPr>
              <w:t>Locaux futurs du siège de l'Union</w:t>
            </w:r>
          </w:p>
        </w:tc>
      </w:tr>
    </w:tbl>
    <w:p w14:paraId="57B3D197" w14:textId="57A7E5B4" w:rsidR="007B1BAE" w:rsidRPr="005A59F3" w:rsidRDefault="007B1BAE" w:rsidP="004E255B">
      <w:r w:rsidRPr="005A59F3">
        <w:br w:type="page"/>
      </w:r>
    </w:p>
    <w:p w14:paraId="43FDFC4A" w14:textId="07D0C49D" w:rsidR="007B1BAE" w:rsidRPr="00362A3C" w:rsidRDefault="00362A3C" w:rsidP="004E255B">
      <w:pPr>
        <w:pStyle w:val="Title1"/>
        <w:rPr>
          <w:b/>
          <w:bCs/>
        </w:rPr>
      </w:pPr>
      <w:r w:rsidRPr="00362A3C">
        <w:rPr>
          <w:b/>
          <w:bCs/>
          <w:caps w:val="0"/>
        </w:rPr>
        <w:lastRenderedPageBreak/>
        <w:t xml:space="preserve">Contribution des </w:t>
      </w:r>
      <w:r w:rsidR="00153BA2">
        <w:rPr>
          <w:b/>
          <w:bCs/>
          <w:caps w:val="0"/>
        </w:rPr>
        <w:t>É</w:t>
      </w:r>
      <w:r w:rsidRPr="00362A3C">
        <w:rPr>
          <w:b/>
          <w:bCs/>
          <w:caps w:val="0"/>
        </w:rPr>
        <w:t>tats-Unis d'Amérique</w:t>
      </w:r>
    </w:p>
    <w:p w14:paraId="5F24128A" w14:textId="3C0D827B" w:rsidR="00BC7081" w:rsidRPr="005A59F3" w:rsidRDefault="007B1BAE" w:rsidP="004E255B">
      <w:pPr>
        <w:pStyle w:val="Title2"/>
        <w:spacing w:after="240"/>
      </w:pPr>
      <w:r w:rsidRPr="005A59F3">
        <w:t>POINT DE VUE DES ÉTATS-UNIS SUR LE PROJET DE BÂTIMENT DU SIÈGE DE L'UIT</w:t>
      </w:r>
    </w:p>
    <w:p w14:paraId="6D537329" w14:textId="4510B7FA" w:rsidR="007B1BAE" w:rsidRPr="005A59F3" w:rsidRDefault="007B1BAE" w:rsidP="004E255B">
      <w:pPr>
        <w:pStyle w:val="Headingb"/>
        <w:spacing w:before="720"/>
      </w:pPr>
      <w:r w:rsidRPr="005A59F3">
        <w:t>Introduction</w:t>
      </w:r>
    </w:p>
    <w:p w14:paraId="069462C8" w14:textId="5E0B30A9" w:rsidR="007B1BAE" w:rsidRPr="00FB32CA" w:rsidRDefault="005A59F3" w:rsidP="004E255B">
      <w:bookmarkStart w:id="8" w:name="lt_pId027"/>
      <w:r w:rsidRPr="005A59F3">
        <w:t xml:space="preserve">Les États-Unis </w:t>
      </w:r>
      <w:r w:rsidR="000A605F">
        <w:t>se félicitent</w:t>
      </w:r>
      <w:r w:rsidR="007B1BAE" w:rsidRPr="005A59F3">
        <w:t xml:space="preserve"> </w:t>
      </w:r>
      <w:r w:rsidR="000A605F">
        <w:t>d</w:t>
      </w:r>
      <w:r w:rsidRPr="005A59F3">
        <w:t xml:space="preserve">es </w:t>
      </w:r>
      <w:r w:rsidR="007B1BAE" w:rsidRPr="005A59F3">
        <w:t xml:space="preserve">efforts </w:t>
      </w:r>
      <w:r w:rsidRPr="005A59F3">
        <w:t xml:space="preserve">déployés par le </w:t>
      </w:r>
      <w:r w:rsidR="007B1BAE" w:rsidRPr="005A59F3">
        <w:t>secr</w:t>
      </w:r>
      <w:r w:rsidRPr="005A59F3">
        <w:t>é</w:t>
      </w:r>
      <w:r w:rsidR="007B1BAE" w:rsidRPr="005A59F3">
        <w:t xml:space="preserve">tariat </w:t>
      </w:r>
      <w:r w:rsidRPr="005A59F3">
        <w:t xml:space="preserve">pour tenir les membres informés </w:t>
      </w:r>
      <w:r>
        <w:t xml:space="preserve">et attendent </w:t>
      </w:r>
      <w:r w:rsidR="000A605F">
        <w:t xml:space="preserve">de ce dernier </w:t>
      </w:r>
      <w:r>
        <w:t xml:space="preserve">qu'il </w:t>
      </w:r>
      <w:r w:rsidR="0014061F">
        <w:t xml:space="preserve">s'efforce </w:t>
      </w:r>
      <w:r w:rsidR="00F41446">
        <w:t>de</w:t>
      </w:r>
      <w:r>
        <w:t xml:space="preserve"> garder</w:t>
      </w:r>
      <w:r w:rsidR="00F41446">
        <w:t xml:space="preserve"> les </w:t>
      </w:r>
      <w:r w:rsidR="00FB32CA">
        <w:t>coûts afférent</w:t>
      </w:r>
      <w:r w:rsidR="00362A3C">
        <w:t xml:space="preserve">s </w:t>
      </w:r>
      <w:r w:rsidR="00F41446">
        <w:t xml:space="preserve">au projet aussi proches que possible du montant initialement approuvé, </w:t>
      </w:r>
      <w:r w:rsidR="000A605F">
        <w:t xml:space="preserve">à savoir </w:t>
      </w:r>
      <w:r w:rsidR="007B1BAE" w:rsidRPr="005A59F3">
        <w:t>147</w:t>
      </w:r>
      <w:r w:rsidR="00F41446">
        <w:t>,</w:t>
      </w:r>
      <w:r w:rsidR="007B1BAE" w:rsidRPr="005A59F3">
        <w:t>5 million</w:t>
      </w:r>
      <w:r w:rsidR="00F41446">
        <w:t>s CHF</w:t>
      </w:r>
      <w:r w:rsidR="007B1BAE" w:rsidRPr="005A59F3">
        <w:t>.</w:t>
      </w:r>
      <w:bookmarkEnd w:id="8"/>
      <w:r w:rsidR="007B1BAE" w:rsidRPr="005A59F3">
        <w:t xml:space="preserve"> </w:t>
      </w:r>
      <w:bookmarkStart w:id="9" w:name="lt_pId028"/>
      <w:r w:rsidR="00F41446" w:rsidRPr="00F41446">
        <w:t xml:space="preserve">À la session extraordinaire </w:t>
      </w:r>
      <w:r w:rsidR="00EB00F3" w:rsidRPr="00F41446">
        <w:t>du Conseil</w:t>
      </w:r>
      <w:r w:rsidR="000A605F">
        <w:t xml:space="preserve"> tenue en </w:t>
      </w:r>
      <w:r w:rsidR="000A605F" w:rsidRPr="00F41446">
        <w:t>2018</w:t>
      </w:r>
      <w:r w:rsidR="00F41446" w:rsidRPr="00F41446">
        <w:t xml:space="preserve">, nous avons fait remarquer qu'au bout de deux ans d'un projet qui devait en durer sept, les </w:t>
      </w:r>
      <w:r w:rsidR="00FB32CA">
        <w:t xml:space="preserve">coûts prévus </w:t>
      </w:r>
      <w:r w:rsidR="000A605F">
        <w:t xml:space="preserve">dépassaient </w:t>
      </w:r>
      <w:r w:rsidR="00F41446">
        <w:t xml:space="preserve">d'environ </w:t>
      </w:r>
      <w:r w:rsidR="007B1BAE" w:rsidRPr="00F41446">
        <w:t xml:space="preserve">20% </w:t>
      </w:r>
      <w:r w:rsidR="000A605F">
        <w:t xml:space="preserve">le </w:t>
      </w:r>
      <w:r w:rsidR="0014061F">
        <w:t>plafond fixé</w:t>
      </w:r>
      <w:r w:rsidR="00F41446">
        <w:t xml:space="preserve"> par le Conseil en</w:t>
      </w:r>
      <w:r w:rsidR="004E255B">
        <w:t> </w:t>
      </w:r>
      <w:r w:rsidR="007B1BAE" w:rsidRPr="00F41446">
        <w:t xml:space="preserve">2016, </w:t>
      </w:r>
      <w:r w:rsidR="00085F65">
        <w:t>comme indiqué dans le rapport présenté au Conseil par le Secrétaire général</w:t>
      </w:r>
      <w:r w:rsidR="007B1BAE" w:rsidRPr="00F41446">
        <w:t xml:space="preserve"> </w:t>
      </w:r>
      <w:r w:rsidR="00085F65">
        <w:t>(</w:t>
      </w:r>
      <w:r w:rsidR="0014061F">
        <w:t>Document</w:t>
      </w:r>
      <w:r w:rsidR="004E255B">
        <w:t> </w:t>
      </w:r>
      <w:hyperlink r:id="rId16" w:history="1">
        <w:r w:rsidR="007B1BAE" w:rsidRPr="00F41446">
          <w:rPr>
            <w:rStyle w:val="Hyperlink"/>
            <w:szCs w:val="24"/>
          </w:rPr>
          <w:t>C18/123</w:t>
        </w:r>
      </w:hyperlink>
      <w:r w:rsidR="00085F65">
        <w:rPr>
          <w:rStyle w:val="Hyperlink"/>
          <w:szCs w:val="24"/>
        </w:rPr>
        <w:t>)</w:t>
      </w:r>
      <w:bookmarkEnd w:id="9"/>
      <w:r w:rsidR="0014061F">
        <w:rPr>
          <w:rStyle w:val="Hyperlink"/>
          <w:szCs w:val="24"/>
        </w:rPr>
        <w:t>,</w:t>
      </w:r>
      <w:r w:rsidR="007B1BAE" w:rsidRPr="00F41446">
        <w:t xml:space="preserve"> </w:t>
      </w:r>
      <w:bookmarkStart w:id="10" w:name="lt_pId029"/>
      <w:r w:rsidR="0014061F">
        <w:t>et étaient passés de 147,5 millions CHF à 177 millions CHF. À la lecture du D</w:t>
      </w:r>
      <w:r w:rsidR="00085F65" w:rsidRPr="00FB32CA">
        <w:t>ocument</w:t>
      </w:r>
      <w:r w:rsidR="000A605F">
        <w:t> </w:t>
      </w:r>
      <w:hyperlink r:id="rId17" w:history="1">
        <w:r w:rsidR="007B1BAE" w:rsidRPr="00FB32CA">
          <w:rPr>
            <w:rStyle w:val="Hyperlink"/>
          </w:rPr>
          <w:t>C19/7</w:t>
        </w:r>
      </w:hyperlink>
      <w:r w:rsidR="000A605F">
        <w:t xml:space="preserve"> du Conseil,</w:t>
      </w:r>
      <w:r w:rsidR="007B1BAE" w:rsidRPr="00FB32CA">
        <w:t xml:space="preserve"> </w:t>
      </w:r>
      <w:r w:rsidR="00085F65" w:rsidRPr="00FB32CA">
        <w:t xml:space="preserve">nous </w:t>
      </w:r>
      <w:r w:rsidR="000A605F">
        <w:t xml:space="preserve">croyons comprendre </w:t>
      </w:r>
      <w:r w:rsidR="00085F65" w:rsidRPr="00FB32CA">
        <w:t xml:space="preserve">que les </w:t>
      </w:r>
      <w:r w:rsidR="00FB32CA" w:rsidRPr="00FB32CA">
        <w:t>coûts prévus ont encore augmenté de 20</w:t>
      </w:r>
      <w:r w:rsidR="007B1BAE" w:rsidRPr="00FB32CA">
        <w:t xml:space="preserve"> </w:t>
      </w:r>
      <w:r w:rsidR="00FB32CA" w:rsidRPr="00FB32CA">
        <w:t xml:space="preserve">à </w:t>
      </w:r>
      <w:r w:rsidR="007B1BAE" w:rsidRPr="00FB32CA">
        <w:t>25 million</w:t>
      </w:r>
      <w:r w:rsidR="00FB32CA" w:rsidRPr="00FB32CA">
        <w:t>s CHF par rapport au montant indiqué en</w:t>
      </w:r>
      <w:r w:rsidR="007B1BAE" w:rsidRPr="00FB32CA">
        <w:t xml:space="preserve"> </w:t>
      </w:r>
      <w:r w:rsidR="00FB32CA">
        <w:t xml:space="preserve">octobre </w:t>
      </w:r>
      <w:r w:rsidR="007B1BAE" w:rsidRPr="00FB32CA">
        <w:t>2018 (</w:t>
      </w:r>
      <w:r w:rsidR="000A605F">
        <w:t xml:space="preserve">passant </w:t>
      </w:r>
      <w:r w:rsidR="00FB32CA">
        <w:t xml:space="preserve">de </w:t>
      </w:r>
      <w:r w:rsidR="00FB32CA" w:rsidRPr="00FB32CA">
        <w:t>177</w:t>
      </w:r>
      <w:r w:rsidR="000A605F">
        <w:t> </w:t>
      </w:r>
      <w:r w:rsidR="00FB32CA" w:rsidRPr="00FB32CA">
        <w:t>million</w:t>
      </w:r>
      <w:r w:rsidR="00FB32CA">
        <w:t>s</w:t>
      </w:r>
      <w:r w:rsidR="000A605F">
        <w:t> </w:t>
      </w:r>
      <w:r w:rsidR="00FB32CA" w:rsidRPr="00FB32CA">
        <w:t>CHF</w:t>
      </w:r>
      <w:r w:rsidR="000A605F">
        <w:t xml:space="preserve"> à </w:t>
      </w:r>
      <w:r w:rsidR="000A605F" w:rsidRPr="00FB32CA">
        <w:t>202 million</w:t>
      </w:r>
      <w:r w:rsidR="000A605F">
        <w:t>s CHF</w:t>
      </w:r>
      <w:r w:rsidR="007B1BAE" w:rsidRPr="00FB32CA">
        <w:t xml:space="preserve">) </w:t>
      </w:r>
      <w:r w:rsidR="00FB32CA">
        <w:t>et que le</w:t>
      </w:r>
      <w:r w:rsidR="000A605F">
        <w:t xml:space="preserve"> calendrier a été prolongé,</w:t>
      </w:r>
      <w:r w:rsidR="00FB32CA">
        <w:t xml:space="preserve"> de sorte que </w:t>
      </w:r>
      <w:r w:rsidR="000A605F">
        <w:t xml:space="preserve">la réception du </w:t>
      </w:r>
      <w:r w:rsidR="00FB32CA">
        <w:t xml:space="preserve">nouveau bâtiment ne devrait pas </w:t>
      </w:r>
      <w:r w:rsidR="000A605F">
        <w:t xml:space="preserve">avoir lieu </w:t>
      </w:r>
      <w:r w:rsidR="00FB32CA">
        <w:t xml:space="preserve">avant </w:t>
      </w:r>
      <w:r w:rsidR="00BE369A">
        <w:t>la mi</w:t>
      </w:r>
      <w:r w:rsidR="007B1BAE" w:rsidRPr="00FB32CA">
        <w:t>-2026.</w:t>
      </w:r>
      <w:bookmarkEnd w:id="10"/>
    </w:p>
    <w:p w14:paraId="059E3A4C" w14:textId="7246C69A" w:rsidR="007B1BAE" w:rsidRPr="00666691" w:rsidRDefault="00BE369A" w:rsidP="004E255B">
      <w:bookmarkStart w:id="11" w:name="lt_pId030"/>
      <w:r w:rsidRPr="00BE369A">
        <w:t xml:space="preserve">À la session de </w:t>
      </w:r>
      <w:r w:rsidR="007B1BAE" w:rsidRPr="00BE369A">
        <w:t>2019</w:t>
      </w:r>
      <w:r w:rsidRPr="00BE369A">
        <w:t xml:space="preserve"> du Conseil</w:t>
      </w:r>
      <w:r w:rsidR="007B1BAE" w:rsidRPr="00BE369A">
        <w:t xml:space="preserve">, </w:t>
      </w:r>
      <w:r w:rsidRPr="00BE369A">
        <w:t>de nombreux pays</w:t>
      </w:r>
      <w:r w:rsidR="007B1BAE" w:rsidRPr="00BE369A">
        <w:t xml:space="preserve">, </w:t>
      </w:r>
      <w:r w:rsidRPr="00BE369A">
        <w:t>dont les États-Unis</w:t>
      </w:r>
      <w:r w:rsidR="007B1BAE" w:rsidRPr="00BE369A">
        <w:t xml:space="preserve">, </w:t>
      </w:r>
      <w:r w:rsidRPr="00BE369A">
        <w:t xml:space="preserve">ont souligné qu'il était absolument nécessaire de </w:t>
      </w:r>
      <w:r w:rsidR="007D390A">
        <w:t>disposer</w:t>
      </w:r>
      <w:r w:rsidRPr="00BE369A">
        <w:t xml:space="preserve"> d'un plan financier </w:t>
      </w:r>
      <w:r>
        <w:t xml:space="preserve">comprenant une analyse crédible </w:t>
      </w:r>
      <w:r w:rsidR="008F0BD3">
        <w:t>des risques financiers</w:t>
      </w:r>
      <w:r>
        <w:t xml:space="preserve"> et un plan de financement réaliste</w:t>
      </w:r>
      <w:r w:rsidR="00BE2D3F">
        <w:t xml:space="preserve"> pour l'intégralité </w:t>
      </w:r>
      <w:r>
        <w:t>du projet de mise en service du nouveau bâtiment du siège de l'UIT à Genève</w:t>
      </w:r>
      <w:r w:rsidR="0079745F">
        <w:t>,</w:t>
      </w:r>
      <w:r>
        <w:t xml:space="preserve"> avant </w:t>
      </w:r>
      <w:r w:rsidR="003440E9">
        <w:t>que celui-ci</w:t>
      </w:r>
      <w:r>
        <w:t xml:space="preserve"> ne soit définitivement approuvé</w:t>
      </w:r>
      <w:bookmarkStart w:id="12" w:name="lt_pId031"/>
      <w:bookmarkEnd w:id="11"/>
      <w:r>
        <w:t xml:space="preserve">. </w:t>
      </w:r>
      <w:r w:rsidRPr="00BE369A">
        <w:t>Des projets similaires au BIT et à l'OMS</w:t>
      </w:r>
      <w:r w:rsidR="007B1BAE" w:rsidRPr="00BE369A">
        <w:t xml:space="preserve"> </w:t>
      </w:r>
      <w:r w:rsidRPr="00BE369A">
        <w:t xml:space="preserve">ont </w:t>
      </w:r>
      <w:r w:rsidR="0079745F">
        <w:t xml:space="preserve">fait l'objet d'une planification très rigoureuse </w:t>
      </w:r>
      <w:r w:rsidRPr="00BE369A">
        <w:t xml:space="preserve">pour </w:t>
      </w:r>
      <w:r>
        <w:t xml:space="preserve">en </w:t>
      </w:r>
      <w:r w:rsidRPr="00BE369A">
        <w:t>conna</w:t>
      </w:r>
      <w:r>
        <w:t>ître précisément les coûts</w:t>
      </w:r>
      <w:r w:rsidR="0079745F">
        <w:t>,</w:t>
      </w:r>
      <w:r>
        <w:t xml:space="preserve"> avant qu</w:t>
      </w:r>
      <w:r w:rsidR="0079745F">
        <w:t xml:space="preserve">e des </w:t>
      </w:r>
      <w:r>
        <w:t>accord</w:t>
      </w:r>
      <w:r w:rsidR="0079745F">
        <w:t>s</w:t>
      </w:r>
      <w:r>
        <w:t xml:space="preserve"> sur le</w:t>
      </w:r>
      <w:r w:rsidR="0079745F">
        <w:t>ur</w:t>
      </w:r>
      <w:r>
        <w:t xml:space="preserve"> financement ne soi</w:t>
      </w:r>
      <w:r w:rsidR="0079745F">
        <w:t>en</w:t>
      </w:r>
      <w:r>
        <w:t>t trouvé</w:t>
      </w:r>
      <w:r w:rsidR="0079745F">
        <w:t>s</w:t>
      </w:r>
      <w:r>
        <w:t xml:space="preserve">. C'est pourquoi </w:t>
      </w:r>
      <w:r w:rsidR="00462879">
        <w:t xml:space="preserve">la décision relative à </w:t>
      </w:r>
      <w:r>
        <w:t xml:space="preserve">la demande de déblocage de la tranche </w:t>
      </w:r>
      <w:r w:rsidR="00462879">
        <w:t xml:space="preserve">suivante </w:t>
      </w:r>
      <w:r>
        <w:t>du prêt</w:t>
      </w:r>
      <w:r w:rsidR="00462879">
        <w:t xml:space="preserve"> a été légèrement différée</w:t>
      </w:r>
      <w:r>
        <w:t xml:space="preserve">, afin que </w:t>
      </w:r>
      <w:r w:rsidR="00666691">
        <w:t xml:space="preserve">le Conseil, dans le cadre de sa session extraordinaire en cours, puisse examiner des documents plus détaillés pour répondre aux questions </w:t>
      </w:r>
      <w:r w:rsidR="00462879">
        <w:t>soulevées par les</w:t>
      </w:r>
      <w:r w:rsidR="00666691">
        <w:t xml:space="preserve"> États Membres.</w:t>
      </w:r>
      <w:bookmarkEnd w:id="12"/>
    </w:p>
    <w:p w14:paraId="2D6ED301" w14:textId="18C20D79" w:rsidR="007B1BAE" w:rsidRPr="005A59F3" w:rsidRDefault="00C971CB" w:rsidP="004E255B">
      <w:r w:rsidRPr="005A59F3">
        <w:lastRenderedPageBreak/>
        <w:t xml:space="preserve">La présente contribution expose les vues des États-Unis </w:t>
      </w:r>
      <w:r w:rsidR="00BA10EB">
        <w:t xml:space="preserve">concernant le </w:t>
      </w:r>
      <w:r w:rsidRPr="005A59F3">
        <w:t>projet de bâtiment</w:t>
      </w:r>
      <w:r w:rsidR="00BA10EB">
        <w:t xml:space="preserve"> et les informations nécessaires à son avancement</w:t>
      </w:r>
      <w:r w:rsidRPr="005A59F3">
        <w:t>.</w:t>
      </w:r>
    </w:p>
    <w:p w14:paraId="52F73733" w14:textId="77777777" w:rsidR="00C971CB" w:rsidRPr="005A59F3" w:rsidRDefault="00C971CB" w:rsidP="004E255B">
      <w:pPr>
        <w:pStyle w:val="Headingb"/>
      </w:pPr>
      <w:r w:rsidRPr="005A59F3">
        <w:t>Examen</w:t>
      </w:r>
    </w:p>
    <w:p w14:paraId="710D7192" w14:textId="4BEDB05B" w:rsidR="00C971CB" w:rsidRPr="005A59F3" w:rsidRDefault="00C971CB" w:rsidP="004E255B">
      <w:pPr>
        <w:tabs>
          <w:tab w:val="clear" w:pos="567"/>
          <w:tab w:val="clear" w:pos="1134"/>
          <w:tab w:val="clear" w:pos="1701"/>
          <w:tab w:val="clear" w:pos="2268"/>
          <w:tab w:val="clear" w:pos="2835"/>
        </w:tabs>
      </w:pPr>
      <w:r w:rsidRPr="005A59F3">
        <w:rPr>
          <w:rFonts w:asciiTheme="minorHAnsi" w:hAnsiTheme="minorHAnsi"/>
        </w:rPr>
        <w:t xml:space="preserve">Comme indiqué dans le Document </w:t>
      </w:r>
      <w:hyperlink r:id="rId18" w:history="1">
        <w:r w:rsidRPr="005A59F3">
          <w:rPr>
            <w:rStyle w:val="Hyperlink"/>
            <w:rFonts w:cs="Segoe UI"/>
          </w:rPr>
          <w:t>C16/7</w:t>
        </w:r>
      </w:hyperlink>
      <w:r w:rsidRPr="005A59F3">
        <w:rPr>
          <w:rFonts w:asciiTheme="minorHAnsi" w:hAnsiTheme="minorHAnsi" w:cstheme="minorHAnsi"/>
          <w:szCs w:val="24"/>
        </w:rPr>
        <w:t xml:space="preserve">, le Groupe de travail du Conseil sur les options à long terme pour les locaux du siège de l'Union (GTC-HQP) a conclu en 2016 que </w:t>
      </w:r>
      <w:r w:rsidRPr="005A59F3">
        <w:t xml:space="preserve">"la solution la plus rentable est le [...] remplacement de </w:t>
      </w:r>
      <w:proofErr w:type="spellStart"/>
      <w:r w:rsidRPr="005A59F3">
        <w:t>Varembé</w:t>
      </w:r>
      <w:proofErr w:type="spellEnd"/>
      <w:r w:rsidRPr="005A59F3">
        <w:t xml:space="preserve"> par un seul bâtiment qui abriterait aussi</w:t>
      </w:r>
      <w:r w:rsidR="00BA10EB">
        <w:t xml:space="preserve"> les fonctionnalités de la Tour</w:t>
      </w:r>
      <w:r w:rsidR="003440E9">
        <w:t xml:space="preserve">. </w:t>
      </w:r>
      <w:r w:rsidR="003440E9">
        <w:rPr>
          <w:color w:val="000000"/>
        </w:rPr>
        <w:t>C'est aussi la solution qui offre le plus de possibilités pour l'accessibilité, les frais d'entretien les moins élevés pour l'avenir, et qui est la moins chère à long terme</w:t>
      </w:r>
      <w:r w:rsidR="00BA10EB">
        <w:t>"</w:t>
      </w:r>
      <w:r w:rsidRPr="005A59F3">
        <w:t xml:space="preserve">. La recommandation du GTC-HQP a été approuvée par le Conseil à sa session de 2016, comme indiqué dans la </w:t>
      </w:r>
      <w:bookmarkStart w:id="13" w:name="lt_pId024"/>
      <w:r w:rsidRPr="005A59F3">
        <w:rPr>
          <w:rStyle w:val="Hyperlink"/>
          <w:rFonts w:asciiTheme="minorHAnsi" w:hAnsiTheme="minorHAnsi" w:cstheme="minorHAnsi"/>
          <w:szCs w:val="24"/>
        </w:rPr>
        <w:fldChar w:fldCharType="begin"/>
      </w:r>
      <w:r w:rsidRPr="005A59F3">
        <w:rPr>
          <w:rStyle w:val="Hyperlink"/>
          <w:rFonts w:asciiTheme="minorHAnsi" w:hAnsiTheme="minorHAnsi" w:cstheme="minorHAnsi"/>
          <w:szCs w:val="24"/>
        </w:rPr>
        <w:instrText xml:space="preserve"> HYPERLINK "https://www.itu.int/md/S16-CL-C-0124/en" </w:instrText>
      </w:r>
      <w:r w:rsidRPr="005A59F3">
        <w:rPr>
          <w:rStyle w:val="Hyperlink"/>
          <w:rFonts w:asciiTheme="minorHAnsi" w:hAnsiTheme="minorHAnsi" w:cstheme="minorHAnsi"/>
          <w:szCs w:val="24"/>
        </w:rPr>
        <w:fldChar w:fldCharType="separate"/>
      </w:r>
      <w:r w:rsidRPr="005A59F3">
        <w:rPr>
          <w:rStyle w:val="Hyperlink"/>
          <w:rFonts w:asciiTheme="minorHAnsi" w:hAnsiTheme="minorHAnsi" w:cstheme="minorHAnsi"/>
          <w:szCs w:val="24"/>
        </w:rPr>
        <w:t>Décision 588</w:t>
      </w:r>
      <w:r w:rsidRPr="005A59F3">
        <w:rPr>
          <w:rStyle w:val="Hyperlink"/>
          <w:rFonts w:asciiTheme="minorHAnsi" w:hAnsiTheme="minorHAnsi" w:cstheme="minorHAnsi"/>
          <w:szCs w:val="24"/>
        </w:rPr>
        <w:fldChar w:fldCharType="end"/>
      </w:r>
      <w:r w:rsidRPr="005A59F3">
        <w:rPr>
          <w:rFonts w:asciiTheme="minorHAnsi" w:hAnsiTheme="minorHAnsi" w:cstheme="minorHAnsi"/>
          <w:szCs w:val="24"/>
        </w:rPr>
        <w:t>.</w:t>
      </w:r>
      <w:bookmarkEnd w:id="13"/>
      <w:r w:rsidRPr="005A59F3">
        <w:rPr>
          <w:rFonts w:asciiTheme="minorHAnsi" w:hAnsiTheme="minorHAnsi" w:cstheme="minorHAnsi"/>
          <w:szCs w:val="24"/>
        </w:rPr>
        <w:t xml:space="preserve"> Dans cette décision, il est précisé que le Conseil a décidé "</w:t>
      </w:r>
      <w:r w:rsidRPr="005A59F3">
        <w:rPr>
          <w:szCs w:val="24"/>
        </w:rPr>
        <w:t xml:space="preserve">d'autoriser un budget maximal pour couvrir le total des coûts du projet avant la vente de la Tour, de 140 millions CHF, et un fonds de réserve additionnel de 7 millions CHF à utiliser, au besoin, pour couvrir les coûts supplémentaires non prévus". Dans le cadre de la Décision 588, il a également été créé </w:t>
      </w:r>
      <w:r w:rsidRPr="005A59F3">
        <w:rPr>
          <w:rFonts w:asciiTheme="minorHAnsi" w:hAnsiTheme="minorHAnsi" w:cstheme="minorHAnsi"/>
          <w:szCs w:val="24"/>
        </w:rPr>
        <w:t>un "</w:t>
      </w:r>
      <w:r w:rsidRPr="005A59F3">
        <w:rPr>
          <w:szCs w:val="24"/>
        </w:rPr>
        <w:t>Conseil consultatif composé d'Etats Membres et chargé de prodiguer des avis indépendants et impartiaux sur le projet au Conseil et au Secrétaire général".</w:t>
      </w:r>
    </w:p>
    <w:p w14:paraId="47A31E50" w14:textId="77777777" w:rsidR="0089779D" w:rsidRDefault="0089779D" w:rsidP="004E255B">
      <w:r>
        <w:br w:type="page"/>
      </w:r>
      <w:bookmarkStart w:id="14" w:name="_GoBack"/>
      <w:bookmarkEnd w:id="14"/>
    </w:p>
    <w:p w14:paraId="1945683D" w14:textId="74E8E8F3" w:rsidR="00E9243D" w:rsidRPr="005A59F3" w:rsidRDefault="00E9243D" w:rsidP="004E255B">
      <w:r w:rsidRPr="005A59F3">
        <w:lastRenderedPageBreak/>
        <w:t xml:space="preserve">Les États-Unis constatent avec satisfaction qu'il est indiqué, dans la lettre adressée par le Secrétaire général au pays hôte en date du 24 mai 2018, que "le </w:t>
      </w:r>
      <w:r w:rsidR="00CA43B0">
        <w:t>s</w:t>
      </w:r>
      <w:r w:rsidRPr="005A59F3">
        <w:t>ecrétariat de l'UIT entend pleinement respecter la demande du Conseil de l'UIT l'invitant à se conformer aux termes et conditions de sa Décision 588 telle qu'actuellement en vigueur et ce, d'autant plus, que nous sommes pleinement conscients que c'est sur le fondement de cette Décision (y compris du modèle économique qu'elle évoque) que le DFAE a accepté d'entrer en matière".</w:t>
      </w:r>
    </w:p>
    <w:p w14:paraId="18790AE4" w14:textId="0A44AF22" w:rsidR="00155F27" w:rsidRPr="00D46041" w:rsidRDefault="00155F27" w:rsidP="004E255B">
      <w:r w:rsidRPr="005A59F3">
        <w:t xml:space="preserve">De plus, les États-Unis </w:t>
      </w:r>
      <w:r w:rsidR="00BA10EB">
        <w:t>estiment</w:t>
      </w:r>
      <w:r w:rsidRPr="005A59F3">
        <w:t xml:space="preserve"> que le Conseil a décidé d'attribuer une enveloppe financière maximale de 140 millions CHF</w:t>
      </w:r>
      <w:r w:rsidR="004B6B97">
        <w:t>,</w:t>
      </w:r>
      <w:r w:rsidRPr="005A59F3">
        <w:t xml:space="preserve"> </w:t>
      </w:r>
      <w:r w:rsidR="001A751E">
        <w:t>pour qu'une</w:t>
      </w:r>
      <w:r w:rsidR="00BA10EB">
        <w:t xml:space="preserve"> plus grande partie des ressources limitées de l'Union soient consacrées</w:t>
      </w:r>
      <w:r w:rsidRPr="005A59F3">
        <w:t xml:space="preserve"> </w:t>
      </w:r>
      <w:r w:rsidR="00BA10EB">
        <w:t>à l'exécution de son mandat</w:t>
      </w:r>
      <w:r w:rsidRPr="005A59F3">
        <w:t xml:space="preserve">. </w:t>
      </w:r>
      <w:r w:rsidR="004B6B97">
        <w:t xml:space="preserve">Les </w:t>
      </w:r>
      <w:r w:rsidR="00FD4175">
        <w:t>É</w:t>
      </w:r>
      <w:r w:rsidR="004B6B97">
        <w:t xml:space="preserve">tats-Unis, </w:t>
      </w:r>
      <w:r w:rsidR="00FD4175">
        <w:t xml:space="preserve">comme </w:t>
      </w:r>
      <w:r w:rsidR="001A751E" w:rsidRPr="001A751E">
        <w:t>beaucoup d'autres délégations, ont approuvé un montant qui leur paraissait raisonnable.</w:t>
      </w:r>
      <w:r w:rsidRPr="001A751E">
        <w:t xml:space="preserve"> </w:t>
      </w:r>
      <w:r w:rsidR="001A751E">
        <w:t xml:space="preserve">Nous sommes donc </w:t>
      </w:r>
      <w:r w:rsidR="001C3448">
        <w:t xml:space="preserve">déçus </w:t>
      </w:r>
      <w:r w:rsidR="001A751E">
        <w:t xml:space="preserve">de constater </w:t>
      </w:r>
      <w:r w:rsidRPr="005A59F3">
        <w:t>que</w:t>
      </w:r>
      <w:r w:rsidR="001A751E">
        <w:t>,</w:t>
      </w:r>
      <w:r w:rsidRPr="005A59F3">
        <w:t xml:space="preserve"> d'après les estimations actuelles, les coûts </w:t>
      </w:r>
      <w:r w:rsidR="001A751E">
        <w:t xml:space="preserve">devraient </w:t>
      </w:r>
      <w:r w:rsidRPr="005A59F3">
        <w:t xml:space="preserve">désormais </w:t>
      </w:r>
      <w:r w:rsidR="00AB4D29">
        <w:t>être supérieurs à ce montant</w:t>
      </w:r>
      <w:r w:rsidRPr="005A59F3">
        <w:t>.</w:t>
      </w:r>
      <w:bookmarkStart w:id="15" w:name="lt_pId044"/>
      <w:r w:rsidR="001A751E">
        <w:t xml:space="preserve"> </w:t>
      </w:r>
      <w:r w:rsidR="001A751E" w:rsidRPr="001A751E">
        <w:t>Dans sa</w:t>
      </w:r>
      <w:r w:rsidRPr="001A751E">
        <w:t xml:space="preserve"> </w:t>
      </w:r>
      <w:hyperlink r:id="rId19" w:history="1">
        <w:r w:rsidR="001A751E" w:rsidRPr="001A751E">
          <w:rPr>
            <w:rStyle w:val="Hyperlink"/>
            <w:iCs/>
          </w:rPr>
          <w:t>Ré</w:t>
        </w:r>
        <w:r w:rsidRPr="001A751E">
          <w:rPr>
            <w:rStyle w:val="Hyperlink"/>
            <w:iCs/>
          </w:rPr>
          <w:t>solution 212 (</w:t>
        </w:r>
        <w:r w:rsidR="000E111D" w:rsidRPr="001A751E">
          <w:rPr>
            <w:rStyle w:val="Hyperlink"/>
            <w:iCs/>
          </w:rPr>
          <w:t>Dubaï</w:t>
        </w:r>
        <w:r w:rsidRPr="001A751E">
          <w:rPr>
            <w:rStyle w:val="Hyperlink"/>
            <w:iCs/>
          </w:rPr>
          <w:t>, 2018)</w:t>
        </w:r>
      </w:hyperlink>
      <w:r w:rsidR="001A751E" w:rsidRPr="001A751E">
        <w:rPr>
          <w:rStyle w:val="Hyperlink"/>
          <w:iCs/>
        </w:rPr>
        <w:t>,</w:t>
      </w:r>
      <w:r w:rsidRPr="001A751E">
        <w:rPr>
          <w:rStyle w:val="Hyperlink"/>
          <w:iCs/>
          <w:color w:val="auto"/>
          <w:u w:val="none"/>
        </w:rPr>
        <w:t xml:space="preserve"> </w:t>
      </w:r>
      <w:r w:rsidR="001A751E" w:rsidRPr="001A751E">
        <w:rPr>
          <w:rStyle w:val="Hyperlink"/>
          <w:iCs/>
          <w:color w:val="auto"/>
          <w:u w:val="none"/>
        </w:rPr>
        <w:t xml:space="preserve">la Conférence de plénipotentiaires a </w:t>
      </w:r>
      <w:r w:rsidR="001A751E">
        <w:rPr>
          <w:rStyle w:val="Hyperlink"/>
          <w:iCs/>
          <w:color w:val="auto"/>
          <w:u w:val="none"/>
        </w:rPr>
        <w:t>émis</w:t>
      </w:r>
      <w:r w:rsidR="001A751E" w:rsidRPr="001A751E">
        <w:rPr>
          <w:rStyle w:val="Hyperlink"/>
          <w:iCs/>
          <w:color w:val="auto"/>
          <w:u w:val="none"/>
        </w:rPr>
        <w:t xml:space="preserve"> l'idée que le financement du projet p</w:t>
      </w:r>
      <w:r w:rsidR="001C3448">
        <w:rPr>
          <w:rStyle w:val="Hyperlink"/>
          <w:iCs/>
          <w:color w:val="auto"/>
          <w:u w:val="none"/>
        </w:rPr>
        <w:t xml:space="preserve">ourrait </w:t>
      </w:r>
      <w:r w:rsidR="001A751E" w:rsidRPr="001A751E">
        <w:rPr>
          <w:rStyle w:val="Hyperlink"/>
          <w:iCs/>
          <w:color w:val="auto"/>
          <w:u w:val="none"/>
        </w:rPr>
        <w:t xml:space="preserve">être </w:t>
      </w:r>
      <w:r w:rsidR="003139D8">
        <w:rPr>
          <w:rStyle w:val="Hyperlink"/>
          <w:iCs/>
          <w:color w:val="auto"/>
          <w:u w:val="none"/>
        </w:rPr>
        <w:t>complété</w:t>
      </w:r>
      <w:r w:rsidR="001A751E" w:rsidRPr="001A751E">
        <w:rPr>
          <w:rStyle w:val="Hyperlink"/>
          <w:iCs/>
          <w:color w:val="auto"/>
          <w:u w:val="none"/>
        </w:rPr>
        <w:t xml:space="preserve"> par des </w:t>
      </w:r>
      <w:r w:rsidR="003139D8">
        <w:rPr>
          <w:rStyle w:val="Hyperlink"/>
          <w:iCs/>
          <w:color w:val="auto"/>
          <w:u w:val="none"/>
        </w:rPr>
        <w:t xml:space="preserve">parrainages </w:t>
      </w:r>
      <w:r w:rsidR="001C3448">
        <w:rPr>
          <w:rStyle w:val="Hyperlink"/>
          <w:iCs/>
          <w:color w:val="auto"/>
          <w:u w:val="none"/>
        </w:rPr>
        <w:t xml:space="preserve">et </w:t>
      </w:r>
      <w:r w:rsidR="003139D8">
        <w:rPr>
          <w:rStyle w:val="Hyperlink"/>
          <w:iCs/>
          <w:color w:val="auto"/>
          <w:u w:val="none"/>
        </w:rPr>
        <w:t xml:space="preserve">des dons </w:t>
      </w:r>
      <w:r w:rsidR="001C3448">
        <w:rPr>
          <w:rStyle w:val="Hyperlink"/>
          <w:iCs/>
          <w:color w:val="auto"/>
          <w:u w:val="none"/>
        </w:rPr>
        <w:t xml:space="preserve">ainsi que </w:t>
      </w:r>
      <w:r w:rsidR="003139D8">
        <w:rPr>
          <w:rStyle w:val="Hyperlink"/>
          <w:iCs/>
          <w:color w:val="auto"/>
          <w:u w:val="none"/>
        </w:rPr>
        <w:t xml:space="preserve">par le fonds provisoire </w:t>
      </w:r>
      <w:r w:rsidR="003139D8">
        <w:t>créé par le Conseil et financé à l'aide des excédents budg</w:t>
      </w:r>
      <w:r w:rsidR="001C3448">
        <w:t>étaires</w:t>
      </w:r>
      <w:r w:rsidRPr="001A751E">
        <w:rPr>
          <w:rStyle w:val="Hyperlink"/>
          <w:iCs/>
          <w:color w:val="auto"/>
          <w:u w:val="none"/>
        </w:rPr>
        <w:t>.</w:t>
      </w:r>
      <w:bookmarkEnd w:id="15"/>
      <w:r w:rsidRPr="001A751E">
        <w:rPr>
          <w:rStyle w:val="Hyperlink"/>
          <w:iCs/>
          <w:color w:val="auto"/>
          <w:u w:val="none"/>
        </w:rPr>
        <w:t xml:space="preserve"> </w:t>
      </w:r>
      <w:bookmarkStart w:id="16" w:name="lt_pId045"/>
      <w:r w:rsidR="003139D8" w:rsidRPr="003139D8">
        <w:t>Ce fonds provisoire a été créé pour financer</w:t>
      </w:r>
      <w:r w:rsidR="00AB4D29">
        <w:t xml:space="preserve"> uniquement</w:t>
      </w:r>
      <w:r w:rsidR="003139D8" w:rsidRPr="003139D8">
        <w:t xml:space="preserve"> les é</w:t>
      </w:r>
      <w:r w:rsidR="003139D8">
        <w:t>léments supplémentaires qui, conformément au droit suisse, ne peuvent être financés par le prêt.</w:t>
      </w:r>
      <w:bookmarkEnd w:id="16"/>
      <w:r w:rsidRPr="003139D8">
        <w:t xml:space="preserve"> </w:t>
      </w:r>
      <w:bookmarkStart w:id="17" w:name="lt_pId046"/>
      <w:r w:rsidR="001C3448">
        <w:t>Il n'en reste pas moins que</w:t>
      </w:r>
      <w:r w:rsidR="00536A57">
        <w:rPr>
          <w:rStyle w:val="Hyperlink"/>
          <w:iCs/>
          <w:color w:val="auto"/>
          <w:u w:val="none"/>
        </w:rPr>
        <w:t xml:space="preserve"> l'utilisation des</w:t>
      </w:r>
      <w:r w:rsidR="00AB4D29">
        <w:rPr>
          <w:rStyle w:val="Hyperlink"/>
          <w:iCs/>
          <w:color w:val="auto"/>
          <w:u w:val="none"/>
        </w:rPr>
        <w:t xml:space="preserve"> </w:t>
      </w:r>
      <w:r w:rsidR="00AB4D29" w:rsidRPr="00D46041">
        <w:t>contributions</w:t>
      </w:r>
      <w:r w:rsidR="00536A57" w:rsidRPr="00D46041">
        <w:t xml:space="preserve"> </w:t>
      </w:r>
      <w:r w:rsidR="001C3448" w:rsidRPr="00D46041">
        <w:t xml:space="preserve">en question </w:t>
      </w:r>
      <w:r w:rsidR="00F870A8" w:rsidRPr="00D46041">
        <w:t xml:space="preserve">suppose de connaître </w:t>
      </w:r>
      <w:r w:rsidR="00693531" w:rsidRPr="00D46041">
        <w:t xml:space="preserve">le coût total du projet et les risques financiers </w:t>
      </w:r>
      <w:r w:rsidR="001C3448" w:rsidRPr="00D46041">
        <w:t>qui lui sont associés</w:t>
      </w:r>
      <w:r w:rsidR="00693531" w:rsidRPr="00D46041">
        <w:t>.</w:t>
      </w:r>
      <w:bookmarkEnd w:id="17"/>
      <w:r w:rsidRPr="00D46041">
        <w:t xml:space="preserve"> </w:t>
      </w:r>
      <w:bookmarkStart w:id="18" w:name="lt_pId047"/>
      <w:r w:rsidR="001C3448" w:rsidRPr="00D46041">
        <w:t xml:space="preserve">Tabler sur des </w:t>
      </w:r>
      <w:r w:rsidR="00693531" w:rsidRPr="00D46041">
        <w:t xml:space="preserve">excédents </w:t>
      </w:r>
      <w:r w:rsidR="001C3448" w:rsidRPr="00D46041">
        <w:t xml:space="preserve">qui ne sont pas encore une réalité </w:t>
      </w:r>
      <w:r w:rsidR="00F870A8" w:rsidRPr="00D46041">
        <w:t xml:space="preserve">est une méthode de </w:t>
      </w:r>
      <w:r w:rsidR="00693531" w:rsidRPr="00D46041">
        <w:t xml:space="preserve">planification financière risquée </w:t>
      </w:r>
      <w:r w:rsidR="001C3448" w:rsidRPr="00D46041">
        <w:t xml:space="preserve">qui a pour effet de détourner </w:t>
      </w:r>
      <w:r w:rsidR="00F870A8" w:rsidRPr="00D46041">
        <w:t>des</w:t>
      </w:r>
      <w:r w:rsidR="00693531" w:rsidRPr="00D46041">
        <w:t xml:space="preserve"> ressources</w:t>
      </w:r>
      <w:r w:rsidR="001C3448" w:rsidRPr="00D46041">
        <w:t xml:space="preserve"> qui pourraient être</w:t>
      </w:r>
      <w:r w:rsidR="00693531" w:rsidRPr="00D46041">
        <w:t xml:space="preserve"> </w:t>
      </w:r>
      <w:r w:rsidR="00F870A8" w:rsidRPr="00D46041">
        <w:t xml:space="preserve">consacrées à la fourniture de </w:t>
      </w:r>
      <w:r w:rsidR="00693531" w:rsidRPr="00D46041">
        <w:t xml:space="preserve">services aux États Membres. </w:t>
      </w:r>
      <w:bookmarkStart w:id="19" w:name="lt_pId048"/>
      <w:bookmarkEnd w:id="18"/>
      <w:r w:rsidR="006F1B91" w:rsidRPr="00D46041">
        <w:t xml:space="preserve">Les États-Unis </w:t>
      </w:r>
      <w:r w:rsidR="00671D1F" w:rsidRPr="00D46041">
        <w:t>partagent les vues</w:t>
      </w:r>
      <w:r w:rsidR="006F1B91" w:rsidRPr="00D46041">
        <w:t xml:space="preserve"> </w:t>
      </w:r>
      <w:r w:rsidR="00671D1F" w:rsidRPr="00D46041">
        <w:t xml:space="preserve">exprimées dans le rapport </w:t>
      </w:r>
      <w:r w:rsidR="00D46041" w:rsidRPr="00D46041">
        <w:t xml:space="preserve">du </w:t>
      </w:r>
      <w:r w:rsidR="00671D1F" w:rsidRPr="00D46041">
        <w:t xml:space="preserve">Groupe </w:t>
      </w:r>
      <w:r w:rsidR="00ED272D" w:rsidRPr="00D46041">
        <w:t>consultatif</w:t>
      </w:r>
      <w:r w:rsidR="00671D1F" w:rsidRPr="00671D1F">
        <w:t xml:space="preserve"> d'États Membres </w:t>
      </w:r>
      <w:r w:rsidRPr="00671D1F">
        <w:t>(</w:t>
      </w:r>
      <w:r w:rsidR="00671D1F" w:rsidRPr="00671D1F">
        <w:t>Groupe MSAG</w:t>
      </w:r>
      <w:r w:rsidRPr="00671D1F">
        <w:t xml:space="preserve">) </w:t>
      </w:r>
      <w:r w:rsidR="00671D1F">
        <w:t>(</w:t>
      </w:r>
      <w:r w:rsidR="00F870A8">
        <w:t>Document</w:t>
      </w:r>
      <w:r w:rsidR="00D46041">
        <w:t> </w:t>
      </w:r>
      <w:hyperlink r:id="rId20" w:history="1">
        <w:r w:rsidRPr="00671D1F">
          <w:rPr>
            <w:rStyle w:val="Hyperlink"/>
          </w:rPr>
          <w:t>C19/48</w:t>
        </w:r>
      </w:hyperlink>
      <w:r w:rsidR="00D46041">
        <w:rPr>
          <w:rStyle w:val="Hyperlink"/>
          <w:color w:val="auto"/>
          <w:u w:val="none"/>
        </w:rPr>
        <w:t xml:space="preserve"> </w:t>
      </w:r>
      <w:r w:rsidR="00D46041">
        <w:t>du Conseil),</w:t>
      </w:r>
      <w:r w:rsidR="00671D1F" w:rsidRPr="00D46041">
        <w:t xml:space="preserve"> selon lesquelles </w:t>
      </w:r>
      <w:r w:rsidR="00752AE1">
        <w:t xml:space="preserve">s'en remettre à des </w:t>
      </w:r>
      <w:r w:rsidR="00671D1F" w:rsidRPr="00D46041">
        <w:t xml:space="preserve">économies </w:t>
      </w:r>
      <w:r w:rsidR="00752AE1">
        <w:t xml:space="preserve">futures </w:t>
      </w:r>
      <w:r w:rsidR="00671D1F" w:rsidRPr="00D46041">
        <w:t xml:space="preserve">pour financer </w:t>
      </w:r>
      <w:r w:rsidR="00752AE1">
        <w:t xml:space="preserve">les </w:t>
      </w:r>
      <w:r w:rsidR="00671D1F" w:rsidRPr="00D46041">
        <w:t xml:space="preserve">éléments de ce projet de construction aura des répercussions sur la capacité de </w:t>
      </w:r>
      <w:r w:rsidR="00F870A8" w:rsidRPr="00D46041">
        <w:t xml:space="preserve">l'Union de </w:t>
      </w:r>
      <w:r w:rsidR="009D32B4" w:rsidRPr="00D46041">
        <w:t>faire face à</w:t>
      </w:r>
      <w:r w:rsidR="00671D1F" w:rsidRPr="00D46041">
        <w:t xml:space="preserve"> des dépenses de fonctionnement imprévues, </w:t>
      </w:r>
      <w:r w:rsidR="00752AE1">
        <w:t xml:space="preserve">faisant ainsi peser des </w:t>
      </w:r>
      <w:r w:rsidR="00ED272D" w:rsidRPr="00D46041">
        <w:t>risque</w:t>
      </w:r>
      <w:r w:rsidR="00752AE1">
        <w:t>s</w:t>
      </w:r>
      <w:r w:rsidR="00ED272D" w:rsidRPr="00D46041">
        <w:t xml:space="preserve"> financier</w:t>
      </w:r>
      <w:r w:rsidR="00752AE1">
        <w:t>s accrus sur l'Union</w:t>
      </w:r>
      <w:r w:rsidR="00ED272D" w:rsidRPr="00D46041">
        <w:t>.</w:t>
      </w:r>
      <w:bookmarkEnd w:id="19"/>
    </w:p>
    <w:p w14:paraId="76A37AAE" w14:textId="07FF56BD" w:rsidR="00155F27" w:rsidRPr="0004495A" w:rsidRDefault="00593634" w:rsidP="004E255B">
      <w:pPr>
        <w:rPr>
          <w:rFonts w:asciiTheme="minorHAnsi" w:hAnsiTheme="minorHAnsi" w:cstheme="minorHAnsi"/>
          <w:szCs w:val="24"/>
        </w:rPr>
      </w:pPr>
      <w:bookmarkStart w:id="20" w:name="lt_pId049"/>
      <w:r>
        <w:rPr>
          <w:rStyle w:val="Hyperlink"/>
          <w:color w:val="auto"/>
          <w:u w:val="none"/>
        </w:rPr>
        <w:lastRenderedPageBreak/>
        <w:t>Selon d</w:t>
      </w:r>
      <w:r w:rsidR="00ED272D" w:rsidRPr="00ED272D">
        <w:rPr>
          <w:rStyle w:val="Hyperlink"/>
          <w:color w:val="auto"/>
          <w:u w:val="none"/>
        </w:rPr>
        <w:t xml:space="preserve">es informations </w:t>
      </w:r>
      <w:r w:rsidR="0096672C">
        <w:rPr>
          <w:rStyle w:val="Hyperlink"/>
          <w:color w:val="auto"/>
          <w:u w:val="none"/>
        </w:rPr>
        <w:t>qui lui ont été</w:t>
      </w:r>
      <w:r w:rsidR="00155F27" w:rsidRPr="00ED272D">
        <w:rPr>
          <w:rStyle w:val="Hyperlink"/>
          <w:color w:val="auto"/>
          <w:u w:val="none"/>
        </w:rPr>
        <w:t xml:space="preserve"> </w:t>
      </w:r>
      <w:r w:rsidR="00ED272D" w:rsidRPr="00ED272D">
        <w:rPr>
          <w:rStyle w:val="Hyperlink"/>
          <w:color w:val="auto"/>
          <w:u w:val="none"/>
        </w:rPr>
        <w:t>communiquées en</w:t>
      </w:r>
      <w:r w:rsidR="00155F27" w:rsidRPr="00ED272D">
        <w:rPr>
          <w:rStyle w:val="Hyperlink"/>
          <w:color w:val="auto"/>
          <w:u w:val="none"/>
        </w:rPr>
        <w:t xml:space="preserve"> </w:t>
      </w:r>
      <w:r w:rsidR="00ED272D" w:rsidRPr="00ED272D">
        <w:rPr>
          <w:rStyle w:val="Hyperlink"/>
          <w:color w:val="auto"/>
          <w:u w:val="none"/>
        </w:rPr>
        <w:t xml:space="preserve">avril </w:t>
      </w:r>
      <w:r w:rsidR="00155F27" w:rsidRPr="00ED272D">
        <w:rPr>
          <w:rStyle w:val="Hyperlink"/>
          <w:color w:val="auto"/>
          <w:u w:val="none"/>
        </w:rPr>
        <w:t>2019</w:t>
      </w:r>
      <w:r w:rsidR="00ED272D" w:rsidRPr="00ED272D">
        <w:rPr>
          <w:rStyle w:val="Hyperlink"/>
          <w:color w:val="auto"/>
          <w:u w:val="none"/>
        </w:rPr>
        <w:t>, le Groupe</w:t>
      </w:r>
      <w:r w:rsidR="00155F27" w:rsidRPr="00ED272D">
        <w:rPr>
          <w:rStyle w:val="Hyperlink"/>
          <w:color w:val="auto"/>
          <w:u w:val="none"/>
        </w:rPr>
        <w:t xml:space="preserve"> MSAG </w:t>
      </w:r>
      <w:r w:rsidR="00ED272D">
        <w:rPr>
          <w:rStyle w:val="Hyperlink"/>
          <w:color w:val="auto"/>
          <w:u w:val="none"/>
        </w:rPr>
        <w:t xml:space="preserve">estime que le coût total du projet est susceptible d'atteindre </w:t>
      </w:r>
      <w:r w:rsidR="00155F27" w:rsidRPr="00ED272D">
        <w:rPr>
          <w:rStyle w:val="Hyperlink"/>
          <w:color w:val="auto"/>
          <w:u w:val="none"/>
        </w:rPr>
        <w:t>220</w:t>
      </w:r>
      <w:r w:rsidR="0096672C">
        <w:rPr>
          <w:rStyle w:val="Hyperlink"/>
          <w:color w:val="auto"/>
          <w:u w:val="none"/>
        </w:rPr>
        <w:t> </w:t>
      </w:r>
      <w:r w:rsidR="00155F27" w:rsidRPr="00ED272D">
        <w:rPr>
          <w:rStyle w:val="Hyperlink"/>
          <w:color w:val="auto"/>
          <w:u w:val="none"/>
        </w:rPr>
        <w:t>299</w:t>
      </w:r>
      <w:r w:rsidR="0096672C">
        <w:rPr>
          <w:rStyle w:val="Hyperlink"/>
          <w:color w:val="auto"/>
          <w:u w:val="none"/>
        </w:rPr>
        <w:t> </w:t>
      </w:r>
      <w:r w:rsidR="00155F27" w:rsidRPr="00ED272D">
        <w:rPr>
          <w:rStyle w:val="Hyperlink"/>
          <w:color w:val="auto"/>
          <w:u w:val="none"/>
        </w:rPr>
        <w:t>000</w:t>
      </w:r>
      <w:r w:rsidR="0096672C">
        <w:rPr>
          <w:rStyle w:val="Hyperlink"/>
          <w:color w:val="auto"/>
          <w:u w:val="none"/>
        </w:rPr>
        <w:t> </w:t>
      </w:r>
      <w:r w:rsidR="00ED272D" w:rsidRPr="00ED272D">
        <w:rPr>
          <w:rStyle w:val="Hyperlink"/>
          <w:color w:val="auto"/>
          <w:u w:val="none"/>
        </w:rPr>
        <w:t>CHF</w:t>
      </w:r>
      <w:bookmarkStart w:id="21" w:name="lt_pId050"/>
      <w:bookmarkEnd w:id="20"/>
      <w:r w:rsidR="00ED272D">
        <w:rPr>
          <w:rStyle w:val="Hyperlink"/>
          <w:color w:val="auto"/>
          <w:u w:val="none"/>
        </w:rPr>
        <w:t>, montant qui ne comprend pas les traitements de l'équipe chargée du projet</w:t>
      </w:r>
      <w:r w:rsidR="00FD4175">
        <w:rPr>
          <w:rStyle w:val="Hyperlink"/>
          <w:color w:val="auto"/>
          <w:u w:val="none"/>
        </w:rPr>
        <w:t>,</w:t>
      </w:r>
      <w:r w:rsidR="00CC73AD">
        <w:rPr>
          <w:rStyle w:val="Hyperlink"/>
          <w:color w:val="auto"/>
          <w:u w:val="none"/>
        </w:rPr>
        <w:t xml:space="preserve"> qui</w:t>
      </w:r>
      <w:r w:rsidR="00ED272D">
        <w:rPr>
          <w:rStyle w:val="Hyperlink"/>
          <w:color w:val="auto"/>
          <w:u w:val="none"/>
        </w:rPr>
        <w:t xml:space="preserve"> seront financés au titre du budget ordinaire. </w:t>
      </w:r>
      <w:bookmarkStart w:id="22" w:name="lt_pId051"/>
      <w:bookmarkEnd w:id="21"/>
      <w:r w:rsidR="00ED272D" w:rsidRPr="00ED272D">
        <w:rPr>
          <w:rStyle w:val="Hyperlink"/>
          <w:color w:val="auto"/>
          <w:u w:val="none"/>
        </w:rPr>
        <w:t xml:space="preserve">Cela représente une augmentation de </w:t>
      </w:r>
      <w:r w:rsidR="00155F27" w:rsidRPr="00ED272D">
        <w:rPr>
          <w:rStyle w:val="Hyperlink"/>
          <w:color w:val="auto"/>
          <w:u w:val="none"/>
        </w:rPr>
        <w:t xml:space="preserve">50% </w:t>
      </w:r>
      <w:r>
        <w:rPr>
          <w:rStyle w:val="Hyperlink"/>
          <w:color w:val="auto"/>
          <w:u w:val="none"/>
        </w:rPr>
        <w:t>par rapport au</w:t>
      </w:r>
      <w:r w:rsidR="00ED272D" w:rsidRPr="00ED272D">
        <w:rPr>
          <w:rStyle w:val="Hyperlink"/>
          <w:color w:val="auto"/>
          <w:u w:val="none"/>
        </w:rPr>
        <w:t xml:space="preserve"> </w:t>
      </w:r>
      <w:r w:rsidR="00CC73AD">
        <w:rPr>
          <w:rStyle w:val="Hyperlink"/>
          <w:color w:val="auto"/>
          <w:u w:val="none"/>
        </w:rPr>
        <w:t xml:space="preserve">budget maximal identifié </w:t>
      </w:r>
      <w:r w:rsidR="00ED272D">
        <w:rPr>
          <w:rStyle w:val="Hyperlink"/>
          <w:color w:val="auto"/>
          <w:u w:val="none"/>
        </w:rPr>
        <w:t>dans la Décision</w:t>
      </w:r>
      <w:r w:rsidR="00CC73AD">
        <w:rPr>
          <w:rStyle w:val="Hyperlink"/>
          <w:color w:val="auto"/>
          <w:u w:val="none"/>
        </w:rPr>
        <w:t> </w:t>
      </w:r>
      <w:r w:rsidR="00ED272D">
        <w:rPr>
          <w:rStyle w:val="Hyperlink"/>
          <w:color w:val="auto"/>
          <w:u w:val="none"/>
        </w:rPr>
        <w:t>588 du Conseil pour couvrir l</w:t>
      </w:r>
      <w:r w:rsidR="00CC73AD">
        <w:rPr>
          <w:rStyle w:val="Hyperlink"/>
          <w:color w:val="auto"/>
          <w:u w:val="none"/>
        </w:rPr>
        <w:t>e</w:t>
      </w:r>
      <w:r w:rsidR="00ED272D">
        <w:rPr>
          <w:rStyle w:val="Hyperlink"/>
          <w:color w:val="auto"/>
          <w:u w:val="none"/>
        </w:rPr>
        <w:t xml:space="preserve"> total des coûts du projet.</w:t>
      </w:r>
      <w:bookmarkEnd w:id="22"/>
      <w:r w:rsidR="00155F27" w:rsidRPr="00ED272D">
        <w:rPr>
          <w:rStyle w:val="Hyperlink"/>
          <w:color w:val="auto"/>
          <w:u w:val="none"/>
        </w:rPr>
        <w:t xml:space="preserve"> </w:t>
      </w:r>
      <w:bookmarkStart w:id="23" w:name="lt_pId052"/>
      <w:r w:rsidR="00ED272D" w:rsidRPr="00ED272D">
        <w:rPr>
          <w:rStyle w:val="Hyperlink"/>
          <w:color w:val="auto"/>
          <w:u w:val="none"/>
        </w:rPr>
        <w:t xml:space="preserve">Le secrétariat ne partage pas l'avis du Groupe </w:t>
      </w:r>
      <w:r w:rsidR="00155F27" w:rsidRPr="00ED272D">
        <w:rPr>
          <w:rStyle w:val="Hyperlink"/>
          <w:color w:val="auto"/>
          <w:u w:val="none"/>
        </w:rPr>
        <w:t xml:space="preserve">MSAG </w:t>
      </w:r>
      <w:r>
        <w:rPr>
          <w:rStyle w:val="Hyperlink"/>
          <w:color w:val="auto"/>
          <w:u w:val="none"/>
        </w:rPr>
        <w:t>concernant c</w:t>
      </w:r>
      <w:r w:rsidR="00ED272D">
        <w:rPr>
          <w:rStyle w:val="Hyperlink"/>
          <w:color w:val="auto"/>
          <w:u w:val="none"/>
        </w:rPr>
        <w:t xml:space="preserve">es </w:t>
      </w:r>
      <w:r>
        <w:rPr>
          <w:rStyle w:val="Hyperlink"/>
          <w:color w:val="auto"/>
          <w:u w:val="none"/>
        </w:rPr>
        <w:t>coûts</w:t>
      </w:r>
      <w:r w:rsidR="00422239">
        <w:rPr>
          <w:rStyle w:val="Hyperlink"/>
          <w:color w:val="auto"/>
          <w:u w:val="none"/>
        </w:rPr>
        <w:t xml:space="preserve"> potentiels</w:t>
      </w:r>
      <w:r w:rsidR="00155F27" w:rsidRPr="00ED272D">
        <w:rPr>
          <w:rStyle w:val="Hyperlink"/>
          <w:color w:val="auto"/>
          <w:u w:val="none"/>
        </w:rPr>
        <w:t>.</w:t>
      </w:r>
      <w:bookmarkEnd w:id="23"/>
      <w:r w:rsidR="00155F27" w:rsidRPr="00ED272D">
        <w:rPr>
          <w:rStyle w:val="Hyperlink"/>
          <w:color w:val="auto"/>
          <w:u w:val="none"/>
        </w:rPr>
        <w:t xml:space="preserve"> </w:t>
      </w:r>
      <w:bookmarkStart w:id="24" w:name="lt_pId053"/>
      <w:r w:rsidR="00ED272D" w:rsidRPr="004754BE">
        <w:rPr>
          <w:rStyle w:val="Hyperlink"/>
          <w:color w:val="auto"/>
          <w:u w:val="none"/>
        </w:rPr>
        <w:t>Cette divergence de vue</w:t>
      </w:r>
      <w:r w:rsidR="00422239">
        <w:rPr>
          <w:rStyle w:val="Hyperlink"/>
          <w:color w:val="auto"/>
          <w:u w:val="none"/>
        </w:rPr>
        <w:t>s</w:t>
      </w:r>
      <w:r w:rsidR="00ED272D" w:rsidRPr="004754BE">
        <w:rPr>
          <w:rStyle w:val="Hyperlink"/>
          <w:color w:val="auto"/>
          <w:u w:val="none"/>
        </w:rPr>
        <w:t xml:space="preserve"> tient au fait que chacun </w:t>
      </w:r>
      <w:r w:rsidR="004754BE" w:rsidRPr="004754BE">
        <w:rPr>
          <w:rStyle w:val="Hyperlink"/>
          <w:color w:val="auto"/>
          <w:u w:val="none"/>
        </w:rPr>
        <w:t>se fonde sur des hypothèses</w:t>
      </w:r>
      <w:r w:rsidR="00155F27" w:rsidRPr="004754BE">
        <w:rPr>
          <w:rStyle w:val="Hyperlink"/>
          <w:color w:val="auto"/>
          <w:u w:val="none"/>
        </w:rPr>
        <w:t xml:space="preserve"> </w:t>
      </w:r>
      <w:r w:rsidR="004754BE">
        <w:rPr>
          <w:rStyle w:val="Hyperlink"/>
          <w:color w:val="auto"/>
          <w:u w:val="none"/>
        </w:rPr>
        <w:t xml:space="preserve">différentes et </w:t>
      </w:r>
      <w:r w:rsidR="006E07D6">
        <w:rPr>
          <w:rStyle w:val="Hyperlink"/>
          <w:color w:val="auto"/>
          <w:u w:val="none"/>
        </w:rPr>
        <w:t>accorde un degré de</w:t>
      </w:r>
      <w:r w:rsidR="004754BE">
        <w:rPr>
          <w:rStyle w:val="Hyperlink"/>
          <w:color w:val="auto"/>
          <w:u w:val="none"/>
        </w:rPr>
        <w:t xml:space="preserve"> confiance </w:t>
      </w:r>
      <w:r w:rsidR="006E07D6">
        <w:rPr>
          <w:rStyle w:val="Hyperlink"/>
          <w:color w:val="auto"/>
          <w:u w:val="none"/>
        </w:rPr>
        <w:t xml:space="preserve">différent </w:t>
      </w:r>
      <w:r w:rsidR="004754BE">
        <w:rPr>
          <w:rStyle w:val="Hyperlink"/>
          <w:color w:val="auto"/>
          <w:u w:val="none"/>
        </w:rPr>
        <w:t>aux estimations fournies</w:t>
      </w:r>
      <w:r w:rsidR="00155F27" w:rsidRPr="004754BE">
        <w:rPr>
          <w:rStyle w:val="Hyperlink"/>
          <w:color w:val="auto"/>
          <w:u w:val="none"/>
        </w:rPr>
        <w:t>.</w:t>
      </w:r>
      <w:bookmarkEnd w:id="24"/>
      <w:r w:rsidR="00155F27" w:rsidRPr="004754BE">
        <w:rPr>
          <w:rStyle w:val="Hyperlink"/>
          <w:color w:val="auto"/>
          <w:u w:val="none"/>
        </w:rPr>
        <w:t xml:space="preserve"> </w:t>
      </w:r>
      <w:bookmarkStart w:id="25" w:name="lt_pId054"/>
      <w:r w:rsidR="004754BE" w:rsidRPr="006E07D6">
        <w:rPr>
          <w:rStyle w:val="Hyperlink"/>
          <w:color w:val="auto"/>
          <w:u w:val="none"/>
        </w:rPr>
        <w:t xml:space="preserve">Ces hypothèses et </w:t>
      </w:r>
      <w:r w:rsidR="006E07D6" w:rsidRPr="006E07D6">
        <w:rPr>
          <w:rStyle w:val="Hyperlink"/>
          <w:color w:val="auto"/>
          <w:u w:val="none"/>
        </w:rPr>
        <w:t>le degré de</w:t>
      </w:r>
      <w:r w:rsidR="004754BE" w:rsidRPr="006E07D6">
        <w:rPr>
          <w:rStyle w:val="Hyperlink"/>
          <w:color w:val="auto"/>
          <w:u w:val="none"/>
        </w:rPr>
        <w:t xml:space="preserve"> confiance </w:t>
      </w:r>
      <w:r w:rsidR="00AB2E46">
        <w:rPr>
          <w:rStyle w:val="Hyperlink"/>
          <w:color w:val="auto"/>
          <w:u w:val="none"/>
        </w:rPr>
        <w:t>dans les</w:t>
      </w:r>
      <w:r w:rsidR="006E07D6" w:rsidRPr="006E07D6">
        <w:rPr>
          <w:rStyle w:val="Hyperlink"/>
          <w:color w:val="auto"/>
          <w:u w:val="none"/>
        </w:rPr>
        <w:t xml:space="preserve"> estimations </w:t>
      </w:r>
      <w:r>
        <w:rPr>
          <w:rStyle w:val="Hyperlink"/>
          <w:color w:val="auto"/>
          <w:u w:val="none"/>
        </w:rPr>
        <w:t xml:space="preserve">relatives aux différents aspects du projet </w:t>
      </w:r>
      <w:r w:rsidR="006E07D6" w:rsidRPr="006E07D6">
        <w:rPr>
          <w:rStyle w:val="Hyperlink"/>
          <w:color w:val="auto"/>
          <w:u w:val="none"/>
        </w:rPr>
        <w:t xml:space="preserve">devraient être suffisamment étayés </w:t>
      </w:r>
      <w:r w:rsidR="006E07D6">
        <w:rPr>
          <w:rStyle w:val="Hyperlink"/>
          <w:color w:val="auto"/>
          <w:u w:val="none"/>
        </w:rPr>
        <w:t xml:space="preserve">pour </w:t>
      </w:r>
      <w:r w:rsidR="00AB2E46">
        <w:rPr>
          <w:rStyle w:val="Hyperlink"/>
          <w:color w:val="auto"/>
          <w:u w:val="none"/>
        </w:rPr>
        <w:t>permettre l'établissement d'un</w:t>
      </w:r>
      <w:r w:rsidR="006E07D6">
        <w:rPr>
          <w:rStyle w:val="Hyperlink"/>
          <w:color w:val="auto"/>
          <w:u w:val="none"/>
        </w:rPr>
        <w:t xml:space="preserve"> </w:t>
      </w:r>
      <w:r w:rsidR="00155F27" w:rsidRPr="006E07D6">
        <w:rPr>
          <w:rStyle w:val="Hyperlink"/>
          <w:color w:val="auto"/>
          <w:u w:val="none"/>
        </w:rPr>
        <w:t xml:space="preserve">plan </w:t>
      </w:r>
      <w:r w:rsidR="006E07D6">
        <w:rPr>
          <w:rStyle w:val="Hyperlink"/>
          <w:color w:val="auto"/>
          <w:u w:val="none"/>
        </w:rPr>
        <w:t>financier tenant compte des risques financiers</w:t>
      </w:r>
      <w:r w:rsidR="00AB2E46">
        <w:rPr>
          <w:rStyle w:val="Hyperlink"/>
          <w:color w:val="auto"/>
          <w:u w:val="none"/>
        </w:rPr>
        <w:t xml:space="preserve"> dudit projet</w:t>
      </w:r>
      <w:r w:rsidR="006E07D6">
        <w:rPr>
          <w:rStyle w:val="Hyperlink"/>
          <w:color w:val="auto"/>
          <w:u w:val="none"/>
        </w:rPr>
        <w:t xml:space="preserve">. </w:t>
      </w:r>
      <w:bookmarkStart w:id="26" w:name="lt_pId055"/>
      <w:bookmarkEnd w:id="25"/>
      <w:r w:rsidR="006E07D6" w:rsidRPr="0055523C">
        <w:rPr>
          <w:rStyle w:val="Hyperlink"/>
          <w:color w:val="auto"/>
          <w:u w:val="none"/>
        </w:rPr>
        <w:t>Dans la mesure où</w:t>
      </w:r>
      <w:r w:rsidR="00C74011" w:rsidRPr="0055523C">
        <w:rPr>
          <w:rStyle w:val="Hyperlink"/>
          <w:color w:val="auto"/>
          <w:u w:val="none"/>
        </w:rPr>
        <w:t xml:space="preserve"> </w:t>
      </w:r>
      <w:r w:rsidR="006E07D6" w:rsidRPr="0055523C">
        <w:rPr>
          <w:rStyle w:val="Hyperlink"/>
          <w:color w:val="auto"/>
          <w:u w:val="none"/>
        </w:rPr>
        <w:t>les</w:t>
      </w:r>
      <w:r w:rsidR="00C74011" w:rsidRPr="0055523C">
        <w:rPr>
          <w:rStyle w:val="Hyperlink"/>
          <w:color w:val="auto"/>
          <w:u w:val="none"/>
        </w:rPr>
        <w:t xml:space="preserve"> coûts estimés </w:t>
      </w:r>
      <w:r w:rsidR="001B0D69">
        <w:rPr>
          <w:rStyle w:val="Hyperlink"/>
          <w:color w:val="auto"/>
          <w:u w:val="none"/>
        </w:rPr>
        <w:t xml:space="preserve">envisagés à présent </w:t>
      </w:r>
      <w:r w:rsidR="00C74011" w:rsidRPr="0055523C">
        <w:rPr>
          <w:rStyle w:val="Hyperlink"/>
          <w:color w:val="auto"/>
          <w:u w:val="none"/>
        </w:rPr>
        <w:t xml:space="preserve">sont supérieurs aux montants </w:t>
      </w:r>
      <w:r w:rsidR="001B0D69">
        <w:rPr>
          <w:rStyle w:val="Hyperlink"/>
          <w:color w:val="auto"/>
          <w:u w:val="none"/>
        </w:rPr>
        <w:t xml:space="preserve">examinés et </w:t>
      </w:r>
      <w:r w:rsidR="00C74011" w:rsidRPr="0055523C">
        <w:rPr>
          <w:rStyle w:val="Hyperlink"/>
          <w:color w:val="auto"/>
          <w:u w:val="none"/>
        </w:rPr>
        <w:t xml:space="preserve">approuvés </w:t>
      </w:r>
      <w:r w:rsidR="001B0D69">
        <w:rPr>
          <w:rStyle w:val="Hyperlink"/>
          <w:color w:val="auto"/>
          <w:u w:val="none"/>
        </w:rPr>
        <w:t xml:space="preserve">précédemment </w:t>
      </w:r>
      <w:r w:rsidR="00C74011" w:rsidRPr="0055523C">
        <w:rPr>
          <w:rStyle w:val="Hyperlink"/>
          <w:color w:val="auto"/>
          <w:u w:val="none"/>
        </w:rPr>
        <w:t xml:space="preserve">par le Conseil, les États-Unis </w:t>
      </w:r>
      <w:r w:rsidR="001B0D69">
        <w:rPr>
          <w:rStyle w:val="Hyperlink"/>
          <w:color w:val="auto"/>
          <w:u w:val="none"/>
        </w:rPr>
        <w:t xml:space="preserve">attendent du </w:t>
      </w:r>
      <w:r w:rsidR="0055523C" w:rsidRPr="0055523C">
        <w:rPr>
          <w:rStyle w:val="Hyperlink"/>
          <w:color w:val="auto"/>
          <w:u w:val="none"/>
        </w:rPr>
        <w:t>s</w:t>
      </w:r>
      <w:r w:rsidR="00155F27" w:rsidRPr="0055523C">
        <w:rPr>
          <w:szCs w:val="24"/>
        </w:rPr>
        <w:t>ecr</w:t>
      </w:r>
      <w:r w:rsidR="0055523C" w:rsidRPr="0055523C">
        <w:rPr>
          <w:szCs w:val="24"/>
        </w:rPr>
        <w:t>é</w:t>
      </w:r>
      <w:r w:rsidR="00155F27" w:rsidRPr="0055523C">
        <w:rPr>
          <w:szCs w:val="24"/>
        </w:rPr>
        <w:t xml:space="preserve">tariat </w:t>
      </w:r>
      <w:r w:rsidR="004D5CC1">
        <w:rPr>
          <w:szCs w:val="24"/>
        </w:rPr>
        <w:t xml:space="preserve">qu'il </w:t>
      </w:r>
      <w:r w:rsidR="0055523C" w:rsidRPr="0055523C">
        <w:rPr>
          <w:szCs w:val="24"/>
        </w:rPr>
        <w:t xml:space="preserve">envisage </w:t>
      </w:r>
      <w:r>
        <w:rPr>
          <w:szCs w:val="24"/>
        </w:rPr>
        <w:t>d'apporter, dans la mesure du possible, des modifications</w:t>
      </w:r>
      <w:r w:rsidR="0055523C">
        <w:rPr>
          <w:szCs w:val="24"/>
        </w:rPr>
        <w:t xml:space="preserve"> </w:t>
      </w:r>
      <w:r w:rsidR="004D5CC1">
        <w:rPr>
          <w:szCs w:val="24"/>
        </w:rPr>
        <w:t xml:space="preserve">à </w:t>
      </w:r>
      <w:r>
        <w:rPr>
          <w:szCs w:val="24"/>
        </w:rPr>
        <w:t>la conception du</w:t>
      </w:r>
      <w:r w:rsidR="0055523C">
        <w:rPr>
          <w:szCs w:val="24"/>
        </w:rPr>
        <w:t xml:space="preserve"> bâtiment et </w:t>
      </w:r>
      <w:r w:rsidR="004D5CC1">
        <w:rPr>
          <w:szCs w:val="24"/>
        </w:rPr>
        <w:t xml:space="preserve">qu'il prenne </w:t>
      </w:r>
      <w:r w:rsidR="0004495A">
        <w:rPr>
          <w:szCs w:val="24"/>
        </w:rPr>
        <w:t xml:space="preserve">les </w:t>
      </w:r>
      <w:r w:rsidR="0055523C">
        <w:rPr>
          <w:szCs w:val="24"/>
        </w:rPr>
        <w:t xml:space="preserve">autres mesures </w:t>
      </w:r>
      <w:r w:rsidR="0004495A">
        <w:rPr>
          <w:szCs w:val="24"/>
        </w:rPr>
        <w:t xml:space="preserve">nécessaires </w:t>
      </w:r>
      <w:r w:rsidR="0055523C">
        <w:rPr>
          <w:szCs w:val="24"/>
        </w:rPr>
        <w:t xml:space="preserve">pour faire en sorte </w:t>
      </w:r>
      <w:r w:rsidR="009C7806">
        <w:rPr>
          <w:szCs w:val="24"/>
        </w:rPr>
        <w:t xml:space="preserve">que les coûts ne dépassent pas </w:t>
      </w:r>
      <w:r w:rsidR="0004495A">
        <w:rPr>
          <w:szCs w:val="24"/>
        </w:rPr>
        <w:t>les montants</w:t>
      </w:r>
      <w:r w:rsidR="00716776">
        <w:rPr>
          <w:szCs w:val="24"/>
        </w:rPr>
        <w:t xml:space="preserve"> </w:t>
      </w:r>
      <w:r w:rsidR="0004495A">
        <w:rPr>
          <w:szCs w:val="24"/>
        </w:rPr>
        <w:t xml:space="preserve">approuvés </w:t>
      </w:r>
      <w:r w:rsidR="004D5CC1">
        <w:rPr>
          <w:szCs w:val="24"/>
        </w:rPr>
        <w:t xml:space="preserve">précédemment, tout en respectant l'objectif fixé, à savoir </w:t>
      </w:r>
      <w:r w:rsidR="0004495A">
        <w:rPr>
          <w:szCs w:val="24"/>
        </w:rPr>
        <w:t xml:space="preserve">disposer </w:t>
      </w:r>
      <w:r w:rsidR="00716776">
        <w:rPr>
          <w:szCs w:val="24"/>
        </w:rPr>
        <w:t>d</w:t>
      </w:r>
      <w:r w:rsidR="004D5CC1">
        <w:rPr>
          <w:szCs w:val="24"/>
        </w:rPr>
        <w:t>'un immeuble de</w:t>
      </w:r>
      <w:r w:rsidR="00716776">
        <w:rPr>
          <w:szCs w:val="24"/>
        </w:rPr>
        <w:t xml:space="preserve"> bureaux</w:t>
      </w:r>
      <w:r w:rsidR="0004495A">
        <w:rPr>
          <w:szCs w:val="24"/>
        </w:rPr>
        <w:t xml:space="preserve"> fonctionnel </w:t>
      </w:r>
      <w:r w:rsidR="00EF2FFC">
        <w:rPr>
          <w:szCs w:val="24"/>
        </w:rPr>
        <w:t xml:space="preserve">qui réponde </w:t>
      </w:r>
      <w:r w:rsidR="0004495A">
        <w:rPr>
          <w:szCs w:val="24"/>
        </w:rPr>
        <w:t xml:space="preserve">aux besoins de l'Union. </w:t>
      </w:r>
      <w:bookmarkStart w:id="27" w:name="lt_pId056"/>
      <w:bookmarkEnd w:id="26"/>
      <w:r w:rsidR="0004495A" w:rsidRPr="0004495A">
        <w:rPr>
          <w:szCs w:val="24"/>
        </w:rPr>
        <w:t>En outre</w:t>
      </w:r>
      <w:r w:rsidR="00155F27" w:rsidRPr="0004495A">
        <w:rPr>
          <w:szCs w:val="24"/>
        </w:rPr>
        <w:t xml:space="preserve">, </w:t>
      </w:r>
      <w:r w:rsidR="0004495A">
        <w:rPr>
          <w:szCs w:val="24"/>
        </w:rPr>
        <w:t xml:space="preserve">nous </w:t>
      </w:r>
      <w:r w:rsidR="0004495A" w:rsidRPr="0004495A">
        <w:rPr>
          <w:szCs w:val="24"/>
        </w:rPr>
        <w:t xml:space="preserve">engageons vivement le secrétariat à </w:t>
      </w:r>
      <w:r w:rsidR="00155F27" w:rsidRPr="0004495A">
        <w:rPr>
          <w:szCs w:val="24"/>
        </w:rPr>
        <w:t>continue</w:t>
      </w:r>
      <w:r w:rsidR="0004495A" w:rsidRPr="0004495A">
        <w:rPr>
          <w:szCs w:val="24"/>
        </w:rPr>
        <w:t xml:space="preserve">r de collaborer avec </w:t>
      </w:r>
      <w:r w:rsidR="00EF2FFC">
        <w:rPr>
          <w:szCs w:val="24"/>
        </w:rPr>
        <w:t xml:space="preserve">le Gouvernement suisse </w:t>
      </w:r>
      <w:r w:rsidR="0004495A" w:rsidRPr="0004495A">
        <w:rPr>
          <w:szCs w:val="24"/>
        </w:rPr>
        <w:t>pour d</w:t>
      </w:r>
      <w:r w:rsidR="0004495A">
        <w:rPr>
          <w:szCs w:val="24"/>
        </w:rPr>
        <w:t>é</w:t>
      </w:r>
      <w:r w:rsidR="0004495A" w:rsidRPr="0004495A">
        <w:rPr>
          <w:szCs w:val="24"/>
        </w:rPr>
        <w:t>terminer si certains co</w:t>
      </w:r>
      <w:r w:rsidR="0004495A">
        <w:rPr>
          <w:szCs w:val="24"/>
        </w:rPr>
        <w:t xml:space="preserve">ûts </w:t>
      </w:r>
      <w:r w:rsidR="009C3D45">
        <w:rPr>
          <w:szCs w:val="24"/>
        </w:rPr>
        <w:t xml:space="preserve">liés à la </w:t>
      </w:r>
      <w:r w:rsidR="0004495A">
        <w:rPr>
          <w:szCs w:val="24"/>
        </w:rPr>
        <w:t xml:space="preserve">sécurité </w:t>
      </w:r>
      <w:r w:rsidR="009C3D45">
        <w:rPr>
          <w:szCs w:val="24"/>
        </w:rPr>
        <w:t xml:space="preserve">à l'extérieur </w:t>
      </w:r>
      <w:r w:rsidR="0004495A">
        <w:rPr>
          <w:szCs w:val="24"/>
        </w:rPr>
        <w:t xml:space="preserve">ou </w:t>
      </w:r>
      <w:r w:rsidR="009C3D45">
        <w:rPr>
          <w:szCs w:val="24"/>
        </w:rPr>
        <w:t xml:space="preserve">d'autres </w:t>
      </w:r>
      <w:r w:rsidR="0004495A">
        <w:rPr>
          <w:szCs w:val="24"/>
        </w:rPr>
        <w:t xml:space="preserve">coûts </w:t>
      </w:r>
      <w:r w:rsidR="009C3D45">
        <w:rPr>
          <w:szCs w:val="24"/>
        </w:rPr>
        <w:t xml:space="preserve">en général </w:t>
      </w:r>
      <w:r w:rsidR="0004495A">
        <w:rPr>
          <w:szCs w:val="24"/>
        </w:rPr>
        <w:t>peuvent être pris en charge par le pays hôte.</w:t>
      </w:r>
      <w:bookmarkEnd w:id="27"/>
    </w:p>
    <w:p w14:paraId="57AC2CB0" w14:textId="77777777" w:rsidR="0089779D" w:rsidRDefault="0089779D" w:rsidP="004E255B">
      <w:pPr>
        <w:rPr>
          <w:rFonts w:asciiTheme="minorHAnsi" w:hAnsiTheme="minorHAnsi" w:cstheme="minorHAnsi"/>
          <w:szCs w:val="24"/>
        </w:rPr>
      </w:pPr>
      <w:bookmarkStart w:id="28" w:name="lt_pId057"/>
      <w:r>
        <w:rPr>
          <w:rFonts w:asciiTheme="minorHAnsi" w:hAnsiTheme="minorHAnsi" w:cstheme="minorHAnsi"/>
          <w:szCs w:val="24"/>
        </w:rPr>
        <w:br w:type="page"/>
      </w:r>
    </w:p>
    <w:p w14:paraId="78A66BB4" w14:textId="69AF4AA7" w:rsidR="00155F27" w:rsidRPr="00191AE7" w:rsidRDefault="0004495A" w:rsidP="004E255B">
      <w:pPr>
        <w:rPr>
          <w:rFonts w:asciiTheme="minorHAnsi" w:hAnsiTheme="minorHAnsi" w:cstheme="minorHAnsi"/>
        </w:rPr>
      </w:pPr>
      <w:r w:rsidRPr="0004495A">
        <w:rPr>
          <w:rFonts w:asciiTheme="minorHAnsi" w:hAnsiTheme="minorHAnsi" w:cstheme="minorHAnsi"/>
          <w:szCs w:val="24"/>
        </w:rPr>
        <w:lastRenderedPageBreak/>
        <w:t>Indépendamment du véritable coût du projet</w:t>
      </w:r>
      <w:r w:rsidR="00155F27" w:rsidRPr="0004495A">
        <w:rPr>
          <w:rFonts w:asciiTheme="minorHAnsi" w:hAnsiTheme="minorHAnsi" w:cstheme="minorHAnsi"/>
          <w:szCs w:val="24"/>
        </w:rPr>
        <w:t xml:space="preserve">, </w:t>
      </w:r>
      <w:r w:rsidRPr="0004495A">
        <w:rPr>
          <w:rFonts w:asciiTheme="minorHAnsi" w:hAnsiTheme="minorHAnsi" w:cstheme="minorHAnsi"/>
          <w:szCs w:val="24"/>
        </w:rPr>
        <w:t xml:space="preserve">il faut </w:t>
      </w:r>
      <w:r w:rsidR="008F0BD3">
        <w:rPr>
          <w:rFonts w:asciiTheme="minorHAnsi" w:hAnsiTheme="minorHAnsi" w:cstheme="minorHAnsi"/>
          <w:szCs w:val="24"/>
        </w:rPr>
        <w:t>disposer</w:t>
      </w:r>
      <w:r w:rsidRPr="0004495A">
        <w:rPr>
          <w:rFonts w:asciiTheme="minorHAnsi" w:hAnsiTheme="minorHAnsi" w:cstheme="minorHAnsi"/>
          <w:szCs w:val="24"/>
        </w:rPr>
        <w:t xml:space="preserve"> d'un plan financier</w:t>
      </w:r>
      <w:r w:rsidR="00155F27" w:rsidRPr="0004495A">
        <w:rPr>
          <w:rFonts w:asciiTheme="minorHAnsi" w:hAnsiTheme="minorHAnsi" w:cstheme="minorHAnsi"/>
          <w:szCs w:val="24"/>
        </w:rPr>
        <w:t xml:space="preserve"> </w:t>
      </w:r>
      <w:r w:rsidR="00A701DF">
        <w:rPr>
          <w:rFonts w:asciiTheme="minorHAnsi" w:hAnsiTheme="minorHAnsi" w:cstheme="minorHAnsi"/>
          <w:szCs w:val="24"/>
        </w:rPr>
        <w:t xml:space="preserve">solide </w:t>
      </w:r>
      <w:r w:rsidRPr="0004495A">
        <w:rPr>
          <w:rFonts w:asciiTheme="minorHAnsi" w:hAnsiTheme="minorHAnsi" w:cstheme="minorHAnsi"/>
          <w:szCs w:val="24"/>
        </w:rPr>
        <w:t xml:space="preserve">comprenant une analyse crédible </w:t>
      </w:r>
      <w:r w:rsidR="008F0BD3">
        <w:t>des risques financiers</w:t>
      </w:r>
      <w:r w:rsidRPr="0004495A">
        <w:t xml:space="preserve"> </w:t>
      </w:r>
      <w:r w:rsidR="00716776">
        <w:t xml:space="preserve">et </w:t>
      </w:r>
      <w:r w:rsidR="00A701DF">
        <w:t>un plan de financement</w:t>
      </w:r>
      <w:r w:rsidR="00155F27" w:rsidRPr="0004495A">
        <w:t xml:space="preserve"> </w:t>
      </w:r>
      <w:r w:rsidR="00A701DF">
        <w:t xml:space="preserve">réaliste pour l'intégralité du projet de </w:t>
      </w:r>
      <w:r w:rsidR="007B3761">
        <w:t>mise en service du</w:t>
      </w:r>
      <w:r w:rsidR="00A701DF">
        <w:t xml:space="preserve"> nouveau bâtiment du siège de l'UIT à Genève. À la session ordinaire de 2019</w:t>
      </w:r>
      <w:r w:rsidR="00855C95">
        <w:t xml:space="preserve"> du Conseil</w:t>
      </w:r>
      <w:r w:rsidR="00A701DF">
        <w:t xml:space="preserve">, </w:t>
      </w:r>
      <w:r w:rsidR="006E75AE">
        <w:t xml:space="preserve">ce point de vue a recueilli une large adhésion parmi les </w:t>
      </w:r>
      <w:r w:rsidR="00A701DF">
        <w:t>États Membres</w:t>
      </w:r>
      <w:r w:rsidR="00155F27" w:rsidRPr="0004495A">
        <w:rPr>
          <w:rFonts w:asciiTheme="minorHAnsi" w:hAnsiTheme="minorHAnsi" w:cstheme="minorHAnsi"/>
          <w:szCs w:val="24"/>
        </w:rPr>
        <w:t>.</w:t>
      </w:r>
      <w:bookmarkEnd w:id="28"/>
      <w:r w:rsidR="00155F27" w:rsidRPr="0004495A">
        <w:rPr>
          <w:rFonts w:asciiTheme="minorHAnsi" w:hAnsiTheme="minorHAnsi" w:cstheme="minorHAnsi"/>
          <w:szCs w:val="24"/>
        </w:rPr>
        <w:t xml:space="preserve"> </w:t>
      </w:r>
      <w:bookmarkStart w:id="29" w:name="lt_pId059"/>
      <w:r w:rsidR="00A701DF" w:rsidRPr="00A701DF">
        <w:rPr>
          <w:rFonts w:asciiTheme="minorHAnsi" w:hAnsiTheme="minorHAnsi" w:cstheme="minorHAnsi"/>
          <w:szCs w:val="24"/>
        </w:rPr>
        <w:t xml:space="preserve">C'est pourquoi la session extraordinaire du Conseil </w:t>
      </w:r>
      <w:r w:rsidR="00416D32">
        <w:rPr>
          <w:rFonts w:asciiTheme="minorHAnsi" w:hAnsiTheme="minorHAnsi" w:cstheme="minorHAnsi"/>
          <w:szCs w:val="24"/>
        </w:rPr>
        <w:t xml:space="preserve">en cours </w:t>
      </w:r>
      <w:r w:rsidR="00A701DF" w:rsidRPr="00A701DF">
        <w:rPr>
          <w:rFonts w:asciiTheme="minorHAnsi" w:hAnsiTheme="minorHAnsi" w:cstheme="minorHAnsi"/>
          <w:szCs w:val="24"/>
        </w:rPr>
        <w:t>a été convoquée.</w:t>
      </w:r>
      <w:bookmarkEnd w:id="29"/>
      <w:r w:rsidR="00155F27" w:rsidRPr="00191AE7">
        <w:t xml:space="preserve"> </w:t>
      </w:r>
      <w:bookmarkStart w:id="30" w:name="lt_pId060"/>
      <w:r w:rsidR="00191AE7" w:rsidRPr="00191AE7">
        <w:t xml:space="preserve">La session ordinaire a permis de mettre en </w:t>
      </w:r>
      <w:r w:rsidR="00191AE7">
        <w:t>évidence</w:t>
      </w:r>
      <w:r w:rsidR="006E75AE">
        <w:t xml:space="preserve">, dans le Document </w:t>
      </w:r>
      <w:hyperlink r:id="rId21" w:history="1">
        <w:r w:rsidR="006E75AE" w:rsidRPr="00191AE7">
          <w:rPr>
            <w:rStyle w:val="Hyperlink"/>
          </w:rPr>
          <w:t>C19/DL/12</w:t>
        </w:r>
      </w:hyperlink>
      <w:r w:rsidR="006E75AE">
        <w:t xml:space="preserve">, plusieurs </w:t>
      </w:r>
      <w:r w:rsidR="00191AE7">
        <w:t>points à éclaircir avant l</w:t>
      </w:r>
      <w:r w:rsidR="00416D32">
        <w:t>e début de la</w:t>
      </w:r>
      <w:r w:rsidR="00191AE7">
        <w:t xml:space="preserve"> session </w:t>
      </w:r>
      <w:r w:rsidR="00416D32">
        <w:t>en cours</w:t>
      </w:r>
      <w:r w:rsidR="00191AE7">
        <w:t xml:space="preserve">. </w:t>
      </w:r>
      <w:bookmarkStart w:id="31" w:name="lt_pId061"/>
      <w:bookmarkEnd w:id="30"/>
      <w:r w:rsidR="00191AE7" w:rsidRPr="00191AE7">
        <w:t>Ces points ont été reproduits dans l'</w:t>
      </w:r>
      <w:r w:rsidR="00155F27" w:rsidRPr="00191AE7">
        <w:t>Annex</w:t>
      </w:r>
      <w:r w:rsidR="00191AE7" w:rsidRPr="00191AE7">
        <w:t>e</w:t>
      </w:r>
      <w:r w:rsidR="00155F27" w:rsidRPr="00191AE7">
        <w:t xml:space="preserve"> </w:t>
      </w:r>
      <w:r w:rsidR="006E75AE">
        <w:t>de</w:t>
      </w:r>
      <w:r w:rsidR="00191AE7" w:rsidRPr="00191AE7">
        <w:t xml:space="preserve"> la présente </w:t>
      </w:r>
      <w:r w:rsidR="00155F27" w:rsidRPr="00191AE7">
        <w:t>contribution,</w:t>
      </w:r>
      <w:r w:rsidR="004F6548">
        <w:t xml:space="preserve"> </w:t>
      </w:r>
      <w:r w:rsidR="006E75AE">
        <w:t xml:space="preserve">moyennant la reformulation de certains termes et l'adjonction de </w:t>
      </w:r>
      <w:r w:rsidR="00191AE7">
        <w:t xml:space="preserve">la question </w:t>
      </w:r>
      <w:r w:rsidR="006E75AE">
        <w:t>sup</w:t>
      </w:r>
      <w:r w:rsidR="00191AE7">
        <w:t xml:space="preserve">plémentaire </w:t>
      </w:r>
      <w:r w:rsidR="006E75AE">
        <w:t>identifiée</w:t>
      </w:r>
      <w:r w:rsidR="00191AE7">
        <w:t xml:space="preserve"> dans le Document </w:t>
      </w:r>
      <w:hyperlink r:id="rId22" w:history="1">
        <w:r w:rsidR="00155F27" w:rsidRPr="00191AE7">
          <w:rPr>
            <w:rStyle w:val="Hyperlink"/>
          </w:rPr>
          <w:t>C19/120</w:t>
        </w:r>
      </w:hyperlink>
      <w:r w:rsidR="00155F27" w:rsidRPr="00191AE7">
        <w:t>.</w:t>
      </w:r>
      <w:bookmarkEnd w:id="31"/>
      <w:r w:rsidR="00155F27" w:rsidRPr="00191AE7">
        <w:t xml:space="preserve"> </w:t>
      </w:r>
      <w:bookmarkStart w:id="32" w:name="lt_pId062"/>
      <w:r w:rsidR="00191AE7" w:rsidRPr="00191AE7">
        <w:t>À sa session ordinaire de 2019, le Conseil</w:t>
      </w:r>
      <w:r w:rsidR="00155F27" w:rsidRPr="00191AE7">
        <w:t xml:space="preserve"> </w:t>
      </w:r>
      <w:proofErr w:type="gramStart"/>
      <w:r w:rsidR="00191AE7" w:rsidRPr="00191AE7">
        <w:t>a</w:t>
      </w:r>
      <w:proofErr w:type="gramEnd"/>
      <w:r w:rsidR="00191AE7" w:rsidRPr="00191AE7">
        <w:t xml:space="preserve"> demandé au </w:t>
      </w:r>
      <w:r w:rsidR="00155F27" w:rsidRPr="00191AE7">
        <w:rPr>
          <w:rFonts w:asciiTheme="minorHAnsi" w:hAnsiTheme="minorHAnsi" w:cstheme="minorHAnsi"/>
        </w:rPr>
        <w:t>secr</w:t>
      </w:r>
      <w:r w:rsidR="00191AE7" w:rsidRPr="00191AE7">
        <w:rPr>
          <w:rFonts w:asciiTheme="minorHAnsi" w:hAnsiTheme="minorHAnsi" w:cstheme="minorHAnsi"/>
        </w:rPr>
        <w:t>é</w:t>
      </w:r>
      <w:r w:rsidR="00155F27" w:rsidRPr="00191AE7">
        <w:rPr>
          <w:rFonts w:asciiTheme="minorHAnsi" w:hAnsiTheme="minorHAnsi" w:cstheme="minorHAnsi"/>
        </w:rPr>
        <w:t xml:space="preserve">tariat </w:t>
      </w:r>
      <w:r w:rsidR="008634B4">
        <w:rPr>
          <w:rFonts w:asciiTheme="minorHAnsi" w:hAnsiTheme="minorHAnsi" w:cstheme="minorHAnsi"/>
        </w:rPr>
        <w:t xml:space="preserve">de traiter ces points </w:t>
      </w:r>
      <w:r w:rsidR="004F6548">
        <w:rPr>
          <w:rFonts w:asciiTheme="minorHAnsi" w:hAnsiTheme="minorHAnsi" w:cstheme="minorHAnsi"/>
        </w:rPr>
        <w:t xml:space="preserve">par écrit </w:t>
      </w:r>
      <w:r w:rsidR="00191AE7">
        <w:rPr>
          <w:rFonts w:asciiTheme="minorHAnsi" w:hAnsiTheme="minorHAnsi" w:cstheme="minorHAnsi"/>
        </w:rPr>
        <w:t xml:space="preserve">au </w:t>
      </w:r>
      <w:r w:rsidR="004F6548">
        <w:rPr>
          <w:rFonts w:asciiTheme="minorHAnsi" w:hAnsiTheme="minorHAnsi" w:cstheme="minorHAnsi"/>
        </w:rPr>
        <w:t>moins</w:t>
      </w:r>
      <w:r w:rsidR="00191AE7">
        <w:rPr>
          <w:rFonts w:asciiTheme="minorHAnsi" w:hAnsiTheme="minorHAnsi" w:cstheme="minorHAnsi"/>
        </w:rPr>
        <w:t xml:space="preserve"> </w:t>
      </w:r>
      <w:r w:rsidR="00155F27" w:rsidRPr="00191AE7">
        <w:rPr>
          <w:rFonts w:asciiTheme="minorHAnsi" w:hAnsiTheme="minorHAnsi" w:cstheme="minorHAnsi"/>
        </w:rPr>
        <w:t xml:space="preserve">2 </w:t>
      </w:r>
      <w:r w:rsidR="00191AE7">
        <w:rPr>
          <w:rFonts w:asciiTheme="minorHAnsi" w:hAnsiTheme="minorHAnsi" w:cstheme="minorHAnsi"/>
        </w:rPr>
        <w:t>semaines avant l</w:t>
      </w:r>
      <w:r w:rsidR="008634B4">
        <w:rPr>
          <w:rFonts w:asciiTheme="minorHAnsi" w:hAnsiTheme="minorHAnsi" w:cstheme="minorHAnsi"/>
        </w:rPr>
        <w:t xml:space="preserve">a date </w:t>
      </w:r>
      <w:r w:rsidR="00191AE7">
        <w:rPr>
          <w:rFonts w:asciiTheme="minorHAnsi" w:hAnsiTheme="minorHAnsi" w:cstheme="minorHAnsi"/>
        </w:rPr>
        <w:t>de la session extraordinaire</w:t>
      </w:r>
      <w:r w:rsidR="004F6548">
        <w:rPr>
          <w:rFonts w:asciiTheme="minorHAnsi" w:hAnsiTheme="minorHAnsi" w:cstheme="minorHAnsi"/>
        </w:rPr>
        <w:t xml:space="preserve"> en cours</w:t>
      </w:r>
      <w:r w:rsidR="00155F27" w:rsidRPr="00191AE7">
        <w:rPr>
          <w:rFonts w:asciiTheme="minorHAnsi" w:hAnsiTheme="minorHAnsi" w:cstheme="minorHAnsi"/>
        </w:rPr>
        <w:t>.</w:t>
      </w:r>
      <w:bookmarkEnd w:id="32"/>
    </w:p>
    <w:p w14:paraId="1A004C3A" w14:textId="06F3546C" w:rsidR="00155F27" w:rsidRPr="007B3761" w:rsidRDefault="00E564F8" w:rsidP="004E255B">
      <w:bookmarkStart w:id="33" w:name="lt_pId063"/>
      <w:r w:rsidRPr="00E564F8">
        <w:t>De plus</w:t>
      </w:r>
      <w:r w:rsidR="00161630" w:rsidRPr="00E564F8">
        <w:t>,</w:t>
      </w:r>
      <w:r w:rsidRPr="00E564F8">
        <w:t xml:space="preserve"> comme indiqué dans le Document</w:t>
      </w:r>
      <w:r w:rsidR="00161630" w:rsidRPr="00E564F8">
        <w:t xml:space="preserve"> </w:t>
      </w:r>
      <w:hyperlink r:id="rId23" w:history="1">
        <w:r w:rsidR="00161630" w:rsidRPr="00E564F8">
          <w:rPr>
            <w:rStyle w:val="Hyperlink"/>
          </w:rPr>
          <w:t>C19/120</w:t>
        </w:r>
      </w:hyperlink>
      <w:r w:rsidR="00161630" w:rsidRPr="00E564F8">
        <w:t xml:space="preserve">, </w:t>
      </w:r>
      <w:r w:rsidR="008634B4">
        <w:t xml:space="preserve">la question a été posée de savoir, lors de la </w:t>
      </w:r>
      <w:r w:rsidRPr="00E564F8">
        <w:t xml:space="preserve">session de 2019 </w:t>
      </w:r>
      <w:r w:rsidR="008634B4">
        <w:t>du Conseil, s'il était possible</w:t>
      </w:r>
      <w:r w:rsidRPr="00E564F8">
        <w:t>, en droit, de conditionner la vente de la Tour</w:t>
      </w:r>
      <w:r w:rsidR="00161630" w:rsidRPr="00E564F8">
        <w:t xml:space="preserve"> </w:t>
      </w:r>
      <w:r>
        <w:t>à la conservation de la salle Popov par l'UIT pendant une période déterminée après sa mise en vente.</w:t>
      </w:r>
      <w:bookmarkEnd w:id="33"/>
      <w:r w:rsidR="00161630" w:rsidRPr="00E564F8">
        <w:t xml:space="preserve"> </w:t>
      </w:r>
      <w:r w:rsidR="00161630" w:rsidRPr="005A59F3">
        <w:t>Le secrétariat vérifiera auprès des autorités suisses qu'il n'existe aucun obstacle juridique à cette condition</w:t>
      </w:r>
      <w:r>
        <w:t xml:space="preserve">. </w:t>
      </w:r>
      <w:r w:rsidRPr="00E564F8">
        <w:t>Une telle option pourrait avoir des incidences financières sur le coût du projet</w:t>
      </w:r>
      <w:r>
        <w:t xml:space="preserve"> et les recettes</w:t>
      </w:r>
      <w:r w:rsidR="007B3761">
        <w:t xml:space="preserve"> qu'il est possible </w:t>
      </w:r>
      <w:r w:rsidR="005737E8">
        <w:t>de tirer de la vente de la Tour</w:t>
      </w:r>
      <w:r w:rsidR="008634B4">
        <w:t>.</w:t>
      </w:r>
      <w:r w:rsidR="005737E8">
        <w:t xml:space="preserve"> </w:t>
      </w:r>
      <w:r w:rsidR="008634B4">
        <w:t>L</w:t>
      </w:r>
      <w:r w:rsidR="004F6548">
        <w:t>e</w:t>
      </w:r>
      <w:r w:rsidR="007B3761">
        <w:t xml:space="preserve"> plan financier</w:t>
      </w:r>
      <w:r w:rsidR="004F6548">
        <w:t xml:space="preserve"> </w:t>
      </w:r>
      <w:r w:rsidR="005737E8">
        <w:t>devra</w:t>
      </w:r>
      <w:r w:rsidR="004F6548">
        <w:t xml:space="preserve"> tenir compte</w:t>
      </w:r>
      <w:r w:rsidR="008634B4">
        <w:t xml:space="preserve"> de ces incidences</w:t>
      </w:r>
      <w:r w:rsidR="00161630" w:rsidRPr="007B3761">
        <w:t>.</w:t>
      </w:r>
    </w:p>
    <w:p w14:paraId="6297DA44" w14:textId="77777777" w:rsidR="00161630" w:rsidRPr="00593634" w:rsidRDefault="00161630" w:rsidP="004E255B">
      <w:pPr>
        <w:pStyle w:val="Headingb"/>
      </w:pPr>
      <w:bookmarkStart w:id="34" w:name="lt_pId067"/>
      <w:r w:rsidRPr="00593634">
        <w:t>Conclusion</w:t>
      </w:r>
      <w:bookmarkEnd w:id="34"/>
    </w:p>
    <w:p w14:paraId="769D5378" w14:textId="52233E5F" w:rsidR="00161630" w:rsidRPr="007B3761" w:rsidRDefault="007B3761" w:rsidP="004E255B">
      <w:bookmarkStart w:id="35" w:name="lt_pId068"/>
      <w:r w:rsidRPr="007B3761">
        <w:t xml:space="preserve">Les États-Unis </w:t>
      </w:r>
      <w:r w:rsidR="00033263">
        <w:t>demeurent convaincus</w:t>
      </w:r>
      <w:r w:rsidR="00161630" w:rsidRPr="007B3761">
        <w:t xml:space="preserve"> </w:t>
      </w:r>
      <w:r w:rsidRPr="007B3761">
        <w:t xml:space="preserve">qu'il </w:t>
      </w:r>
      <w:r w:rsidR="008634B4">
        <w:t xml:space="preserve">est </w:t>
      </w:r>
      <w:r w:rsidRPr="007B3761">
        <w:t xml:space="preserve">absolument </w:t>
      </w:r>
      <w:r w:rsidR="008634B4">
        <w:t xml:space="preserve">indispensable de chercher </w:t>
      </w:r>
      <w:r w:rsidRPr="007B3761">
        <w:t xml:space="preserve">à réduire les coûts du projet, qui </w:t>
      </w:r>
      <w:r w:rsidR="00C830BC">
        <w:t>devraient augmenter</w:t>
      </w:r>
      <w:r w:rsidRPr="007B3761">
        <w:t>,</w:t>
      </w:r>
      <w:r w:rsidR="00161630" w:rsidRPr="007B3761">
        <w:t xml:space="preserve"> </w:t>
      </w:r>
      <w:r w:rsidRPr="007B3761">
        <w:t xml:space="preserve">et </w:t>
      </w:r>
      <w:r w:rsidR="00C830BC">
        <w:t>d'</w:t>
      </w:r>
      <w:r w:rsidRPr="007B3761">
        <w:t xml:space="preserve">établir un plan financier comprenant une analyse crédible </w:t>
      </w:r>
      <w:r w:rsidR="008F0BD3">
        <w:t>des risques financiers</w:t>
      </w:r>
      <w:r w:rsidRPr="007B3761">
        <w:t xml:space="preserve"> </w:t>
      </w:r>
      <w:r>
        <w:t>et un plan de financement réaliste pour l'intégralité du projet de mise en service du nouveau bâtiment du siège de l'UIT à Genève</w:t>
      </w:r>
      <w:r w:rsidR="00161630" w:rsidRPr="007B3761">
        <w:t>.</w:t>
      </w:r>
      <w:bookmarkEnd w:id="35"/>
      <w:r w:rsidR="00161630" w:rsidRPr="007B3761">
        <w:t xml:space="preserve"> </w:t>
      </w:r>
      <w:bookmarkStart w:id="36" w:name="lt_pId069"/>
      <w:r w:rsidRPr="007B3761">
        <w:t xml:space="preserve">Ils </w:t>
      </w:r>
      <w:r w:rsidR="00C830BC">
        <w:t xml:space="preserve">espèrent </w:t>
      </w:r>
      <w:r w:rsidRPr="007B3761">
        <w:t>obtenir les informations demandées par le Conseil à sa session de 2019</w:t>
      </w:r>
      <w:r w:rsidR="003E7749">
        <w:t>,</w:t>
      </w:r>
      <w:r w:rsidRPr="007B3761">
        <w:t xml:space="preserve"> </w:t>
      </w:r>
      <w:r>
        <w:t>dont il est à nouveau question dans la présente contribution</w:t>
      </w:r>
      <w:r w:rsidR="00161630" w:rsidRPr="007B3761">
        <w:t>.</w:t>
      </w:r>
      <w:bookmarkEnd w:id="36"/>
      <w:r w:rsidR="00161630" w:rsidRPr="007B3761">
        <w:t xml:space="preserve"> </w:t>
      </w:r>
      <w:bookmarkStart w:id="37" w:name="lt_pId070"/>
      <w:r w:rsidRPr="007B3761">
        <w:t xml:space="preserve">Les États-Unis ne </w:t>
      </w:r>
      <w:r w:rsidR="00C830BC">
        <w:t>pourront</w:t>
      </w:r>
      <w:r w:rsidRPr="007B3761">
        <w:t xml:space="preserve"> être fa</w:t>
      </w:r>
      <w:r w:rsidRPr="007B3761">
        <w:lastRenderedPageBreak/>
        <w:t xml:space="preserve">vorables à la poursuite du projet de construction que </w:t>
      </w:r>
      <w:r w:rsidR="00C830BC">
        <w:t xml:space="preserve">si des </w:t>
      </w:r>
      <w:r w:rsidR="00161630" w:rsidRPr="007B3761">
        <w:t>information</w:t>
      </w:r>
      <w:r>
        <w:t xml:space="preserve">s </w:t>
      </w:r>
      <w:r w:rsidR="00C830BC">
        <w:t xml:space="preserve">probantes permettant d'établir ce </w:t>
      </w:r>
      <w:r w:rsidR="00975298">
        <w:t>plan financier</w:t>
      </w:r>
      <w:r w:rsidR="00C830BC">
        <w:t xml:space="preserve"> sont fournies avant le 14 septembre</w:t>
      </w:r>
      <w:r w:rsidR="003E7749">
        <w:t xml:space="preserve">, comme </w:t>
      </w:r>
      <w:r w:rsidR="00C830BC">
        <w:t xml:space="preserve">l'a </w:t>
      </w:r>
      <w:r w:rsidR="003E7749">
        <w:t>demandé le Conseil</w:t>
      </w:r>
      <w:bookmarkEnd w:id="37"/>
      <w:r w:rsidR="003E7749">
        <w:t>.</w:t>
      </w:r>
    </w:p>
    <w:p w14:paraId="0C980A99" w14:textId="524A5C1F" w:rsidR="00161630" w:rsidRPr="00EF6170" w:rsidRDefault="00975298" w:rsidP="004E255B">
      <w:bookmarkStart w:id="38" w:name="lt_pId071"/>
      <w:r w:rsidRPr="00975298">
        <w:t xml:space="preserve">Une fois </w:t>
      </w:r>
      <w:r w:rsidR="00627DA4">
        <w:t xml:space="preserve">que </w:t>
      </w:r>
      <w:r w:rsidRPr="00975298">
        <w:t>ces</w:t>
      </w:r>
      <w:r w:rsidR="00161630" w:rsidRPr="00975298">
        <w:t xml:space="preserve"> information</w:t>
      </w:r>
      <w:r w:rsidRPr="00975298">
        <w:t>s</w:t>
      </w:r>
      <w:r w:rsidR="00161630" w:rsidRPr="00975298">
        <w:t xml:space="preserve"> </w:t>
      </w:r>
      <w:r w:rsidR="00627DA4">
        <w:t xml:space="preserve">seront </w:t>
      </w:r>
      <w:r w:rsidRPr="00975298">
        <w:t>communiquées par le S</w:t>
      </w:r>
      <w:r w:rsidR="00161630" w:rsidRPr="00975298">
        <w:t>ecr</w:t>
      </w:r>
      <w:r w:rsidRPr="00975298">
        <w:t>é</w:t>
      </w:r>
      <w:r w:rsidR="00161630" w:rsidRPr="00975298">
        <w:t xml:space="preserve">tariat, </w:t>
      </w:r>
      <w:r w:rsidRPr="00975298">
        <w:t>les États-Unis</w:t>
      </w:r>
      <w:r w:rsidR="00627DA4">
        <w:t xml:space="preserve"> formuleront peut-être</w:t>
      </w:r>
      <w:r w:rsidRPr="00975298">
        <w:t xml:space="preserve"> </w:t>
      </w:r>
      <w:r>
        <w:t xml:space="preserve">d'autres </w:t>
      </w:r>
      <w:r w:rsidR="00161630" w:rsidRPr="00975298">
        <w:t xml:space="preserve">observations </w:t>
      </w:r>
      <w:r w:rsidR="00627DA4">
        <w:t>pendant la session</w:t>
      </w:r>
      <w:r w:rsidR="00161630" w:rsidRPr="00975298">
        <w:t>.</w:t>
      </w:r>
      <w:bookmarkEnd w:id="38"/>
      <w:r w:rsidR="00161630" w:rsidRPr="00975298">
        <w:t xml:space="preserve"> </w:t>
      </w:r>
      <w:bookmarkStart w:id="39" w:name="lt_pId072"/>
      <w:r w:rsidRPr="00EF6170">
        <w:t>Néanmoins</w:t>
      </w:r>
      <w:r w:rsidR="00161630" w:rsidRPr="00EF6170">
        <w:t xml:space="preserve">, </w:t>
      </w:r>
      <w:r w:rsidRPr="00EF6170">
        <w:t xml:space="preserve">ils devraient </w:t>
      </w:r>
      <w:r w:rsidR="00627DA4">
        <w:t xml:space="preserve">rester sur leur position, à savoir </w:t>
      </w:r>
      <w:r w:rsidRPr="00EF6170">
        <w:t xml:space="preserve">qu'il convient </w:t>
      </w:r>
      <w:r w:rsidR="00627DA4">
        <w:t xml:space="preserve">d'adopter une approche responsable consistant à optimiser </w:t>
      </w:r>
      <w:r w:rsidR="00EF6170" w:rsidRPr="00EF6170">
        <w:t xml:space="preserve">les fonds versés par les </w:t>
      </w:r>
      <w:r w:rsidR="00EF6170">
        <w:t>États Membres</w:t>
      </w:r>
      <w:r w:rsidR="00161630" w:rsidRPr="00EF6170">
        <w:t xml:space="preserve"> </w:t>
      </w:r>
      <w:r w:rsidR="00EF6170">
        <w:t>à l'appui du mandat de l'Union.</w:t>
      </w:r>
      <w:bookmarkEnd w:id="39"/>
    </w:p>
    <w:p w14:paraId="41B60439" w14:textId="76D79951" w:rsidR="00161630" w:rsidRPr="00EF6170" w:rsidRDefault="00161630" w:rsidP="004E255B">
      <w:r w:rsidRPr="00EF6170">
        <w:br w:type="page"/>
      </w:r>
    </w:p>
    <w:p w14:paraId="04D79671" w14:textId="46A24577" w:rsidR="00161630" w:rsidRPr="00593634" w:rsidRDefault="00161630" w:rsidP="004E255B">
      <w:pPr>
        <w:pStyle w:val="AnnexNo"/>
      </w:pPr>
      <w:r w:rsidRPr="00593634">
        <w:lastRenderedPageBreak/>
        <w:t>ANNEXE</w:t>
      </w:r>
    </w:p>
    <w:p w14:paraId="5DB325FF" w14:textId="4940EFC2" w:rsidR="00161630" w:rsidRPr="00EF6170" w:rsidRDefault="00161630" w:rsidP="004E255B">
      <w:pPr>
        <w:pStyle w:val="Annextitle"/>
      </w:pPr>
      <w:r w:rsidRPr="00EF6170">
        <w:t xml:space="preserve">Questions </w:t>
      </w:r>
      <w:r w:rsidR="00EF6170" w:rsidRPr="00EF6170">
        <w:t>relatives au projet de bâtiment</w:t>
      </w:r>
      <w:r w:rsidRPr="00EF6170">
        <w:t xml:space="preserve"> </w:t>
      </w:r>
      <w:r w:rsidR="00C528E8">
        <w:t xml:space="preserve">identifiées dans le </w:t>
      </w:r>
      <w:r w:rsidRPr="00EF6170">
        <w:t>Document C19/DL/12</w:t>
      </w:r>
    </w:p>
    <w:p w14:paraId="3CC58346" w14:textId="6F1362AB" w:rsidR="00161630" w:rsidRPr="00EF6170" w:rsidRDefault="00161630" w:rsidP="004E255B">
      <w:r w:rsidRPr="00EF6170">
        <w:t>1</w:t>
      </w:r>
      <w:r w:rsidR="004E255B">
        <w:t>)</w:t>
      </w:r>
      <w:r w:rsidRPr="00EF6170">
        <w:tab/>
      </w:r>
      <w:r w:rsidR="00E12A55">
        <w:t>Incertitude</w:t>
      </w:r>
      <w:r w:rsidR="00EF6170" w:rsidRPr="00EF6170">
        <w:t xml:space="preserve"> </w:t>
      </w:r>
      <w:r w:rsidR="00E12A55">
        <w:t xml:space="preserve">relative à </w:t>
      </w:r>
      <w:r w:rsidR="00EF6170" w:rsidRPr="00EF6170">
        <w:t>l'estimation des coûts du projet</w:t>
      </w:r>
      <w:r w:rsidR="00EF6170">
        <w:t xml:space="preserve"> </w:t>
      </w:r>
      <w:r w:rsidR="00FE356B">
        <w:t>concernant</w:t>
      </w:r>
      <w:r w:rsidRPr="00EF6170">
        <w:t>:</w:t>
      </w:r>
    </w:p>
    <w:p w14:paraId="0049F3E4" w14:textId="714EF57D" w:rsidR="00161630" w:rsidRPr="00EF6170" w:rsidRDefault="00161630" w:rsidP="004E255B">
      <w:pPr>
        <w:pStyle w:val="enumlev1"/>
      </w:pPr>
      <w:r w:rsidRPr="00EF6170">
        <w:t>–</w:t>
      </w:r>
      <w:r w:rsidRPr="00EF6170">
        <w:tab/>
      </w:r>
      <w:r w:rsidR="00FE356B">
        <w:t>les</w:t>
      </w:r>
      <w:r w:rsidR="00E12A55">
        <w:t xml:space="preserve"> </w:t>
      </w:r>
      <w:r w:rsidR="00EF6170" w:rsidRPr="00EF6170">
        <w:t xml:space="preserve">coûts </w:t>
      </w:r>
      <w:r w:rsidR="00FE356B">
        <w:t xml:space="preserve">de </w:t>
      </w:r>
      <w:r w:rsidR="00EF6170" w:rsidRPr="00EF6170">
        <w:t>démolition/construction du b</w:t>
      </w:r>
      <w:r w:rsidR="00EF6170">
        <w:t>âtiment</w:t>
      </w:r>
      <w:r w:rsidRPr="00EF6170">
        <w:t>;</w:t>
      </w:r>
    </w:p>
    <w:p w14:paraId="301E350A" w14:textId="3846E50B" w:rsidR="00161630" w:rsidRPr="00EF6170" w:rsidRDefault="00161630" w:rsidP="004E255B">
      <w:pPr>
        <w:pStyle w:val="enumlev1"/>
      </w:pPr>
      <w:r w:rsidRPr="00EF6170">
        <w:t>–</w:t>
      </w:r>
      <w:r w:rsidRPr="00EF6170">
        <w:tab/>
      </w:r>
      <w:r w:rsidR="00FE356B">
        <w:t>les</w:t>
      </w:r>
      <w:r w:rsidR="00E12A55">
        <w:t xml:space="preserve"> </w:t>
      </w:r>
      <w:r w:rsidR="00EF6170" w:rsidRPr="00EF6170">
        <w:t>mesures de sûreté et de sécurité</w:t>
      </w:r>
      <w:r w:rsidRPr="00EF6170">
        <w:t>;</w:t>
      </w:r>
    </w:p>
    <w:p w14:paraId="11E597DB" w14:textId="747F3C05" w:rsidR="00161630" w:rsidRPr="00EF6170" w:rsidRDefault="00161630" w:rsidP="004E255B">
      <w:pPr>
        <w:pStyle w:val="enumlev1"/>
      </w:pPr>
      <w:r w:rsidRPr="00EF6170">
        <w:t>–</w:t>
      </w:r>
      <w:r w:rsidRPr="00EF6170">
        <w:tab/>
      </w:r>
      <w:r w:rsidR="00FE356B">
        <w:t>l</w:t>
      </w:r>
      <w:r w:rsidR="00E12A55">
        <w:t xml:space="preserve">e </w:t>
      </w:r>
      <w:r w:rsidR="00EF6170" w:rsidRPr="00EF6170">
        <w:t>relogement du personnel</w:t>
      </w:r>
      <w:r w:rsidRPr="00EF6170">
        <w:t>;</w:t>
      </w:r>
    </w:p>
    <w:p w14:paraId="2FFF588B" w14:textId="30E27D6B" w:rsidR="00161630" w:rsidRPr="00EF6170" w:rsidRDefault="00161630" w:rsidP="004E255B">
      <w:pPr>
        <w:pStyle w:val="enumlev1"/>
      </w:pPr>
      <w:r w:rsidRPr="00EF6170">
        <w:t>–</w:t>
      </w:r>
      <w:r w:rsidRPr="00EF6170">
        <w:tab/>
      </w:r>
      <w:r w:rsidR="00FE356B">
        <w:t>la</w:t>
      </w:r>
      <w:r w:rsidR="00E12A55">
        <w:t xml:space="preserve"> </w:t>
      </w:r>
      <w:r w:rsidR="00EF6170" w:rsidRPr="00EF6170">
        <w:t>location de salles de réunion</w:t>
      </w:r>
      <w:r w:rsidRPr="00EF6170">
        <w:t>;</w:t>
      </w:r>
    </w:p>
    <w:p w14:paraId="71F497DF" w14:textId="04C8767B" w:rsidR="00161630" w:rsidRPr="00EF6170" w:rsidRDefault="00161630" w:rsidP="004E255B">
      <w:pPr>
        <w:pStyle w:val="enumlev1"/>
      </w:pPr>
      <w:r w:rsidRPr="00EF6170">
        <w:t>–</w:t>
      </w:r>
      <w:r w:rsidRPr="00EF6170">
        <w:tab/>
      </w:r>
      <w:r w:rsidR="00FE356B">
        <w:t>l</w:t>
      </w:r>
      <w:r w:rsidR="00E12A55">
        <w:t xml:space="preserve">e </w:t>
      </w:r>
      <w:r w:rsidR="00EF6170" w:rsidRPr="00EF6170">
        <w:t>mobilier amovible</w:t>
      </w:r>
      <w:r w:rsidRPr="00EF6170">
        <w:t>;</w:t>
      </w:r>
    </w:p>
    <w:p w14:paraId="4F733BE0" w14:textId="0100759C" w:rsidR="00161630" w:rsidRPr="00EF6170" w:rsidRDefault="00161630" w:rsidP="004E255B">
      <w:pPr>
        <w:pStyle w:val="enumlev1"/>
      </w:pPr>
      <w:r w:rsidRPr="00EF6170">
        <w:t>–</w:t>
      </w:r>
      <w:r w:rsidRPr="00EF6170">
        <w:tab/>
      </w:r>
      <w:r w:rsidR="00FE356B">
        <w:t xml:space="preserve">les </w:t>
      </w:r>
      <w:r w:rsidR="00EF6170" w:rsidRPr="00EF6170">
        <w:t>équipement</w:t>
      </w:r>
      <w:r w:rsidR="00E12A55">
        <w:t>s</w:t>
      </w:r>
      <w:r w:rsidR="00EF6170" w:rsidRPr="00EF6170">
        <w:t xml:space="preserve"> TIC actifs</w:t>
      </w:r>
      <w:r w:rsidRPr="00EF6170">
        <w:t>.</w:t>
      </w:r>
    </w:p>
    <w:p w14:paraId="12CCCF94" w14:textId="5E6B3820" w:rsidR="00161630" w:rsidRPr="006C05D4" w:rsidRDefault="00772905" w:rsidP="004E255B">
      <w:pPr>
        <w:rPr>
          <w:rFonts w:asciiTheme="minorHAnsi" w:hAnsiTheme="minorHAnsi" w:cstheme="minorHAnsi"/>
        </w:rPr>
      </w:pPr>
      <w:r>
        <w:rPr>
          <w:rFonts w:asciiTheme="minorHAnsi" w:hAnsiTheme="minorHAnsi" w:cstheme="minorHAnsi"/>
        </w:rPr>
        <w:t xml:space="preserve">CDTK doit confirmer </w:t>
      </w:r>
      <w:r w:rsidR="00B25D3D">
        <w:rPr>
          <w:rFonts w:asciiTheme="minorHAnsi" w:hAnsiTheme="minorHAnsi" w:cstheme="minorHAnsi"/>
        </w:rPr>
        <w:t xml:space="preserve">qu'un </w:t>
      </w:r>
      <w:r>
        <w:rPr>
          <w:rFonts w:asciiTheme="minorHAnsi" w:hAnsiTheme="minorHAnsi" w:cstheme="minorHAnsi"/>
        </w:rPr>
        <w:t>taux</w:t>
      </w:r>
      <w:r w:rsidRPr="00772905">
        <w:rPr>
          <w:rFonts w:asciiTheme="minorHAnsi" w:hAnsiTheme="minorHAnsi" w:cstheme="minorHAnsi"/>
        </w:rPr>
        <w:t xml:space="preserve"> d'incertitude de</w:t>
      </w:r>
      <w:r w:rsidR="00161630" w:rsidRPr="00772905">
        <w:rPr>
          <w:rFonts w:asciiTheme="minorHAnsi" w:hAnsiTheme="minorHAnsi" w:cstheme="minorHAnsi"/>
          <w:bCs/>
        </w:rPr>
        <w:t xml:space="preserve"> </w:t>
      </w:r>
      <w:r w:rsidR="00161630" w:rsidRPr="00772905">
        <w:rPr>
          <w:rFonts w:asciiTheme="minorHAnsi" w:hAnsiTheme="minorHAnsi" w:cstheme="minorHAnsi"/>
        </w:rPr>
        <w:t>5% (</w:t>
      </w:r>
      <w:r>
        <w:rPr>
          <w:rFonts w:asciiTheme="minorHAnsi" w:hAnsiTheme="minorHAnsi" w:cstheme="minorHAnsi"/>
        </w:rPr>
        <w:t xml:space="preserve">norme de la </w:t>
      </w:r>
      <w:r w:rsidRPr="00772905">
        <w:rPr>
          <w:rFonts w:asciiTheme="minorHAnsi" w:hAnsiTheme="minorHAnsi" w:cstheme="minorHAnsi"/>
        </w:rPr>
        <w:t>CEI</w:t>
      </w:r>
      <w:r w:rsidR="00161630" w:rsidRPr="00772905">
        <w:rPr>
          <w:rFonts w:asciiTheme="minorHAnsi" w:hAnsiTheme="minorHAnsi" w:cstheme="minorHAnsi"/>
        </w:rPr>
        <w:t xml:space="preserve">) </w:t>
      </w:r>
      <w:r w:rsidR="00B25D3D">
        <w:rPr>
          <w:rFonts w:asciiTheme="minorHAnsi" w:hAnsiTheme="minorHAnsi" w:cstheme="minorHAnsi"/>
        </w:rPr>
        <w:t xml:space="preserve">peut être appliqué </w:t>
      </w:r>
      <w:r w:rsidRPr="00772905">
        <w:rPr>
          <w:rFonts w:asciiTheme="minorHAnsi" w:hAnsiTheme="minorHAnsi" w:cstheme="minorHAnsi"/>
        </w:rPr>
        <w:t>au</w:t>
      </w:r>
      <w:r w:rsidR="00E31488">
        <w:rPr>
          <w:rFonts w:asciiTheme="minorHAnsi" w:hAnsiTheme="minorHAnsi" w:cstheme="minorHAnsi"/>
        </w:rPr>
        <w:t xml:space="preserve"> coût total</w:t>
      </w:r>
      <w:r w:rsidRPr="00772905">
        <w:rPr>
          <w:rFonts w:asciiTheme="minorHAnsi" w:hAnsiTheme="minorHAnsi" w:cstheme="minorHAnsi"/>
        </w:rPr>
        <w:t xml:space="preserve"> du projet, à savoir </w:t>
      </w:r>
      <w:r w:rsidR="00161630" w:rsidRPr="00772905">
        <w:rPr>
          <w:rFonts w:asciiTheme="minorHAnsi" w:hAnsiTheme="minorHAnsi" w:cstheme="minorHAnsi"/>
        </w:rPr>
        <w:t>180 million</w:t>
      </w:r>
      <w:r w:rsidRPr="00772905">
        <w:rPr>
          <w:rFonts w:asciiTheme="minorHAnsi" w:hAnsiTheme="minorHAnsi" w:cstheme="minorHAnsi"/>
        </w:rPr>
        <w:t>s CHF, </w:t>
      </w:r>
      <w:r>
        <w:rPr>
          <w:rFonts w:asciiTheme="minorHAnsi" w:hAnsiTheme="minorHAnsi" w:cstheme="minorHAnsi"/>
        </w:rPr>
        <w:t xml:space="preserve">et </w:t>
      </w:r>
      <w:r>
        <w:t xml:space="preserve">expliquer </w:t>
      </w:r>
      <w:r w:rsidR="00B25D3D">
        <w:t>pourquoi</w:t>
      </w:r>
      <w:r>
        <w:t xml:space="preserve"> il est possible </w:t>
      </w:r>
      <w:r w:rsidR="00C528E8">
        <w:t xml:space="preserve">de ramener à </w:t>
      </w:r>
      <w:r w:rsidR="00161630" w:rsidRPr="00772905">
        <w:rPr>
          <w:rFonts w:asciiTheme="minorHAnsi" w:hAnsiTheme="minorHAnsi" w:cstheme="minorHAnsi"/>
        </w:rPr>
        <w:t xml:space="preserve">5% </w:t>
      </w:r>
      <w:r w:rsidR="00C528E8">
        <w:rPr>
          <w:rFonts w:asciiTheme="minorHAnsi" w:hAnsiTheme="minorHAnsi" w:cstheme="minorHAnsi"/>
        </w:rPr>
        <w:t xml:space="preserve">le </w:t>
      </w:r>
      <w:r>
        <w:rPr>
          <w:rFonts w:asciiTheme="minorHAnsi" w:hAnsiTheme="minorHAnsi" w:cstheme="minorHAnsi"/>
        </w:rPr>
        <w:t xml:space="preserve">taux </w:t>
      </w:r>
      <w:r w:rsidR="00C528E8">
        <w:rPr>
          <w:rFonts w:asciiTheme="minorHAnsi" w:hAnsiTheme="minorHAnsi" w:cstheme="minorHAnsi"/>
        </w:rPr>
        <w:t xml:space="preserve">d'incertitude </w:t>
      </w:r>
      <w:r>
        <w:rPr>
          <w:rFonts w:asciiTheme="minorHAnsi" w:hAnsiTheme="minorHAnsi" w:cstheme="minorHAnsi"/>
        </w:rPr>
        <w:t xml:space="preserve">de </w:t>
      </w:r>
      <w:r w:rsidR="00161630" w:rsidRPr="00772905">
        <w:rPr>
          <w:rFonts w:asciiTheme="minorHAnsi" w:hAnsiTheme="minorHAnsi" w:cstheme="minorHAnsi"/>
        </w:rPr>
        <w:t xml:space="preserve">15% </w:t>
      </w:r>
      <w:r w:rsidR="00C528E8">
        <w:rPr>
          <w:rFonts w:asciiTheme="minorHAnsi" w:hAnsiTheme="minorHAnsi" w:cstheme="minorHAnsi"/>
        </w:rPr>
        <w:t xml:space="preserve">que CDTK avait indiqué </w:t>
      </w:r>
      <w:r>
        <w:rPr>
          <w:rFonts w:asciiTheme="minorHAnsi" w:hAnsiTheme="minorHAnsi" w:cstheme="minorHAnsi"/>
        </w:rPr>
        <w:t>le 1</w:t>
      </w:r>
      <w:r w:rsidRPr="00C528E8">
        <w:t>er</w:t>
      </w:r>
      <w:r>
        <w:rPr>
          <w:rFonts w:asciiTheme="minorHAnsi" w:hAnsiTheme="minorHAnsi" w:cstheme="minorHAnsi"/>
        </w:rPr>
        <w:t xml:space="preserve"> avril</w:t>
      </w:r>
      <w:r w:rsidR="00161630" w:rsidRPr="00772905">
        <w:rPr>
          <w:rFonts w:asciiTheme="minorHAnsi" w:hAnsiTheme="minorHAnsi" w:cstheme="minorHAnsi"/>
        </w:rPr>
        <w:t xml:space="preserve"> 2019 </w:t>
      </w:r>
      <w:r>
        <w:rPr>
          <w:rFonts w:asciiTheme="minorHAnsi" w:hAnsiTheme="minorHAnsi" w:cstheme="minorHAnsi"/>
        </w:rPr>
        <w:t xml:space="preserve">dans le document sur </w:t>
      </w:r>
      <w:r w:rsidR="00B25D3D">
        <w:rPr>
          <w:rFonts w:asciiTheme="minorHAnsi" w:hAnsiTheme="minorHAnsi" w:cstheme="minorHAnsi"/>
        </w:rPr>
        <w:t>le</w:t>
      </w:r>
      <w:r>
        <w:rPr>
          <w:rFonts w:asciiTheme="minorHAnsi" w:hAnsiTheme="minorHAnsi" w:cstheme="minorHAnsi"/>
        </w:rPr>
        <w:t xml:space="preserve"> projet </w:t>
      </w:r>
      <w:r w:rsidR="00B25D3D">
        <w:rPr>
          <w:rFonts w:asciiTheme="minorHAnsi" w:hAnsiTheme="minorHAnsi" w:cstheme="minorHAnsi"/>
        </w:rPr>
        <w:t xml:space="preserve">de conception </w:t>
      </w:r>
      <w:r w:rsidR="00161630" w:rsidRPr="00772905">
        <w:rPr>
          <w:rFonts w:asciiTheme="minorHAnsi" w:hAnsiTheme="minorHAnsi" w:cstheme="minorHAnsi"/>
        </w:rPr>
        <w:t>(</w:t>
      </w:r>
      <w:r w:rsidR="00E64974">
        <w:rPr>
          <w:rFonts w:asciiTheme="minorHAnsi" w:hAnsiTheme="minorHAnsi" w:cstheme="minorHAnsi"/>
        </w:rPr>
        <w:t>1</w:t>
      </w:r>
      <w:r w:rsidR="00E64974" w:rsidRPr="00E64974">
        <w:t>er</w:t>
      </w:r>
      <w:r w:rsidR="00E64974">
        <w:rPr>
          <w:rFonts w:asciiTheme="minorHAnsi" w:hAnsiTheme="minorHAnsi" w:cstheme="minorHAnsi"/>
        </w:rPr>
        <w:t xml:space="preserve"> avril </w:t>
      </w:r>
      <w:r w:rsidR="00161630" w:rsidRPr="00772905">
        <w:rPr>
          <w:rFonts w:asciiTheme="minorHAnsi" w:hAnsiTheme="minorHAnsi" w:cstheme="minorHAnsi"/>
        </w:rPr>
        <w:t xml:space="preserve">2019, phase 4.31 </w:t>
      </w:r>
      <w:r w:rsidR="00161630" w:rsidRPr="00772905">
        <w:rPr>
          <w:rFonts w:asciiTheme="minorHAnsi" w:hAnsiTheme="minorHAnsi" w:cstheme="minorHAnsi"/>
          <w:i/>
        </w:rPr>
        <w:t>Avant-projet</w:t>
      </w:r>
      <w:r w:rsidR="00161630" w:rsidRPr="00772905">
        <w:rPr>
          <w:rFonts w:asciiTheme="minorHAnsi" w:hAnsiTheme="minorHAnsi" w:cstheme="minorHAnsi"/>
        </w:rPr>
        <w:t xml:space="preserve">). </w:t>
      </w:r>
      <w:r w:rsidR="009553BE">
        <w:rPr>
          <w:rFonts w:asciiTheme="minorHAnsi" w:hAnsiTheme="minorHAnsi" w:cstheme="minorHAnsi"/>
        </w:rPr>
        <w:t>À</w:t>
      </w:r>
      <w:r w:rsidR="00E64974">
        <w:rPr>
          <w:rFonts w:asciiTheme="minorHAnsi" w:hAnsiTheme="minorHAnsi" w:cstheme="minorHAnsi"/>
        </w:rPr>
        <w:t xml:space="preserve"> noter </w:t>
      </w:r>
      <w:r w:rsidRPr="00772905">
        <w:rPr>
          <w:rFonts w:asciiTheme="minorHAnsi" w:hAnsiTheme="minorHAnsi" w:cstheme="minorHAnsi"/>
        </w:rPr>
        <w:t xml:space="preserve">que, </w:t>
      </w:r>
      <w:r w:rsidR="00E64974">
        <w:rPr>
          <w:rFonts w:asciiTheme="minorHAnsi" w:hAnsiTheme="minorHAnsi" w:cstheme="minorHAnsi"/>
        </w:rPr>
        <w:t xml:space="preserve">à la différence des </w:t>
      </w:r>
      <w:r w:rsidRPr="00772905">
        <w:rPr>
          <w:rFonts w:asciiTheme="minorHAnsi" w:hAnsiTheme="minorHAnsi" w:cstheme="minorHAnsi"/>
        </w:rPr>
        <w:t xml:space="preserve">estimations de l'architecte, les montants </w:t>
      </w:r>
      <w:r w:rsidR="00E64974">
        <w:rPr>
          <w:rFonts w:asciiTheme="minorHAnsi" w:hAnsiTheme="minorHAnsi" w:cstheme="minorHAnsi"/>
        </w:rPr>
        <w:t xml:space="preserve">dont </w:t>
      </w:r>
      <w:r w:rsidRPr="00772905">
        <w:rPr>
          <w:rFonts w:asciiTheme="minorHAnsi" w:hAnsiTheme="minorHAnsi" w:cstheme="minorHAnsi"/>
        </w:rPr>
        <w:t xml:space="preserve">l'UIT </w:t>
      </w:r>
      <w:r w:rsidR="00E64974">
        <w:rPr>
          <w:rFonts w:asciiTheme="minorHAnsi" w:hAnsiTheme="minorHAnsi" w:cstheme="minorHAnsi"/>
        </w:rPr>
        <w:t xml:space="preserve">est responsable </w:t>
      </w:r>
      <w:r w:rsidRPr="00772905">
        <w:rPr>
          <w:rFonts w:asciiTheme="minorHAnsi" w:hAnsiTheme="minorHAnsi" w:cstheme="minorHAnsi"/>
        </w:rPr>
        <w:t xml:space="preserve">ne </w:t>
      </w:r>
      <w:r w:rsidR="00E64974">
        <w:rPr>
          <w:rFonts w:asciiTheme="minorHAnsi" w:hAnsiTheme="minorHAnsi" w:cstheme="minorHAnsi"/>
        </w:rPr>
        <w:t>sont assortis d'</w:t>
      </w:r>
      <w:r w:rsidRPr="00772905">
        <w:rPr>
          <w:rFonts w:asciiTheme="minorHAnsi" w:hAnsiTheme="minorHAnsi" w:cstheme="minorHAnsi"/>
        </w:rPr>
        <w:t>aucun taux d'incertitude</w:t>
      </w:r>
      <w:r w:rsidR="00D073BB">
        <w:rPr>
          <w:rFonts w:asciiTheme="minorHAnsi" w:hAnsiTheme="minorHAnsi" w:cstheme="minorHAnsi"/>
        </w:rPr>
        <w:t xml:space="preserve">, sauf </w:t>
      </w:r>
      <w:r w:rsidR="00E64974">
        <w:rPr>
          <w:rFonts w:asciiTheme="minorHAnsi" w:hAnsiTheme="minorHAnsi" w:cstheme="minorHAnsi"/>
        </w:rPr>
        <w:t>si l'on</w:t>
      </w:r>
      <w:r w:rsidR="00D073BB">
        <w:rPr>
          <w:rFonts w:asciiTheme="minorHAnsi" w:hAnsiTheme="minorHAnsi" w:cstheme="minorHAnsi"/>
        </w:rPr>
        <w:t xml:space="preserve"> applique ne serait-ce que le taux de </w:t>
      </w:r>
      <w:r w:rsidR="00161630" w:rsidRPr="00772905">
        <w:rPr>
          <w:rFonts w:asciiTheme="minorHAnsi" w:hAnsiTheme="minorHAnsi" w:cstheme="minorHAnsi"/>
        </w:rPr>
        <w:t xml:space="preserve">5% </w:t>
      </w:r>
      <w:r w:rsidR="00B25D3D">
        <w:rPr>
          <w:rFonts w:asciiTheme="minorHAnsi" w:hAnsiTheme="minorHAnsi" w:cstheme="minorHAnsi"/>
        </w:rPr>
        <w:t xml:space="preserve">visé dans le document de </w:t>
      </w:r>
      <w:r w:rsidR="00D073BB">
        <w:rPr>
          <w:rFonts w:asciiTheme="minorHAnsi" w:hAnsiTheme="minorHAnsi" w:cstheme="minorHAnsi"/>
        </w:rPr>
        <w:t>la CEI.</w:t>
      </w:r>
      <w:r w:rsidR="00161630" w:rsidRPr="00772905">
        <w:rPr>
          <w:rFonts w:asciiTheme="minorHAnsi" w:hAnsiTheme="minorHAnsi" w:cstheme="minorHAnsi"/>
        </w:rPr>
        <w:t xml:space="preserve"> </w:t>
      </w:r>
      <w:r w:rsidR="00BF3A13">
        <w:rPr>
          <w:rFonts w:asciiTheme="minorHAnsi" w:hAnsiTheme="minorHAnsi" w:cstheme="minorHAnsi"/>
        </w:rPr>
        <w:t xml:space="preserve">Si tel est le cas, </w:t>
      </w:r>
      <w:r w:rsidR="006C05D4" w:rsidRPr="006C05D4">
        <w:rPr>
          <w:rFonts w:asciiTheme="minorHAnsi" w:hAnsiTheme="minorHAnsi" w:cstheme="minorHAnsi"/>
        </w:rPr>
        <w:t xml:space="preserve">l'analyse </w:t>
      </w:r>
      <w:r w:rsidR="008F0BD3">
        <w:rPr>
          <w:rFonts w:asciiTheme="minorHAnsi" w:hAnsiTheme="minorHAnsi" w:cstheme="minorHAnsi"/>
        </w:rPr>
        <w:t>des risques financiers</w:t>
      </w:r>
      <w:r w:rsidR="00BF3A13">
        <w:rPr>
          <w:rFonts w:asciiTheme="minorHAnsi" w:hAnsiTheme="minorHAnsi" w:cstheme="minorHAnsi"/>
        </w:rPr>
        <w:t xml:space="preserve"> devra </w:t>
      </w:r>
      <w:r w:rsidR="00BF3A13" w:rsidRPr="006C05D4">
        <w:rPr>
          <w:rFonts w:asciiTheme="minorHAnsi" w:hAnsiTheme="minorHAnsi" w:cstheme="minorHAnsi"/>
        </w:rPr>
        <w:t>tenir compte de cette incertitude</w:t>
      </w:r>
      <w:r w:rsidR="006C05D4" w:rsidRPr="006C05D4">
        <w:rPr>
          <w:rFonts w:asciiTheme="minorHAnsi" w:hAnsiTheme="minorHAnsi" w:cstheme="minorHAnsi"/>
        </w:rPr>
        <w:t xml:space="preserve">. Afin </w:t>
      </w:r>
      <w:r w:rsidR="00343150">
        <w:rPr>
          <w:rFonts w:asciiTheme="minorHAnsi" w:hAnsiTheme="minorHAnsi" w:cstheme="minorHAnsi"/>
        </w:rPr>
        <w:t xml:space="preserve">que les </w:t>
      </w:r>
      <w:r w:rsidR="006C05D4" w:rsidRPr="006C05D4">
        <w:rPr>
          <w:rFonts w:asciiTheme="minorHAnsi" w:hAnsiTheme="minorHAnsi" w:cstheme="minorHAnsi"/>
        </w:rPr>
        <w:t xml:space="preserve">phases de planification </w:t>
      </w:r>
      <w:r w:rsidR="00343150" w:rsidRPr="006C05D4">
        <w:rPr>
          <w:rFonts w:asciiTheme="minorHAnsi" w:hAnsiTheme="minorHAnsi" w:cstheme="minorHAnsi"/>
        </w:rPr>
        <w:t xml:space="preserve">avancées </w:t>
      </w:r>
      <w:r w:rsidR="006C05D4" w:rsidRPr="006C05D4">
        <w:rPr>
          <w:rFonts w:asciiTheme="minorHAnsi" w:hAnsiTheme="minorHAnsi" w:cstheme="minorHAnsi"/>
        </w:rPr>
        <w:t xml:space="preserve">du </w:t>
      </w:r>
      <w:r w:rsidR="00BF3A13">
        <w:rPr>
          <w:rFonts w:asciiTheme="minorHAnsi" w:hAnsiTheme="minorHAnsi" w:cstheme="minorHAnsi"/>
        </w:rPr>
        <w:t>bâtiment</w:t>
      </w:r>
      <w:r w:rsidR="00343150">
        <w:rPr>
          <w:rFonts w:asciiTheme="minorHAnsi" w:hAnsiTheme="minorHAnsi" w:cstheme="minorHAnsi"/>
        </w:rPr>
        <w:t xml:space="preserve"> puissent se poursuivre</w:t>
      </w:r>
      <w:r w:rsidR="006C05D4" w:rsidRPr="006C05D4">
        <w:rPr>
          <w:rFonts w:asciiTheme="minorHAnsi" w:hAnsiTheme="minorHAnsi" w:cstheme="minorHAnsi"/>
        </w:rPr>
        <w:t xml:space="preserve">, </w:t>
      </w:r>
      <w:r w:rsidR="006C05D4">
        <w:rPr>
          <w:rFonts w:asciiTheme="minorHAnsi" w:hAnsiTheme="minorHAnsi" w:cstheme="minorHAnsi"/>
        </w:rPr>
        <w:t xml:space="preserve">il </w:t>
      </w:r>
      <w:r w:rsidR="00343150">
        <w:rPr>
          <w:rFonts w:asciiTheme="minorHAnsi" w:hAnsiTheme="minorHAnsi" w:cstheme="minorHAnsi"/>
        </w:rPr>
        <w:t xml:space="preserve">conviendra d'indiquer </w:t>
      </w:r>
      <w:r w:rsidR="006C05D4">
        <w:rPr>
          <w:rFonts w:asciiTheme="minorHAnsi" w:hAnsiTheme="minorHAnsi" w:cstheme="minorHAnsi"/>
        </w:rPr>
        <w:t>tout</w:t>
      </w:r>
      <w:r w:rsidR="006C05D4" w:rsidRPr="006C05D4">
        <w:rPr>
          <w:rFonts w:asciiTheme="minorHAnsi" w:hAnsiTheme="minorHAnsi" w:cstheme="minorHAnsi"/>
        </w:rPr>
        <w:t xml:space="preserve"> parrainage ou don ayant une incidence sur les plans de l'architecte ou </w:t>
      </w:r>
      <w:r w:rsidR="00343150">
        <w:rPr>
          <w:rFonts w:asciiTheme="minorHAnsi" w:hAnsiTheme="minorHAnsi" w:cstheme="minorHAnsi"/>
        </w:rPr>
        <w:t xml:space="preserve">entraînant une augmentation de </w:t>
      </w:r>
      <w:r w:rsidR="006C05D4">
        <w:rPr>
          <w:rFonts w:asciiTheme="minorHAnsi" w:hAnsiTheme="minorHAnsi" w:cstheme="minorHAnsi"/>
        </w:rPr>
        <w:t xml:space="preserve">l'enveloppe </w:t>
      </w:r>
      <w:r w:rsidR="00343150">
        <w:rPr>
          <w:rFonts w:asciiTheme="minorHAnsi" w:hAnsiTheme="minorHAnsi" w:cstheme="minorHAnsi"/>
        </w:rPr>
        <w:t xml:space="preserve">de coût </w:t>
      </w:r>
      <w:r w:rsidR="006C05D4">
        <w:rPr>
          <w:rFonts w:asciiTheme="minorHAnsi" w:hAnsiTheme="minorHAnsi" w:cstheme="minorHAnsi"/>
        </w:rPr>
        <w:t>du projet</w:t>
      </w:r>
      <w:r w:rsidR="00161630" w:rsidRPr="006C05D4">
        <w:rPr>
          <w:rFonts w:asciiTheme="minorHAnsi" w:hAnsiTheme="minorHAnsi" w:cstheme="minorHAnsi"/>
        </w:rPr>
        <w:t>.</w:t>
      </w:r>
    </w:p>
    <w:p w14:paraId="56441404" w14:textId="7B46AD77" w:rsidR="00161630" w:rsidRPr="0069659B" w:rsidRDefault="006C05D4" w:rsidP="004E255B">
      <w:pPr>
        <w:rPr>
          <w:rFonts w:asciiTheme="minorHAnsi" w:hAnsiTheme="minorHAnsi" w:cstheme="minorHAnsi"/>
        </w:rPr>
      </w:pPr>
      <w:r w:rsidRPr="006C05D4">
        <w:rPr>
          <w:rFonts w:asciiTheme="minorHAnsi" w:hAnsiTheme="minorHAnsi" w:cstheme="minorHAnsi"/>
        </w:rPr>
        <w:t xml:space="preserve">L'analyse des risques </w:t>
      </w:r>
      <w:r w:rsidR="005F19F4">
        <w:rPr>
          <w:rFonts w:asciiTheme="minorHAnsi" w:hAnsiTheme="minorHAnsi" w:cstheme="minorHAnsi"/>
        </w:rPr>
        <w:t xml:space="preserve">actuellement </w:t>
      </w:r>
      <w:r w:rsidRPr="006C05D4">
        <w:rPr>
          <w:rFonts w:asciiTheme="minorHAnsi" w:hAnsiTheme="minorHAnsi" w:cstheme="minorHAnsi"/>
        </w:rPr>
        <w:t>établie par</w:t>
      </w:r>
      <w:r w:rsidR="00161630" w:rsidRPr="006C05D4">
        <w:rPr>
          <w:rFonts w:asciiTheme="minorHAnsi" w:hAnsiTheme="minorHAnsi" w:cstheme="minorHAnsi"/>
        </w:rPr>
        <w:t xml:space="preserve"> Hill </w:t>
      </w:r>
      <w:r w:rsidRPr="006C05D4">
        <w:rPr>
          <w:rFonts w:asciiTheme="minorHAnsi" w:hAnsiTheme="minorHAnsi" w:cstheme="minorHAnsi"/>
        </w:rPr>
        <w:t>devra</w:t>
      </w:r>
      <w:r w:rsidR="00BF3A13">
        <w:rPr>
          <w:rFonts w:asciiTheme="minorHAnsi" w:hAnsiTheme="minorHAnsi" w:cstheme="minorHAnsi"/>
        </w:rPr>
        <w:t xml:space="preserve"> </w:t>
      </w:r>
      <w:r w:rsidR="005F19F4">
        <w:rPr>
          <w:rFonts w:asciiTheme="minorHAnsi" w:hAnsiTheme="minorHAnsi" w:cstheme="minorHAnsi"/>
        </w:rPr>
        <w:t xml:space="preserve">comprendre </w:t>
      </w:r>
      <w:r w:rsidR="00BF3A13">
        <w:rPr>
          <w:rFonts w:asciiTheme="minorHAnsi" w:hAnsiTheme="minorHAnsi" w:cstheme="minorHAnsi"/>
        </w:rPr>
        <w:t xml:space="preserve">une analyse </w:t>
      </w:r>
      <w:r w:rsidR="008F0BD3">
        <w:rPr>
          <w:rFonts w:asciiTheme="minorHAnsi" w:hAnsiTheme="minorHAnsi" w:cstheme="minorHAnsi"/>
        </w:rPr>
        <w:t>des risques financiers</w:t>
      </w:r>
      <w:r w:rsidRPr="006C05D4">
        <w:rPr>
          <w:rFonts w:asciiTheme="minorHAnsi" w:hAnsiTheme="minorHAnsi" w:cstheme="minorHAnsi"/>
        </w:rPr>
        <w:t xml:space="preserve"> tenant notamment compte de l'incertitude </w:t>
      </w:r>
      <w:r w:rsidR="0069659B">
        <w:rPr>
          <w:rFonts w:asciiTheme="minorHAnsi" w:hAnsiTheme="minorHAnsi" w:cstheme="minorHAnsi"/>
        </w:rPr>
        <w:t xml:space="preserve">relative aux </w:t>
      </w:r>
      <w:r w:rsidRPr="006C05D4">
        <w:rPr>
          <w:rFonts w:asciiTheme="minorHAnsi" w:hAnsiTheme="minorHAnsi" w:cstheme="minorHAnsi"/>
        </w:rPr>
        <w:t>co</w:t>
      </w:r>
      <w:r>
        <w:rPr>
          <w:rFonts w:asciiTheme="minorHAnsi" w:hAnsiTheme="minorHAnsi" w:cstheme="minorHAnsi"/>
        </w:rPr>
        <w:t xml:space="preserve">ûts estimés </w:t>
      </w:r>
      <w:r w:rsidR="00161630" w:rsidRPr="006C05D4">
        <w:rPr>
          <w:rFonts w:asciiTheme="minorHAnsi" w:hAnsiTheme="minorHAnsi" w:cstheme="minorHAnsi"/>
        </w:rPr>
        <w:t>(</w:t>
      </w:r>
      <w:r w:rsidR="00FD4175">
        <w:rPr>
          <w:rFonts w:asciiTheme="minorHAnsi" w:hAnsiTheme="minorHAnsi" w:cstheme="minorHAnsi"/>
        </w:rPr>
        <w:t xml:space="preserve">en prenant en considération le </w:t>
      </w:r>
      <w:r w:rsidR="005F19F4">
        <w:rPr>
          <w:rFonts w:asciiTheme="minorHAnsi" w:hAnsiTheme="minorHAnsi" w:cstheme="minorHAnsi"/>
        </w:rPr>
        <w:t xml:space="preserve">scénario </w:t>
      </w:r>
      <w:r w:rsidR="0069659B">
        <w:rPr>
          <w:rFonts w:asciiTheme="minorHAnsi" w:hAnsiTheme="minorHAnsi" w:cstheme="minorHAnsi"/>
        </w:rPr>
        <w:t>le plus défavorable</w:t>
      </w:r>
      <w:r w:rsidR="00161630" w:rsidRPr="006C05D4">
        <w:rPr>
          <w:rFonts w:asciiTheme="minorHAnsi" w:hAnsiTheme="minorHAnsi" w:cstheme="minorHAnsi"/>
        </w:rPr>
        <w:t xml:space="preserve">). </w:t>
      </w:r>
      <w:r w:rsidR="0069659B" w:rsidRPr="0069659B">
        <w:rPr>
          <w:rFonts w:asciiTheme="minorHAnsi" w:hAnsiTheme="minorHAnsi" w:cstheme="minorHAnsi"/>
        </w:rPr>
        <w:t>En outre</w:t>
      </w:r>
      <w:r w:rsidR="00161630" w:rsidRPr="0069659B">
        <w:rPr>
          <w:rFonts w:asciiTheme="minorHAnsi" w:hAnsiTheme="minorHAnsi" w:cstheme="minorHAnsi"/>
        </w:rPr>
        <w:t xml:space="preserve">, </w:t>
      </w:r>
      <w:r w:rsidR="0069659B" w:rsidRPr="0069659B">
        <w:rPr>
          <w:rFonts w:asciiTheme="minorHAnsi" w:hAnsiTheme="minorHAnsi" w:cstheme="minorHAnsi"/>
        </w:rPr>
        <w:t xml:space="preserve">il faudra </w:t>
      </w:r>
      <w:r w:rsidR="005F19F4">
        <w:rPr>
          <w:rFonts w:asciiTheme="minorHAnsi" w:hAnsiTheme="minorHAnsi" w:cstheme="minorHAnsi"/>
        </w:rPr>
        <w:t xml:space="preserve">examiner </w:t>
      </w:r>
      <w:r w:rsidR="00BF3A13">
        <w:rPr>
          <w:rFonts w:asciiTheme="minorHAnsi" w:hAnsiTheme="minorHAnsi" w:cstheme="minorHAnsi"/>
        </w:rPr>
        <w:t>les</w:t>
      </w:r>
      <w:r w:rsidR="0069659B" w:rsidRPr="0069659B">
        <w:rPr>
          <w:rFonts w:asciiTheme="minorHAnsi" w:hAnsiTheme="minorHAnsi" w:cstheme="minorHAnsi"/>
        </w:rPr>
        <w:t xml:space="preserve"> risques décelés par </w:t>
      </w:r>
      <w:r w:rsidR="00161630" w:rsidRPr="0069659B">
        <w:rPr>
          <w:rFonts w:asciiTheme="minorHAnsi" w:hAnsiTheme="minorHAnsi" w:cstheme="minorHAnsi"/>
        </w:rPr>
        <w:t xml:space="preserve">CDTK </w:t>
      </w:r>
      <w:r w:rsidR="0069659B">
        <w:rPr>
          <w:rFonts w:asciiTheme="minorHAnsi" w:hAnsiTheme="minorHAnsi" w:cstheme="minorHAnsi"/>
        </w:rPr>
        <w:t xml:space="preserve">dans </w:t>
      </w:r>
      <w:r w:rsidR="005F19F4">
        <w:rPr>
          <w:rFonts w:asciiTheme="minorHAnsi" w:hAnsiTheme="minorHAnsi" w:cstheme="minorHAnsi"/>
        </w:rPr>
        <w:t>son</w:t>
      </w:r>
      <w:r w:rsidR="0069659B">
        <w:rPr>
          <w:rFonts w:asciiTheme="minorHAnsi" w:hAnsiTheme="minorHAnsi" w:cstheme="minorHAnsi"/>
        </w:rPr>
        <w:t xml:space="preserve"> projet de conception</w:t>
      </w:r>
      <w:r w:rsidR="00161630" w:rsidRPr="0069659B">
        <w:rPr>
          <w:rFonts w:asciiTheme="minorHAnsi" w:hAnsiTheme="minorHAnsi" w:cstheme="minorHAnsi"/>
        </w:rPr>
        <w:t>.</w:t>
      </w:r>
    </w:p>
    <w:p w14:paraId="0CC0C096" w14:textId="0AF03045" w:rsidR="00161630" w:rsidRPr="001E7D25" w:rsidRDefault="00A31024" w:rsidP="004E255B">
      <w:pPr>
        <w:rPr>
          <w:rFonts w:asciiTheme="minorHAnsi" w:hAnsiTheme="minorHAnsi" w:cstheme="minorHAnsi"/>
          <w:bCs/>
        </w:rPr>
      </w:pPr>
      <w:r w:rsidRPr="00A31024">
        <w:rPr>
          <w:rFonts w:asciiTheme="minorHAnsi" w:hAnsiTheme="minorHAnsi" w:cstheme="minorHAnsi"/>
        </w:rPr>
        <w:t xml:space="preserve">Les mesures </w:t>
      </w:r>
      <w:r w:rsidR="005F19F4">
        <w:rPr>
          <w:rFonts w:asciiTheme="minorHAnsi" w:hAnsiTheme="minorHAnsi" w:cstheme="minorHAnsi"/>
        </w:rPr>
        <w:t xml:space="preserve">additionnelles </w:t>
      </w:r>
      <w:r w:rsidRPr="00A31024">
        <w:rPr>
          <w:rFonts w:asciiTheme="minorHAnsi" w:hAnsiTheme="minorHAnsi" w:cstheme="minorHAnsi"/>
        </w:rPr>
        <w:t xml:space="preserve">de sûreté et de sécurité </w:t>
      </w:r>
      <w:r w:rsidR="0047543A">
        <w:rPr>
          <w:rFonts w:asciiTheme="minorHAnsi" w:hAnsiTheme="minorHAnsi" w:cstheme="minorHAnsi"/>
          <w:bCs/>
        </w:rPr>
        <w:t xml:space="preserve">prises en </w:t>
      </w:r>
      <w:r w:rsidRPr="00A31024">
        <w:rPr>
          <w:rFonts w:asciiTheme="minorHAnsi" w:hAnsiTheme="minorHAnsi" w:cstheme="minorHAnsi"/>
          <w:bCs/>
        </w:rPr>
        <w:t>compte dans le calcul des co</w:t>
      </w:r>
      <w:r>
        <w:rPr>
          <w:rFonts w:asciiTheme="minorHAnsi" w:hAnsiTheme="minorHAnsi" w:cstheme="minorHAnsi"/>
          <w:bCs/>
        </w:rPr>
        <w:t xml:space="preserve">ûts du projet </w:t>
      </w:r>
      <w:r>
        <w:rPr>
          <w:rFonts w:asciiTheme="minorHAnsi" w:hAnsiTheme="minorHAnsi" w:cstheme="minorHAnsi"/>
        </w:rPr>
        <w:t xml:space="preserve">(Document </w:t>
      </w:r>
      <w:hyperlink r:id="rId24" w:history="1">
        <w:r w:rsidR="00161630" w:rsidRPr="00A31024">
          <w:rPr>
            <w:rStyle w:val="Hyperlink"/>
          </w:rPr>
          <w:t>C19/7</w:t>
        </w:r>
      </w:hyperlink>
      <w:r>
        <w:rPr>
          <w:rStyle w:val="Hyperlink"/>
        </w:rPr>
        <w:t>),</w:t>
      </w:r>
      <w:r w:rsidR="00161630" w:rsidRPr="00A31024">
        <w:rPr>
          <w:rFonts w:asciiTheme="minorHAnsi" w:hAnsiTheme="minorHAnsi" w:cstheme="minorHAnsi"/>
        </w:rPr>
        <w:t xml:space="preserve"> </w:t>
      </w:r>
      <w:r>
        <w:rPr>
          <w:rFonts w:asciiTheme="minorHAnsi" w:hAnsiTheme="minorHAnsi" w:cstheme="minorHAnsi"/>
        </w:rPr>
        <w:t>qui se chiffrent à</w:t>
      </w:r>
      <w:r w:rsidR="0047543A">
        <w:rPr>
          <w:rFonts w:asciiTheme="minorHAnsi" w:hAnsiTheme="minorHAnsi" w:cstheme="minorHAnsi"/>
        </w:rPr>
        <w:t xml:space="preserve"> </w:t>
      </w:r>
      <w:r w:rsidR="0047543A">
        <w:rPr>
          <w:rFonts w:asciiTheme="minorHAnsi" w:hAnsiTheme="minorHAnsi" w:cstheme="minorHAnsi"/>
        </w:rPr>
        <w:lastRenderedPageBreak/>
        <w:t>un total de</w:t>
      </w:r>
      <w:r>
        <w:rPr>
          <w:rFonts w:asciiTheme="minorHAnsi" w:hAnsiTheme="minorHAnsi" w:cstheme="minorHAnsi"/>
        </w:rPr>
        <w:t xml:space="preserve"> </w:t>
      </w:r>
      <w:r w:rsidR="00161630" w:rsidRPr="00A31024">
        <w:rPr>
          <w:rFonts w:asciiTheme="minorHAnsi" w:hAnsiTheme="minorHAnsi" w:cstheme="minorHAnsi"/>
        </w:rPr>
        <w:t>3 million</w:t>
      </w:r>
      <w:r>
        <w:rPr>
          <w:rFonts w:asciiTheme="minorHAnsi" w:hAnsiTheme="minorHAnsi" w:cstheme="minorHAnsi"/>
        </w:rPr>
        <w:t xml:space="preserve">s </w:t>
      </w:r>
      <w:r w:rsidRPr="00A31024">
        <w:rPr>
          <w:rFonts w:asciiTheme="minorHAnsi" w:hAnsiTheme="minorHAnsi" w:cstheme="minorHAnsi"/>
        </w:rPr>
        <w:t>CHF</w:t>
      </w:r>
      <w:r>
        <w:rPr>
          <w:rFonts w:asciiTheme="minorHAnsi" w:hAnsiTheme="minorHAnsi" w:cstheme="minorHAnsi"/>
        </w:rPr>
        <w:t>,</w:t>
      </w:r>
      <w:r w:rsidRPr="00A31024">
        <w:rPr>
          <w:rFonts w:asciiTheme="minorHAnsi" w:hAnsiTheme="minorHAnsi" w:cstheme="minorHAnsi"/>
        </w:rPr>
        <w:t> </w:t>
      </w:r>
      <w:r w:rsidR="00161630" w:rsidRPr="00A31024">
        <w:rPr>
          <w:rFonts w:asciiTheme="minorHAnsi" w:hAnsiTheme="minorHAnsi" w:cstheme="minorHAnsi"/>
        </w:rPr>
        <w:t xml:space="preserve"> </w:t>
      </w:r>
      <w:r>
        <w:rPr>
          <w:rFonts w:asciiTheme="minorHAnsi" w:hAnsiTheme="minorHAnsi" w:cstheme="minorHAnsi"/>
        </w:rPr>
        <w:t xml:space="preserve">doivent être détaillées et </w:t>
      </w:r>
      <w:r w:rsidR="0047543A">
        <w:rPr>
          <w:rFonts w:asciiTheme="minorHAnsi" w:hAnsiTheme="minorHAnsi" w:cstheme="minorHAnsi"/>
        </w:rPr>
        <w:t xml:space="preserve">identifiées par rapport aux </w:t>
      </w:r>
      <w:r>
        <w:rPr>
          <w:rFonts w:asciiTheme="minorHAnsi" w:hAnsiTheme="minorHAnsi" w:cstheme="minorHAnsi"/>
        </w:rPr>
        <w:t xml:space="preserve">mesures recommandées dans le rapport </w:t>
      </w:r>
      <w:r>
        <w:t>du Département de la sûreté et de la sécurité de l'ONU</w:t>
      </w:r>
      <w:r w:rsidR="001E7D25">
        <w:t xml:space="preserve"> (UNDSS)</w:t>
      </w:r>
      <w:r w:rsidR="00161630" w:rsidRPr="00A31024">
        <w:rPr>
          <w:rFonts w:asciiTheme="minorHAnsi" w:hAnsiTheme="minorHAnsi" w:cstheme="minorHAnsi"/>
        </w:rPr>
        <w:t xml:space="preserve">. </w:t>
      </w:r>
      <w:r w:rsidRPr="001E7D25">
        <w:rPr>
          <w:rFonts w:asciiTheme="minorHAnsi" w:hAnsiTheme="minorHAnsi" w:cstheme="minorHAnsi"/>
        </w:rPr>
        <w:t xml:space="preserve">Pour ce qui est des mesures </w:t>
      </w:r>
      <w:r w:rsidR="001E7D25" w:rsidRPr="001E7D25">
        <w:rPr>
          <w:rFonts w:asciiTheme="minorHAnsi" w:hAnsiTheme="minorHAnsi" w:cstheme="minorHAnsi"/>
        </w:rPr>
        <w:t>à prendre en dehors du périmètre de l'UIT, il a été demandé</w:t>
      </w:r>
      <w:r w:rsidR="00A26F2D">
        <w:rPr>
          <w:rFonts w:asciiTheme="minorHAnsi" w:hAnsiTheme="minorHAnsi" w:cstheme="minorHAnsi"/>
        </w:rPr>
        <w:t xml:space="preserve"> dans le </w:t>
      </w:r>
      <w:r w:rsidR="00A26F2D" w:rsidRPr="001E7D25">
        <w:rPr>
          <w:rFonts w:asciiTheme="minorHAnsi" w:hAnsiTheme="minorHAnsi" w:cstheme="minorHAnsi"/>
        </w:rPr>
        <w:t xml:space="preserve">Document </w:t>
      </w:r>
      <w:hyperlink r:id="rId25" w:history="1">
        <w:r w:rsidR="00A26F2D" w:rsidRPr="001E7D25">
          <w:rPr>
            <w:rStyle w:val="Hyperlink"/>
          </w:rPr>
          <w:t>C19/DL/12</w:t>
        </w:r>
      </w:hyperlink>
      <w:r w:rsidR="001E7D25" w:rsidRPr="001E7D25">
        <w:rPr>
          <w:rFonts w:asciiTheme="minorHAnsi" w:hAnsiTheme="minorHAnsi" w:cstheme="minorHAnsi"/>
        </w:rPr>
        <w:t xml:space="preserve"> que les autorités suisses </w:t>
      </w:r>
      <w:r w:rsidR="00A04AE8" w:rsidRPr="001E7D25">
        <w:rPr>
          <w:rFonts w:asciiTheme="minorHAnsi" w:hAnsiTheme="minorHAnsi" w:cstheme="minorHAnsi"/>
        </w:rPr>
        <w:t xml:space="preserve">compétentes </w:t>
      </w:r>
      <w:r w:rsidR="00A26F2D">
        <w:rPr>
          <w:rFonts w:asciiTheme="minorHAnsi" w:hAnsiTheme="minorHAnsi" w:cstheme="minorHAnsi"/>
        </w:rPr>
        <w:t xml:space="preserve">donnent </w:t>
      </w:r>
      <w:r w:rsidR="001E7D25">
        <w:rPr>
          <w:rFonts w:asciiTheme="minorHAnsi" w:hAnsiTheme="minorHAnsi" w:cstheme="minorHAnsi"/>
        </w:rPr>
        <w:t xml:space="preserve">par écrit </w:t>
      </w:r>
      <w:r w:rsidR="00A26F2D">
        <w:rPr>
          <w:rFonts w:asciiTheme="minorHAnsi" w:hAnsiTheme="minorHAnsi" w:cstheme="minorHAnsi"/>
        </w:rPr>
        <w:t xml:space="preserve">leur accord à la mise en </w:t>
      </w:r>
      <w:r w:rsidR="0089779D">
        <w:rPr>
          <w:rFonts w:asciiTheme="minorHAnsi" w:hAnsiTheme="minorHAnsi" w:cstheme="minorHAnsi"/>
        </w:rPr>
        <w:t>œuvre</w:t>
      </w:r>
      <w:r w:rsidR="00A26F2D">
        <w:rPr>
          <w:rFonts w:asciiTheme="minorHAnsi" w:hAnsiTheme="minorHAnsi" w:cstheme="minorHAnsi"/>
        </w:rPr>
        <w:t xml:space="preserve"> des </w:t>
      </w:r>
      <w:r w:rsidR="001E7D25">
        <w:rPr>
          <w:rFonts w:asciiTheme="minorHAnsi" w:hAnsiTheme="minorHAnsi" w:cstheme="minorHAnsi"/>
        </w:rPr>
        <w:t>mesures recommandées dans le rapport de l'UN</w:t>
      </w:r>
      <w:r w:rsidR="001E7D25" w:rsidRPr="001E7D25">
        <w:rPr>
          <w:rFonts w:asciiTheme="minorHAnsi" w:hAnsiTheme="minorHAnsi" w:cstheme="minorHAnsi"/>
        </w:rPr>
        <w:t>DSS</w:t>
      </w:r>
      <w:r w:rsidR="00161630" w:rsidRPr="001E7D25">
        <w:rPr>
          <w:rFonts w:asciiTheme="minorHAnsi" w:hAnsiTheme="minorHAnsi" w:cstheme="minorHAnsi"/>
        </w:rPr>
        <w:t xml:space="preserve">; </w:t>
      </w:r>
      <w:r w:rsidR="001E7D25">
        <w:rPr>
          <w:rFonts w:asciiTheme="minorHAnsi" w:hAnsiTheme="minorHAnsi" w:cstheme="minorHAnsi"/>
        </w:rPr>
        <w:t>à défaut</w:t>
      </w:r>
      <w:r w:rsidR="00741815">
        <w:rPr>
          <w:rFonts w:asciiTheme="minorHAnsi" w:hAnsiTheme="minorHAnsi" w:cstheme="minorHAnsi"/>
        </w:rPr>
        <w:t xml:space="preserve">, les coûts du projet devront </w:t>
      </w:r>
      <w:r w:rsidR="00590D8F">
        <w:rPr>
          <w:rFonts w:asciiTheme="minorHAnsi" w:hAnsiTheme="minorHAnsi" w:cstheme="minorHAnsi"/>
        </w:rPr>
        <w:t>tenir</w:t>
      </w:r>
      <w:r w:rsidR="001E7D25">
        <w:rPr>
          <w:rFonts w:asciiTheme="minorHAnsi" w:hAnsiTheme="minorHAnsi" w:cstheme="minorHAnsi"/>
        </w:rPr>
        <w:t xml:space="preserve"> compte </w:t>
      </w:r>
      <w:r w:rsidR="00741815">
        <w:rPr>
          <w:rFonts w:asciiTheme="minorHAnsi" w:hAnsiTheme="minorHAnsi" w:cstheme="minorHAnsi"/>
        </w:rPr>
        <w:t xml:space="preserve">du coût maximal de ces mesures </w:t>
      </w:r>
      <w:r w:rsidR="00590D8F">
        <w:rPr>
          <w:rFonts w:asciiTheme="minorHAnsi" w:hAnsiTheme="minorHAnsi" w:cstheme="minorHAnsi"/>
        </w:rPr>
        <w:t xml:space="preserve">estimé </w:t>
      </w:r>
      <w:r w:rsidR="00741815">
        <w:rPr>
          <w:rFonts w:asciiTheme="minorHAnsi" w:hAnsiTheme="minorHAnsi" w:cstheme="minorHAnsi"/>
        </w:rPr>
        <w:t xml:space="preserve">par </w:t>
      </w:r>
      <w:r w:rsidR="00161630" w:rsidRPr="001E7D25">
        <w:rPr>
          <w:rFonts w:asciiTheme="minorHAnsi" w:hAnsiTheme="minorHAnsi" w:cstheme="minorHAnsi"/>
          <w:bCs/>
        </w:rPr>
        <w:t>CDTK</w:t>
      </w:r>
      <w:r w:rsidR="00741815">
        <w:rPr>
          <w:rFonts w:asciiTheme="minorHAnsi" w:hAnsiTheme="minorHAnsi" w:cstheme="minorHAnsi"/>
          <w:bCs/>
        </w:rPr>
        <w:t>, soit</w:t>
      </w:r>
      <w:r w:rsidR="001E7D25">
        <w:rPr>
          <w:rFonts w:asciiTheme="minorHAnsi" w:hAnsiTheme="minorHAnsi" w:cstheme="minorHAnsi"/>
          <w:bCs/>
        </w:rPr>
        <w:t xml:space="preserve"> </w:t>
      </w:r>
      <w:r w:rsidR="00161630" w:rsidRPr="001E7D25">
        <w:rPr>
          <w:rFonts w:asciiTheme="minorHAnsi" w:hAnsiTheme="minorHAnsi" w:cstheme="minorHAnsi"/>
          <w:bCs/>
        </w:rPr>
        <w:t>6 million</w:t>
      </w:r>
      <w:r w:rsidR="00741815">
        <w:rPr>
          <w:rFonts w:asciiTheme="minorHAnsi" w:hAnsiTheme="minorHAnsi" w:cstheme="minorHAnsi"/>
          <w:bCs/>
        </w:rPr>
        <w:t xml:space="preserve">s </w:t>
      </w:r>
      <w:r w:rsidR="00741815" w:rsidRPr="001E7D25">
        <w:rPr>
          <w:rFonts w:asciiTheme="minorHAnsi" w:hAnsiTheme="minorHAnsi" w:cstheme="minorHAnsi"/>
          <w:bCs/>
        </w:rPr>
        <w:t>CHF</w:t>
      </w:r>
      <w:r w:rsidR="00161630" w:rsidRPr="001E7D25">
        <w:rPr>
          <w:rFonts w:asciiTheme="minorHAnsi" w:hAnsiTheme="minorHAnsi" w:cstheme="minorHAnsi"/>
          <w:bCs/>
        </w:rPr>
        <w:t>.</w:t>
      </w:r>
    </w:p>
    <w:p w14:paraId="59A8F9E1" w14:textId="137EF193" w:rsidR="00161630" w:rsidRPr="00427007" w:rsidRDefault="003514F2" w:rsidP="004E255B">
      <w:pPr>
        <w:rPr>
          <w:rFonts w:asciiTheme="minorHAnsi" w:hAnsiTheme="minorHAnsi" w:cstheme="minorHAnsi"/>
        </w:rPr>
      </w:pPr>
      <w:r w:rsidRPr="003514F2">
        <w:rPr>
          <w:rFonts w:asciiTheme="minorHAnsi" w:hAnsiTheme="minorHAnsi" w:cstheme="minorHAnsi"/>
          <w:spacing w:val="-2"/>
        </w:rPr>
        <w:t xml:space="preserve">Les coûts </w:t>
      </w:r>
      <w:r w:rsidR="00A26F2D">
        <w:rPr>
          <w:rFonts w:asciiTheme="minorHAnsi" w:hAnsiTheme="minorHAnsi" w:cstheme="minorHAnsi"/>
          <w:spacing w:val="-2"/>
        </w:rPr>
        <w:t xml:space="preserve">associés au </w:t>
      </w:r>
      <w:r w:rsidRPr="003514F2">
        <w:rPr>
          <w:rFonts w:asciiTheme="minorHAnsi" w:hAnsiTheme="minorHAnsi" w:cstheme="minorHAnsi"/>
          <w:spacing w:val="-2"/>
        </w:rPr>
        <w:t>relogement du personnel</w:t>
      </w:r>
      <w:r w:rsidR="00161630" w:rsidRPr="003514F2">
        <w:rPr>
          <w:rFonts w:asciiTheme="minorHAnsi" w:hAnsiTheme="minorHAnsi" w:cstheme="minorHAnsi"/>
          <w:bCs/>
          <w:spacing w:val="-2"/>
        </w:rPr>
        <w:t xml:space="preserve"> </w:t>
      </w:r>
      <w:r w:rsidRPr="003514F2">
        <w:rPr>
          <w:rFonts w:asciiTheme="minorHAnsi" w:hAnsiTheme="minorHAnsi" w:cstheme="minorHAnsi"/>
          <w:bCs/>
          <w:spacing w:val="-2"/>
        </w:rPr>
        <w:t xml:space="preserve">ont récemment été </w:t>
      </w:r>
      <w:r w:rsidR="00A26F2D">
        <w:rPr>
          <w:rFonts w:asciiTheme="minorHAnsi" w:hAnsiTheme="minorHAnsi" w:cstheme="minorHAnsi"/>
          <w:bCs/>
          <w:spacing w:val="-2"/>
        </w:rPr>
        <w:t xml:space="preserve">ramenés </w:t>
      </w:r>
      <w:r w:rsidR="00A26F2D" w:rsidRPr="003514F2">
        <w:rPr>
          <w:rFonts w:asciiTheme="minorHAnsi" w:hAnsiTheme="minorHAnsi" w:cstheme="minorHAnsi"/>
          <w:bCs/>
          <w:spacing w:val="-2"/>
        </w:rPr>
        <w:t xml:space="preserve">de </w:t>
      </w:r>
      <w:r w:rsidR="00A26F2D" w:rsidRPr="003514F2">
        <w:rPr>
          <w:rFonts w:asciiTheme="minorHAnsi" w:hAnsiTheme="minorHAnsi" w:cstheme="minorHAnsi"/>
        </w:rPr>
        <w:t>11 millions CHF</w:t>
      </w:r>
      <w:r w:rsidR="00A26F2D">
        <w:rPr>
          <w:rFonts w:asciiTheme="minorHAnsi" w:hAnsiTheme="minorHAnsi" w:cstheme="minorHAnsi"/>
          <w:bCs/>
          <w:spacing w:val="-2"/>
        </w:rPr>
        <w:t xml:space="preserve"> à </w:t>
      </w:r>
      <w:r w:rsidRPr="003514F2">
        <w:rPr>
          <w:rFonts w:asciiTheme="minorHAnsi" w:hAnsiTheme="minorHAnsi" w:cstheme="minorHAnsi"/>
          <w:bCs/>
          <w:spacing w:val="-2"/>
        </w:rPr>
        <w:t>6</w:t>
      </w:r>
      <w:r w:rsidR="00A26F2D">
        <w:rPr>
          <w:rFonts w:asciiTheme="minorHAnsi" w:hAnsiTheme="minorHAnsi" w:cstheme="minorHAnsi"/>
          <w:bCs/>
          <w:spacing w:val="-2"/>
        </w:rPr>
        <w:t> </w:t>
      </w:r>
      <w:r w:rsidRPr="003514F2">
        <w:rPr>
          <w:rFonts w:asciiTheme="minorHAnsi" w:hAnsiTheme="minorHAnsi" w:cstheme="minorHAnsi"/>
          <w:bCs/>
          <w:spacing w:val="-2"/>
        </w:rPr>
        <w:t>millions</w:t>
      </w:r>
      <w:r w:rsidR="00A26F2D">
        <w:rPr>
          <w:rFonts w:asciiTheme="minorHAnsi" w:hAnsiTheme="minorHAnsi" w:cstheme="minorHAnsi"/>
          <w:bCs/>
          <w:spacing w:val="-2"/>
        </w:rPr>
        <w:t> </w:t>
      </w:r>
      <w:r w:rsidRPr="003514F2">
        <w:rPr>
          <w:rFonts w:asciiTheme="minorHAnsi" w:hAnsiTheme="minorHAnsi" w:cstheme="minorHAnsi"/>
          <w:bCs/>
          <w:spacing w:val="-2"/>
        </w:rPr>
        <w:t>CHF</w:t>
      </w:r>
      <w:r w:rsidR="00A26F2D">
        <w:rPr>
          <w:rFonts w:asciiTheme="minorHAnsi" w:hAnsiTheme="minorHAnsi" w:cstheme="minorHAnsi"/>
          <w:bCs/>
          <w:spacing w:val="-2"/>
        </w:rPr>
        <w:t>,</w:t>
      </w:r>
      <w:r w:rsidRPr="003514F2">
        <w:rPr>
          <w:rFonts w:asciiTheme="minorHAnsi" w:hAnsiTheme="minorHAnsi" w:cstheme="minorHAnsi"/>
          <w:bCs/>
          <w:spacing w:val="-2"/>
        </w:rPr>
        <w:t xml:space="preserve"> </w:t>
      </w:r>
      <w:r w:rsidRPr="003514F2">
        <w:rPr>
          <w:rFonts w:asciiTheme="minorHAnsi" w:hAnsiTheme="minorHAnsi" w:cstheme="minorHAnsi"/>
        </w:rPr>
        <w:t xml:space="preserve">sur la base d'une nouvelle étude </w:t>
      </w:r>
      <w:r>
        <w:t xml:space="preserve">sur l'espace disponible </w:t>
      </w:r>
      <w:r w:rsidR="00BA4731">
        <w:rPr>
          <w:rFonts w:asciiTheme="minorHAnsi" w:hAnsiTheme="minorHAnsi" w:cstheme="minorHAnsi"/>
        </w:rPr>
        <w:t xml:space="preserve">qui </w:t>
      </w:r>
      <w:r w:rsidR="00A26F2D">
        <w:rPr>
          <w:rFonts w:asciiTheme="minorHAnsi" w:hAnsiTheme="minorHAnsi" w:cstheme="minorHAnsi"/>
        </w:rPr>
        <w:t>semble</w:t>
      </w:r>
      <w:r w:rsidR="00BA4731">
        <w:rPr>
          <w:rFonts w:asciiTheme="minorHAnsi" w:hAnsiTheme="minorHAnsi" w:cstheme="minorHAnsi"/>
        </w:rPr>
        <w:t xml:space="preserve"> confirmer qu'il est possible de reloger tout le personnel du bâtiment</w:t>
      </w:r>
      <w:r w:rsidR="00161630" w:rsidRPr="003514F2">
        <w:rPr>
          <w:rFonts w:asciiTheme="minorHAnsi" w:hAnsiTheme="minorHAnsi" w:cstheme="minorHAnsi"/>
        </w:rPr>
        <w:t xml:space="preserve"> </w:t>
      </w:r>
      <w:proofErr w:type="spellStart"/>
      <w:r w:rsidR="00161630" w:rsidRPr="003514F2">
        <w:rPr>
          <w:rFonts w:asciiTheme="minorHAnsi" w:hAnsiTheme="minorHAnsi" w:cstheme="minorHAnsi"/>
        </w:rPr>
        <w:t>Varemb</w:t>
      </w:r>
      <w:r w:rsidR="00161630" w:rsidRPr="003514F2">
        <w:rPr>
          <w:rFonts w:asciiTheme="minorHAnsi" w:hAnsiTheme="minorHAnsi"/>
        </w:rPr>
        <w:t>é</w:t>
      </w:r>
      <w:proofErr w:type="spellEnd"/>
      <w:r w:rsidR="00161630" w:rsidRPr="003514F2">
        <w:rPr>
          <w:rFonts w:asciiTheme="minorHAnsi" w:hAnsiTheme="minorHAnsi" w:cstheme="minorHAnsi"/>
        </w:rPr>
        <w:t xml:space="preserve"> </w:t>
      </w:r>
      <w:r w:rsidR="00BA4731">
        <w:rPr>
          <w:rFonts w:asciiTheme="minorHAnsi" w:hAnsiTheme="minorHAnsi" w:cstheme="minorHAnsi"/>
        </w:rPr>
        <w:t xml:space="preserve">dans la Tour </w:t>
      </w:r>
      <w:r w:rsidR="00A26F2D">
        <w:rPr>
          <w:rFonts w:asciiTheme="minorHAnsi" w:hAnsiTheme="minorHAnsi" w:cstheme="minorHAnsi"/>
        </w:rPr>
        <w:t xml:space="preserve">ou </w:t>
      </w:r>
      <w:r w:rsidR="00BA4731">
        <w:rPr>
          <w:rFonts w:asciiTheme="minorHAnsi" w:hAnsiTheme="minorHAnsi" w:cstheme="minorHAnsi"/>
        </w:rPr>
        <w:t xml:space="preserve">dans le bâtiment </w:t>
      </w:r>
      <w:proofErr w:type="spellStart"/>
      <w:r w:rsidR="00161630" w:rsidRPr="003514F2">
        <w:rPr>
          <w:rFonts w:asciiTheme="minorHAnsi" w:hAnsiTheme="minorHAnsi" w:cstheme="minorHAnsi"/>
        </w:rPr>
        <w:t>Montbrillant</w:t>
      </w:r>
      <w:proofErr w:type="spellEnd"/>
      <w:r w:rsidR="00161630" w:rsidRPr="003514F2">
        <w:rPr>
          <w:rFonts w:asciiTheme="minorHAnsi" w:hAnsiTheme="minorHAnsi" w:cstheme="minorHAnsi"/>
        </w:rPr>
        <w:t>.</w:t>
      </w:r>
      <w:r w:rsidR="00BA4731">
        <w:rPr>
          <w:rFonts w:asciiTheme="minorHAnsi" w:hAnsiTheme="minorHAnsi" w:cstheme="minorHAnsi"/>
        </w:rPr>
        <w:t xml:space="preserve"> </w:t>
      </w:r>
      <w:r w:rsidR="00BA4731" w:rsidRPr="00BA4731">
        <w:rPr>
          <w:rFonts w:asciiTheme="minorHAnsi" w:hAnsiTheme="minorHAnsi" w:cstheme="minorHAnsi"/>
        </w:rPr>
        <w:t xml:space="preserve">Il a été demandé </w:t>
      </w:r>
      <w:r w:rsidR="00A26F2D">
        <w:rPr>
          <w:rFonts w:asciiTheme="minorHAnsi" w:hAnsiTheme="minorHAnsi" w:cstheme="minorHAnsi"/>
        </w:rPr>
        <w:t xml:space="preserve">dans le Document </w:t>
      </w:r>
      <w:hyperlink r:id="rId26" w:history="1">
        <w:r w:rsidR="00A26F2D" w:rsidRPr="00BA4731">
          <w:rPr>
            <w:rStyle w:val="Hyperlink"/>
          </w:rPr>
          <w:t>C19/DL/12</w:t>
        </w:r>
      </w:hyperlink>
      <w:r w:rsidR="00A26F2D" w:rsidRPr="00A26F2D">
        <w:t xml:space="preserve"> </w:t>
      </w:r>
      <w:r w:rsidR="00BA4731" w:rsidRPr="00BA4731">
        <w:rPr>
          <w:rFonts w:asciiTheme="minorHAnsi" w:hAnsiTheme="minorHAnsi" w:cstheme="minorHAnsi"/>
        </w:rPr>
        <w:t xml:space="preserve">que cette étude soit </w:t>
      </w:r>
      <w:r w:rsidR="00A26F2D">
        <w:rPr>
          <w:rFonts w:asciiTheme="minorHAnsi" w:hAnsiTheme="minorHAnsi" w:cstheme="minorHAnsi"/>
        </w:rPr>
        <w:t>mise à disposition</w:t>
      </w:r>
      <w:r w:rsidR="00161630" w:rsidRPr="00BA4731">
        <w:rPr>
          <w:rFonts w:asciiTheme="minorHAnsi" w:hAnsiTheme="minorHAnsi" w:cstheme="minorHAnsi"/>
        </w:rPr>
        <w:t xml:space="preserve">; </w:t>
      </w:r>
      <w:r w:rsidR="00BA4731">
        <w:rPr>
          <w:rFonts w:asciiTheme="minorHAnsi" w:hAnsiTheme="minorHAnsi" w:cstheme="minorHAnsi"/>
        </w:rPr>
        <w:t xml:space="preserve">dans le cas </w:t>
      </w:r>
      <w:r w:rsidR="003F5CEC">
        <w:rPr>
          <w:rFonts w:asciiTheme="minorHAnsi" w:hAnsiTheme="minorHAnsi" w:cstheme="minorHAnsi"/>
        </w:rPr>
        <w:t>contraire</w:t>
      </w:r>
      <w:r w:rsidR="00161630" w:rsidRPr="00BA4731">
        <w:rPr>
          <w:rFonts w:asciiTheme="minorHAnsi" w:hAnsiTheme="minorHAnsi" w:cstheme="minorHAnsi"/>
        </w:rPr>
        <w:t xml:space="preserve">, </w:t>
      </w:r>
      <w:r w:rsidR="00BA4731">
        <w:rPr>
          <w:rFonts w:asciiTheme="minorHAnsi" w:hAnsiTheme="minorHAnsi" w:cstheme="minorHAnsi"/>
          <w:bCs/>
        </w:rPr>
        <w:t xml:space="preserve">les coûts de relogement du personnel seront maintenus à </w:t>
      </w:r>
      <w:r w:rsidR="00161630" w:rsidRPr="00BA4731">
        <w:rPr>
          <w:rFonts w:asciiTheme="minorHAnsi" w:hAnsiTheme="minorHAnsi" w:cstheme="minorHAnsi"/>
          <w:bCs/>
        </w:rPr>
        <w:t>11</w:t>
      </w:r>
      <w:r w:rsidR="00FD4175">
        <w:rPr>
          <w:rFonts w:asciiTheme="minorHAnsi" w:hAnsiTheme="minorHAnsi" w:cstheme="minorHAnsi"/>
          <w:bCs/>
        </w:rPr>
        <w:t> </w:t>
      </w:r>
      <w:r w:rsidR="00161630" w:rsidRPr="00BA4731">
        <w:rPr>
          <w:rFonts w:asciiTheme="minorHAnsi" w:hAnsiTheme="minorHAnsi" w:cstheme="minorHAnsi"/>
          <w:bCs/>
        </w:rPr>
        <w:t>million</w:t>
      </w:r>
      <w:r w:rsidR="00BA4731">
        <w:rPr>
          <w:rFonts w:asciiTheme="minorHAnsi" w:hAnsiTheme="minorHAnsi" w:cstheme="minorHAnsi"/>
          <w:bCs/>
        </w:rPr>
        <w:t>s CHF.</w:t>
      </w:r>
      <w:r w:rsidR="00161630" w:rsidRPr="00BA4731">
        <w:rPr>
          <w:rFonts w:asciiTheme="minorHAnsi" w:hAnsiTheme="minorHAnsi" w:cstheme="minorHAnsi"/>
          <w:bCs/>
        </w:rPr>
        <w:t xml:space="preserve"> </w:t>
      </w:r>
      <w:r w:rsidR="00427007" w:rsidRPr="00427007">
        <w:rPr>
          <w:rFonts w:asciiTheme="minorHAnsi" w:hAnsiTheme="minorHAnsi" w:cstheme="minorHAnsi"/>
          <w:bCs/>
        </w:rPr>
        <w:t xml:space="preserve">Un taux d'incertitude </w:t>
      </w:r>
      <w:r w:rsidR="00A26F2D">
        <w:rPr>
          <w:rFonts w:asciiTheme="minorHAnsi" w:hAnsiTheme="minorHAnsi" w:cstheme="minorHAnsi"/>
          <w:bCs/>
        </w:rPr>
        <w:t xml:space="preserve">devra </w:t>
      </w:r>
      <w:r w:rsidR="00427007" w:rsidRPr="00427007">
        <w:rPr>
          <w:rFonts w:asciiTheme="minorHAnsi" w:hAnsiTheme="minorHAnsi" w:cstheme="minorHAnsi"/>
          <w:bCs/>
        </w:rPr>
        <w:t>être appliqué à ce montant dans l'</w:t>
      </w:r>
      <w:r w:rsidR="00BA4731" w:rsidRPr="00427007">
        <w:rPr>
          <w:rFonts w:asciiTheme="minorHAnsi" w:hAnsiTheme="minorHAnsi" w:cstheme="minorHAnsi"/>
          <w:bCs/>
        </w:rPr>
        <w:t xml:space="preserve">analyse </w:t>
      </w:r>
      <w:r w:rsidR="008F0BD3">
        <w:rPr>
          <w:rFonts w:asciiTheme="minorHAnsi" w:hAnsiTheme="minorHAnsi" w:cstheme="minorHAnsi"/>
          <w:bCs/>
        </w:rPr>
        <w:t>des risques financiers</w:t>
      </w:r>
      <w:r w:rsidR="00161630" w:rsidRPr="00427007">
        <w:rPr>
          <w:rFonts w:asciiTheme="minorHAnsi" w:hAnsiTheme="minorHAnsi" w:cstheme="minorHAnsi"/>
        </w:rPr>
        <w:t>.</w:t>
      </w:r>
    </w:p>
    <w:p w14:paraId="42872034" w14:textId="4376ECA7" w:rsidR="00161630" w:rsidRPr="00A04AE8" w:rsidRDefault="003F5CEC" w:rsidP="004E255B">
      <w:pPr>
        <w:rPr>
          <w:rFonts w:asciiTheme="minorHAnsi" w:hAnsiTheme="minorHAnsi" w:cstheme="minorHAnsi"/>
        </w:rPr>
      </w:pPr>
      <w:r w:rsidRPr="003F5CEC">
        <w:rPr>
          <w:rFonts w:asciiTheme="minorHAnsi" w:hAnsiTheme="minorHAnsi" w:cstheme="minorHAnsi"/>
          <w:bCs/>
        </w:rPr>
        <w:t xml:space="preserve">Il </w:t>
      </w:r>
      <w:r w:rsidR="00A26F2D">
        <w:rPr>
          <w:rFonts w:asciiTheme="minorHAnsi" w:hAnsiTheme="minorHAnsi" w:cstheme="minorHAnsi"/>
          <w:bCs/>
        </w:rPr>
        <w:t xml:space="preserve">faudra </w:t>
      </w:r>
      <w:r w:rsidRPr="003F5CEC">
        <w:rPr>
          <w:rFonts w:asciiTheme="minorHAnsi" w:hAnsiTheme="minorHAnsi" w:cstheme="minorHAnsi"/>
          <w:bCs/>
        </w:rPr>
        <w:t xml:space="preserve">des estimations concernant les réunions et conférences </w:t>
      </w:r>
      <w:r w:rsidR="00A26F2D">
        <w:rPr>
          <w:rFonts w:asciiTheme="minorHAnsi" w:hAnsiTheme="minorHAnsi" w:cstheme="minorHAnsi"/>
          <w:bCs/>
        </w:rPr>
        <w:t xml:space="preserve">qui se tiendront </w:t>
      </w:r>
      <w:r w:rsidRPr="003F5CEC">
        <w:rPr>
          <w:rFonts w:asciiTheme="minorHAnsi" w:hAnsiTheme="minorHAnsi" w:cstheme="minorHAnsi"/>
          <w:bCs/>
        </w:rPr>
        <w:t>pendant les phases de démolition et de construction,</w:t>
      </w:r>
      <w:r w:rsidR="00161630" w:rsidRPr="003F5CEC">
        <w:rPr>
          <w:rFonts w:asciiTheme="minorHAnsi" w:hAnsiTheme="minorHAnsi" w:cstheme="minorHAnsi"/>
        </w:rPr>
        <w:t xml:space="preserve"> </w:t>
      </w:r>
      <w:r w:rsidRPr="003F5CEC">
        <w:rPr>
          <w:rFonts w:asciiTheme="minorHAnsi" w:hAnsiTheme="minorHAnsi" w:cstheme="minorHAnsi"/>
        </w:rPr>
        <w:t xml:space="preserve">y compris en ce qui concerne le nombre de participants </w:t>
      </w:r>
      <w:r w:rsidR="00A26F2D">
        <w:rPr>
          <w:rFonts w:asciiTheme="minorHAnsi" w:hAnsiTheme="minorHAnsi" w:cstheme="minorHAnsi"/>
        </w:rPr>
        <w:t xml:space="preserve">prévu </w:t>
      </w:r>
      <w:r w:rsidRPr="003F5CEC">
        <w:rPr>
          <w:rFonts w:asciiTheme="minorHAnsi" w:hAnsiTheme="minorHAnsi" w:cstheme="minorHAnsi"/>
        </w:rPr>
        <w:t xml:space="preserve">et </w:t>
      </w:r>
      <w:r>
        <w:rPr>
          <w:rFonts w:asciiTheme="minorHAnsi" w:hAnsiTheme="minorHAnsi" w:cstheme="minorHAnsi"/>
        </w:rPr>
        <w:t xml:space="preserve">de </w:t>
      </w:r>
      <w:r w:rsidRPr="003F5CEC">
        <w:rPr>
          <w:rFonts w:asciiTheme="minorHAnsi" w:hAnsiTheme="minorHAnsi" w:cstheme="minorHAnsi"/>
        </w:rPr>
        <w:t xml:space="preserve">salles </w:t>
      </w:r>
      <w:r>
        <w:rPr>
          <w:rFonts w:asciiTheme="minorHAnsi" w:hAnsiTheme="minorHAnsi" w:cstheme="minorHAnsi"/>
        </w:rPr>
        <w:t xml:space="preserve">nécessaires </w:t>
      </w:r>
      <w:r w:rsidR="00161630" w:rsidRPr="003F5CEC">
        <w:rPr>
          <w:rFonts w:asciiTheme="minorHAnsi" w:hAnsiTheme="minorHAnsi" w:cstheme="minorHAnsi"/>
        </w:rPr>
        <w:t>(</w:t>
      </w:r>
      <w:r>
        <w:rPr>
          <w:rFonts w:asciiTheme="minorHAnsi" w:hAnsiTheme="minorHAnsi" w:cstheme="minorHAnsi"/>
        </w:rPr>
        <w:t xml:space="preserve">soit une salle de réunion </w:t>
      </w:r>
      <w:r w:rsidR="00A26F2D">
        <w:rPr>
          <w:rFonts w:asciiTheme="minorHAnsi" w:hAnsiTheme="minorHAnsi" w:cstheme="minorHAnsi"/>
        </w:rPr>
        <w:t xml:space="preserve">principale </w:t>
      </w:r>
      <w:r>
        <w:rPr>
          <w:rFonts w:asciiTheme="minorHAnsi" w:hAnsiTheme="minorHAnsi" w:cstheme="minorHAnsi"/>
        </w:rPr>
        <w:t xml:space="preserve">et </w:t>
      </w:r>
      <w:r w:rsidR="00161630" w:rsidRPr="003F5CEC">
        <w:rPr>
          <w:rFonts w:asciiTheme="minorHAnsi" w:hAnsiTheme="minorHAnsi" w:cstheme="minorHAnsi"/>
        </w:rPr>
        <w:t xml:space="preserve">4 </w:t>
      </w:r>
      <w:r>
        <w:rPr>
          <w:rFonts w:asciiTheme="minorHAnsi" w:hAnsiTheme="minorHAnsi" w:cstheme="minorHAnsi"/>
        </w:rPr>
        <w:t xml:space="preserve">salles </w:t>
      </w:r>
      <w:r w:rsidR="00A26F2D">
        <w:rPr>
          <w:rFonts w:asciiTheme="minorHAnsi" w:hAnsiTheme="minorHAnsi" w:cstheme="minorHAnsi"/>
        </w:rPr>
        <w:t>pour discussions en petits groupes</w:t>
      </w:r>
      <w:r w:rsidR="00161630" w:rsidRPr="003F5CEC">
        <w:rPr>
          <w:rFonts w:asciiTheme="minorHAnsi" w:hAnsiTheme="minorHAnsi" w:cstheme="minorHAnsi"/>
        </w:rPr>
        <w:t xml:space="preserve">, etc.) </w:t>
      </w:r>
      <w:r>
        <w:rPr>
          <w:rFonts w:asciiTheme="minorHAnsi" w:hAnsiTheme="minorHAnsi" w:cstheme="minorHAnsi"/>
        </w:rPr>
        <w:t>et l</w:t>
      </w:r>
      <w:r w:rsidR="006F5235">
        <w:rPr>
          <w:rFonts w:asciiTheme="minorHAnsi" w:hAnsiTheme="minorHAnsi" w:cstheme="minorHAnsi"/>
        </w:rPr>
        <w:t xml:space="preserve">e coût </w:t>
      </w:r>
      <w:r w:rsidR="00A26F2D">
        <w:rPr>
          <w:rFonts w:asciiTheme="minorHAnsi" w:hAnsiTheme="minorHAnsi" w:cstheme="minorHAnsi"/>
        </w:rPr>
        <w:t xml:space="preserve">estimatif </w:t>
      </w:r>
      <w:r w:rsidR="006F5235">
        <w:rPr>
          <w:rFonts w:asciiTheme="minorHAnsi" w:hAnsiTheme="minorHAnsi" w:cstheme="minorHAnsi"/>
        </w:rPr>
        <w:t>de l'organisation</w:t>
      </w:r>
      <w:r>
        <w:rPr>
          <w:rFonts w:asciiTheme="minorHAnsi" w:hAnsiTheme="minorHAnsi" w:cstheme="minorHAnsi"/>
        </w:rPr>
        <w:t xml:space="preserve"> de ces manifestations à Genève ou ailleurs</w:t>
      </w:r>
      <w:r w:rsidR="00161630" w:rsidRPr="003F5CEC">
        <w:rPr>
          <w:rFonts w:asciiTheme="minorHAnsi" w:hAnsiTheme="minorHAnsi" w:cstheme="minorHAnsi"/>
        </w:rPr>
        <w:t>.</w:t>
      </w:r>
      <w:r>
        <w:rPr>
          <w:rFonts w:asciiTheme="minorHAnsi" w:hAnsiTheme="minorHAnsi" w:cstheme="minorHAnsi"/>
        </w:rPr>
        <w:t xml:space="preserve"> </w:t>
      </w:r>
      <w:r w:rsidRPr="00A04AE8">
        <w:rPr>
          <w:rFonts w:asciiTheme="minorHAnsi" w:hAnsiTheme="minorHAnsi" w:cstheme="minorHAnsi"/>
        </w:rPr>
        <w:t xml:space="preserve">Il a été demandé </w:t>
      </w:r>
      <w:r w:rsidR="00A26F2D">
        <w:rPr>
          <w:rFonts w:asciiTheme="minorHAnsi" w:hAnsiTheme="minorHAnsi" w:cstheme="minorHAnsi"/>
        </w:rPr>
        <w:t xml:space="preserve">dans le Document </w:t>
      </w:r>
      <w:hyperlink r:id="rId27" w:history="1">
        <w:r w:rsidR="00A26F2D" w:rsidRPr="00A04AE8">
          <w:rPr>
            <w:rStyle w:val="Hyperlink"/>
          </w:rPr>
          <w:t>C19/DL/12</w:t>
        </w:r>
      </w:hyperlink>
      <w:r w:rsidRPr="00A04AE8">
        <w:rPr>
          <w:rFonts w:asciiTheme="minorHAnsi" w:hAnsiTheme="minorHAnsi" w:cstheme="minorHAnsi"/>
        </w:rPr>
        <w:t xml:space="preserve"> </w:t>
      </w:r>
      <w:r w:rsidR="00A26F2D">
        <w:rPr>
          <w:rFonts w:asciiTheme="minorHAnsi" w:hAnsiTheme="minorHAnsi" w:cstheme="minorHAnsi"/>
        </w:rPr>
        <w:t xml:space="preserve">que les </w:t>
      </w:r>
      <w:r w:rsidRPr="00A04AE8">
        <w:rPr>
          <w:rFonts w:asciiTheme="minorHAnsi" w:hAnsiTheme="minorHAnsi" w:cstheme="minorHAnsi"/>
        </w:rPr>
        <w:t>accord</w:t>
      </w:r>
      <w:r w:rsidR="00A26F2D">
        <w:rPr>
          <w:rFonts w:asciiTheme="minorHAnsi" w:hAnsiTheme="minorHAnsi" w:cstheme="minorHAnsi"/>
        </w:rPr>
        <w:t>s</w:t>
      </w:r>
      <w:r w:rsidRPr="00A04AE8">
        <w:rPr>
          <w:rFonts w:asciiTheme="minorHAnsi" w:hAnsiTheme="minorHAnsi" w:cstheme="minorHAnsi"/>
        </w:rPr>
        <w:t xml:space="preserve"> écrit</w:t>
      </w:r>
      <w:r w:rsidR="00A26F2D">
        <w:rPr>
          <w:rFonts w:asciiTheme="minorHAnsi" w:hAnsiTheme="minorHAnsi" w:cstheme="minorHAnsi"/>
        </w:rPr>
        <w:t>s</w:t>
      </w:r>
      <w:r w:rsidRPr="00A04AE8">
        <w:rPr>
          <w:rFonts w:asciiTheme="minorHAnsi" w:hAnsiTheme="minorHAnsi" w:cstheme="minorHAnsi"/>
        </w:rPr>
        <w:t xml:space="preserve"> passé</w:t>
      </w:r>
      <w:r w:rsidR="00A26F2D">
        <w:rPr>
          <w:rFonts w:asciiTheme="minorHAnsi" w:hAnsiTheme="minorHAnsi" w:cstheme="minorHAnsi"/>
        </w:rPr>
        <w:t>s</w:t>
      </w:r>
      <w:r w:rsidRPr="00A04AE8">
        <w:rPr>
          <w:rFonts w:asciiTheme="minorHAnsi" w:hAnsiTheme="minorHAnsi" w:cstheme="minorHAnsi"/>
        </w:rPr>
        <w:t xml:space="preserve"> avec </w:t>
      </w:r>
      <w:r w:rsidR="00A04AE8" w:rsidRPr="00A04AE8">
        <w:rPr>
          <w:rFonts w:asciiTheme="minorHAnsi" w:hAnsiTheme="minorHAnsi" w:cstheme="minorHAnsi"/>
        </w:rPr>
        <w:t>le pays hôte ou les autorités suisses compétentes</w:t>
      </w:r>
      <w:r w:rsidR="00A26F2D">
        <w:rPr>
          <w:rFonts w:asciiTheme="minorHAnsi" w:hAnsiTheme="minorHAnsi" w:cstheme="minorHAnsi"/>
        </w:rPr>
        <w:t xml:space="preserve"> soient </w:t>
      </w:r>
      <w:proofErr w:type="gramStart"/>
      <w:r w:rsidR="00A26F2D">
        <w:rPr>
          <w:rFonts w:asciiTheme="minorHAnsi" w:hAnsiTheme="minorHAnsi" w:cstheme="minorHAnsi"/>
        </w:rPr>
        <w:t>fournis</w:t>
      </w:r>
      <w:proofErr w:type="gramEnd"/>
      <w:r w:rsidR="00161630" w:rsidRPr="00A04AE8">
        <w:rPr>
          <w:rFonts w:asciiTheme="minorHAnsi" w:hAnsiTheme="minorHAnsi" w:cstheme="minorHAnsi"/>
        </w:rPr>
        <w:t xml:space="preserve">; </w:t>
      </w:r>
      <w:r w:rsidR="00A04AE8">
        <w:rPr>
          <w:rFonts w:asciiTheme="minorHAnsi" w:hAnsiTheme="minorHAnsi" w:cstheme="minorHAnsi"/>
        </w:rPr>
        <w:t>à défaut</w:t>
      </w:r>
      <w:r w:rsidR="00161630" w:rsidRPr="00A04AE8">
        <w:rPr>
          <w:rFonts w:asciiTheme="minorHAnsi" w:hAnsiTheme="minorHAnsi" w:cstheme="minorHAnsi"/>
        </w:rPr>
        <w:t xml:space="preserve">, </w:t>
      </w:r>
      <w:r w:rsidR="00A04AE8">
        <w:rPr>
          <w:rFonts w:asciiTheme="minorHAnsi" w:hAnsiTheme="minorHAnsi" w:cstheme="minorHAnsi"/>
          <w:bCs/>
        </w:rPr>
        <w:t>l</w:t>
      </w:r>
      <w:r w:rsidR="00A26F2D">
        <w:rPr>
          <w:rFonts w:asciiTheme="minorHAnsi" w:hAnsiTheme="minorHAnsi" w:cstheme="minorHAnsi"/>
          <w:bCs/>
        </w:rPr>
        <w:t>es</w:t>
      </w:r>
      <w:r w:rsidR="00A04AE8">
        <w:rPr>
          <w:rFonts w:asciiTheme="minorHAnsi" w:hAnsiTheme="minorHAnsi" w:cstheme="minorHAnsi"/>
          <w:bCs/>
        </w:rPr>
        <w:t xml:space="preserve"> prévision</w:t>
      </w:r>
      <w:r w:rsidR="00A26F2D">
        <w:rPr>
          <w:rFonts w:asciiTheme="minorHAnsi" w:hAnsiTheme="minorHAnsi" w:cstheme="minorHAnsi"/>
          <w:bCs/>
        </w:rPr>
        <w:t>s</w:t>
      </w:r>
      <w:r w:rsidR="00A04AE8">
        <w:rPr>
          <w:rFonts w:asciiTheme="minorHAnsi" w:hAnsiTheme="minorHAnsi" w:cstheme="minorHAnsi"/>
          <w:bCs/>
        </w:rPr>
        <w:t xml:space="preserve"> des coûts </w:t>
      </w:r>
      <w:r w:rsidR="00A26F2D">
        <w:rPr>
          <w:rFonts w:asciiTheme="minorHAnsi" w:hAnsiTheme="minorHAnsi" w:cstheme="minorHAnsi"/>
          <w:bCs/>
        </w:rPr>
        <w:t>afférents à la</w:t>
      </w:r>
      <w:r w:rsidR="00A04AE8">
        <w:rPr>
          <w:rFonts w:asciiTheme="minorHAnsi" w:hAnsiTheme="minorHAnsi" w:cstheme="minorHAnsi"/>
          <w:bCs/>
        </w:rPr>
        <w:t xml:space="preserve"> location des salles de réunion, qui </w:t>
      </w:r>
      <w:r w:rsidR="00A26F2D">
        <w:rPr>
          <w:rFonts w:asciiTheme="minorHAnsi" w:hAnsiTheme="minorHAnsi" w:cstheme="minorHAnsi"/>
          <w:bCs/>
        </w:rPr>
        <w:t xml:space="preserve">s'établissent à </w:t>
      </w:r>
      <w:r w:rsidR="00A04AE8">
        <w:rPr>
          <w:rFonts w:asciiTheme="minorHAnsi" w:hAnsiTheme="minorHAnsi" w:cstheme="minorHAnsi"/>
          <w:bCs/>
        </w:rPr>
        <w:t>2,</w:t>
      </w:r>
      <w:r w:rsidR="00161630" w:rsidRPr="00A04AE8">
        <w:rPr>
          <w:rFonts w:asciiTheme="minorHAnsi" w:hAnsiTheme="minorHAnsi" w:cstheme="minorHAnsi"/>
          <w:bCs/>
        </w:rPr>
        <w:t>5 million</w:t>
      </w:r>
      <w:r w:rsidR="00A04AE8">
        <w:rPr>
          <w:rFonts w:asciiTheme="minorHAnsi" w:hAnsiTheme="minorHAnsi" w:cstheme="minorHAnsi"/>
          <w:bCs/>
        </w:rPr>
        <w:t xml:space="preserve">s CHF, </w:t>
      </w:r>
      <w:r w:rsidR="006F5235">
        <w:rPr>
          <w:rFonts w:asciiTheme="minorHAnsi" w:hAnsiTheme="minorHAnsi" w:cstheme="minorHAnsi"/>
          <w:bCs/>
        </w:rPr>
        <w:t>ser</w:t>
      </w:r>
      <w:r w:rsidR="00A26F2D">
        <w:rPr>
          <w:rFonts w:asciiTheme="minorHAnsi" w:hAnsiTheme="minorHAnsi" w:cstheme="minorHAnsi"/>
          <w:bCs/>
        </w:rPr>
        <w:t>ont</w:t>
      </w:r>
      <w:r w:rsidR="00A04AE8">
        <w:rPr>
          <w:rFonts w:asciiTheme="minorHAnsi" w:hAnsiTheme="minorHAnsi" w:cstheme="minorHAnsi"/>
          <w:bCs/>
        </w:rPr>
        <w:t xml:space="preserve"> maintenue</w:t>
      </w:r>
      <w:r w:rsidR="00A26F2D">
        <w:rPr>
          <w:rFonts w:asciiTheme="minorHAnsi" w:hAnsiTheme="minorHAnsi" w:cstheme="minorHAnsi"/>
          <w:bCs/>
        </w:rPr>
        <w:t>s</w:t>
      </w:r>
      <w:r w:rsidR="00A04AE8">
        <w:rPr>
          <w:rFonts w:asciiTheme="minorHAnsi" w:hAnsiTheme="minorHAnsi" w:cstheme="minorHAnsi"/>
          <w:bCs/>
        </w:rPr>
        <w:t>.</w:t>
      </w:r>
      <w:r w:rsidR="00161630" w:rsidRPr="00A04AE8">
        <w:rPr>
          <w:rFonts w:asciiTheme="minorHAnsi" w:hAnsiTheme="minorHAnsi" w:cstheme="minorHAnsi"/>
          <w:bCs/>
        </w:rPr>
        <w:t xml:space="preserve"> </w:t>
      </w:r>
      <w:r w:rsidR="00A04AE8" w:rsidRPr="00A04AE8">
        <w:rPr>
          <w:rFonts w:asciiTheme="minorHAnsi" w:hAnsiTheme="minorHAnsi" w:cstheme="minorHAnsi"/>
          <w:bCs/>
        </w:rPr>
        <w:t xml:space="preserve">Un taux d'incertitude </w:t>
      </w:r>
      <w:r w:rsidR="00F71537">
        <w:rPr>
          <w:rFonts w:asciiTheme="minorHAnsi" w:hAnsiTheme="minorHAnsi" w:cstheme="minorHAnsi"/>
          <w:bCs/>
        </w:rPr>
        <w:t xml:space="preserve">devra </w:t>
      </w:r>
      <w:r w:rsidR="00A04AE8" w:rsidRPr="00A04AE8">
        <w:rPr>
          <w:rFonts w:asciiTheme="minorHAnsi" w:hAnsiTheme="minorHAnsi" w:cstheme="minorHAnsi"/>
          <w:bCs/>
        </w:rPr>
        <w:t xml:space="preserve">être appliqué à ce montant dans l'analyse </w:t>
      </w:r>
      <w:r w:rsidR="008F0BD3">
        <w:rPr>
          <w:rFonts w:asciiTheme="minorHAnsi" w:hAnsiTheme="minorHAnsi" w:cstheme="minorHAnsi"/>
          <w:bCs/>
        </w:rPr>
        <w:t>des risques financiers</w:t>
      </w:r>
      <w:r w:rsidR="00A04AE8">
        <w:rPr>
          <w:rFonts w:asciiTheme="minorHAnsi" w:hAnsiTheme="minorHAnsi" w:cstheme="minorHAnsi"/>
          <w:bCs/>
        </w:rPr>
        <w:t>.</w:t>
      </w:r>
    </w:p>
    <w:p w14:paraId="54EB4135" w14:textId="063987D4" w:rsidR="00161630" w:rsidRPr="00E12A55" w:rsidRDefault="00E12A55" w:rsidP="004E255B">
      <w:pPr>
        <w:rPr>
          <w:rFonts w:asciiTheme="minorHAnsi" w:hAnsiTheme="minorHAnsi" w:cstheme="minorHAnsi"/>
        </w:rPr>
      </w:pPr>
      <w:r w:rsidRPr="00E12A55">
        <w:rPr>
          <w:rFonts w:asciiTheme="minorHAnsi" w:hAnsiTheme="minorHAnsi" w:cstheme="minorHAnsi"/>
        </w:rPr>
        <w:t>Un taux d'incertitude d</w:t>
      </w:r>
      <w:r w:rsidR="00F71537">
        <w:rPr>
          <w:rFonts w:asciiTheme="minorHAnsi" w:hAnsiTheme="minorHAnsi" w:cstheme="minorHAnsi"/>
        </w:rPr>
        <w:t>evra</w:t>
      </w:r>
      <w:r w:rsidRPr="00E12A55">
        <w:rPr>
          <w:rFonts w:asciiTheme="minorHAnsi" w:hAnsiTheme="minorHAnsi" w:cstheme="minorHAnsi"/>
        </w:rPr>
        <w:t xml:space="preserve"> être appliqué aux montants relatifs au mobilier amovible et aux équipements TIC actifs </w:t>
      </w:r>
      <w:r>
        <w:rPr>
          <w:rFonts w:asciiTheme="minorHAnsi" w:hAnsiTheme="minorHAnsi" w:cstheme="minorHAnsi"/>
        </w:rPr>
        <w:t xml:space="preserve">et pris en compte dans l'analyse </w:t>
      </w:r>
      <w:r w:rsidR="008F0BD3">
        <w:rPr>
          <w:rFonts w:asciiTheme="minorHAnsi" w:hAnsiTheme="minorHAnsi" w:cstheme="minorHAnsi"/>
        </w:rPr>
        <w:t>des risques financiers</w:t>
      </w:r>
      <w:r w:rsidR="00161630" w:rsidRPr="00E12A55">
        <w:rPr>
          <w:rFonts w:asciiTheme="minorHAnsi" w:hAnsiTheme="minorHAnsi" w:cstheme="minorHAnsi"/>
        </w:rPr>
        <w:t>.</w:t>
      </w:r>
    </w:p>
    <w:p w14:paraId="603171AF" w14:textId="0FAF0C5F" w:rsidR="00161630" w:rsidRPr="00DB056E" w:rsidRDefault="00161630" w:rsidP="004E255B">
      <w:pPr>
        <w:rPr>
          <w:rFonts w:asciiTheme="minorHAnsi" w:hAnsiTheme="minorHAnsi" w:cstheme="minorHAnsi"/>
        </w:rPr>
      </w:pPr>
      <w:r w:rsidRPr="00DB056E">
        <w:lastRenderedPageBreak/>
        <w:t>2</w:t>
      </w:r>
      <w:r w:rsidR="004E255B">
        <w:t>)</w:t>
      </w:r>
      <w:r w:rsidRPr="00DB056E">
        <w:tab/>
        <w:t>Sp</w:t>
      </w:r>
      <w:r w:rsidR="00DB056E" w:rsidRPr="00DB056E">
        <w:t>é</w:t>
      </w:r>
      <w:r w:rsidRPr="00DB056E">
        <w:t>cification</w:t>
      </w:r>
      <w:r w:rsidRPr="00DB056E">
        <w:rPr>
          <w:rFonts w:asciiTheme="minorHAnsi" w:hAnsiTheme="minorHAnsi" w:cstheme="minorHAnsi"/>
        </w:rPr>
        <w:t xml:space="preserve"> </w:t>
      </w:r>
      <w:r w:rsidR="00DB056E" w:rsidRPr="00DB056E">
        <w:rPr>
          <w:rFonts w:asciiTheme="minorHAnsi" w:hAnsiTheme="minorHAnsi" w:cstheme="minorHAnsi"/>
        </w:rPr>
        <w:t xml:space="preserve">d'un </w:t>
      </w:r>
      <w:r w:rsidR="00547F3F">
        <w:rPr>
          <w:rFonts w:asciiTheme="minorHAnsi" w:hAnsiTheme="minorHAnsi" w:cstheme="minorHAnsi"/>
        </w:rPr>
        <w:t>plan d'</w:t>
      </w:r>
      <w:r w:rsidR="00F3021A">
        <w:rPr>
          <w:rFonts w:asciiTheme="minorHAnsi" w:hAnsiTheme="minorHAnsi" w:cstheme="minorHAnsi"/>
        </w:rPr>
        <w:t xml:space="preserve">action </w:t>
      </w:r>
      <w:r w:rsidR="00DB056E" w:rsidRPr="00DB056E">
        <w:rPr>
          <w:rFonts w:asciiTheme="minorHAnsi" w:hAnsiTheme="minorHAnsi" w:cstheme="minorHAnsi"/>
        </w:rPr>
        <w:t xml:space="preserve">réaliste </w:t>
      </w:r>
      <w:r w:rsidR="00F3021A">
        <w:rPr>
          <w:rFonts w:asciiTheme="minorHAnsi" w:hAnsiTheme="minorHAnsi" w:cstheme="minorHAnsi"/>
        </w:rPr>
        <w:t xml:space="preserve">en cas d'imprévu </w:t>
      </w:r>
      <w:r w:rsidRPr="00DB056E">
        <w:rPr>
          <w:rFonts w:asciiTheme="minorHAnsi" w:hAnsiTheme="minorHAnsi" w:cstheme="minorHAnsi"/>
        </w:rPr>
        <w:t>(</w:t>
      </w:r>
      <w:r w:rsidR="00DB056E" w:rsidRPr="00DB056E">
        <w:rPr>
          <w:rFonts w:asciiTheme="minorHAnsi" w:hAnsiTheme="minorHAnsi" w:cstheme="minorHAnsi"/>
        </w:rPr>
        <w:t>un</w:t>
      </w:r>
      <w:r w:rsidR="00F3021A">
        <w:rPr>
          <w:rFonts w:asciiTheme="minorHAnsi" w:hAnsiTheme="minorHAnsi" w:cstheme="minorHAnsi"/>
        </w:rPr>
        <w:t xml:space="preserve">e provision pour imprévus </w:t>
      </w:r>
      <w:r w:rsidR="00DB056E" w:rsidRPr="00DB056E">
        <w:rPr>
          <w:rFonts w:asciiTheme="minorHAnsi" w:hAnsiTheme="minorHAnsi" w:cstheme="minorHAnsi"/>
        </w:rPr>
        <w:t>n'est pas censé</w:t>
      </w:r>
      <w:r w:rsidR="00F3021A">
        <w:rPr>
          <w:rFonts w:asciiTheme="minorHAnsi" w:hAnsiTheme="minorHAnsi" w:cstheme="minorHAnsi"/>
        </w:rPr>
        <w:t>e</w:t>
      </w:r>
      <w:r w:rsidR="00DB056E" w:rsidRPr="00DB056E">
        <w:rPr>
          <w:rFonts w:asciiTheme="minorHAnsi" w:hAnsiTheme="minorHAnsi" w:cstheme="minorHAnsi"/>
        </w:rPr>
        <w:t xml:space="preserve"> compenser l</w:t>
      </w:r>
      <w:r w:rsidR="00D72772">
        <w:rPr>
          <w:rFonts w:asciiTheme="minorHAnsi" w:hAnsiTheme="minorHAnsi" w:cstheme="minorHAnsi"/>
        </w:rPr>
        <w:t>e</w:t>
      </w:r>
      <w:r w:rsidR="00F3021A">
        <w:rPr>
          <w:rFonts w:asciiTheme="minorHAnsi" w:hAnsiTheme="minorHAnsi" w:cstheme="minorHAnsi"/>
        </w:rPr>
        <w:t>s</w:t>
      </w:r>
      <w:r w:rsidR="00D72772">
        <w:rPr>
          <w:rFonts w:asciiTheme="minorHAnsi" w:hAnsiTheme="minorHAnsi" w:cstheme="minorHAnsi"/>
        </w:rPr>
        <w:t xml:space="preserve"> </w:t>
      </w:r>
      <w:r w:rsidR="00DB056E" w:rsidRPr="00DB056E">
        <w:rPr>
          <w:rFonts w:asciiTheme="minorHAnsi" w:hAnsiTheme="minorHAnsi" w:cstheme="minorHAnsi"/>
        </w:rPr>
        <w:t>incertitude</w:t>
      </w:r>
      <w:r w:rsidR="00F3021A">
        <w:rPr>
          <w:rFonts w:asciiTheme="minorHAnsi" w:hAnsiTheme="minorHAnsi" w:cstheme="minorHAnsi"/>
        </w:rPr>
        <w:t>s</w:t>
      </w:r>
      <w:r w:rsidR="00DB056E" w:rsidRPr="00DB056E">
        <w:rPr>
          <w:rFonts w:asciiTheme="minorHAnsi" w:hAnsiTheme="minorHAnsi" w:cstheme="minorHAnsi"/>
        </w:rPr>
        <w:t xml:space="preserve"> </w:t>
      </w:r>
      <w:r w:rsidR="00F3021A">
        <w:rPr>
          <w:rFonts w:asciiTheme="minorHAnsi" w:hAnsiTheme="minorHAnsi" w:cstheme="minorHAnsi"/>
        </w:rPr>
        <w:t xml:space="preserve">des </w:t>
      </w:r>
      <w:r w:rsidR="00DB056E">
        <w:rPr>
          <w:rFonts w:asciiTheme="minorHAnsi" w:hAnsiTheme="minorHAnsi" w:cstheme="minorHAnsi"/>
        </w:rPr>
        <w:t xml:space="preserve">estimations </w:t>
      </w:r>
      <w:r w:rsidR="00F3021A">
        <w:rPr>
          <w:rFonts w:asciiTheme="minorHAnsi" w:hAnsiTheme="minorHAnsi" w:cstheme="minorHAnsi"/>
        </w:rPr>
        <w:t xml:space="preserve">concernant la </w:t>
      </w:r>
      <w:r w:rsidR="00D72772">
        <w:rPr>
          <w:rFonts w:asciiTheme="minorHAnsi" w:hAnsiTheme="minorHAnsi" w:cstheme="minorHAnsi"/>
        </w:rPr>
        <w:t>planification</w:t>
      </w:r>
      <w:r w:rsidR="00DB056E">
        <w:rPr>
          <w:rFonts w:asciiTheme="minorHAnsi" w:hAnsiTheme="minorHAnsi" w:cstheme="minorHAnsi"/>
        </w:rPr>
        <w:t xml:space="preserve">, </w:t>
      </w:r>
      <w:r w:rsidR="00F3021A">
        <w:rPr>
          <w:rFonts w:asciiTheme="minorHAnsi" w:hAnsiTheme="minorHAnsi" w:cstheme="minorHAnsi"/>
        </w:rPr>
        <w:t xml:space="preserve">mais </w:t>
      </w:r>
      <w:r w:rsidR="00DB056E">
        <w:rPr>
          <w:rFonts w:asciiTheme="minorHAnsi" w:hAnsiTheme="minorHAnsi" w:cstheme="minorHAnsi"/>
        </w:rPr>
        <w:t xml:space="preserve">doit servir à couvrir les travaux </w:t>
      </w:r>
      <w:r w:rsidR="00F3021A">
        <w:rPr>
          <w:rFonts w:asciiTheme="minorHAnsi" w:hAnsiTheme="minorHAnsi" w:cstheme="minorHAnsi"/>
        </w:rPr>
        <w:t xml:space="preserve">additionnels </w:t>
      </w:r>
      <w:r w:rsidR="00DB056E">
        <w:rPr>
          <w:rFonts w:asciiTheme="minorHAnsi" w:hAnsiTheme="minorHAnsi" w:cstheme="minorHAnsi"/>
        </w:rPr>
        <w:t xml:space="preserve">imprévus </w:t>
      </w:r>
      <w:r w:rsidR="00D72772">
        <w:rPr>
          <w:rFonts w:asciiTheme="minorHAnsi" w:hAnsiTheme="minorHAnsi" w:cstheme="minorHAnsi"/>
        </w:rPr>
        <w:t>dont il n'a pas été tenu compte dans la planification</w:t>
      </w:r>
      <w:r w:rsidRPr="00DB056E">
        <w:rPr>
          <w:rFonts w:asciiTheme="minorHAnsi" w:hAnsiTheme="minorHAnsi" w:cstheme="minorHAnsi"/>
        </w:rPr>
        <w:t>)</w:t>
      </w:r>
      <w:r w:rsidR="00DB056E">
        <w:rPr>
          <w:rFonts w:asciiTheme="minorHAnsi" w:hAnsiTheme="minorHAnsi" w:cstheme="minorHAnsi"/>
        </w:rPr>
        <w:t>.</w:t>
      </w:r>
    </w:p>
    <w:p w14:paraId="4DDDCF1D" w14:textId="497A59C6" w:rsidR="00547F3F" w:rsidRDefault="00161630" w:rsidP="004E255B">
      <w:pPr>
        <w:rPr>
          <w:rFonts w:asciiTheme="minorHAnsi" w:hAnsiTheme="minorHAnsi" w:cstheme="minorHAnsi"/>
        </w:rPr>
      </w:pPr>
      <w:r w:rsidRPr="00B54871">
        <w:rPr>
          <w:rFonts w:asciiTheme="minorHAnsi" w:hAnsiTheme="minorHAnsi" w:cstheme="minorHAnsi"/>
        </w:rPr>
        <w:t>3</w:t>
      </w:r>
      <w:r w:rsidR="004E255B">
        <w:rPr>
          <w:rFonts w:asciiTheme="minorHAnsi" w:hAnsiTheme="minorHAnsi" w:cstheme="minorHAnsi"/>
        </w:rPr>
        <w:t>)</w:t>
      </w:r>
      <w:r w:rsidRPr="00B54871">
        <w:rPr>
          <w:rFonts w:asciiTheme="minorHAnsi" w:hAnsiTheme="minorHAnsi" w:cstheme="minorHAnsi"/>
        </w:rPr>
        <w:tab/>
        <w:t xml:space="preserve">Certification </w:t>
      </w:r>
      <w:r w:rsidR="00547F3F">
        <w:rPr>
          <w:rFonts w:asciiTheme="minorHAnsi" w:hAnsiTheme="minorHAnsi" w:cstheme="minorHAnsi"/>
        </w:rPr>
        <w:t>du coût final</w:t>
      </w:r>
      <w:r w:rsidR="00B54871" w:rsidRPr="00B54871">
        <w:rPr>
          <w:rFonts w:asciiTheme="minorHAnsi" w:hAnsiTheme="minorHAnsi" w:cstheme="minorHAnsi"/>
        </w:rPr>
        <w:t xml:space="preserve"> esti</w:t>
      </w:r>
      <w:r w:rsidR="00547F3F">
        <w:rPr>
          <w:rFonts w:asciiTheme="minorHAnsi" w:hAnsiTheme="minorHAnsi" w:cstheme="minorHAnsi"/>
        </w:rPr>
        <w:t>mé</w:t>
      </w:r>
      <w:r w:rsidR="00B54871" w:rsidRPr="00B54871">
        <w:rPr>
          <w:rFonts w:asciiTheme="minorHAnsi" w:hAnsiTheme="minorHAnsi" w:cstheme="minorHAnsi"/>
        </w:rPr>
        <w:t xml:space="preserve"> du projet, y compris tous les co</w:t>
      </w:r>
      <w:r w:rsidR="00B54871">
        <w:rPr>
          <w:rFonts w:asciiTheme="minorHAnsi" w:hAnsiTheme="minorHAnsi" w:cstheme="minorHAnsi"/>
        </w:rPr>
        <w:t xml:space="preserve">ûts directs et indirects. </w:t>
      </w:r>
    </w:p>
    <w:p w14:paraId="1B95F1BA" w14:textId="1D8329BD" w:rsidR="00161630" w:rsidRPr="00B54871" w:rsidRDefault="00B54871" w:rsidP="004E255B">
      <w:pPr>
        <w:rPr>
          <w:rFonts w:asciiTheme="minorHAnsi" w:hAnsiTheme="minorHAnsi" w:cstheme="minorHAnsi"/>
        </w:rPr>
      </w:pPr>
      <w:r w:rsidRPr="00B54871">
        <w:rPr>
          <w:rFonts w:asciiTheme="minorHAnsi" w:hAnsiTheme="minorHAnsi" w:cstheme="minorHAnsi"/>
        </w:rPr>
        <w:t>Il a été de</w:t>
      </w:r>
      <w:r w:rsidR="00547F3F">
        <w:rPr>
          <w:rFonts w:asciiTheme="minorHAnsi" w:hAnsiTheme="minorHAnsi" w:cstheme="minorHAnsi"/>
        </w:rPr>
        <w:t xml:space="preserve">mandé </w:t>
      </w:r>
      <w:r w:rsidR="00F3021A">
        <w:rPr>
          <w:rFonts w:asciiTheme="minorHAnsi" w:hAnsiTheme="minorHAnsi" w:cstheme="minorHAnsi"/>
        </w:rPr>
        <w:t xml:space="preserve">dans le Document </w:t>
      </w:r>
      <w:hyperlink r:id="rId28" w:history="1">
        <w:r w:rsidR="00F3021A" w:rsidRPr="00B54871">
          <w:rPr>
            <w:rStyle w:val="Hyperlink"/>
          </w:rPr>
          <w:t>C19/DL/12</w:t>
        </w:r>
      </w:hyperlink>
      <w:r w:rsidR="00F3021A" w:rsidRPr="00F3021A">
        <w:t xml:space="preserve"> </w:t>
      </w:r>
      <w:r w:rsidR="00547F3F">
        <w:rPr>
          <w:rFonts w:asciiTheme="minorHAnsi" w:hAnsiTheme="minorHAnsi" w:cstheme="minorHAnsi"/>
        </w:rPr>
        <w:t>que le Secrétaire général certifie le coût final estimé</w:t>
      </w:r>
      <w:r w:rsidRPr="00B54871">
        <w:rPr>
          <w:rFonts w:asciiTheme="minorHAnsi" w:hAnsiTheme="minorHAnsi" w:cstheme="minorHAnsi"/>
        </w:rPr>
        <w:t xml:space="preserve"> du projet, y compris tous les coûts directs et indirects</w:t>
      </w:r>
      <w:r>
        <w:rPr>
          <w:rFonts w:asciiTheme="minorHAnsi" w:hAnsiTheme="minorHAnsi" w:cstheme="minorHAnsi"/>
        </w:rPr>
        <w:t>,</w:t>
      </w:r>
      <w:r w:rsidRPr="00B54871">
        <w:rPr>
          <w:rFonts w:asciiTheme="minorHAnsi" w:hAnsiTheme="minorHAnsi" w:cstheme="minorHAnsi"/>
        </w:rPr>
        <w:t xml:space="preserve"> </w:t>
      </w:r>
      <w:r>
        <w:rPr>
          <w:rFonts w:asciiTheme="minorHAnsi" w:hAnsiTheme="minorHAnsi" w:cstheme="minorHAnsi"/>
        </w:rPr>
        <w:t xml:space="preserve">ainsi que </w:t>
      </w:r>
      <w:r w:rsidRPr="00B54871">
        <w:rPr>
          <w:rFonts w:asciiTheme="minorHAnsi" w:hAnsiTheme="minorHAnsi" w:cstheme="minorHAnsi"/>
        </w:rPr>
        <w:t>le taux d'incertitude</w:t>
      </w:r>
      <w:r>
        <w:rPr>
          <w:rFonts w:asciiTheme="minorHAnsi" w:hAnsiTheme="minorHAnsi" w:cstheme="minorHAnsi"/>
        </w:rPr>
        <w:t xml:space="preserve"> appliqué à ce montant</w:t>
      </w:r>
      <w:r w:rsidR="00161630" w:rsidRPr="00B54871">
        <w:rPr>
          <w:rFonts w:asciiTheme="minorHAnsi" w:hAnsiTheme="minorHAnsi" w:cstheme="minorHAnsi"/>
        </w:rPr>
        <w:t>.</w:t>
      </w:r>
    </w:p>
    <w:p w14:paraId="62671E05" w14:textId="75D2E2C8" w:rsidR="00161630" w:rsidRPr="00B54871" w:rsidRDefault="00161630" w:rsidP="004E255B">
      <w:pPr>
        <w:rPr>
          <w:rFonts w:asciiTheme="minorHAnsi" w:hAnsiTheme="minorHAnsi" w:cstheme="minorHAnsi"/>
        </w:rPr>
      </w:pPr>
      <w:r w:rsidRPr="00B54871">
        <w:t>4</w:t>
      </w:r>
      <w:r w:rsidR="004E255B">
        <w:t>)</w:t>
      </w:r>
      <w:r w:rsidRPr="00B54871">
        <w:tab/>
      </w:r>
      <w:r w:rsidR="000D6460">
        <w:t>F</w:t>
      </w:r>
      <w:r w:rsidR="00B54871" w:rsidRPr="00B54871">
        <w:t>inancement</w:t>
      </w:r>
      <w:r w:rsidR="000D6460">
        <w:t xml:space="preserve"> suffisant pour le</w:t>
      </w:r>
      <w:r w:rsidR="00B54871" w:rsidRPr="00B54871">
        <w:t xml:space="preserve"> </w:t>
      </w:r>
      <w:r w:rsidR="00547F3F">
        <w:t>coût total estimé</w:t>
      </w:r>
      <w:r w:rsidR="00B54871" w:rsidRPr="00B54871">
        <w:t xml:space="preserve"> du projet</w:t>
      </w:r>
      <w:r w:rsidR="00B54871">
        <w:rPr>
          <w:rFonts w:asciiTheme="minorHAnsi" w:hAnsiTheme="minorHAnsi" w:cstheme="minorHAnsi"/>
        </w:rPr>
        <w:t>.</w:t>
      </w:r>
    </w:p>
    <w:p w14:paraId="28F7A186" w14:textId="764D99E5" w:rsidR="00161630" w:rsidRPr="00C57373" w:rsidRDefault="00B54871" w:rsidP="004E255B">
      <w:pPr>
        <w:rPr>
          <w:rFonts w:asciiTheme="minorHAnsi" w:hAnsiTheme="minorHAnsi" w:cstheme="minorHAnsi"/>
        </w:rPr>
      </w:pPr>
      <w:r w:rsidRPr="00B54871">
        <w:rPr>
          <w:rFonts w:asciiTheme="minorHAnsi" w:hAnsiTheme="minorHAnsi" w:cstheme="minorHAnsi"/>
        </w:rPr>
        <w:t>Le secrétariat présentera un plan</w:t>
      </w:r>
      <w:r w:rsidR="00161630" w:rsidRPr="00B54871">
        <w:rPr>
          <w:rFonts w:asciiTheme="minorHAnsi" w:hAnsiTheme="minorHAnsi" w:cstheme="minorHAnsi"/>
        </w:rPr>
        <w:t xml:space="preserve"> </w:t>
      </w:r>
      <w:r w:rsidRPr="00B54871">
        <w:rPr>
          <w:rFonts w:asciiTheme="minorHAnsi" w:hAnsiTheme="minorHAnsi" w:cstheme="minorHAnsi"/>
        </w:rPr>
        <w:t>financier relatif au</w:t>
      </w:r>
      <w:r w:rsidR="00547F3F">
        <w:rPr>
          <w:rFonts w:asciiTheme="minorHAnsi" w:hAnsiTheme="minorHAnsi" w:cstheme="minorHAnsi"/>
        </w:rPr>
        <w:t xml:space="preserve"> coût final estimé</w:t>
      </w:r>
      <w:r w:rsidRPr="00B54871">
        <w:rPr>
          <w:rFonts w:asciiTheme="minorHAnsi" w:hAnsiTheme="minorHAnsi" w:cstheme="minorHAnsi"/>
        </w:rPr>
        <w:t xml:space="preserve"> du projet </w:t>
      </w:r>
      <w:r w:rsidR="000D6460">
        <w:rPr>
          <w:rFonts w:asciiTheme="minorHAnsi" w:hAnsiTheme="minorHAnsi" w:cstheme="minorHAnsi"/>
        </w:rPr>
        <w:t xml:space="preserve">prévoyant le financement au titre du </w:t>
      </w:r>
      <w:r w:rsidR="000D6460" w:rsidRPr="00B54871">
        <w:rPr>
          <w:rFonts w:asciiTheme="minorHAnsi" w:hAnsiTheme="minorHAnsi" w:cstheme="minorHAnsi"/>
        </w:rPr>
        <w:t xml:space="preserve">budget </w:t>
      </w:r>
      <w:r w:rsidR="000D6460">
        <w:rPr>
          <w:rFonts w:asciiTheme="minorHAnsi" w:hAnsiTheme="minorHAnsi" w:cstheme="minorHAnsi"/>
        </w:rPr>
        <w:t>ordinaire</w:t>
      </w:r>
      <w:r w:rsidR="000D6460" w:rsidRPr="00B54871">
        <w:rPr>
          <w:rFonts w:asciiTheme="minorHAnsi" w:hAnsiTheme="minorHAnsi" w:cstheme="minorHAnsi"/>
        </w:rPr>
        <w:t xml:space="preserve"> </w:t>
      </w:r>
      <w:r w:rsidR="000D6460">
        <w:rPr>
          <w:rFonts w:asciiTheme="minorHAnsi" w:hAnsiTheme="minorHAnsi" w:cstheme="minorHAnsi"/>
        </w:rPr>
        <w:t xml:space="preserve">de </w:t>
      </w:r>
      <w:r w:rsidRPr="00B54871">
        <w:rPr>
          <w:rFonts w:asciiTheme="minorHAnsi" w:hAnsiTheme="minorHAnsi" w:cstheme="minorHAnsi"/>
        </w:rPr>
        <w:t xml:space="preserve">tout montant non couvert par </w:t>
      </w:r>
      <w:r w:rsidR="00547F3F">
        <w:rPr>
          <w:rFonts w:asciiTheme="minorHAnsi" w:hAnsiTheme="minorHAnsi" w:cstheme="minorHAnsi"/>
        </w:rPr>
        <w:t>le prêt</w:t>
      </w:r>
      <w:r w:rsidRPr="00B54871">
        <w:rPr>
          <w:rFonts w:asciiTheme="minorHAnsi" w:hAnsiTheme="minorHAnsi" w:cstheme="minorHAnsi"/>
        </w:rPr>
        <w:t>, les parrainages, les dons et le fonds</w:t>
      </w:r>
      <w:r w:rsidR="00161630" w:rsidRPr="00B54871">
        <w:rPr>
          <w:rFonts w:asciiTheme="minorHAnsi" w:hAnsiTheme="minorHAnsi" w:cstheme="minorHAnsi"/>
        </w:rPr>
        <w:t xml:space="preserve"> </w:t>
      </w:r>
      <w:r>
        <w:rPr>
          <w:rFonts w:asciiTheme="minorHAnsi" w:hAnsiTheme="minorHAnsi" w:cstheme="minorHAnsi"/>
        </w:rPr>
        <w:t>pour le bâtiment, doté de 5 millions CHF</w:t>
      </w:r>
      <w:r w:rsidR="00161630" w:rsidRPr="00B54871">
        <w:rPr>
          <w:rFonts w:asciiTheme="minorHAnsi" w:hAnsiTheme="minorHAnsi" w:cstheme="minorHAnsi"/>
        </w:rPr>
        <w:t xml:space="preserve">. </w:t>
      </w:r>
      <w:r w:rsidR="00D151EB" w:rsidRPr="00D151EB">
        <w:rPr>
          <w:rFonts w:asciiTheme="minorHAnsi" w:hAnsiTheme="minorHAnsi" w:cstheme="minorHAnsi"/>
        </w:rPr>
        <w:t xml:space="preserve">Ce plan </w:t>
      </w:r>
      <w:r w:rsidR="000D6460">
        <w:rPr>
          <w:rFonts w:asciiTheme="minorHAnsi" w:hAnsiTheme="minorHAnsi" w:cstheme="minorHAnsi"/>
        </w:rPr>
        <w:t xml:space="preserve">comprendra les imprévus </w:t>
      </w:r>
      <w:r w:rsidR="00547F3F">
        <w:rPr>
          <w:rFonts w:asciiTheme="minorHAnsi" w:hAnsiTheme="minorHAnsi" w:cstheme="minorHAnsi"/>
        </w:rPr>
        <w:t>défini</w:t>
      </w:r>
      <w:r w:rsidR="000D6460">
        <w:rPr>
          <w:rFonts w:asciiTheme="minorHAnsi" w:hAnsiTheme="minorHAnsi" w:cstheme="minorHAnsi"/>
        </w:rPr>
        <w:t>s</w:t>
      </w:r>
      <w:r w:rsidR="00D151EB">
        <w:rPr>
          <w:rFonts w:asciiTheme="minorHAnsi" w:hAnsiTheme="minorHAnsi" w:cstheme="minorHAnsi"/>
        </w:rPr>
        <w:t xml:space="preserve"> dans le plan de</w:t>
      </w:r>
      <w:r w:rsidR="00D151EB" w:rsidRPr="00D151EB">
        <w:rPr>
          <w:rFonts w:asciiTheme="minorHAnsi" w:hAnsiTheme="minorHAnsi" w:cstheme="minorHAnsi"/>
        </w:rPr>
        <w:t xml:space="preserve"> gestion des risques </w:t>
      </w:r>
      <w:r w:rsidR="00D151EB">
        <w:rPr>
          <w:rFonts w:asciiTheme="minorHAnsi" w:hAnsiTheme="minorHAnsi" w:cstheme="minorHAnsi"/>
        </w:rPr>
        <w:t>qu'</w:t>
      </w:r>
      <w:r w:rsidR="00161630" w:rsidRPr="00D151EB">
        <w:rPr>
          <w:rFonts w:asciiTheme="minorHAnsi" w:hAnsiTheme="minorHAnsi" w:cstheme="minorHAnsi"/>
        </w:rPr>
        <w:t xml:space="preserve">Hill International </w:t>
      </w:r>
      <w:r w:rsidR="00D151EB">
        <w:rPr>
          <w:rFonts w:asciiTheme="minorHAnsi" w:hAnsiTheme="minorHAnsi" w:cstheme="minorHAnsi"/>
        </w:rPr>
        <w:t>élabore</w:t>
      </w:r>
      <w:r w:rsidR="00460FD4">
        <w:rPr>
          <w:rFonts w:asciiTheme="minorHAnsi" w:hAnsiTheme="minorHAnsi" w:cstheme="minorHAnsi"/>
        </w:rPr>
        <w:t xml:space="preserve"> actuellement</w:t>
      </w:r>
      <w:r w:rsidR="00D151EB">
        <w:rPr>
          <w:rFonts w:asciiTheme="minorHAnsi" w:hAnsiTheme="minorHAnsi" w:cstheme="minorHAnsi"/>
        </w:rPr>
        <w:t xml:space="preserve"> et </w:t>
      </w:r>
      <w:r w:rsidR="00460FD4">
        <w:rPr>
          <w:rFonts w:asciiTheme="minorHAnsi" w:hAnsiTheme="minorHAnsi" w:cstheme="minorHAnsi"/>
        </w:rPr>
        <w:t>q</w:t>
      </w:r>
      <w:r w:rsidR="00FD4175">
        <w:rPr>
          <w:rFonts w:asciiTheme="minorHAnsi" w:hAnsiTheme="minorHAnsi" w:cstheme="minorHAnsi"/>
        </w:rPr>
        <w:t>u</w:t>
      </w:r>
      <w:r w:rsidR="00460FD4">
        <w:rPr>
          <w:rFonts w:asciiTheme="minorHAnsi" w:hAnsiTheme="minorHAnsi" w:cstheme="minorHAnsi"/>
        </w:rPr>
        <w:t xml:space="preserve">i </w:t>
      </w:r>
      <w:r w:rsidR="001843DD">
        <w:rPr>
          <w:rFonts w:asciiTheme="minorHAnsi" w:hAnsiTheme="minorHAnsi" w:cstheme="minorHAnsi"/>
        </w:rPr>
        <w:t xml:space="preserve">sera </w:t>
      </w:r>
      <w:r w:rsidR="00D151EB">
        <w:rPr>
          <w:rFonts w:asciiTheme="minorHAnsi" w:hAnsiTheme="minorHAnsi" w:cstheme="minorHAnsi"/>
        </w:rPr>
        <w:t xml:space="preserve">examiné par le Groupe </w:t>
      </w:r>
      <w:r w:rsidR="00161630" w:rsidRPr="00D151EB">
        <w:rPr>
          <w:rFonts w:asciiTheme="minorHAnsi" w:hAnsiTheme="minorHAnsi" w:cstheme="minorHAnsi"/>
        </w:rPr>
        <w:t xml:space="preserve">MSAG. </w:t>
      </w:r>
      <w:r w:rsidR="00D151EB" w:rsidRPr="00D151EB">
        <w:rPr>
          <w:rFonts w:asciiTheme="minorHAnsi" w:hAnsiTheme="minorHAnsi" w:cstheme="minorHAnsi"/>
        </w:rPr>
        <w:t xml:space="preserve">Tout parrainage ou don </w:t>
      </w:r>
      <w:r w:rsidR="00460FD4">
        <w:rPr>
          <w:rFonts w:asciiTheme="minorHAnsi" w:hAnsiTheme="minorHAnsi" w:cstheme="minorHAnsi"/>
        </w:rPr>
        <w:t xml:space="preserve">confirmé par écrit </w:t>
      </w:r>
      <w:r w:rsidR="00D151EB" w:rsidRPr="00D151EB">
        <w:rPr>
          <w:rFonts w:asciiTheme="minorHAnsi" w:hAnsiTheme="minorHAnsi" w:cstheme="minorHAnsi"/>
        </w:rPr>
        <w:t>devra figurer</w:t>
      </w:r>
      <w:r w:rsidR="00460FD4">
        <w:rPr>
          <w:rFonts w:asciiTheme="minorHAnsi" w:hAnsiTheme="minorHAnsi" w:cstheme="minorHAnsi"/>
        </w:rPr>
        <w:t xml:space="preserve"> dans ce plan</w:t>
      </w:r>
      <w:r w:rsidR="00161630" w:rsidRPr="00D151EB">
        <w:rPr>
          <w:rFonts w:asciiTheme="minorHAnsi" w:hAnsiTheme="minorHAnsi" w:cstheme="minorHAnsi"/>
        </w:rPr>
        <w:t xml:space="preserve">. </w:t>
      </w:r>
      <w:r w:rsidR="00D151EB" w:rsidRPr="00D151EB">
        <w:rPr>
          <w:rFonts w:asciiTheme="minorHAnsi" w:hAnsiTheme="minorHAnsi" w:cstheme="minorHAnsi"/>
        </w:rPr>
        <w:t xml:space="preserve">Le Secrétaire général </w:t>
      </w:r>
      <w:r w:rsidR="00C61D17">
        <w:rPr>
          <w:rFonts w:asciiTheme="minorHAnsi" w:hAnsiTheme="minorHAnsi" w:cstheme="minorHAnsi"/>
        </w:rPr>
        <w:t xml:space="preserve">veillera à ce que les nouveaux </w:t>
      </w:r>
      <w:r w:rsidR="00D151EB" w:rsidRPr="00D151EB">
        <w:rPr>
          <w:rFonts w:asciiTheme="minorHAnsi" w:hAnsiTheme="minorHAnsi" w:cstheme="minorHAnsi"/>
        </w:rPr>
        <w:t>parrainage</w:t>
      </w:r>
      <w:r w:rsidR="00C61D17">
        <w:rPr>
          <w:rFonts w:asciiTheme="minorHAnsi" w:hAnsiTheme="minorHAnsi" w:cstheme="minorHAnsi"/>
        </w:rPr>
        <w:t>s</w:t>
      </w:r>
      <w:r w:rsidR="00D151EB" w:rsidRPr="00D151EB">
        <w:rPr>
          <w:rFonts w:asciiTheme="minorHAnsi" w:hAnsiTheme="minorHAnsi" w:cstheme="minorHAnsi"/>
        </w:rPr>
        <w:t xml:space="preserve"> ou don</w:t>
      </w:r>
      <w:r w:rsidR="00C61D17">
        <w:rPr>
          <w:rFonts w:asciiTheme="minorHAnsi" w:hAnsiTheme="minorHAnsi" w:cstheme="minorHAnsi"/>
        </w:rPr>
        <w:t>s</w:t>
      </w:r>
      <w:r w:rsidR="00D151EB" w:rsidRPr="00D151EB">
        <w:rPr>
          <w:rFonts w:asciiTheme="minorHAnsi" w:hAnsiTheme="minorHAnsi" w:cstheme="minorHAnsi"/>
        </w:rPr>
        <w:t xml:space="preserve"> </w:t>
      </w:r>
      <w:r w:rsidR="00C61D17">
        <w:rPr>
          <w:rFonts w:asciiTheme="minorHAnsi" w:hAnsiTheme="minorHAnsi" w:cstheme="minorHAnsi"/>
        </w:rPr>
        <w:t xml:space="preserve">éventuels </w:t>
      </w:r>
      <w:r w:rsidR="00D151EB" w:rsidRPr="00D151EB">
        <w:rPr>
          <w:rFonts w:asciiTheme="minorHAnsi" w:hAnsiTheme="minorHAnsi" w:cstheme="minorHAnsi"/>
        </w:rPr>
        <w:t>annoncé</w:t>
      </w:r>
      <w:r w:rsidR="00C61D17">
        <w:rPr>
          <w:rFonts w:asciiTheme="minorHAnsi" w:hAnsiTheme="minorHAnsi" w:cstheme="minorHAnsi"/>
        </w:rPr>
        <w:t>s</w:t>
      </w:r>
      <w:r w:rsidR="00D151EB" w:rsidRPr="00D151EB">
        <w:rPr>
          <w:rFonts w:asciiTheme="minorHAnsi" w:hAnsiTheme="minorHAnsi" w:cstheme="minorHAnsi"/>
        </w:rPr>
        <w:t xml:space="preserve"> à la présente </w:t>
      </w:r>
      <w:r w:rsidR="00C61D17">
        <w:rPr>
          <w:rFonts w:asciiTheme="minorHAnsi" w:hAnsiTheme="minorHAnsi" w:cstheme="minorHAnsi"/>
        </w:rPr>
        <w:t xml:space="preserve">session </w:t>
      </w:r>
      <w:r w:rsidR="00D151EB" w:rsidRPr="00D151EB">
        <w:rPr>
          <w:rFonts w:asciiTheme="minorHAnsi" w:hAnsiTheme="minorHAnsi" w:cstheme="minorHAnsi"/>
        </w:rPr>
        <w:t xml:space="preserve">extraordinaire du Conseil </w:t>
      </w:r>
      <w:r w:rsidR="00C61D17">
        <w:rPr>
          <w:rFonts w:asciiTheme="minorHAnsi" w:hAnsiTheme="minorHAnsi" w:cstheme="minorHAnsi"/>
        </w:rPr>
        <w:t xml:space="preserve">soient uniquement utilisés </w:t>
      </w:r>
      <w:r w:rsidR="00D151EB">
        <w:rPr>
          <w:rFonts w:asciiTheme="minorHAnsi" w:hAnsiTheme="minorHAnsi" w:cstheme="minorHAnsi"/>
        </w:rPr>
        <w:t xml:space="preserve">pour </w:t>
      </w:r>
      <w:r w:rsidR="00C61D17">
        <w:rPr>
          <w:rFonts w:asciiTheme="minorHAnsi" w:hAnsiTheme="minorHAnsi" w:cstheme="minorHAnsi"/>
        </w:rPr>
        <w:t xml:space="preserve">compenser le </w:t>
      </w:r>
      <w:r w:rsidR="00C57373">
        <w:rPr>
          <w:rFonts w:asciiTheme="minorHAnsi" w:hAnsiTheme="minorHAnsi" w:cstheme="minorHAnsi"/>
        </w:rPr>
        <w:t>coût</w:t>
      </w:r>
      <w:r w:rsidR="00C61D17">
        <w:rPr>
          <w:rFonts w:asciiTheme="minorHAnsi" w:hAnsiTheme="minorHAnsi" w:cstheme="minorHAnsi"/>
        </w:rPr>
        <w:t xml:space="preserve"> estimé actuel</w:t>
      </w:r>
      <w:r w:rsidR="00C57373">
        <w:rPr>
          <w:rFonts w:asciiTheme="minorHAnsi" w:hAnsiTheme="minorHAnsi" w:cstheme="minorHAnsi"/>
        </w:rPr>
        <w:t xml:space="preserve"> du projet</w:t>
      </w:r>
      <w:r w:rsidR="00C61D17">
        <w:rPr>
          <w:rFonts w:asciiTheme="minorHAnsi" w:hAnsiTheme="minorHAnsi" w:cstheme="minorHAnsi"/>
        </w:rPr>
        <w:t xml:space="preserve">, </w:t>
      </w:r>
      <w:r w:rsidR="00C57373">
        <w:rPr>
          <w:rFonts w:asciiTheme="minorHAnsi" w:hAnsiTheme="minorHAnsi" w:cstheme="minorHAnsi"/>
        </w:rPr>
        <w:t xml:space="preserve">et non </w:t>
      </w:r>
      <w:r w:rsidR="00D151EB" w:rsidRPr="00D151EB">
        <w:rPr>
          <w:rFonts w:asciiTheme="minorHAnsi" w:hAnsiTheme="minorHAnsi" w:cstheme="minorHAnsi"/>
        </w:rPr>
        <w:t xml:space="preserve">pour </w:t>
      </w:r>
      <w:r w:rsidR="001843DD">
        <w:rPr>
          <w:rFonts w:asciiTheme="minorHAnsi" w:hAnsiTheme="minorHAnsi" w:cstheme="minorHAnsi"/>
        </w:rPr>
        <w:t xml:space="preserve">en </w:t>
      </w:r>
      <w:r w:rsidR="00D151EB">
        <w:rPr>
          <w:rFonts w:asciiTheme="minorHAnsi" w:hAnsiTheme="minorHAnsi" w:cstheme="minorHAnsi"/>
        </w:rPr>
        <w:t>accroître le coût globa</w:t>
      </w:r>
      <w:r w:rsidR="001843DD">
        <w:rPr>
          <w:rFonts w:asciiTheme="minorHAnsi" w:hAnsiTheme="minorHAnsi" w:cstheme="minorHAnsi"/>
        </w:rPr>
        <w:t>l</w:t>
      </w:r>
      <w:r w:rsidR="00161630" w:rsidRPr="00D151EB">
        <w:rPr>
          <w:rFonts w:asciiTheme="minorHAnsi" w:hAnsiTheme="minorHAnsi" w:cstheme="minorHAnsi"/>
        </w:rPr>
        <w:t xml:space="preserve">. </w:t>
      </w:r>
      <w:r w:rsidR="00C57373" w:rsidRPr="00C57373">
        <w:rPr>
          <w:rFonts w:asciiTheme="minorHAnsi" w:hAnsiTheme="minorHAnsi" w:cstheme="minorHAnsi"/>
        </w:rPr>
        <w:t xml:space="preserve">Les parrainages ou dons sous la forme d'objets décoratifs ou </w:t>
      </w:r>
      <w:r w:rsidR="00C61D17">
        <w:rPr>
          <w:rFonts w:asciiTheme="minorHAnsi" w:hAnsiTheme="minorHAnsi" w:cstheme="minorHAnsi"/>
        </w:rPr>
        <w:t xml:space="preserve">d'autres articles </w:t>
      </w:r>
      <w:r w:rsidR="00C57373" w:rsidRPr="00C57373">
        <w:rPr>
          <w:rFonts w:asciiTheme="minorHAnsi" w:hAnsiTheme="minorHAnsi" w:cstheme="minorHAnsi"/>
        </w:rPr>
        <w:t xml:space="preserve">non liés aux infrastructures </w:t>
      </w:r>
      <w:r w:rsidR="00DE1362">
        <w:rPr>
          <w:rFonts w:asciiTheme="minorHAnsi" w:hAnsiTheme="minorHAnsi" w:cstheme="minorHAnsi"/>
        </w:rPr>
        <w:t>s</w:t>
      </w:r>
      <w:r w:rsidR="00C61D17">
        <w:rPr>
          <w:rFonts w:asciiTheme="minorHAnsi" w:hAnsiTheme="minorHAnsi" w:cstheme="minorHAnsi"/>
        </w:rPr>
        <w:t>er</w:t>
      </w:r>
      <w:r w:rsidR="00DE1362">
        <w:rPr>
          <w:rFonts w:asciiTheme="minorHAnsi" w:hAnsiTheme="minorHAnsi" w:cstheme="minorHAnsi"/>
        </w:rPr>
        <w:t>ont toujours appréciés</w:t>
      </w:r>
      <w:r w:rsidR="00161630" w:rsidRPr="00C57373">
        <w:rPr>
          <w:rFonts w:asciiTheme="minorHAnsi" w:hAnsiTheme="minorHAnsi" w:cstheme="minorHAnsi"/>
        </w:rPr>
        <w:t>.</w:t>
      </w:r>
    </w:p>
    <w:p w14:paraId="3EFC6740" w14:textId="36531B67" w:rsidR="00161630" w:rsidRPr="00C57373" w:rsidRDefault="00161630" w:rsidP="004E255B">
      <w:pPr>
        <w:pStyle w:val="enumlev1"/>
        <w:rPr>
          <w:rFonts w:asciiTheme="minorHAnsi" w:hAnsiTheme="minorHAnsi" w:cstheme="minorHAnsi"/>
        </w:rPr>
      </w:pPr>
      <w:r w:rsidRPr="00C57373">
        <w:t>5</w:t>
      </w:r>
      <w:r w:rsidR="004E255B">
        <w:t>)</w:t>
      </w:r>
      <w:r w:rsidRPr="00C57373">
        <w:tab/>
      </w:r>
      <w:r w:rsidR="00C61D17">
        <w:t>F</w:t>
      </w:r>
      <w:r w:rsidR="00C57373" w:rsidRPr="00C57373">
        <w:t xml:space="preserve">inancement </w:t>
      </w:r>
      <w:r w:rsidR="00C61D17">
        <w:t xml:space="preserve">suffisant pour </w:t>
      </w:r>
      <w:r w:rsidR="00C57373" w:rsidRPr="00C57373">
        <w:t xml:space="preserve">le </w:t>
      </w:r>
      <w:r w:rsidR="00C61D17">
        <w:t xml:space="preserve">scénario </w:t>
      </w:r>
      <w:r w:rsidR="00C57373" w:rsidRPr="00C57373">
        <w:t>le plus défavorable</w:t>
      </w:r>
      <w:r w:rsidR="00C57373">
        <w:rPr>
          <w:rFonts w:asciiTheme="minorHAnsi" w:hAnsiTheme="minorHAnsi" w:cstheme="minorHAnsi"/>
        </w:rPr>
        <w:t>.</w:t>
      </w:r>
    </w:p>
    <w:p w14:paraId="7411C65B" w14:textId="1AADC05D" w:rsidR="00161630" w:rsidRPr="00C57373" w:rsidRDefault="00C57373" w:rsidP="004E255B">
      <w:r w:rsidRPr="00C57373">
        <w:t xml:space="preserve">Le secrétariat </w:t>
      </w:r>
      <w:r w:rsidR="00C61D17">
        <w:t xml:space="preserve">présentera </w:t>
      </w:r>
      <w:r w:rsidR="002D599A">
        <w:t xml:space="preserve">également </w:t>
      </w:r>
      <w:r w:rsidR="00C61D17">
        <w:t xml:space="preserve">une proposition de </w:t>
      </w:r>
      <w:r w:rsidRPr="00C57373">
        <w:t>plan de financement</w:t>
      </w:r>
      <w:r w:rsidR="00161630" w:rsidRPr="00C57373">
        <w:t xml:space="preserve"> </w:t>
      </w:r>
      <w:r w:rsidR="00C61D17">
        <w:t xml:space="preserve">pour le scénario </w:t>
      </w:r>
      <w:r>
        <w:t>le plus défavorable</w:t>
      </w:r>
      <w:r w:rsidR="00161630" w:rsidRPr="00C57373">
        <w:t>.</w:t>
      </w:r>
    </w:p>
    <w:p w14:paraId="68F39588" w14:textId="77777777" w:rsidR="00161630" w:rsidRPr="00C57373" w:rsidRDefault="00161630" w:rsidP="004E255B"/>
    <w:p w14:paraId="4821BF72" w14:textId="4CFAA53F" w:rsidR="00161630" w:rsidRPr="005A59F3" w:rsidRDefault="00161630" w:rsidP="004E255B">
      <w:pPr>
        <w:jc w:val="center"/>
      </w:pPr>
      <w:r w:rsidRPr="005A59F3">
        <w:t>______________</w:t>
      </w:r>
    </w:p>
    <w:sectPr w:rsidR="00161630" w:rsidRPr="005A59F3" w:rsidSect="005C3890">
      <w:headerReference w:type="even" r:id="rId29"/>
      <w:headerReference w:type="default" r:id="rId30"/>
      <w:footerReference w:type="even" r:id="rId31"/>
      <w:footerReference w:type="first" r:id="rId3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22F79" w14:textId="77777777" w:rsidR="00D151EB" w:rsidRDefault="00D151EB">
      <w:r>
        <w:separator/>
      </w:r>
    </w:p>
  </w:endnote>
  <w:endnote w:type="continuationSeparator" w:id="0">
    <w:p w14:paraId="40A98758" w14:textId="77777777" w:rsidR="00D151EB" w:rsidRDefault="00D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0710" w14:textId="6056D30D" w:rsidR="00D151EB" w:rsidRPr="00C36342" w:rsidRDefault="00D151EB">
    <w:pPr>
      <w:pStyle w:val="Footer"/>
      <w:rPr>
        <w:lang w:val="fr-CH"/>
      </w:rPr>
    </w:pPr>
    <w:r>
      <w:fldChar w:fldCharType="begin"/>
    </w:r>
    <w:r w:rsidRPr="00C36342">
      <w:rPr>
        <w:lang w:val="fr-CH"/>
      </w:rPr>
      <w:instrText xml:space="preserve"> FILENAME \p \* MERGEFORMAT </w:instrText>
    </w:r>
    <w:r>
      <w:fldChar w:fldCharType="separate"/>
    </w:r>
    <w:r w:rsidR="00E07ED9">
      <w:rPr>
        <w:lang w:val="fr-CH"/>
      </w:rPr>
      <w:t>P:\FRA\SG\CONSEIL\C19-ADD\000\003F.docx</w:t>
    </w:r>
    <w:r>
      <w:fldChar w:fldCharType="end"/>
    </w:r>
    <w:r w:rsidRPr="00C36342">
      <w:rPr>
        <w:lang w:val="fr-CH"/>
      </w:rPr>
      <w:tab/>
    </w:r>
    <w:r>
      <w:fldChar w:fldCharType="begin"/>
    </w:r>
    <w:r>
      <w:instrText xml:space="preserve"> savedate \@ dd.MM.yy </w:instrText>
    </w:r>
    <w:r>
      <w:fldChar w:fldCharType="separate"/>
    </w:r>
    <w:r w:rsidR="00430CAA">
      <w:t>18.09.19</w:t>
    </w:r>
    <w:r>
      <w:fldChar w:fldCharType="end"/>
    </w:r>
    <w:r w:rsidRPr="00C36342">
      <w:rPr>
        <w:lang w:val="fr-CH"/>
      </w:rPr>
      <w:tab/>
    </w:r>
    <w:r>
      <w:fldChar w:fldCharType="begin"/>
    </w:r>
    <w:r>
      <w:instrText xml:space="preserve"> printdate \@ dd.MM.yy </w:instrText>
    </w:r>
    <w:r>
      <w:fldChar w:fldCharType="separate"/>
    </w:r>
    <w:r w:rsidR="00E07ED9">
      <w:t>17.09.19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4B6B2" w14:textId="0CAC3267" w:rsidR="00D151EB" w:rsidRDefault="00D151EB" w:rsidP="0016163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BE594" w14:textId="77777777" w:rsidR="00D151EB" w:rsidRDefault="00D151EB">
      <w:r>
        <w:t>____________________</w:t>
      </w:r>
    </w:p>
  </w:footnote>
  <w:footnote w:type="continuationSeparator" w:id="0">
    <w:p w14:paraId="37210F08" w14:textId="77777777" w:rsidR="00D151EB" w:rsidRDefault="00D1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14A9" w14:textId="77777777" w:rsidR="00D151EB" w:rsidRDefault="00D151EB">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59F09127" w14:textId="77777777" w:rsidR="00D151EB" w:rsidRDefault="00D151E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D647" w14:textId="77777777" w:rsidR="00D151EB" w:rsidRDefault="00D151EB" w:rsidP="00475FB3">
    <w:pPr>
      <w:pStyle w:val="Header"/>
    </w:pPr>
    <w:r>
      <w:fldChar w:fldCharType="begin"/>
    </w:r>
    <w:r>
      <w:instrText>PAGE</w:instrText>
    </w:r>
    <w:r>
      <w:fldChar w:fldCharType="separate"/>
    </w:r>
    <w:r w:rsidR="00430CAA">
      <w:rPr>
        <w:noProof/>
      </w:rPr>
      <w:t>6</w:t>
    </w:r>
    <w:r>
      <w:rPr>
        <w:noProof/>
      </w:rPr>
      <w:fldChar w:fldCharType="end"/>
    </w:r>
  </w:p>
  <w:p w14:paraId="000E320C" w14:textId="33CACF54" w:rsidR="00D151EB" w:rsidRDefault="00D151EB" w:rsidP="00106B19">
    <w:pPr>
      <w:pStyle w:val="Header"/>
    </w:pPr>
    <w:r w:rsidRPr="00623AE3">
      <w:rPr>
        <w:bCs/>
      </w:rPr>
      <w:t>C1</w:t>
    </w:r>
    <w:r>
      <w:rPr>
        <w:bCs/>
      </w:rPr>
      <w:t>9-ADD</w:t>
    </w:r>
    <w:r>
      <w:t>/3-F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501D"/>
    <w:multiLevelType w:val="hybridMultilevel"/>
    <w:tmpl w:val="B98237A4"/>
    <w:lvl w:ilvl="0" w:tplc="5F0CD0A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06C0D"/>
    <w:multiLevelType w:val="hybridMultilevel"/>
    <w:tmpl w:val="19EE3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0E52BD"/>
    <w:multiLevelType w:val="hybridMultilevel"/>
    <w:tmpl w:val="69FC4FA0"/>
    <w:lvl w:ilvl="0" w:tplc="C114C8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49"/>
    <w:rsid w:val="00017020"/>
    <w:rsid w:val="00033263"/>
    <w:rsid w:val="0004495A"/>
    <w:rsid w:val="00063EEF"/>
    <w:rsid w:val="00085F65"/>
    <w:rsid w:val="000A605F"/>
    <w:rsid w:val="000D0D0A"/>
    <w:rsid w:val="000D6460"/>
    <w:rsid w:val="000E111D"/>
    <w:rsid w:val="00103163"/>
    <w:rsid w:val="00106B19"/>
    <w:rsid w:val="00115D93"/>
    <w:rsid w:val="001247A8"/>
    <w:rsid w:val="001378C0"/>
    <w:rsid w:val="0014061F"/>
    <w:rsid w:val="00153BA2"/>
    <w:rsid w:val="00155F27"/>
    <w:rsid w:val="00161630"/>
    <w:rsid w:val="001843DD"/>
    <w:rsid w:val="0018694A"/>
    <w:rsid w:val="00191AE7"/>
    <w:rsid w:val="001A3287"/>
    <w:rsid w:val="001A6508"/>
    <w:rsid w:val="001A751E"/>
    <w:rsid w:val="001B0D69"/>
    <w:rsid w:val="001C3448"/>
    <w:rsid w:val="001D4C31"/>
    <w:rsid w:val="001E4728"/>
    <w:rsid w:val="001E4D21"/>
    <w:rsid w:val="001E7D25"/>
    <w:rsid w:val="00205D3E"/>
    <w:rsid w:val="00207CD1"/>
    <w:rsid w:val="0021169C"/>
    <w:rsid w:val="002235B7"/>
    <w:rsid w:val="002477A2"/>
    <w:rsid w:val="00263A51"/>
    <w:rsid w:val="00267E02"/>
    <w:rsid w:val="002704D9"/>
    <w:rsid w:val="002A5D44"/>
    <w:rsid w:val="002D599A"/>
    <w:rsid w:val="002E0BC4"/>
    <w:rsid w:val="002F1B76"/>
    <w:rsid w:val="003139D8"/>
    <w:rsid w:val="0033568E"/>
    <w:rsid w:val="00343150"/>
    <w:rsid w:val="003440E9"/>
    <w:rsid w:val="003514F2"/>
    <w:rsid w:val="00355FF5"/>
    <w:rsid w:val="00361350"/>
    <w:rsid w:val="00362A3C"/>
    <w:rsid w:val="003673E5"/>
    <w:rsid w:val="003C3FAE"/>
    <w:rsid w:val="003E7749"/>
    <w:rsid w:val="003F5CEC"/>
    <w:rsid w:val="004038CB"/>
    <w:rsid w:val="0040546F"/>
    <w:rsid w:val="00416D32"/>
    <w:rsid w:val="00422239"/>
    <w:rsid w:val="0042404A"/>
    <w:rsid w:val="00427007"/>
    <w:rsid w:val="00430CAA"/>
    <w:rsid w:val="0044618F"/>
    <w:rsid w:val="00460FD4"/>
    <w:rsid w:val="00462879"/>
    <w:rsid w:val="0046769A"/>
    <w:rsid w:val="0047543A"/>
    <w:rsid w:val="004754BE"/>
    <w:rsid w:val="00475FB3"/>
    <w:rsid w:val="004B6B97"/>
    <w:rsid w:val="004C37A9"/>
    <w:rsid w:val="004D5CC1"/>
    <w:rsid w:val="004E255B"/>
    <w:rsid w:val="004F259E"/>
    <w:rsid w:val="004F6548"/>
    <w:rsid w:val="00511F1D"/>
    <w:rsid w:val="00520F36"/>
    <w:rsid w:val="00536A57"/>
    <w:rsid w:val="00540615"/>
    <w:rsid w:val="00540A6D"/>
    <w:rsid w:val="00547F3F"/>
    <w:rsid w:val="0055523C"/>
    <w:rsid w:val="00571EEA"/>
    <w:rsid w:val="005737E8"/>
    <w:rsid w:val="00575417"/>
    <w:rsid w:val="005768E1"/>
    <w:rsid w:val="00590D8F"/>
    <w:rsid w:val="00593634"/>
    <w:rsid w:val="005A59F3"/>
    <w:rsid w:val="005B1938"/>
    <w:rsid w:val="005C3890"/>
    <w:rsid w:val="005F19F4"/>
    <w:rsid w:val="005F7BFE"/>
    <w:rsid w:val="00600017"/>
    <w:rsid w:val="0061594C"/>
    <w:rsid w:val="006235CA"/>
    <w:rsid w:val="00627DA4"/>
    <w:rsid w:val="006643AB"/>
    <w:rsid w:val="00666691"/>
    <w:rsid w:val="00671D1F"/>
    <w:rsid w:val="00693531"/>
    <w:rsid w:val="0069659B"/>
    <w:rsid w:val="006C05D4"/>
    <w:rsid w:val="006E07D6"/>
    <w:rsid w:val="006E75AE"/>
    <w:rsid w:val="006F1B91"/>
    <w:rsid w:val="006F5235"/>
    <w:rsid w:val="00716776"/>
    <w:rsid w:val="007210CD"/>
    <w:rsid w:val="00732045"/>
    <w:rsid w:val="007369DB"/>
    <w:rsid w:val="00741815"/>
    <w:rsid w:val="00752AE1"/>
    <w:rsid w:val="00772905"/>
    <w:rsid w:val="007956C2"/>
    <w:rsid w:val="0079745F"/>
    <w:rsid w:val="007A187E"/>
    <w:rsid w:val="007B1BAE"/>
    <w:rsid w:val="007B3761"/>
    <w:rsid w:val="007C72C2"/>
    <w:rsid w:val="007D390A"/>
    <w:rsid w:val="007D4436"/>
    <w:rsid w:val="007F257A"/>
    <w:rsid w:val="007F3665"/>
    <w:rsid w:val="00800037"/>
    <w:rsid w:val="00855C95"/>
    <w:rsid w:val="00861D73"/>
    <w:rsid w:val="008634B4"/>
    <w:rsid w:val="0089779D"/>
    <w:rsid w:val="008A4E87"/>
    <w:rsid w:val="008D76E6"/>
    <w:rsid w:val="008F0BD3"/>
    <w:rsid w:val="0092392D"/>
    <w:rsid w:val="0093234A"/>
    <w:rsid w:val="009553BE"/>
    <w:rsid w:val="0096672C"/>
    <w:rsid w:val="00975298"/>
    <w:rsid w:val="009C307F"/>
    <w:rsid w:val="009C3D45"/>
    <w:rsid w:val="009C7806"/>
    <w:rsid w:val="009D32B4"/>
    <w:rsid w:val="00A04AE8"/>
    <w:rsid w:val="00A2113E"/>
    <w:rsid w:val="00A23A51"/>
    <w:rsid w:val="00A24607"/>
    <w:rsid w:val="00A25CD3"/>
    <w:rsid w:val="00A26F2D"/>
    <w:rsid w:val="00A31024"/>
    <w:rsid w:val="00A701DF"/>
    <w:rsid w:val="00A82767"/>
    <w:rsid w:val="00AA332F"/>
    <w:rsid w:val="00AA4B39"/>
    <w:rsid w:val="00AA7BBB"/>
    <w:rsid w:val="00AB2E46"/>
    <w:rsid w:val="00AB4D29"/>
    <w:rsid w:val="00AB64A8"/>
    <w:rsid w:val="00AC0266"/>
    <w:rsid w:val="00AD24EC"/>
    <w:rsid w:val="00B047D9"/>
    <w:rsid w:val="00B25D3D"/>
    <w:rsid w:val="00B309F9"/>
    <w:rsid w:val="00B32B60"/>
    <w:rsid w:val="00B54871"/>
    <w:rsid w:val="00B61619"/>
    <w:rsid w:val="00BA10EB"/>
    <w:rsid w:val="00BA4731"/>
    <w:rsid w:val="00BB4545"/>
    <w:rsid w:val="00BC7081"/>
    <w:rsid w:val="00BD5873"/>
    <w:rsid w:val="00BE2D3F"/>
    <w:rsid w:val="00BE369A"/>
    <w:rsid w:val="00BE7F43"/>
    <w:rsid w:val="00BF3A13"/>
    <w:rsid w:val="00C04BE3"/>
    <w:rsid w:val="00C25D29"/>
    <w:rsid w:val="00C27A7C"/>
    <w:rsid w:val="00C36342"/>
    <w:rsid w:val="00C528E8"/>
    <w:rsid w:val="00C57373"/>
    <w:rsid w:val="00C61D17"/>
    <w:rsid w:val="00C74011"/>
    <w:rsid w:val="00C830BC"/>
    <w:rsid w:val="00C971CB"/>
    <w:rsid w:val="00CA08ED"/>
    <w:rsid w:val="00CA43B0"/>
    <w:rsid w:val="00CC73AD"/>
    <w:rsid w:val="00CF183B"/>
    <w:rsid w:val="00D073BB"/>
    <w:rsid w:val="00D151EB"/>
    <w:rsid w:val="00D304A1"/>
    <w:rsid w:val="00D375CD"/>
    <w:rsid w:val="00D46041"/>
    <w:rsid w:val="00D52D49"/>
    <w:rsid w:val="00D553A2"/>
    <w:rsid w:val="00D72772"/>
    <w:rsid w:val="00D774D3"/>
    <w:rsid w:val="00D904E8"/>
    <w:rsid w:val="00DA08C3"/>
    <w:rsid w:val="00DB056E"/>
    <w:rsid w:val="00DB5A3E"/>
    <w:rsid w:val="00DC22AA"/>
    <w:rsid w:val="00DD6F6F"/>
    <w:rsid w:val="00DE1362"/>
    <w:rsid w:val="00DF74DD"/>
    <w:rsid w:val="00E07ED9"/>
    <w:rsid w:val="00E12A55"/>
    <w:rsid w:val="00E214CD"/>
    <w:rsid w:val="00E25AD0"/>
    <w:rsid w:val="00E31488"/>
    <w:rsid w:val="00E564F8"/>
    <w:rsid w:val="00E64381"/>
    <w:rsid w:val="00E64974"/>
    <w:rsid w:val="00E9243D"/>
    <w:rsid w:val="00EB00F3"/>
    <w:rsid w:val="00EB6350"/>
    <w:rsid w:val="00ED272D"/>
    <w:rsid w:val="00EF2FFC"/>
    <w:rsid w:val="00EF6170"/>
    <w:rsid w:val="00F07D71"/>
    <w:rsid w:val="00F15B57"/>
    <w:rsid w:val="00F3021A"/>
    <w:rsid w:val="00F41446"/>
    <w:rsid w:val="00F427DB"/>
    <w:rsid w:val="00F71537"/>
    <w:rsid w:val="00F870A8"/>
    <w:rsid w:val="00FA5EB1"/>
    <w:rsid w:val="00FA7439"/>
    <w:rsid w:val="00FB32CA"/>
    <w:rsid w:val="00FC4EC0"/>
    <w:rsid w:val="00FD4175"/>
    <w:rsid w:val="00FE356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230E5D"/>
  <w15:docId w15:val="{B1F5D0E7-8DBD-4E1E-A642-7F2E3C75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D52D49"/>
    <w:rPr>
      <w:color w:val="605E5C"/>
      <w:shd w:val="clear" w:color="auto" w:fill="E1DFDD"/>
    </w:rPr>
  </w:style>
  <w:style w:type="paragraph" w:styleId="ListParagraph">
    <w:name w:val="List Paragraph"/>
    <w:basedOn w:val="Normal"/>
    <w:uiPriority w:val="34"/>
    <w:qFormat/>
    <w:rsid w:val="0016163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imes New Roman" w:eastAsiaTheme="minorHAnsi" w:hAnsi="Times New Roman" w:cstheme="minorBidi"/>
      <w:szCs w:val="22"/>
      <w:lang w:val="en-US"/>
    </w:rPr>
  </w:style>
  <w:style w:type="character" w:styleId="CommentReference">
    <w:name w:val="annotation reference"/>
    <w:basedOn w:val="DefaultParagraphFont"/>
    <w:semiHidden/>
    <w:unhideWhenUsed/>
    <w:rsid w:val="00BA10EB"/>
    <w:rPr>
      <w:sz w:val="16"/>
      <w:szCs w:val="16"/>
    </w:rPr>
  </w:style>
  <w:style w:type="paragraph" w:styleId="CommentText">
    <w:name w:val="annotation text"/>
    <w:basedOn w:val="Normal"/>
    <w:link w:val="CommentTextChar"/>
    <w:semiHidden/>
    <w:unhideWhenUsed/>
    <w:rsid w:val="00BA10EB"/>
    <w:rPr>
      <w:sz w:val="20"/>
    </w:rPr>
  </w:style>
  <w:style w:type="character" w:customStyle="1" w:styleId="CommentTextChar">
    <w:name w:val="Comment Text Char"/>
    <w:basedOn w:val="DefaultParagraphFont"/>
    <w:link w:val="CommentText"/>
    <w:semiHidden/>
    <w:rsid w:val="00BA10EB"/>
    <w:rPr>
      <w:rFonts w:ascii="Calibri" w:hAnsi="Calibri"/>
      <w:lang w:val="fr-FR" w:eastAsia="en-US"/>
    </w:rPr>
  </w:style>
  <w:style w:type="paragraph" w:styleId="CommentSubject">
    <w:name w:val="annotation subject"/>
    <w:basedOn w:val="CommentText"/>
    <w:next w:val="CommentText"/>
    <w:link w:val="CommentSubjectChar"/>
    <w:semiHidden/>
    <w:unhideWhenUsed/>
    <w:rsid w:val="00BA10EB"/>
    <w:rPr>
      <w:b/>
      <w:bCs/>
    </w:rPr>
  </w:style>
  <w:style w:type="character" w:customStyle="1" w:styleId="CommentSubjectChar">
    <w:name w:val="Comment Subject Char"/>
    <w:basedOn w:val="CommentTextChar"/>
    <w:link w:val="CommentSubject"/>
    <w:semiHidden/>
    <w:rsid w:val="00BA10EB"/>
    <w:rPr>
      <w:rFonts w:ascii="Calibri" w:hAnsi="Calibri"/>
      <w:b/>
      <w:bCs/>
      <w:lang w:val="fr-FR" w:eastAsia="en-US"/>
    </w:rPr>
  </w:style>
  <w:style w:type="paragraph" w:styleId="Revision">
    <w:name w:val="Revision"/>
    <w:hidden/>
    <w:uiPriority w:val="99"/>
    <w:semiHidden/>
    <w:rsid w:val="00BA10EB"/>
    <w:rPr>
      <w:rFonts w:ascii="Calibri" w:hAnsi="Calibri"/>
      <w:sz w:val="24"/>
      <w:lang w:val="fr-FR" w:eastAsia="en-US"/>
    </w:rPr>
  </w:style>
  <w:style w:type="paragraph" w:styleId="BalloonText">
    <w:name w:val="Balloon Text"/>
    <w:basedOn w:val="Normal"/>
    <w:link w:val="BalloonTextChar"/>
    <w:semiHidden/>
    <w:unhideWhenUsed/>
    <w:rsid w:val="00BA10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A10E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120/fr" TargetMode="External"/><Relationship Id="rId18" Type="http://schemas.openxmlformats.org/officeDocument/2006/relationships/hyperlink" Target="http://www.itu.int/md/S16-CL-C-0007/en" TargetMode="External"/><Relationship Id="rId26" Type="http://schemas.openxmlformats.org/officeDocument/2006/relationships/hyperlink" Target="https://www.itu.int/md/S19-CL-190610-DL-0012/fr" TargetMode="External"/><Relationship Id="rId3" Type="http://schemas.openxmlformats.org/officeDocument/2006/relationships/styles" Target="styles.xml"/><Relationship Id="rId21" Type="http://schemas.openxmlformats.org/officeDocument/2006/relationships/hyperlink" Target="https://www.itu.int/md/S19-CL-190610-DL-0012/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9-CL-C-0048/fr" TargetMode="External"/><Relationship Id="rId17" Type="http://schemas.openxmlformats.org/officeDocument/2006/relationships/hyperlink" Target="https://www.itu.int/md/S19-CL-C-0007/en" TargetMode="External"/><Relationship Id="rId25" Type="http://schemas.openxmlformats.org/officeDocument/2006/relationships/hyperlink" Target="https://www.itu.int/md/S19-CL-190610-DL-0012/f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18-CL-C-0123/en" TargetMode="External"/><Relationship Id="rId20" Type="http://schemas.openxmlformats.org/officeDocument/2006/relationships/hyperlink" Target="https://www.itu.int/md/S19-CL-C-0048/f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07/fr" TargetMode="External"/><Relationship Id="rId24" Type="http://schemas.openxmlformats.org/officeDocument/2006/relationships/hyperlink" Target="https://www.itu.int/md/S19-CL-C-0007/f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council/Documents/basic-texts/RES-212-F.pdf" TargetMode="External"/><Relationship Id="rId23" Type="http://schemas.openxmlformats.org/officeDocument/2006/relationships/hyperlink" Target="https://www.itu.int/md/S19-CL-C-0120/en" TargetMode="External"/><Relationship Id="rId28" Type="http://schemas.openxmlformats.org/officeDocument/2006/relationships/hyperlink" Target="https://www.itu.int/md/S19-CL-190610-DL-0012/fr" TargetMode="External"/><Relationship Id="rId10" Type="http://schemas.openxmlformats.org/officeDocument/2006/relationships/hyperlink" Target="http://www.itu.int/md/S18-CL-C-0123/fr" TargetMode="External"/><Relationship Id="rId19" Type="http://schemas.openxmlformats.org/officeDocument/2006/relationships/hyperlink" Target="https://www.itu.int/en/council/Documents/basic-texts/RES-212-F.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CL-190610-DL-0012/fr" TargetMode="External"/><Relationship Id="rId14" Type="http://schemas.openxmlformats.org/officeDocument/2006/relationships/hyperlink" Target="https://www.itu.int/md/S16-CL-C-0124/fr" TargetMode="External"/><Relationship Id="rId22" Type="http://schemas.openxmlformats.org/officeDocument/2006/relationships/hyperlink" Target="https://www.itu.int/md/S19-CL-C-0120/fr" TargetMode="External"/><Relationship Id="rId27" Type="http://schemas.openxmlformats.org/officeDocument/2006/relationships/hyperlink" Target="https://www.itu.int/md/S19-CL-190610-DL-0012/fr"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09849-A640-438D-B220-04EB469B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PF_C19-ADD.dotx</Template>
  <TotalTime>1</TotalTime>
  <Pages>6</Pages>
  <Words>2724</Words>
  <Characters>15664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18352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Cormier-Ribout, Kevin</dc:creator>
  <cp:keywords>C2018, C18</cp:keywords>
  <dc:description/>
  <cp:lastModifiedBy>Brouard, Ricarda</cp:lastModifiedBy>
  <cp:revision>2</cp:revision>
  <cp:lastPrinted>2019-09-17T10:39:00Z</cp:lastPrinted>
  <dcterms:created xsi:type="dcterms:W3CDTF">2019-09-18T11:05:00Z</dcterms:created>
  <dcterms:modified xsi:type="dcterms:W3CDTF">2019-09-18T11:05:00Z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