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35"/>
        <w:tblW w:w="10031" w:type="dxa"/>
        <w:tblLayout w:type="fixed"/>
        <w:tblLook w:val="0000" w:firstRow="0" w:lastRow="0" w:firstColumn="0" w:lastColumn="0" w:noHBand="0" w:noVBand="0"/>
      </w:tblPr>
      <w:tblGrid>
        <w:gridCol w:w="6911"/>
        <w:gridCol w:w="3120"/>
      </w:tblGrid>
      <w:tr w:rsidR="009318D5" w:rsidRPr="005209B9" w14:paraId="16EAF6DF" w14:textId="77777777" w:rsidTr="00DE56AE">
        <w:trPr>
          <w:cantSplit/>
        </w:trPr>
        <w:tc>
          <w:tcPr>
            <w:tcW w:w="6911" w:type="dxa"/>
            <w:vAlign w:val="center"/>
          </w:tcPr>
          <w:p w14:paraId="48C482CA" w14:textId="630377DA" w:rsidR="009318D5" w:rsidRPr="005209B9" w:rsidRDefault="009318D5" w:rsidP="00DE56AE">
            <w:pPr>
              <w:spacing w:before="0"/>
              <w:rPr>
                <w:position w:val="6"/>
                <w:lang w:val="en-CA"/>
              </w:rPr>
            </w:pPr>
            <w:bookmarkStart w:id="0" w:name="_GoBack"/>
            <w:bookmarkEnd w:id="0"/>
            <w:r w:rsidRPr="005209B9">
              <w:rPr>
                <w:b/>
                <w:bCs/>
                <w:position w:val="6"/>
                <w:sz w:val="30"/>
                <w:szCs w:val="30"/>
              </w:rPr>
              <w:t>Additional 2019 session of the Council</w:t>
            </w:r>
            <w:r w:rsidRPr="005209B9">
              <w:rPr>
                <w:rFonts w:cs="Times"/>
                <w:b/>
                <w:position w:val="6"/>
                <w:sz w:val="26"/>
                <w:szCs w:val="26"/>
                <w:lang w:val="en-US"/>
              </w:rPr>
              <w:br/>
            </w:r>
            <w:r w:rsidRPr="005209B9">
              <w:rPr>
                <w:b/>
                <w:bCs/>
                <w:position w:val="6"/>
                <w:szCs w:val="24"/>
              </w:rPr>
              <w:t>Geneva, 27 September 2019</w:t>
            </w:r>
          </w:p>
        </w:tc>
        <w:tc>
          <w:tcPr>
            <w:tcW w:w="3120" w:type="dxa"/>
          </w:tcPr>
          <w:p w14:paraId="35DA6895" w14:textId="55E55D08" w:rsidR="009318D5" w:rsidRPr="005209B9" w:rsidRDefault="009318D5" w:rsidP="00A82887">
            <w:pPr>
              <w:spacing w:before="0"/>
              <w:rPr>
                <w:lang w:val="en-CA"/>
              </w:rPr>
            </w:pPr>
            <w:bookmarkStart w:id="1" w:name="ditulogo"/>
            <w:bookmarkEnd w:id="1"/>
            <w:r w:rsidRPr="005209B9">
              <w:rPr>
                <w:noProof/>
                <w:lang w:eastAsia="zh-CN"/>
              </w:rPr>
              <w:drawing>
                <wp:inline distT="0" distB="0" distL="0" distR="0" wp14:anchorId="5B2ED020" wp14:editId="2DF33BC2">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9318D5" w:rsidRPr="005209B9" w14:paraId="5BE98BE0" w14:textId="77777777" w:rsidTr="00A32257">
        <w:trPr>
          <w:cantSplit/>
        </w:trPr>
        <w:tc>
          <w:tcPr>
            <w:tcW w:w="6911" w:type="dxa"/>
            <w:tcBorders>
              <w:bottom w:val="single" w:sz="12" w:space="0" w:color="auto"/>
            </w:tcBorders>
          </w:tcPr>
          <w:p w14:paraId="4F0D7B37" w14:textId="77777777" w:rsidR="009318D5" w:rsidRPr="005209B9" w:rsidRDefault="009318D5" w:rsidP="00A82887">
            <w:pPr>
              <w:spacing w:before="0"/>
              <w:rPr>
                <w:b/>
                <w:smallCaps/>
                <w:szCs w:val="24"/>
                <w:lang w:val="en-CA"/>
              </w:rPr>
            </w:pPr>
          </w:p>
        </w:tc>
        <w:tc>
          <w:tcPr>
            <w:tcW w:w="3120" w:type="dxa"/>
            <w:tcBorders>
              <w:bottom w:val="single" w:sz="12" w:space="0" w:color="auto"/>
            </w:tcBorders>
          </w:tcPr>
          <w:p w14:paraId="533CBB48" w14:textId="77777777" w:rsidR="009318D5" w:rsidRPr="005209B9" w:rsidRDefault="009318D5" w:rsidP="00A82887">
            <w:pPr>
              <w:spacing w:before="0"/>
              <w:rPr>
                <w:szCs w:val="24"/>
                <w:lang w:val="en-CA"/>
              </w:rPr>
            </w:pPr>
          </w:p>
        </w:tc>
      </w:tr>
      <w:tr w:rsidR="009318D5" w:rsidRPr="005209B9" w14:paraId="7F6F8F50" w14:textId="77777777" w:rsidTr="00A32257">
        <w:trPr>
          <w:cantSplit/>
        </w:trPr>
        <w:tc>
          <w:tcPr>
            <w:tcW w:w="6911" w:type="dxa"/>
            <w:tcBorders>
              <w:top w:val="single" w:sz="12" w:space="0" w:color="auto"/>
            </w:tcBorders>
          </w:tcPr>
          <w:p w14:paraId="29A7FE99" w14:textId="77777777" w:rsidR="009318D5" w:rsidRPr="005209B9" w:rsidRDefault="009318D5" w:rsidP="00A82887">
            <w:pPr>
              <w:snapToGrid w:val="0"/>
              <w:spacing w:before="0"/>
              <w:rPr>
                <w:b/>
                <w:smallCaps/>
                <w:szCs w:val="24"/>
                <w:lang w:val="en-CA"/>
              </w:rPr>
            </w:pPr>
          </w:p>
        </w:tc>
        <w:tc>
          <w:tcPr>
            <w:tcW w:w="3120" w:type="dxa"/>
            <w:tcBorders>
              <w:top w:val="single" w:sz="12" w:space="0" w:color="auto"/>
            </w:tcBorders>
          </w:tcPr>
          <w:p w14:paraId="2CDEEE7A" w14:textId="77777777" w:rsidR="009318D5" w:rsidRPr="005209B9" w:rsidRDefault="009318D5" w:rsidP="00A82887">
            <w:pPr>
              <w:snapToGrid w:val="0"/>
              <w:spacing w:before="0"/>
              <w:rPr>
                <w:szCs w:val="24"/>
                <w:lang w:val="en-CA"/>
              </w:rPr>
            </w:pPr>
          </w:p>
        </w:tc>
      </w:tr>
      <w:tr w:rsidR="009318D5" w:rsidRPr="005209B9" w14:paraId="52D9448C" w14:textId="77777777" w:rsidTr="00A32257">
        <w:trPr>
          <w:cantSplit/>
          <w:trHeight w:val="23"/>
        </w:trPr>
        <w:tc>
          <w:tcPr>
            <w:tcW w:w="6911" w:type="dxa"/>
            <w:vMerge w:val="restart"/>
          </w:tcPr>
          <w:p w14:paraId="75D9FDD3" w14:textId="77777777" w:rsidR="009318D5" w:rsidRPr="005209B9" w:rsidRDefault="009318D5" w:rsidP="00A82887">
            <w:pPr>
              <w:tabs>
                <w:tab w:val="left" w:pos="851"/>
              </w:tabs>
              <w:snapToGrid w:val="0"/>
              <w:spacing w:before="0"/>
              <w:rPr>
                <w:b/>
                <w:lang w:val="en-CA"/>
              </w:rPr>
            </w:pPr>
            <w:bookmarkStart w:id="2" w:name="dmeeting" w:colFirst="0" w:colLast="0"/>
            <w:bookmarkStart w:id="3" w:name="dnum" w:colFirst="1" w:colLast="1"/>
          </w:p>
        </w:tc>
        <w:tc>
          <w:tcPr>
            <w:tcW w:w="3120" w:type="dxa"/>
          </w:tcPr>
          <w:p w14:paraId="46EB7AF8" w14:textId="53188CAD" w:rsidR="009318D5" w:rsidRPr="005209B9" w:rsidRDefault="00B03A7B" w:rsidP="00A82887">
            <w:pPr>
              <w:tabs>
                <w:tab w:val="left" w:pos="851"/>
              </w:tabs>
              <w:snapToGrid w:val="0"/>
              <w:spacing w:before="0"/>
              <w:rPr>
                <w:b/>
                <w:lang w:val="en-CA"/>
              </w:rPr>
            </w:pPr>
            <w:r w:rsidRPr="005209B9">
              <w:rPr>
                <w:b/>
              </w:rPr>
              <w:t>Document C19-ADD/6</w:t>
            </w:r>
            <w:r w:rsidR="009318D5" w:rsidRPr="005209B9">
              <w:rPr>
                <w:b/>
              </w:rPr>
              <w:t>-E</w:t>
            </w:r>
          </w:p>
        </w:tc>
      </w:tr>
      <w:tr w:rsidR="009318D5" w:rsidRPr="005209B9" w14:paraId="4A62F24D" w14:textId="77777777" w:rsidTr="00A32257">
        <w:trPr>
          <w:cantSplit/>
          <w:trHeight w:val="23"/>
        </w:trPr>
        <w:tc>
          <w:tcPr>
            <w:tcW w:w="6911" w:type="dxa"/>
            <w:vMerge/>
          </w:tcPr>
          <w:p w14:paraId="7427A17F" w14:textId="77777777" w:rsidR="009318D5" w:rsidRPr="005209B9" w:rsidRDefault="009318D5" w:rsidP="00A82887">
            <w:pPr>
              <w:tabs>
                <w:tab w:val="left" w:pos="851"/>
              </w:tabs>
              <w:snapToGrid w:val="0"/>
              <w:spacing w:before="0"/>
              <w:rPr>
                <w:b/>
                <w:lang w:val="en-CA"/>
              </w:rPr>
            </w:pPr>
            <w:bookmarkStart w:id="4" w:name="ddate" w:colFirst="1" w:colLast="1"/>
            <w:bookmarkEnd w:id="2"/>
            <w:bookmarkEnd w:id="3"/>
          </w:p>
        </w:tc>
        <w:tc>
          <w:tcPr>
            <w:tcW w:w="3120" w:type="dxa"/>
          </w:tcPr>
          <w:p w14:paraId="2F6B81E5" w14:textId="414C06FD" w:rsidR="009318D5" w:rsidRPr="005209B9" w:rsidRDefault="00DE56AE" w:rsidP="00DE56AE">
            <w:pPr>
              <w:tabs>
                <w:tab w:val="left" w:pos="993"/>
              </w:tabs>
              <w:snapToGrid w:val="0"/>
              <w:spacing w:before="0"/>
              <w:rPr>
                <w:b/>
                <w:lang w:val="en-CA"/>
              </w:rPr>
            </w:pPr>
            <w:r>
              <w:rPr>
                <w:b/>
              </w:rPr>
              <w:t>14 November</w:t>
            </w:r>
            <w:r w:rsidR="009318D5" w:rsidRPr="005209B9">
              <w:rPr>
                <w:b/>
              </w:rPr>
              <w:t xml:space="preserve"> 2019</w:t>
            </w:r>
          </w:p>
        </w:tc>
      </w:tr>
      <w:tr w:rsidR="009318D5" w:rsidRPr="005209B9" w14:paraId="6A87C8F4" w14:textId="77777777" w:rsidTr="00A32257">
        <w:trPr>
          <w:cantSplit/>
          <w:trHeight w:val="23"/>
        </w:trPr>
        <w:tc>
          <w:tcPr>
            <w:tcW w:w="6911" w:type="dxa"/>
            <w:vMerge/>
          </w:tcPr>
          <w:p w14:paraId="50F65215" w14:textId="77777777" w:rsidR="009318D5" w:rsidRPr="005209B9" w:rsidRDefault="009318D5" w:rsidP="00A82887">
            <w:pPr>
              <w:tabs>
                <w:tab w:val="left" w:pos="851"/>
              </w:tabs>
              <w:snapToGrid w:val="0"/>
              <w:spacing w:before="0"/>
              <w:rPr>
                <w:b/>
                <w:lang w:val="en-CA"/>
              </w:rPr>
            </w:pPr>
            <w:bookmarkStart w:id="5" w:name="dorlang" w:colFirst="1" w:colLast="1"/>
            <w:bookmarkEnd w:id="4"/>
          </w:p>
        </w:tc>
        <w:tc>
          <w:tcPr>
            <w:tcW w:w="3120" w:type="dxa"/>
          </w:tcPr>
          <w:p w14:paraId="14B7CEDE" w14:textId="41A8DDB6" w:rsidR="009318D5" w:rsidRPr="005209B9" w:rsidRDefault="009318D5" w:rsidP="00A82887">
            <w:pPr>
              <w:tabs>
                <w:tab w:val="left" w:pos="993"/>
              </w:tabs>
              <w:snapToGrid w:val="0"/>
              <w:spacing w:before="0"/>
              <w:rPr>
                <w:b/>
                <w:lang w:val="en-CA"/>
              </w:rPr>
            </w:pPr>
            <w:r w:rsidRPr="005209B9">
              <w:rPr>
                <w:b/>
              </w:rPr>
              <w:t>Original: English</w:t>
            </w:r>
          </w:p>
        </w:tc>
      </w:tr>
      <w:tr w:rsidR="0099424B" w:rsidRPr="005209B9" w14:paraId="47C86A70" w14:textId="77777777" w:rsidTr="00A32257">
        <w:trPr>
          <w:cantSplit/>
        </w:trPr>
        <w:tc>
          <w:tcPr>
            <w:tcW w:w="10031" w:type="dxa"/>
            <w:gridSpan w:val="2"/>
          </w:tcPr>
          <w:p w14:paraId="76351C38" w14:textId="77777777" w:rsidR="0099424B" w:rsidRPr="005209B9" w:rsidRDefault="0099424B" w:rsidP="00A82887">
            <w:pPr>
              <w:pStyle w:val="Title1"/>
              <w:snapToGrid w:val="0"/>
              <w:spacing w:before="840" w:after="120"/>
              <w:rPr>
                <w:lang w:val="en-CA"/>
              </w:rPr>
            </w:pPr>
            <w:bookmarkStart w:id="6" w:name="dtitle1" w:colFirst="0" w:colLast="0"/>
            <w:bookmarkEnd w:id="5"/>
            <w:r w:rsidRPr="005209B9">
              <w:rPr>
                <w:lang w:val="en-CA"/>
              </w:rPr>
              <w:t>summary record</w:t>
            </w:r>
          </w:p>
          <w:p w14:paraId="6E88798A" w14:textId="77777777" w:rsidR="0099424B" w:rsidRPr="005209B9" w:rsidRDefault="0099424B" w:rsidP="00A82887">
            <w:pPr>
              <w:pStyle w:val="Title1"/>
              <w:snapToGrid w:val="0"/>
              <w:spacing w:before="120" w:after="120"/>
              <w:rPr>
                <w:lang w:val="en-CA"/>
              </w:rPr>
            </w:pPr>
            <w:r w:rsidRPr="005209B9">
              <w:rPr>
                <w:lang w:val="en-CA"/>
              </w:rPr>
              <w:t>of the</w:t>
            </w:r>
          </w:p>
          <w:p w14:paraId="04ABA43D" w14:textId="5DCDD228" w:rsidR="0099424B" w:rsidRPr="005209B9" w:rsidRDefault="009318D5" w:rsidP="00A82887">
            <w:pPr>
              <w:pStyle w:val="Title2"/>
              <w:snapToGrid w:val="0"/>
              <w:spacing w:before="120" w:after="120"/>
              <w:rPr>
                <w:lang w:val="en-CA"/>
              </w:rPr>
            </w:pPr>
            <w:r w:rsidRPr="005209B9">
              <w:rPr>
                <w:lang w:val="en-CA"/>
              </w:rPr>
              <w:t>ADDITIONAL 2019 SESSION OF THE COUNCIL</w:t>
            </w:r>
          </w:p>
        </w:tc>
      </w:tr>
      <w:tr w:rsidR="0099424B" w:rsidRPr="005209B9" w14:paraId="749F8A4B" w14:textId="77777777" w:rsidTr="00A32257">
        <w:trPr>
          <w:cantSplit/>
        </w:trPr>
        <w:tc>
          <w:tcPr>
            <w:tcW w:w="10031" w:type="dxa"/>
            <w:gridSpan w:val="2"/>
          </w:tcPr>
          <w:tbl>
            <w:tblPr>
              <w:tblpPr w:leftFromText="180" w:rightFromText="180" w:horzAnchor="margin" w:tblpY="-690"/>
              <w:tblW w:w="10173" w:type="dxa"/>
              <w:tblLayout w:type="fixed"/>
              <w:tblLook w:val="0000" w:firstRow="0" w:lastRow="0" w:firstColumn="0" w:lastColumn="0" w:noHBand="0" w:noVBand="0"/>
            </w:tblPr>
            <w:tblGrid>
              <w:gridCol w:w="10173"/>
            </w:tblGrid>
            <w:tr w:rsidR="00AD3BA1" w:rsidRPr="005209B9" w14:paraId="42DEC89B" w14:textId="77777777" w:rsidTr="007F3519">
              <w:trPr>
                <w:cantSplit/>
              </w:trPr>
              <w:tc>
                <w:tcPr>
                  <w:tcW w:w="10173" w:type="dxa"/>
                </w:tcPr>
                <w:p w14:paraId="6EA81FF4" w14:textId="01B9356C" w:rsidR="00AD3BA1" w:rsidRPr="005209B9" w:rsidRDefault="009318D5" w:rsidP="00A82887">
                  <w:pPr>
                    <w:snapToGrid w:val="0"/>
                    <w:spacing w:after="120"/>
                    <w:jc w:val="center"/>
                    <w:rPr>
                      <w:lang w:val="en-CA"/>
                    </w:rPr>
                  </w:pPr>
                  <w:bookmarkStart w:id="7" w:name="dtitle2" w:colFirst="0" w:colLast="0"/>
                  <w:bookmarkEnd w:id="6"/>
                  <w:r w:rsidRPr="005209B9">
                    <w:rPr>
                      <w:lang w:val="en-CA"/>
                    </w:rPr>
                    <w:t>Friday, 27 September 2019</w:t>
                  </w:r>
                  <w:r w:rsidR="00AD3BA1" w:rsidRPr="005209B9">
                    <w:rPr>
                      <w:lang w:val="en-CA"/>
                    </w:rPr>
                    <w:t xml:space="preserve">, from </w:t>
                  </w:r>
                  <w:r w:rsidR="0064144F" w:rsidRPr="005209B9">
                    <w:rPr>
                      <w:lang w:val="en-CA"/>
                    </w:rPr>
                    <w:t xml:space="preserve">0920 </w:t>
                  </w:r>
                  <w:r w:rsidR="00AD3BA1" w:rsidRPr="005209B9">
                    <w:rPr>
                      <w:lang w:val="en-CA"/>
                    </w:rPr>
                    <w:t xml:space="preserve">to </w:t>
                  </w:r>
                  <w:r w:rsidR="0064144F" w:rsidRPr="005209B9">
                    <w:rPr>
                      <w:lang w:val="en-CA"/>
                    </w:rPr>
                    <w:t>1210</w:t>
                  </w:r>
                  <w:r w:rsidR="001370CC" w:rsidRPr="005209B9">
                    <w:rPr>
                      <w:lang w:val="en-CA"/>
                    </w:rPr>
                    <w:t xml:space="preserve"> </w:t>
                  </w:r>
                  <w:r w:rsidR="00AD3BA1" w:rsidRPr="005209B9">
                    <w:rPr>
                      <w:lang w:val="en-CA"/>
                    </w:rPr>
                    <w:t>hours</w:t>
                  </w:r>
                </w:p>
              </w:tc>
            </w:tr>
          </w:tbl>
          <w:p w14:paraId="02182DBE" w14:textId="3B8EC386" w:rsidR="0099424B" w:rsidRPr="005209B9" w:rsidRDefault="009E6F2E" w:rsidP="00DE56AE">
            <w:pPr>
              <w:snapToGrid w:val="0"/>
              <w:spacing w:after="720"/>
              <w:jc w:val="center"/>
              <w:rPr>
                <w:lang w:val="en-CA"/>
              </w:rPr>
            </w:pPr>
            <w:r w:rsidRPr="005209B9">
              <w:rPr>
                <w:b/>
                <w:lang w:val="en-CA"/>
              </w:rPr>
              <w:t xml:space="preserve">Acting </w:t>
            </w:r>
            <w:r w:rsidR="00AD3BA1" w:rsidRPr="005209B9">
              <w:rPr>
                <w:b/>
                <w:lang w:val="en-CA"/>
              </w:rPr>
              <w:t xml:space="preserve">Chairman: </w:t>
            </w:r>
            <w:r w:rsidR="0064144F" w:rsidRPr="005209B9">
              <w:rPr>
                <w:rFonts w:asciiTheme="minorHAnsi" w:hAnsiTheme="minorHAnsi"/>
                <w:szCs w:val="24"/>
              </w:rPr>
              <w:t>Mr F. BIGI (Italy)</w:t>
            </w:r>
          </w:p>
        </w:tc>
      </w:tr>
      <w:bookmarkEnd w:id="7"/>
    </w:tbl>
    <w:tbl>
      <w:tblPr>
        <w:tblW w:w="5233" w:type="pct"/>
        <w:tblLook w:val="0000" w:firstRow="0" w:lastRow="0" w:firstColumn="0" w:lastColumn="0" w:noHBand="0" w:noVBand="0"/>
      </w:tblPr>
      <w:tblGrid>
        <w:gridCol w:w="521"/>
        <w:gridCol w:w="6795"/>
        <w:gridCol w:w="2772"/>
      </w:tblGrid>
      <w:tr w:rsidR="0099424B" w:rsidRPr="005209B9" w14:paraId="4A340A23" w14:textId="77777777" w:rsidTr="00186C2F">
        <w:tc>
          <w:tcPr>
            <w:tcW w:w="258" w:type="pct"/>
          </w:tcPr>
          <w:p w14:paraId="278948E6" w14:textId="77777777" w:rsidR="0099424B" w:rsidRPr="005209B9" w:rsidRDefault="0099424B" w:rsidP="00A82887">
            <w:pPr>
              <w:pStyle w:val="toc0"/>
              <w:snapToGrid w:val="0"/>
              <w:spacing w:after="120"/>
              <w:rPr>
                <w:rFonts w:asciiTheme="minorHAnsi" w:hAnsiTheme="minorHAnsi" w:cstheme="minorHAnsi"/>
                <w:szCs w:val="24"/>
                <w:lang w:val="en-CA"/>
              </w:rPr>
            </w:pPr>
          </w:p>
        </w:tc>
        <w:tc>
          <w:tcPr>
            <w:tcW w:w="3368" w:type="pct"/>
          </w:tcPr>
          <w:p w14:paraId="58BE6E74" w14:textId="77777777" w:rsidR="0099424B" w:rsidRPr="005209B9" w:rsidRDefault="0099424B" w:rsidP="00A82887">
            <w:pPr>
              <w:snapToGrid w:val="0"/>
              <w:spacing w:after="120"/>
              <w:rPr>
                <w:rFonts w:asciiTheme="minorHAnsi" w:hAnsiTheme="minorHAnsi" w:cstheme="minorHAnsi"/>
                <w:b/>
                <w:bCs/>
                <w:lang w:val="en-CA"/>
              </w:rPr>
            </w:pPr>
            <w:r w:rsidRPr="005209B9">
              <w:rPr>
                <w:rFonts w:asciiTheme="minorHAnsi" w:hAnsiTheme="minorHAnsi" w:cstheme="minorHAnsi"/>
                <w:b/>
                <w:bCs/>
                <w:lang w:val="en-CA"/>
              </w:rPr>
              <w:t>Subjects discussed</w:t>
            </w:r>
          </w:p>
        </w:tc>
        <w:tc>
          <w:tcPr>
            <w:tcW w:w="1374" w:type="pct"/>
          </w:tcPr>
          <w:p w14:paraId="1CA03C3F" w14:textId="77777777" w:rsidR="0099424B" w:rsidRPr="005209B9" w:rsidRDefault="0099424B" w:rsidP="00A82887">
            <w:pPr>
              <w:snapToGrid w:val="0"/>
              <w:spacing w:after="120"/>
              <w:jc w:val="center"/>
              <w:rPr>
                <w:rFonts w:asciiTheme="minorHAnsi" w:hAnsiTheme="minorHAnsi" w:cstheme="minorHAnsi"/>
                <w:b/>
                <w:bCs/>
                <w:lang w:val="en-CA"/>
              </w:rPr>
            </w:pPr>
            <w:r w:rsidRPr="005209B9">
              <w:rPr>
                <w:rFonts w:asciiTheme="minorHAnsi" w:hAnsiTheme="minorHAnsi" w:cstheme="minorHAnsi"/>
                <w:b/>
                <w:bCs/>
                <w:lang w:val="en-CA"/>
              </w:rPr>
              <w:t>Documents</w:t>
            </w:r>
          </w:p>
        </w:tc>
      </w:tr>
      <w:tr w:rsidR="009318D5" w:rsidRPr="005209B9" w14:paraId="63770543" w14:textId="77777777" w:rsidTr="00186C2F">
        <w:tc>
          <w:tcPr>
            <w:tcW w:w="258" w:type="pct"/>
          </w:tcPr>
          <w:p w14:paraId="32A05EC8" w14:textId="31D1892C" w:rsidR="009318D5" w:rsidRPr="005209B9" w:rsidRDefault="009E6F2E" w:rsidP="00A82887">
            <w:pPr>
              <w:pStyle w:val="toc0"/>
              <w:snapToGrid w:val="0"/>
              <w:spacing w:after="120"/>
              <w:rPr>
                <w:rFonts w:asciiTheme="minorHAnsi" w:hAnsiTheme="minorHAnsi" w:cstheme="minorHAnsi"/>
                <w:b w:val="0"/>
                <w:bCs/>
                <w:szCs w:val="24"/>
                <w:lang w:val="en-CA"/>
              </w:rPr>
            </w:pPr>
            <w:r w:rsidRPr="005209B9">
              <w:rPr>
                <w:rFonts w:asciiTheme="minorHAnsi" w:hAnsiTheme="minorHAnsi" w:cstheme="minorHAnsi"/>
                <w:b w:val="0"/>
                <w:bCs/>
                <w:szCs w:val="24"/>
                <w:lang w:val="en-CA"/>
              </w:rPr>
              <w:t>1</w:t>
            </w:r>
          </w:p>
        </w:tc>
        <w:tc>
          <w:tcPr>
            <w:tcW w:w="3368" w:type="pct"/>
          </w:tcPr>
          <w:p w14:paraId="4D60E16B" w14:textId="4E883972" w:rsidR="009318D5" w:rsidRPr="005209B9" w:rsidRDefault="009E6F2E" w:rsidP="00A82887">
            <w:pPr>
              <w:snapToGrid w:val="0"/>
              <w:spacing w:after="120"/>
              <w:rPr>
                <w:rFonts w:asciiTheme="minorHAnsi" w:hAnsiTheme="minorHAnsi" w:cstheme="minorHAnsi"/>
                <w:lang w:val="en-CA"/>
              </w:rPr>
            </w:pPr>
            <w:r w:rsidRPr="005209B9">
              <w:rPr>
                <w:rFonts w:asciiTheme="minorHAnsi" w:hAnsiTheme="minorHAnsi" w:cstheme="minorHAnsi"/>
                <w:lang w:val="en-CA"/>
              </w:rPr>
              <w:t>Opening remarks</w:t>
            </w:r>
          </w:p>
        </w:tc>
        <w:tc>
          <w:tcPr>
            <w:tcW w:w="1374" w:type="pct"/>
          </w:tcPr>
          <w:p w14:paraId="18B499A5" w14:textId="5B10A9CC" w:rsidR="009318D5" w:rsidRPr="005209B9" w:rsidRDefault="009E6F2E" w:rsidP="00A82887">
            <w:pPr>
              <w:snapToGrid w:val="0"/>
              <w:spacing w:after="120"/>
              <w:jc w:val="center"/>
              <w:rPr>
                <w:rFonts w:asciiTheme="minorHAnsi" w:hAnsiTheme="minorHAnsi" w:cstheme="minorHAnsi"/>
                <w:lang w:val="en-CA"/>
              </w:rPr>
            </w:pPr>
            <w:r w:rsidRPr="005209B9">
              <w:rPr>
                <w:rFonts w:asciiTheme="minorHAnsi" w:hAnsiTheme="minorHAnsi" w:cstheme="minorHAnsi"/>
                <w:lang w:val="en-CA"/>
              </w:rPr>
              <w:t>–</w:t>
            </w:r>
          </w:p>
        </w:tc>
      </w:tr>
      <w:tr w:rsidR="009318D5" w:rsidRPr="005209B9" w14:paraId="39461043" w14:textId="77777777" w:rsidTr="00186C2F">
        <w:tc>
          <w:tcPr>
            <w:tcW w:w="258" w:type="pct"/>
          </w:tcPr>
          <w:p w14:paraId="3D364D13" w14:textId="7484C0FB" w:rsidR="009318D5" w:rsidRPr="005209B9" w:rsidRDefault="002D06CA" w:rsidP="00A82887">
            <w:pPr>
              <w:pStyle w:val="toc0"/>
              <w:snapToGrid w:val="0"/>
              <w:spacing w:after="120"/>
              <w:rPr>
                <w:rFonts w:asciiTheme="minorHAnsi" w:hAnsiTheme="minorHAnsi" w:cstheme="minorHAnsi"/>
                <w:b w:val="0"/>
                <w:bCs/>
                <w:szCs w:val="24"/>
                <w:lang w:val="en-CA"/>
              </w:rPr>
            </w:pPr>
            <w:r w:rsidRPr="005209B9">
              <w:rPr>
                <w:rFonts w:asciiTheme="minorHAnsi" w:hAnsiTheme="minorHAnsi" w:cstheme="minorHAnsi"/>
                <w:b w:val="0"/>
                <w:bCs/>
                <w:szCs w:val="24"/>
                <w:lang w:val="en-CA"/>
              </w:rPr>
              <w:t>2</w:t>
            </w:r>
          </w:p>
        </w:tc>
        <w:tc>
          <w:tcPr>
            <w:tcW w:w="3368" w:type="pct"/>
          </w:tcPr>
          <w:p w14:paraId="6737B482" w14:textId="68DE9AB9" w:rsidR="009318D5" w:rsidRPr="005209B9" w:rsidRDefault="002D06CA" w:rsidP="00A82887">
            <w:pPr>
              <w:snapToGrid w:val="0"/>
              <w:spacing w:after="120"/>
              <w:rPr>
                <w:rFonts w:asciiTheme="minorHAnsi" w:hAnsiTheme="minorHAnsi" w:cstheme="minorHAnsi"/>
                <w:b/>
                <w:bCs/>
                <w:lang w:val="en-CA"/>
              </w:rPr>
            </w:pPr>
            <w:r w:rsidRPr="005209B9">
              <w:rPr>
                <w:rFonts w:asciiTheme="minorHAnsi" w:hAnsiTheme="minorHAnsi" w:cstheme="minorHAnsi"/>
              </w:rPr>
              <w:t>Report of the Secretary-General on progress on the Union's headquarters premises project</w:t>
            </w:r>
          </w:p>
        </w:tc>
        <w:tc>
          <w:tcPr>
            <w:tcW w:w="1374" w:type="pct"/>
          </w:tcPr>
          <w:p w14:paraId="6619CB27" w14:textId="52CDA7C2" w:rsidR="002D06CA" w:rsidRPr="005209B9" w:rsidRDefault="0060044A" w:rsidP="00A82887">
            <w:pPr>
              <w:snapToGrid w:val="0"/>
              <w:spacing w:after="120"/>
              <w:jc w:val="center"/>
              <w:rPr>
                <w:rFonts w:asciiTheme="minorHAnsi" w:hAnsiTheme="minorHAnsi" w:cstheme="minorHAnsi"/>
              </w:rPr>
            </w:pPr>
            <w:hyperlink r:id="rId9" w:history="1">
              <w:r w:rsidR="002D06CA" w:rsidRPr="005209B9">
                <w:rPr>
                  <w:rStyle w:val="Hyperlink"/>
                  <w:rFonts w:asciiTheme="minorHAnsi" w:hAnsiTheme="minorHAnsi" w:cstheme="minorHAnsi"/>
                </w:rPr>
                <w:t>C19-ADD/2(Rev.1)</w:t>
              </w:r>
            </w:hyperlink>
          </w:p>
          <w:p w14:paraId="5C97AE15" w14:textId="0B29C6B3" w:rsidR="002D06CA" w:rsidRPr="005209B9" w:rsidRDefault="0060044A" w:rsidP="00A82887">
            <w:pPr>
              <w:snapToGrid w:val="0"/>
              <w:spacing w:after="120"/>
              <w:jc w:val="center"/>
              <w:rPr>
                <w:rFonts w:asciiTheme="minorHAnsi" w:hAnsiTheme="minorHAnsi" w:cstheme="minorHAnsi"/>
              </w:rPr>
            </w:pPr>
            <w:hyperlink r:id="rId10" w:history="1">
              <w:r w:rsidR="002D06CA" w:rsidRPr="005209B9">
                <w:rPr>
                  <w:rStyle w:val="Hyperlink"/>
                  <w:rFonts w:asciiTheme="minorHAnsi" w:hAnsiTheme="minorHAnsi" w:cstheme="minorHAnsi"/>
                </w:rPr>
                <w:t>C19-ADD/3</w:t>
              </w:r>
            </w:hyperlink>
          </w:p>
          <w:p w14:paraId="5F14BA90" w14:textId="4BC97F4F" w:rsidR="009318D5" w:rsidRPr="005209B9" w:rsidRDefault="0060044A" w:rsidP="00A82887">
            <w:pPr>
              <w:snapToGrid w:val="0"/>
              <w:spacing w:after="120"/>
              <w:jc w:val="center"/>
              <w:rPr>
                <w:rFonts w:asciiTheme="minorHAnsi" w:hAnsiTheme="minorHAnsi" w:cstheme="minorHAnsi"/>
                <w:b/>
                <w:bCs/>
                <w:lang w:val="en-CA"/>
              </w:rPr>
            </w:pPr>
            <w:hyperlink r:id="rId11" w:history="1">
              <w:r w:rsidR="002D06CA" w:rsidRPr="005209B9">
                <w:rPr>
                  <w:rStyle w:val="Hyperlink"/>
                  <w:rFonts w:asciiTheme="minorHAnsi" w:hAnsiTheme="minorHAnsi" w:cstheme="minorHAnsi"/>
                </w:rPr>
                <w:t>C19-ADD/4</w:t>
              </w:r>
            </w:hyperlink>
          </w:p>
        </w:tc>
      </w:tr>
      <w:tr w:rsidR="009318D5" w:rsidRPr="005209B9" w14:paraId="06B0C447" w14:textId="77777777" w:rsidTr="00186C2F">
        <w:tc>
          <w:tcPr>
            <w:tcW w:w="258" w:type="pct"/>
          </w:tcPr>
          <w:p w14:paraId="5DFEFFF2" w14:textId="23EC54D9" w:rsidR="009318D5" w:rsidRPr="005209B9" w:rsidRDefault="002D06CA" w:rsidP="00A82887">
            <w:pPr>
              <w:pStyle w:val="toc0"/>
              <w:snapToGrid w:val="0"/>
              <w:spacing w:after="120"/>
              <w:rPr>
                <w:rFonts w:asciiTheme="minorHAnsi" w:hAnsiTheme="minorHAnsi" w:cstheme="minorHAnsi"/>
                <w:b w:val="0"/>
                <w:bCs/>
                <w:szCs w:val="24"/>
                <w:lang w:val="en-CA"/>
              </w:rPr>
            </w:pPr>
            <w:r w:rsidRPr="005209B9">
              <w:rPr>
                <w:rFonts w:asciiTheme="minorHAnsi" w:hAnsiTheme="minorHAnsi" w:cstheme="minorHAnsi"/>
                <w:b w:val="0"/>
                <w:bCs/>
                <w:szCs w:val="24"/>
                <w:lang w:val="en-CA"/>
              </w:rPr>
              <w:t>3</w:t>
            </w:r>
          </w:p>
        </w:tc>
        <w:tc>
          <w:tcPr>
            <w:tcW w:w="3368" w:type="pct"/>
          </w:tcPr>
          <w:p w14:paraId="1AADCDDE" w14:textId="0DB6584A" w:rsidR="009318D5" w:rsidRPr="005209B9" w:rsidRDefault="002D06CA" w:rsidP="00A82887">
            <w:pPr>
              <w:snapToGrid w:val="0"/>
              <w:spacing w:after="120"/>
              <w:rPr>
                <w:rFonts w:asciiTheme="minorHAnsi" w:hAnsiTheme="minorHAnsi" w:cstheme="minorHAnsi"/>
                <w:lang w:val="en-CA"/>
              </w:rPr>
            </w:pPr>
            <w:r w:rsidRPr="005209B9">
              <w:rPr>
                <w:rFonts w:asciiTheme="minorHAnsi" w:hAnsiTheme="minorHAnsi" w:cstheme="minorHAnsi"/>
                <w:lang w:val="en-CA"/>
              </w:rPr>
              <w:t>Statement</w:t>
            </w:r>
            <w:r w:rsidR="00E53C05" w:rsidRPr="005209B9">
              <w:rPr>
                <w:rFonts w:asciiTheme="minorHAnsi" w:hAnsiTheme="minorHAnsi" w:cstheme="minorHAnsi"/>
                <w:lang w:val="en-CA"/>
              </w:rPr>
              <w:t xml:space="preserve"> </w:t>
            </w:r>
            <w:r w:rsidRPr="005209B9">
              <w:rPr>
                <w:rFonts w:asciiTheme="minorHAnsi" w:hAnsiTheme="minorHAnsi" w:cstheme="minorHAnsi"/>
                <w:lang w:val="en-CA"/>
              </w:rPr>
              <w:t xml:space="preserve">by </w:t>
            </w:r>
            <w:r w:rsidR="00E53C05" w:rsidRPr="005209B9">
              <w:rPr>
                <w:rFonts w:asciiTheme="minorHAnsi" w:hAnsiTheme="minorHAnsi" w:cstheme="minorHAnsi"/>
                <w:lang w:val="en-CA"/>
              </w:rPr>
              <w:t xml:space="preserve">the </w:t>
            </w:r>
            <w:r w:rsidRPr="005209B9">
              <w:rPr>
                <w:rFonts w:asciiTheme="minorHAnsi" w:hAnsiTheme="minorHAnsi" w:cstheme="minorHAnsi"/>
                <w:lang w:val="en-CA"/>
              </w:rPr>
              <w:t>councillor</w:t>
            </w:r>
            <w:r w:rsidR="00E53C05" w:rsidRPr="005209B9">
              <w:rPr>
                <w:rFonts w:asciiTheme="minorHAnsi" w:hAnsiTheme="minorHAnsi" w:cstheme="minorHAnsi"/>
                <w:lang w:val="en-CA"/>
              </w:rPr>
              <w:t xml:space="preserve"> from the Bahamas</w:t>
            </w:r>
          </w:p>
        </w:tc>
        <w:tc>
          <w:tcPr>
            <w:tcW w:w="1374" w:type="pct"/>
          </w:tcPr>
          <w:p w14:paraId="18BF8728" w14:textId="0787F34A" w:rsidR="009318D5" w:rsidRPr="005209B9" w:rsidRDefault="002D06CA" w:rsidP="00A82887">
            <w:pPr>
              <w:snapToGrid w:val="0"/>
              <w:spacing w:after="120"/>
              <w:jc w:val="center"/>
              <w:rPr>
                <w:rFonts w:asciiTheme="minorHAnsi" w:hAnsiTheme="minorHAnsi" w:cstheme="minorHAnsi"/>
                <w:lang w:val="en-CA"/>
              </w:rPr>
            </w:pPr>
            <w:r w:rsidRPr="005209B9">
              <w:rPr>
                <w:rFonts w:asciiTheme="minorHAnsi" w:hAnsiTheme="minorHAnsi" w:cstheme="minorHAnsi"/>
                <w:lang w:val="en-CA"/>
              </w:rPr>
              <w:t>–</w:t>
            </w:r>
          </w:p>
        </w:tc>
      </w:tr>
      <w:tr w:rsidR="009318D5" w:rsidRPr="005209B9" w14:paraId="34B3D21D" w14:textId="77777777" w:rsidTr="00186C2F">
        <w:tc>
          <w:tcPr>
            <w:tcW w:w="258" w:type="pct"/>
          </w:tcPr>
          <w:p w14:paraId="06DC0621" w14:textId="3C7FBF75" w:rsidR="009318D5" w:rsidRPr="005209B9" w:rsidRDefault="002D06CA" w:rsidP="00A82887">
            <w:pPr>
              <w:pStyle w:val="toc0"/>
              <w:snapToGrid w:val="0"/>
              <w:spacing w:after="120"/>
              <w:rPr>
                <w:rFonts w:asciiTheme="minorHAnsi" w:hAnsiTheme="minorHAnsi" w:cstheme="minorHAnsi"/>
                <w:b w:val="0"/>
                <w:bCs/>
                <w:szCs w:val="24"/>
                <w:lang w:val="en-CA"/>
              </w:rPr>
            </w:pPr>
            <w:r w:rsidRPr="005209B9">
              <w:rPr>
                <w:rFonts w:asciiTheme="minorHAnsi" w:hAnsiTheme="minorHAnsi" w:cstheme="minorHAnsi"/>
                <w:b w:val="0"/>
                <w:bCs/>
                <w:szCs w:val="24"/>
                <w:lang w:val="en-CA"/>
              </w:rPr>
              <w:t>4</w:t>
            </w:r>
          </w:p>
        </w:tc>
        <w:tc>
          <w:tcPr>
            <w:tcW w:w="3368" w:type="pct"/>
          </w:tcPr>
          <w:p w14:paraId="41E3C1C8" w14:textId="068B268D" w:rsidR="009318D5" w:rsidRPr="005209B9" w:rsidRDefault="002D06CA" w:rsidP="00A82887">
            <w:pPr>
              <w:snapToGrid w:val="0"/>
              <w:spacing w:after="120"/>
              <w:rPr>
                <w:rFonts w:asciiTheme="minorHAnsi" w:hAnsiTheme="minorHAnsi" w:cstheme="minorHAnsi"/>
                <w:lang w:val="en-CA"/>
              </w:rPr>
            </w:pPr>
            <w:r w:rsidRPr="005209B9">
              <w:rPr>
                <w:rFonts w:asciiTheme="minorHAnsi" w:hAnsiTheme="minorHAnsi" w:cstheme="minorHAnsi"/>
                <w:lang w:val="en-CA"/>
              </w:rPr>
              <w:t xml:space="preserve">Matters pertaining to Council </w:t>
            </w:r>
            <w:r w:rsidR="00E53C05" w:rsidRPr="005209B9">
              <w:rPr>
                <w:rFonts w:asciiTheme="minorHAnsi" w:hAnsiTheme="minorHAnsi" w:cstheme="minorHAnsi"/>
                <w:lang w:val="en-CA"/>
              </w:rPr>
              <w:t>w</w:t>
            </w:r>
            <w:r w:rsidRPr="005209B9">
              <w:rPr>
                <w:rFonts w:asciiTheme="minorHAnsi" w:hAnsiTheme="minorHAnsi" w:cstheme="minorHAnsi"/>
                <w:lang w:val="en-CA"/>
              </w:rPr>
              <w:t xml:space="preserve">orking </w:t>
            </w:r>
            <w:r w:rsidR="00E53C05" w:rsidRPr="005209B9">
              <w:rPr>
                <w:rFonts w:asciiTheme="minorHAnsi" w:hAnsiTheme="minorHAnsi" w:cstheme="minorHAnsi"/>
                <w:lang w:val="en-CA"/>
              </w:rPr>
              <w:t>g</w:t>
            </w:r>
            <w:r w:rsidRPr="005209B9">
              <w:rPr>
                <w:rFonts w:asciiTheme="minorHAnsi" w:hAnsiTheme="minorHAnsi" w:cstheme="minorHAnsi"/>
                <w:lang w:val="en-CA"/>
              </w:rPr>
              <w:t>roups</w:t>
            </w:r>
          </w:p>
        </w:tc>
        <w:tc>
          <w:tcPr>
            <w:tcW w:w="1374" w:type="pct"/>
          </w:tcPr>
          <w:p w14:paraId="598DEC6C" w14:textId="75D481CE" w:rsidR="009318D5" w:rsidRPr="005209B9" w:rsidRDefault="002D06CA" w:rsidP="00A82887">
            <w:pPr>
              <w:snapToGrid w:val="0"/>
              <w:spacing w:after="120"/>
              <w:jc w:val="center"/>
              <w:rPr>
                <w:rFonts w:asciiTheme="minorHAnsi" w:hAnsiTheme="minorHAnsi" w:cstheme="minorHAnsi"/>
                <w:lang w:val="en-CA"/>
              </w:rPr>
            </w:pPr>
            <w:r w:rsidRPr="005209B9">
              <w:rPr>
                <w:rFonts w:asciiTheme="minorHAnsi" w:hAnsiTheme="minorHAnsi" w:cstheme="minorHAnsi"/>
                <w:lang w:val="en-CA"/>
              </w:rPr>
              <w:t>–</w:t>
            </w:r>
          </w:p>
        </w:tc>
      </w:tr>
      <w:tr w:rsidR="00E53C05" w:rsidRPr="005209B9" w14:paraId="6F2B63C1" w14:textId="77777777" w:rsidTr="00186C2F">
        <w:tc>
          <w:tcPr>
            <w:tcW w:w="258" w:type="pct"/>
          </w:tcPr>
          <w:p w14:paraId="6CF0B5D0" w14:textId="6E9ECCFC" w:rsidR="00E53C05" w:rsidRPr="005209B9" w:rsidRDefault="00E53C05" w:rsidP="00A82887">
            <w:pPr>
              <w:pStyle w:val="toc0"/>
              <w:snapToGrid w:val="0"/>
              <w:spacing w:after="120"/>
              <w:rPr>
                <w:rFonts w:asciiTheme="minorHAnsi" w:hAnsiTheme="minorHAnsi" w:cstheme="minorHAnsi"/>
                <w:b w:val="0"/>
                <w:bCs/>
                <w:szCs w:val="24"/>
                <w:lang w:val="en-CA"/>
              </w:rPr>
            </w:pPr>
            <w:r w:rsidRPr="005209B9">
              <w:rPr>
                <w:rFonts w:asciiTheme="minorHAnsi" w:hAnsiTheme="minorHAnsi" w:cstheme="minorHAnsi"/>
                <w:b w:val="0"/>
                <w:bCs/>
                <w:szCs w:val="24"/>
                <w:lang w:val="en-CA"/>
              </w:rPr>
              <w:t>5</w:t>
            </w:r>
          </w:p>
        </w:tc>
        <w:tc>
          <w:tcPr>
            <w:tcW w:w="3368" w:type="pct"/>
          </w:tcPr>
          <w:p w14:paraId="697BE3C5" w14:textId="69A4998D" w:rsidR="00E53C05" w:rsidRPr="005209B9" w:rsidRDefault="00E53C05" w:rsidP="00A82887">
            <w:pPr>
              <w:snapToGrid w:val="0"/>
              <w:spacing w:after="120"/>
              <w:rPr>
                <w:rFonts w:asciiTheme="minorHAnsi" w:hAnsiTheme="minorHAnsi" w:cstheme="minorHAnsi"/>
                <w:lang w:val="en-CA"/>
              </w:rPr>
            </w:pPr>
            <w:r w:rsidRPr="005209B9">
              <w:rPr>
                <w:rFonts w:asciiTheme="minorHAnsi" w:hAnsiTheme="minorHAnsi" w:cstheme="minorHAnsi"/>
                <w:lang w:val="en-CA"/>
              </w:rPr>
              <w:t>Closure of the additional session</w:t>
            </w:r>
          </w:p>
        </w:tc>
        <w:tc>
          <w:tcPr>
            <w:tcW w:w="1374" w:type="pct"/>
          </w:tcPr>
          <w:p w14:paraId="50DDFC78" w14:textId="19FFB935" w:rsidR="00E53C05" w:rsidRPr="005209B9" w:rsidRDefault="00527F75" w:rsidP="00A82887">
            <w:pPr>
              <w:snapToGrid w:val="0"/>
              <w:spacing w:after="120"/>
              <w:jc w:val="center"/>
              <w:rPr>
                <w:rFonts w:asciiTheme="minorHAnsi" w:hAnsiTheme="minorHAnsi" w:cstheme="minorHAnsi"/>
                <w:lang w:val="en-CA"/>
              </w:rPr>
            </w:pPr>
            <w:r w:rsidRPr="005209B9">
              <w:rPr>
                <w:rFonts w:asciiTheme="minorHAnsi" w:hAnsiTheme="minorHAnsi" w:cstheme="minorHAnsi"/>
                <w:lang w:val="en-CA"/>
              </w:rPr>
              <w:t>–</w:t>
            </w:r>
          </w:p>
        </w:tc>
      </w:tr>
    </w:tbl>
    <w:p w14:paraId="44E3812C" w14:textId="66DF4DC6" w:rsidR="0064144F" w:rsidRPr="005209B9" w:rsidRDefault="0064144F" w:rsidP="00A82887">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cstheme="minorHAnsi"/>
          <w:szCs w:val="24"/>
          <w:lang w:val="en-CA"/>
        </w:rPr>
      </w:pPr>
      <w:r w:rsidRPr="005209B9">
        <w:rPr>
          <w:rFonts w:asciiTheme="minorHAnsi" w:hAnsiTheme="minorHAnsi" w:cstheme="minorHAnsi"/>
          <w:szCs w:val="24"/>
          <w:lang w:val="en-CA"/>
        </w:rPr>
        <w:br w:type="page"/>
      </w:r>
    </w:p>
    <w:p w14:paraId="48CD39BB" w14:textId="0CE1C26B" w:rsidR="0064144F" w:rsidRPr="005209B9" w:rsidRDefault="0064144F" w:rsidP="00A82887">
      <w:pPr>
        <w:pStyle w:val="ListParagraph"/>
        <w:snapToGrid w:val="0"/>
        <w:spacing w:before="120" w:after="120"/>
        <w:ind w:left="0"/>
        <w:contextualSpacing w:val="0"/>
        <w:jc w:val="both"/>
        <w:rPr>
          <w:rFonts w:cstheme="minorHAnsi"/>
          <w:b/>
          <w:bCs/>
          <w:sz w:val="26"/>
          <w:szCs w:val="26"/>
        </w:rPr>
      </w:pPr>
      <w:r w:rsidRPr="005209B9">
        <w:rPr>
          <w:rFonts w:cstheme="minorHAnsi"/>
          <w:b/>
          <w:bCs/>
          <w:sz w:val="26"/>
          <w:szCs w:val="26"/>
        </w:rPr>
        <w:lastRenderedPageBreak/>
        <w:t>1</w:t>
      </w:r>
      <w:r w:rsidRPr="005209B9">
        <w:rPr>
          <w:rFonts w:cstheme="minorHAnsi"/>
          <w:b/>
          <w:bCs/>
          <w:sz w:val="26"/>
          <w:szCs w:val="26"/>
        </w:rPr>
        <w:tab/>
        <w:t>Opening remarks</w:t>
      </w:r>
    </w:p>
    <w:p w14:paraId="1FB78823" w14:textId="3152151F" w:rsidR="0064144F" w:rsidRPr="005209B9" w:rsidRDefault="0064144F"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1</w:t>
      </w:r>
      <w:r w:rsidR="00161DCD" w:rsidRPr="005209B9">
        <w:rPr>
          <w:rFonts w:asciiTheme="minorHAnsi" w:hAnsiTheme="minorHAnsi" w:cstheme="minorHAnsi"/>
        </w:rPr>
        <w:t>.1</w:t>
      </w:r>
      <w:r w:rsidR="00161DCD" w:rsidRPr="005209B9">
        <w:rPr>
          <w:rFonts w:asciiTheme="minorHAnsi" w:hAnsiTheme="minorHAnsi" w:cstheme="minorHAnsi"/>
        </w:rPr>
        <w:tab/>
      </w:r>
      <w:r w:rsidRPr="005209B9">
        <w:rPr>
          <w:rFonts w:asciiTheme="minorHAnsi" w:hAnsiTheme="minorHAnsi" w:cstheme="minorHAnsi"/>
        </w:rPr>
        <w:t>The Secretary-General welcomed councillors to the additional session and informed them that the Chairman, Mr E.E. Azzouz (Egypt)</w:t>
      </w:r>
      <w:r w:rsidR="00BA1255" w:rsidRPr="005209B9">
        <w:rPr>
          <w:rFonts w:asciiTheme="minorHAnsi" w:hAnsiTheme="minorHAnsi" w:cstheme="minorHAnsi"/>
        </w:rPr>
        <w:t>,</w:t>
      </w:r>
      <w:r w:rsidRPr="005209B9">
        <w:rPr>
          <w:rFonts w:asciiTheme="minorHAnsi" w:hAnsiTheme="minorHAnsi" w:cstheme="minorHAnsi"/>
        </w:rPr>
        <w:t xml:space="preserve"> </w:t>
      </w:r>
      <w:r w:rsidR="007E5DA1" w:rsidRPr="005209B9">
        <w:rPr>
          <w:rFonts w:asciiTheme="minorHAnsi" w:hAnsiTheme="minorHAnsi" w:cstheme="minorHAnsi"/>
        </w:rPr>
        <w:t>was</w:t>
      </w:r>
      <w:r w:rsidRPr="005209B9">
        <w:rPr>
          <w:rFonts w:asciiTheme="minorHAnsi" w:hAnsiTheme="minorHAnsi" w:cstheme="minorHAnsi"/>
        </w:rPr>
        <w:t xml:space="preserve"> </w:t>
      </w:r>
      <w:r w:rsidR="007E5DA1" w:rsidRPr="005209B9">
        <w:rPr>
          <w:rFonts w:asciiTheme="minorHAnsi" w:hAnsiTheme="minorHAnsi" w:cstheme="minorHAnsi"/>
        </w:rPr>
        <w:t xml:space="preserve">unable to attend because of </w:t>
      </w:r>
      <w:r w:rsidR="00E53C05" w:rsidRPr="005209B9">
        <w:rPr>
          <w:rFonts w:asciiTheme="minorHAnsi" w:hAnsiTheme="minorHAnsi" w:cstheme="minorHAnsi"/>
        </w:rPr>
        <w:t>his involvement in</w:t>
      </w:r>
      <w:r w:rsidR="00527F75" w:rsidRPr="005209B9">
        <w:rPr>
          <w:rFonts w:asciiTheme="minorHAnsi" w:hAnsiTheme="minorHAnsi" w:cstheme="minorHAnsi"/>
        </w:rPr>
        <w:t xml:space="preserve"> </w:t>
      </w:r>
      <w:r w:rsidRPr="005209B9">
        <w:rPr>
          <w:rFonts w:asciiTheme="minorHAnsi" w:hAnsiTheme="minorHAnsi" w:cstheme="minorHAnsi"/>
        </w:rPr>
        <w:t>the preparations for WRC-19</w:t>
      </w:r>
      <w:r w:rsidR="005D1994" w:rsidRPr="005209B9">
        <w:rPr>
          <w:rFonts w:asciiTheme="minorHAnsi" w:hAnsiTheme="minorHAnsi" w:cstheme="minorHAnsi"/>
        </w:rPr>
        <w:t xml:space="preserve">. </w:t>
      </w:r>
      <w:r w:rsidR="00BA1255" w:rsidRPr="005209B9">
        <w:rPr>
          <w:rFonts w:asciiTheme="minorHAnsi" w:hAnsiTheme="minorHAnsi" w:cstheme="minorHAnsi"/>
        </w:rPr>
        <w:t xml:space="preserve">He would be replaced by </w:t>
      </w:r>
      <w:r w:rsidR="00E53C05" w:rsidRPr="005209B9">
        <w:rPr>
          <w:rFonts w:asciiTheme="minorHAnsi" w:hAnsiTheme="minorHAnsi" w:cstheme="minorHAnsi"/>
        </w:rPr>
        <w:t xml:space="preserve">Mr F. </w:t>
      </w:r>
      <w:proofErr w:type="spellStart"/>
      <w:r w:rsidR="00E53C05" w:rsidRPr="005209B9">
        <w:rPr>
          <w:rFonts w:asciiTheme="minorHAnsi" w:hAnsiTheme="minorHAnsi" w:cstheme="minorHAnsi"/>
        </w:rPr>
        <w:t>Bigi</w:t>
      </w:r>
      <w:proofErr w:type="spellEnd"/>
      <w:r w:rsidR="00E53C05" w:rsidRPr="005209B9">
        <w:rPr>
          <w:rFonts w:asciiTheme="minorHAnsi" w:hAnsiTheme="minorHAnsi" w:cstheme="minorHAnsi"/>
        </w:rPr>
        <w:t xml:space="preserve"> (Italy), as </w:t>
      </w:r>
      <w:r w:rsidR="00BA1255" w:rsidRPr="005209B9">
        <w:rPr>
          <w:rFonts w:asciiTheme="minorHAnsi" w:hAnsiTheme="minorHAnsi" w:cstheme="minorHAnsi"/>
        </w:rPr>
        <w:t>Acting Chairman</w:t>
      </w:r>
      <w:r w:rsidR="00DE4DCB" w:rsidRPr="005209B9">
        <w:rPr>
          <w:rFonts w:asciiTheme="minorHAnsi" w:hAnsiTheme="minorHAnsi" w:cstheme="minorHAnsi"/>
        </w:rPr>
        <w:t>, who was acting Chairman of the ordinary session of Council-19</w:t>
      </w:r>
      <w:r w:rsidR="00E53C05" w:rsidRPr="005209B9">
        <w:rPr>
          <w:rFonts w:asciiTheme="minorHAnsi" w:hAnsiTheme="minorHAnsi" w:cstheme="minorHAnsi"/>
        </w:rPr>
        <w:t>.</w:t>
      </w:r>
    </w:p>
    <w:p w14:paraId="72F01968" w14:textId="177D096A" w:rsidR="005D1994" w:rsidRPr="005209B9" w:rsidRDefault="005D1994" w:rsidP="00BC2AA9">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1.2</w:t>
      </w:r>
      <w:r w:rsidRPr="005209B9">
        <w:rPr>
          <w:rFonts w:asciiTheme="minorHAnsi" w:hAnsiTheme="minorHAnsi" w:cstheme="minorHAnsi"/>
        </w:rPr>
        <w:tab/>
      </w:r>
      <w:r w:rsidR="00B3282D" w:rsidRPr="005209B9">
        <w:rPr>
          <w:rFonts w:asciiTheme="minorHAnsi" w:hAnsiTheme="minorHAnsi" w:cstheme="minorHAnsi"/>
        </w:rPr>
        <w:t xml:space="preserve">After briefly reviewing the </w:t>
      </w:r>
      <w:r w:rsidR="00BA1255" w:rsidRPr="005209B9">
        <w:rPr>
          <w:rFonts w:asciiTheme="minorHAnsi" w:hAnsiTheme="minorHAnsi" w:cstheme="minorHAnsi"/>
        </w:rPr>
        <w:t xml:space="preserve">work done in </w:t>
      </w:r>
      <w:r w:rsidR="00B3282D" w:rsidRPr="005209B9">
        <w:rPr>
          <w:rFonts w:asciiTheme="minorHAnsi" w:hAnsiTheme="minorHAnsi" w:cstheme="minorHAnsi"/>
        </w:rPr>
        <w:t xml:space="preserve">previous years </w:t>
      </w:r>
      <w:r w:rsidR="00BA1255" w:rsidRPr="005209B9">
        <w:rPr>
          <w:rFonts w:asciiTheme="minorHAnsi" w:hAnsiTheme="minorHAnsi" w:cstheme="minorHAnsi"/>
        </w:rPr>
        <w:t>on</w:t>
      </w:r>
      <w:r w:rsidR="00B3282D" w:rsidRPr="005209B9">
        <w:rPr>
          <w:rFonts w:asciiTheme="minorHAnsi" w:hAnsiTheme="minorHAnsi" w:cstheme="minorHAnsi"/>
        </w:rPr>
        <w:t xml:space="preserve"> the headquarters </w:t>
      </w:r>
      <w:r w:rsidR="00BA1255" w:rsidRPr="005209B9">
        <w:rPr>
          <w:rFonts w:asciiTheme="minorHAnsi" w:hAnsiTheme="minorHAnsi" w:cstheme="minorHAnsi"/>
        </w:rPr>
        <w:t>premises project</w:t>
      </w:r>
      <w:r w:rsidR="00B3282D" w:rsidRPr="005209B9">
        <w:rPr>
          <w:rFonts w:asciiTheme="minorHAnsi" w:hAnsiTheme="minorHAnsi" w:cstheme="minorHAnsi"/>
        </w:rPr>
        <w:t xml:space="preserve">, </w:t>
      </w:r>
      <w:r w:rsidR="00BF670C" w:rsidRPr="005209B9">
        <w:rPr>
          <w:rFonts w:asciiTheme="minorHAnsi" w:hAnsiTheme="minorHAnsi" w:cstheme="minorHAnsi"/>
        </w:rPr>
        <w:t xml:space="preserve">the Secretary-General </w:t>
      </w:r>
      <w:r w:rsidR="00B3282D" w:rsidRPr="005209B9">
        <w:rPr>
          <w:rFonts w:asciiTheme="minorHAnsi" w:hAnsiTheme="minorHAnsi" w:cstheme="minorHAnsi"/>
        </w:rPr>
        <w:t xml:space="preserve">said that the time had come to </w:t>
      </w:r>
      <w:r w:rsidR="00E53C05" w:rsidRPr="005209B9">
        <w:rPr>
          <w:rFonts w:asciiTheme="minorHAnsi" w:hAnsiTheme="minorHAnsi" w:cstheme="minorHAnsi"/>
        </w:rPr>
        <w:t>move forward</w:t>
      </w:r>
      <w:r w:rsidR="00527F75" w:rsidRPr="005209B9">
        <w:rPr>
          <w:rFonts w:asciiTheme="minorHAnsi" w:hAnsiTheme="minorHAnsi" w:cstheme="minorHAnsi"/>
        </w:rPr>
        <w:t xml:space="preserve"> with a definitive project and cost envelope</w:t>
      </w:r>
      <w:r w:rsidR="00E53C05" w:rsidRPr="005209B9">
        <w:rPr>
          <w:rFonts w:asciiTheme="minorHAnsi" w:hAnsiTheme="minorHAnsi" w:cstheme="minorHAnsi"/>
        </w:rPr>
        <w:t>.</w:t>
      </w:r>
      <w:r w:rsidR="00B3282D" w:rsidRPr="005209B9">
        <w:rPr>
          <w:rFonts w:asciiTheme="minorHAnsi" w:hAnsiTheme="minorHAnsi" w:cstheme="minorHAnsi"/>
        </w:rPr>
        <w:t xml:space="preserve"> </w:t>
      </w:r>
      <w:r w:rsidR="007E5DA1" w:rsidRPr="005209B9">
        <w:rPr>
          <w:rFonts w:asciiTheme="minorHAnsi" w:hAnsiTheme="minorHAnsi" w:cstheme="minorHAnsi"/>
          <w:spacing w:val="2"/>
        </w:rPr>
        <w:t xml:space="preserve">After the </w:t>
      </w:r>
      <w:r w:rsidR="00DE4DCB" w:rsidRPr="005209B9">
        <w:rPr>
          <w:rFonts w:asciiTheme="minorHAnsi" w:hAnsiTheme="minorHAnsi" w:cstheme="minorHAnsi"/>
          <w:spacing w:val="2"/>
        </w:rPr>
        <w:t xml:space="preserve">ordinary </w:t>
      </w:r>
      <w:r w:rsidR="00082232" w:rsidRPr="005209B9">
        <w:rPr>
          <w:rFonts w:asciiTheme="minorHAnsi" w:hAnsiTheme="minorHAnsi" w:cstheme="minorHAnsi"/>
          <w:spacing w:val="2"/>
        </w:rPr>
        <w:t>session</w:t>
      </w:r>
      <w:r w:rsidR="00DE15A8" w:rsidRPr="005209B9">
        <w:rPr>
          <w:rFonts w:asciiTheme="minorHAnsi" w:hAnsiTheme="minorHAnsi" w:cstheme="minorHAnsi"/>
          <w:spacing w:val="2"/>
        </w:rPr>
        <w:t xml:space="preserve"> of Council-19</w:t>
      </w:r>
      <w:r w:rsidR="007E5DA1" w:rsidRPr="005209B9">
        <w:rPr>
          <w:rFonts w:asciiTheme="minorHAnsi" w:hAnsiTheme="minorHAnsi" w:cstheme="minorHAnsi"/>
          <w:spacing w:val="2"/>
        </w:rPr>
        <w:t>, h</w:t>
      </w:r>
      <w:r w:rsidR="00BA1255" w:rsidRPr="005209B9">
        <w:rPr>
          <w:rFonts w:asciiTheme="minorHAnsi" w:hAnsiTheme="minorHAnsi" w:cstheme="minorHAnsi"/>
          <w:spacing w:val="2"/>
        </w:rPr>
        <w:t xml:space="preserve">e had </w:t>
      </w:r>
      <w:r w:rsidR="00161DCD" w:rsidRPr="005209B9">
        <w:rPr>
          <w:rFonts w:asciiTheme="minorHAnsi" w:hAnsiTheme="minorHAnsi" w:cstheme="minorHAnsi"/>
          <w:spacing w:val="2"/>
        </w:rPr>
        <w:t xml:space="preserve">given </w:t>
      </w:r>
      <w:r w:rsidR="00BA1255" w:rsidRPr="005209B9">
        <w:rPr>
          <w:rFonts w:asciiTheme="minorHAnsi" w:hAnsiTheme="minorHAnsi" w:cstheme="minorHAnsi"/>
          <w:spacing w:val="2"/>
        </w:rPr>
        <w:t xml:space="preserve">the </w:t>
      </w:r>
      <w:r w:rsidR="007E5DA1" w:rsidRPr="005209B9">
        <w:rPr>
          <w:rFonts w:asciiTheme="minorHAnsi" w:hAnsiTheme="minorHAnsi" w:cstheme="minorHAnsi"/>
          <w:spacing w:val="2"/>
        </w:rPr>
        <w:t xml:space="preserve">project </w:t>
      </w:r>
      <w:r w:rsidR="00BA1255" w:rsidRPr="005209B9">
        <w:rPr>
          <w:rFonts w:asciiTheme="minorHAnsi" w:hAnsiTheme="minorHAnsi" w:cstheme="minorHAnsi"/>
          <w:spacing w:val="2"/>
        </w:rPr>
        <w:t xml:space="preserve">team </w:t>
      </w:r>
      <w:r w:rsidR="00161DCD" w:rsidRPr="005209B9">
        <w:rPr>
          <w:rFonts w:asciiTheme="minorHAnsi" w:hAnsiTheme="minorHAnsi" w:cstheme="minorHAnsi"/>
          <w:spacing w:val="2"/>
        </w:rPr>
        <w:t xml:space="preserve">clear instructions </w:t>
      </w:r>
      <w:r w:rsidR="00BA1255" w:rsidRPr="005209B9">
        <w:rPr>
          <w:rFonts w:asciiTheme="minorHAnsi" w:hAnsiTheme="minorHAnsi" w:cstheme="minorHAnsi"/>
          <w:spacing w:val="2"/>
        </w:rPr>
        <w:t xml:space="preserve">to </w:t>
      </w:r>
      <w:r w:rsidR="00310A36" w:rsidRPr="005209B9">
        <w:rPr>
          <w:rFonts w:asciiTheme="minorHAnsi" w:hAnsiTheme="minorHAnsi" w:cstheme="minorHAnsi"/>
          <w:spacing w:val="2"/>
        </w:rPr>
        <w:t xml:space="preserve">amend </w:t>
      </w:r>
      <w:r w:rsidR="003A543F" w:rsidRPr="005209B9">
        <w:rPr>
          <w:rFonts w:asciiTheme="minorHAnsi" w:hAnsiTheme="minorHAnsi" w:cstheme="minorHAnsi"/>
          <w:spacing w:val="2"/>
        </w:rPr>
        <w:t xml:space="preserve">the design to </w:t>
      </w:r>
      <w:r w:rsidR="00C434CA" w:rsidRPr="005209B9">
        <w:rPr>
          <w:rFonts w:asciiTheme="minorHAnsi" w:hAnsiTheme="minorHAnsi" w:cstheme="minorHAnsi"/>
          <w:spacing w:val="2"/>
        </w:rPr>
        <w:t xml:space="preserve">fit </w:t>
      </w:r>
      <w:r w:rsidR="003A543F" w:rsidRPr="005209B9">
        <w:rPr>
          <w:rFonts w:asciiTheme="minorHAnsi" w:hAnsiTheme="minorHAnsi" w:cstheme="minorHAnsi"/>
          <w:spacing w:val="2"/>
        </w:rPr>
        <w:t xml:space="preserve">the currently available </w:t>
      </w:r>
      <w:r w:rsidR="008E1011" w:rsidRPr="005209B9">
        <w:rPr>
          <w:rFonts w:asciiTheme="minorHAnsi" w:hAnsiTheme="minorHAnsi" w:cstheme="minorHAnsi"/>
          <w:spacing w:val="2"/>
        </w:rPr>
        <w:t xml:space="preserve">financing </w:t>
      </w:r>
      <w:r w:rsidR="00BA1255" w:rsidRPr="005209B9">
        <w:rPr>
          <w:rFonts w:asciiTheme="minorHAnsi" w:hAnsiTheme="minorHAnsi" w:cstheme="minorHAnsi"/>
        </w:rPr>
        <w:t>of</w:t>
      </w:r>
      <w:r w:rsidR="009D55F7" w:rsidRPr="005209B9">
        <w:rPr>
          <w:rFonts w:asciiTheme="minorHAnsi" w:hAnsiTheme="minorHAnsi" w:cstheme="minorHAnsi"/>
        </w:rPr>
        <w:t xml:space="preserve"> </w:t>
      </w:r>
      <w:r w:rsidR="00BA1255" w:rsidRPr="005209B9">
        <w:rPr>
          <w:rFonts w:asciiTheme="minorHAnsi" w:hAnsiTheme="minorHAnsi" w:cstheme="minorHAnsi"/>
        </w:rPr>
        <w:t>CHF 170</w:t>
      </w:r>
      <w:r w:rsidR="00F45EFC" w:rsidRPr="005209B9">
        <w:rPr>
          <w:rFonts w:asciiTheme="minorHAnsi" w:hAnsiTheme="minorHAnsi" w:cstheme="minorHAnsi"/>
        </w:rPr>
        <w:t>.14</w:t>
      </w:r>
      <w:r w:rsidR="00BA1255" w:rsidRPr="005209B9">
        <w:rPr>
          <w:rFonts w:asciiTheme="minorHAnsi" w:hAnsiTheme="minorHAnsi" w:cstheme="minorHAnsi"/>
        </w:rPr>
        <w:t xml:space="preserve"> million </w:t>
      </w:r>
      <w:r w:rsidR="00A82887" w:rsidRPr="005209B9">
        <w:rPr>
          <w:rFonts w:asciiTheme="minorHAnsi" w:hAnsiTheme="minorHAnsi" w:cstheme="minorHAnsi"/>
        </w:rPr>
        <w:t>(</w:t>
      </w:r>
      <w:r w:rsidR="00A82887" w:rsidRPr="005209B9">
        <w:rPr>
          <w:rFonts w:asciiTheme="minorHAnsi" w:hAnsiTheme="minorHAnsi" w:cstheme="minorHAnsi"/>
          <w:spacing w:val="-2"/>
        </w:rPr>
        <w:t>CHF </w:t>
      </w:r>
      <w:r w:rsidR="007E5DA1" w:rsidRPr="005209B9">
        <w:rPr>
          <w:rFonts w:asciiTheme="minorHAnsi" w:hAnsiTheme="minorHAnsi" w:cstheme="minorHAnsi"/>
          <w:spacing w:val="-2"/>
        </w:rPr>
        <w:t>150</w:t>
      </w:r>
      <w:r w:rsidR="00A82887" w:rsidRPr="005209B9">
        <w:rPr>
          <w:rFonts w:asciiTheme="minorHAnsi" w:hAnsiTheme="minorHAnsi" w:cstheme="minorHAnsi"/>
          <w:spacing w:val="-2"/>
        </w:rPr>
        <w:t> </w:t>
      </w:r>
      <w:r w:rsidR="007E5DA1" w:rsidRPr="005209B9">
        <w:rPr>
          <w:rFonts w:asciiTheme="minorHAnsi" w:hAnsiTheme="minorHAnsi" w:cstheme="minorHAnsi"/>
          <w:spacing w:val="-2"/>
        </w:rPr>
        <w:t>million loaned by the Swiss Government</w:t>
      </w:r>
      <w:r w:rsidR="00161DCD" w:rsidRPr="005209B9">
        <w:rPr>
          <w:rFonts w:asciiTheme="minorHAnsi" w:hAnsiTheme="minorHAnsi" w:cstheme="minorHAnsi"/>
          <w:spacing w:val="-2"/>
        </w:rPr>
        <w:t>,</w:t>
      </w:r>
      <w:r w:rsidR="007E5DA1" w:rsidRPr="005209B9">
        <w:rPr>
          <w:rFonts w:asciiTheme="minorHAnsi" w:hAnsiTheme="minorHAnsi" w:cstheme="minorHAnsi"/>
          <w:spacing w:val="-2"/>
        </w:rPr>
        <w:t xml:space="preserve"> </w:t>
      </w:r>
      <w:r w:rsidR="00BD2421" w:rsidRPr="005209B9">
        <w:rPr>
          <w:rFonts w:asciiTheme="minorHAnsi" w:hAnsiTheme="minorHAnsi" w:cstheme="minorHAnsi"/>
          <w:spacing w:val="-2"/>
        </w:rPr>
        <w:t xml:space="preserve">over </w:t>
      </w:r>
      <w:r w:rsidR="00A82887" w:rsidRPr="005209B9">
        <w:rPr>
          <w:rFonts w:asciiTheme="minorHAnsi" w:hAnsiTheme="minorHAnsi" w:cstheme="minorHAnsi"/>
          <w:spacing w:val="-2"/>
        </w:rPr>
        <w:t>CHF </w:t>
      </w:r>
      <w:r w:rsidR="00BD2421" w:rsidRPr="005209B9">
        <w:rPr>
          <w:rFonts w:asciiTheme="minorHAnsi" w:hAnsiTheme="minorHAnsi" w:cstheme="minorHAnsi"/>
          <w:spacing w:val="-2"/>
        </w:rPr>
        <w:t>15</w:t>
      </w:r>
      <w:r w:rsidR="00A82887" w:rsidRPr="005209B9">
        <w:rPr>
          <w:rFonts w:asciiTheme="minorHAnsi" w:hAnsiTheme="minorHAnsi" w:cstheme="minorHAnsi"/>
          <w:spacing w:val="-2"/>
        </w:rPr>
        <w:t> </w:t>
      </w:r>
      <w:r w:rsidR="007E5DA1" w:rsidRPr="005209B9">
        <w:rPr>
          <w:rFonts w:asciiTheme="minorHAnsi" w:hAnsiTheme="minorHAnsi" w:cstheme="minorHAnsi"/>
          <w:spacing w:val="-2"/>
        </w:rPr>
        <w:t>million</w:t>
      </w:r>
      <w:r w:rsidR="00BD2421" w:rsidRPr="005209B9">
        <w:rPr>
          <w:rFonts w:asciiTheme="minorHAnsi" w:hAnsiTheme="minorHAnsi" w:cstheme="minorHAnsi"/>
          <w:spacing w:val="-2"/>
        </w:rPr>
        <w:t xml:space="preserve"> in </w:t>
      </w:r>
      <w:r w:rsidR="002A4541" w:rsidRPr="005209B9">
        <w:rPr>
          <w:rFonts w:asciiTheme="minorHAnsi" w:hAnsiTheme="minorHAnsi" w:cstheme="minorHAnsi"/>
          <w:spacing w:val="-2"/>
        </w:rPr>
        <w:t xml:space="preserve">sponsorships and </w:t>
      </w:r>
      <w:r w:rsidR="00A82887" w:rsidRPr="005209B9">
        <w:rPr>
          <w:rFonts w:asciiTheme="minorHAnsi" w:hAnsiTheme="minorHAnsi" w:cstheme="minorHAnsi"/>
          <w:spacing w:val="-2"/>
        </w:rPr>
        <w:t>donations and CHF </w:t>
      </w:r>
      <w:r w:rsidR="009D55F7" w:rsidRPr="005209B9">
        <w:rPr>
          <w:rFonts w:asciiTheme="minorHAnsi" w:hAnsiTheme="minorHAnsi" w:cstheme="minorHAnsi"/>
          <w:spacing w:val="-2"/>
        </w:rPr>
        <w:t>5</w:t>
      </w:r>
      <w:r w:rsidR="00A82887" w:rsidRPr="005209B9">
        <w:rPr>
          <w:rFonts w:asciiTheme="minorHAnsi" w:hAnsiTheme="minorHAnsi" w:cstheme="minorHAnsi"/>
          <w:spacing w:val="-2"/>
        </w:rPr>
        <w:t> </w:t>
      </w:r>
      <w:r w:rsidR="009D55F7" w:rsidRPr="005209B9">
        <w:rPr>
          <w:rFonts w:asciiTheme="minorHAnsi" w:hAnsiTheme="minorHAnsi" w:cstheme="minorHAnsi"/>
          <w:spacing w:val="-2"/>
        </w:rPr>
        <w:t>million</w:t>
      </w:r>
      <w:r w:rsidR="009D55F7" w:rsidRPr="005209B9">
        <w:rPr>
          <w:rFonts w:asciiTheme="minorHAnsi" w:hAnsiTheme="minorHAnsi" w:cstheme="minorHAnsi"/>
        </w:rPr>
        <w:t xml:space="preserve"> from the 2018 surplus)</w:t>
      </w:r>
      <w:r w:rsidR="00BD2421" w:rsidRPr="005209B9">
        <w:rPr>
          <w:rFonts w:asciiTheme="minorHAnsi" w:hAnsiTheme="minorHAnsi" w:cstheme="minorHAnsi"/>
        </w:rPr>
        <w:t xml:space="preserve"> and </w:t>
      </w:r>
      <w:r w:rsidR="009D55F7" w:rsidRPr="005209B9">
        <w:rPr>
          <w:rFonts w:asciiTheme="minorHAnsi" w:hAnsiTheme="minorHAnsi" w:cstheme="minorHAnsi"/>
        </w:rPr>
        <w:t xml:space="preserve">to consult with </w:t>
      </w:r>
      <w:r w:rsidR="00BA1255" w:rsidRPr="005209B9">
        <w:rPr>
          <w:rFonts w:asciiTheme="minorHAnsi" w:hAnsiTheme="minorHAnsi" w:cstheme="minorHAnsi"/>
        </w:rPr>
        <w:t>the Member State</w:t>
      </w:r>
      <w:r w:rsidR="00B76C66" w:rsidRPr="005209B9">
        <w:rPr>
          <w:rFonts w:asciiTheme="minorHAnsi" w:hAnsiTheme="minorHAnsi" w:cstheme="minorHAnsi"/>
        </w:rPr>
        <w:t>s</w:t>
      </w:r>
      <w:r w:rsidR="00BA1255" w:rsidRPr="005209B9">
        <w:rPr>
          <w:rFonts w:asciiTheme="minorHAnsi" w:hAnsiTheme="minorHAnsi" w:cstheme="minorHAnsi"/>
        </w:rPr>
        <w:t xml:space="preserve"> Advisory Group </w:t>
      </w:r>
      <w:r w:rsidR="00E53C05" w:rsidRPr="005209B9">
        <w:rPr>
          <w:rFonts w:asciiTheme="minorHAnsi" w:hAnsiTheme="minorHAnsi" w:cstheme="minorHAnsi"/>
        </w:rPr>
        <w:t xml:space="preserve">(MSAG) </w:t>
      </w:r>
      <w:r w:rsidR="00BA1255" w:rsidRPr="005209B9">
        <w:rPr>
          <w:rFonts w:asciiTheme="minorHAnsi" w:hAnsiTheme="minorHAnsi" w:cstheme="minorHAnsi"/>
        </w:rPr>
        <w:t>and the ITU Staff Council</w:t>
      </w:r>
      <w:r w:rsidR="00E53C05" w:rsidRPr="005209B9">
        <w:rPr>
          <w:rFonts w:asciiTheme="minorHAnsi" w:hAnsiTheme="minorHAnsi" w:cstheme="minorHAnsi"/>
        </w:rPr>
        <w:t xml:space="preserve"> in the process</w:t>
      </w:r>
      <w:r w:rsidR="00BA1255" w:rsidRPr="005209B9">
        <w:rPr>
          <w:rFonts w:asciiTheme="minorHAnsi" w:hAnsiTheme="minorHAnsi" w:cstheme="minorHAnsi"/>
        </w:rPr>
        <w:t xml:space="preserve">. The final proposal would be submitted to the host country authorities in </w:t>
      </w:r>
      <w:r w:rsidR="005B1B2E" w:rsidRPr="005209B9">
        <w:rPr>
          <w:rFonts w:asciiTheme="minorHAnsi" w:hAnsiTheme="minorHAnsi" w:cstheme="minorHAnsi"/>
        </w:rPr>
        <w:t xml:space="preserve">December </w:t>
      </w:r>
      <w:r w:rsidR="00BA1255" w:rsidRPr="005209B9">
        <w:rPr>
          <w:rFonts w:asciiTheme="minorHAnsi" w:hAnsiTheme="minorHAnsi" w:cstheme="minorHAnsi"/>
        </w:rPr>
        <w:t>2019. It would be unaffected by any future sponsorships or donations.</w:t>
      </w:r>
    </w:p>
    <w:p w14:paraId="19BD286B" w14:textId="32DED3DE" w:rsidR="00BA1255" w:rsidRPr="005209B9" w:rsidRDefault="00BA1255" w:rsidP="00BC2AA9">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1.3</w:t>
      </w:r>
      <w:r w:rsidRPr="005209B9">
        <w:rPr>
          <w:rFonts w:asciiTheme="minorHAnsi" w:hAnsiTheme="minorHAnsi" w:cstheme="minorHAnsi"/>
        </w:rPr>
        <w:tab/>
      </w:r>
      <w:r w:rsidR="00B012EB" w:rsidRPr="005209B9">
        <w:rPr>
          <w:rFonts w:asciiTheme="minorHAnsi" w:hAnsiTheme="minorHAnsi" w:cstheme="minorHAnsi"/>
        </w:rPr>
        <w:t>The Acting Chairman also welcomed councillors to the additional session, which was being held pursuant to the decision of the June 2019 Council session to discuss the report on progress on the Union's</w:t>
      </w:r>
      <w:r w:rsidR="00B84478" w:rsidRPr="005209B9">
        <w:rPr>
          <w:rFonts w:asciiTheme="minorHAnsi" w:hAnsiTheme="minorHAnsi" w:cstheme="minorHAnsi"/>
        </w:rPr>
        <w:t xml:space="preserve"> headquarters premises project. The secretariat had worked diligently to </w:t>
      </w:r>
      <w:r w:rsidR="00BD2421" w:rsidRPr="005209B9">
        <w:rPr>
          <w:rFonts w:asciiTheme="minorHAnsi" w:hAnsiTheme="minorHAnsi" w:cstheme="minorHAnsi"/>
        </w:rPr>
        <w:t xml:space="preserve">address the </w:t>
      </w:r>
      <w:r w:rsidR="00A068CA" w:rsidRPr="005209B9">
        <w:rPr>
          <w:rFonts w:asciiTheme="minorHAnsi" w:hAnsiTheme="minorHAnsi" w:cstheme="minorHAnsi"/>
        </w:rPr>
        <w:t>questions raised by Council</w:t>
      </w:r>
      <w:r w:rsidR="00BD2421" w:rsidRPr="005209B9">
        <w:rPr>
          <w:rFonts w:asciiTheme="minorHAnsi" w:hAnsiTheme="minorHAnsi" w:cstheme="minorHAnsi"/>
        </w:rPr>
        <w:t xml:space="preserve"> </w:t>
      </w:r>
      <w:r w:rsidR="00E53C05" w:rsidRPr="005209B9">
        <w:rPr>
          <w:rFonts w:asciiTheme="minorHAnsi" w:hAnsiTheme="minorHAnsi" w:cstheme="minorHAnsi"/>
        </w:rPr>
        <w:t>in June</w:t>
      </w:r>
      <w:r w:rsidR="00BD2421" w:rsidRPr="005209B9">
        <w:rPr>
          <w:rFonts w:asciiTheme="minorHAnsi" w:hAnsiTheme="minorHAnsi" w:cstheme="minorHAnsi"/>
        </w:rPr>
        <w:t>.</w:t>
      </w:r>
    </w:p>
    <w:p w14:paraId="65184105" w14:textId="631C0D5F" w:rsidR="00B84478" w:rsidRPr="005209B9" w:rsidRDefault="00B84478" w:rsidP="00B03A7B">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b/>
          <w:bCs/>
          <w:sz w:val="26"/>
          <w:szCs w:val="26"/>
        </w:rPr>
      </w:pPr>
      <w:r w:rsidRPr="005209B9">
        <w:rPr>
          <w:rFonts w:asciiTheme="minorHAnsi" w:hAnsiTheme="minorHAnsi" w:cstheme="minorHAnsi"/>
          <w:b/>
          <w:bCs/>
          <w:sz w:val="26"/>
          <w:szCs w:val="26"/>
        </w:rPr>
        <w:t>2</w:t>
      </w:r>
      <w:r w:rsidRPr="005209B9">
        <w:rPr>
          <w:rFonts w:asciiTheme="minorHAnsi" w:hAnsiTheme="minorHAnsi" w:cstheme="minorHAnsi"/>
          <w:b/>
          <w:bCs/>
          <w:sz w:val="26"/>
          <w:szCs w:val="26"/>
        </w:rPr>
        <w:tab/>
        <w:t xml:space="preserve">Report of the Secretary-General on progress on the Union's headquarters premises project (Documents </w:t>
      </w:r>
      <w:hyperlink r:id="rId12" w:history="1">
        <w:r w:rsidRPr="005209B9">
          <w:rPr>
            <w:rStyle w:val="Hyperlink"/>
            <w:rFonts w:asciiTheme="minorHAnsi" w:hAnsiTheme="minorHAnsi" w:cstheme="minorHAnsi"/>
            <w:b/>
            <w:bCs/>
            <w:sz w:val="26"/>
            <w:szCs w:val="26"/>
          </w:rPr>
          <w:t>C19-ADD/2(Rev.1)</w:t>
        </w:r>
      </w:hyperlink>
      <w:r w:rsidRPr="005209B9">
        <w:rPr>
          <w:rFonts w:asciiTheme="minorHAnsi" w:hAnsiTheme="minorHAnsi" w:cstheme="minorHAnsi"/>
          <w:b/>
          <w:bCs/>
          <w:sz w:val="26"/>
          <w:szCs w:val="26"/>
        </w:rPr>
        <w:t xml:space="preserve">, </w:t>
      </w:r>
      <w:hyperlink r:id="rId13" w:history="1">
        <w:r w:rsidRPr="005209B9">
          <w:rPr>
            <w:rStyle w:val="Hyperlink"/>
            <w:rFonts w:asciiTheme="minorHAnsi" w:hAnsiTheme="minorHAnsi" w:cstheme="minorHAnsi"/>
            <w:b/>
            <w:bCs/>
            <w:sz w:val="26"/>
            <w:szCs w:val="26"/>
          </w:rPr>
          <w:t>C19-ADD/</w:t>
        </w:r>
        <w:r w:rsidR="001F69B1" w:rsidRPr="005209B9">
          <w:rPr>
            <w:rStyle w:val="Hyperlink"/>
            <w:rFonts w:asciiTheme="minorHAnsi" w:hAnsiTheme="minorHAnsi" w:cstheme="minorHAnsi"/>
            <w:b/>
            <w:bCs/>
            <w:sz w:val="26"/>
            <w:szCs w:val="26"/>
          </w:rPr>
          <w:t>3</w:t>
        </w:r>
      </w:hyperlink>
      <w:r w:rsidR="001F69B1" w:rsidRPr="005209B9">
        <w:rPr>
          <w:rFonts w:asciiTheme="minorHAnsi" w:hAnsiTheme="minorHAnsi" w:cstheme="minorHAnsi"/>
          <w:b/>
          <w:bCs/>
          <w:sz w:val="26"/>
          <w:szCs w:val="26"/>
        </w:rPr>
        <w:t xml:space="preserve"> and </w:t>
      </w:r>
      <w:hyperlink r:id="rId14" w:history="1">
        <w:r w:rsidR="001F69B1" w:rsidRPr="005209B9">
          <w:rPr>
            <w:rStyle w:val="Hyperlink"/>
            <w:rFonts w:asciiTheme="minorHAnsi" w:hAnsiTheme="minorHAnsi" w:cstheme="minorHAnsi"/>
            <w:b/>
            <w:bCs/>
            <w:sz w:val="26"/>
            <w:szCs w:val="26"/>
          </w:rPr>
          <w:t>C19-ADD/</w:t>
        </w:r>
        <w:r w:rsidRPr="005209B9">
          <w:rPr>
            <w:rStyle w:val="Hyperlink"/>
            <w:rFonts w:asciiTheme="minorHAnsi" w:hAnsiTheme="minorHAnsi" w:cstheme="minorHAnsi"/>
            <w:b/>
            <w:bCs/>
            <w:sz w:val="26"/>
            <w:szCs w:val="26"/>
          </w:rPr>
          <w:t>4</w:t>
        </w:r>
      </w:hyperlink>
      <w:r w:rsidRPr="005209B9">
        <w:rPr>
          <w:rFonts w:asciiTheme="minorHAnsi" w:hAnsiTheme="minorHAnsi" w:cstheme="minorHAnsi"/>
          <w:b/>
          <w:bCs/>
          <w:sz w:val="26"/>
          <w:szCs w:val="26"/>
        </w:rPr>
        <w:t>)</w:t>
      </w:r>
    </w:p>
    <w:p w14:paraId="455C569B" w14:textId="2264D029" w:rsidR="001370CC" w:rsidRPr="005209B9" w:rsidRDefault="00E53C05" w:rsidP="007275FA">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w:t>
      </w:r>
      <w:r w:rsidRPr="005209B9">
        <w:rPr>
          <w:rFonts w:asciiTheme="minorHAnsi" w:hAnsiTheme="minorHAnsi" w:cstheme="minorHAnsi"/>
        </w:rPr>
        <w:tab/>
      </w:r>
      <w:r w:rsidR="001370CC" w:rsidRPr="005209B9">
        <w:rPr>
          <w:rFonts w:asciiTheme="minorHAnsi" w:hAnsiTheme="minorHAnsi" w:cstheme="minorHAnsi"/>
        </w:rPr>
        <w:t xml:space="preserve">The Deputy Secretary-General </w:t>
      </w:r>
      <w:r w:rsidRPr="005209B9">
        <w:rPr>
          <w:rFonts w:asciiTheme="minorHAnsi" w:hAnsiTheme="minorHAnsi" w:cstheme="minorHAnsi"/>
        </w:rPr>
        <w:t>introduced D</w:t>
      </w:r>
      <w:r w:rsidR="001370CC" w:rsidRPr="005209B9">
        <w:rPr>
          <w:rFonts w:asciiTheme="minorHAnsi" w:hAnsiTheme="minorHAnsi" w:cstheme="minorHAnsi"/>
        </w:rPr>
        <w:t>ocument C19-ADD/2(Rev.1), which contained the Secretary-General’s report on progress on the U</w:t>
      </w:r>
      <w:r w:rsidRPr="005209B9">
        <w:rPr>
          <w:rFonts w:asciiTheme="minorHAnsi" w:hAnsiTheme="minorHAnsi" w:cstheme="minorHAnsi"/>
        </w:rPr>
        <w:t>n</w:t>
      </w:r>
      <w:r w:rsidR="001370CC" w:rsidRPr="005209B9">
        <w:rPr>
          <w:rFonts w:asciiTheme="minorHAnsi" w:hAnsiTheme="minorHAnsi" w:cstheme="minorHAnsi"/>
        </w:rPr>
        <w:t xml:space="preserve">ion’s </w:t>
      </w:r>
      <w:r w:rsidRPr="005209B9">
        <w:rPr>
          <w:rFonts w:asciiTheme="minorHAnsi" w:hAnsiTheme="minorHAnsi" w:cstheme="minorHAnsi"/>
        </w:rPr>
        <w:t>h</w:t>
      </w:r>
      <w:r w:rsidR="001370CC" w:rsidRPr="005209B9">
        <w:rPr>
          <w:rFonts w:asciiTheme="minorHAnsi" w:hAnsiTheme="minorHAnsi" w:cstheme="minorHAnsi"/>
        </w:rPr>
        <w:t xml:space="preserve">eadquarters </w:t>
      </w:r>
      <w:r w:rsidRPr="005209B9">
        <w:rPr>
          <w:rFonts w:asciiTheme="minorHAnsi" w:hAnsiTheme="minorHAnsi" w:cstheme="minorHAnsi"/>
        </w:rPr>
        <w:t>p</w:t>
      </w:r>
      <w:r w:rsidR="001370CC" w:rsidRPr="005209B9">
        <w:rPr>
          <w:rFonts w:asciiTheme="minorHAnsi" w:hAnsiTheme="minorHAnsi" w:cstheme="minorHAnsi"/>
        </w:rPr>
        <w:t xml:space="preserve">remises </w:t>
      </w:r>
      <w:r w:rsidRPr="005209B9">
        <w:rPr>
          <w:rFonts w:asciiTheme="minorHAnsi" w:hAnsiTheme="minorHAnsi" w:cstheme="minorHAnsi"/>
        </w:rPr>
        <w:t>p</w:t>
      </w:r>
      <w:r w:rsidR="001370CC" w:rsidRPr="005209B9">
        <w:rPr>
          <w:rFonts w:asciiTheme="minorHAnsi" w:hAnsiTheme="minorHAnsi" w:cstheme="minorHAnsi"/>
        </w:rPr>
        <w:t xml:space="preserve">roject and information requested by Member States, providing assurances that the project could be </w:t>
      </w:r>
      <w:r w:rsidRPr="005209B9">
        <w:rPr>
          <w:rFonts w:asciiTheme="minorHAnsi" w:hAnsiTheme="minorHAnsi" w:cstheme="minorHAnsi"/>
        </w:rPr>
        <w:t xml:space="preserve">completed </w:t>
      </w:r>
      <w:r w:rsidR="001370CC" w:rsidRPr="005209B9">
        <w:rPr>
          <w:rFonts w:asciiTheme="minorHAnsi" w:hAnsiTheme="minorHAnsi" w:cstheme="minorHAnsi"/>
        </w:rPr>
        <w:t>within the funding available</w:t>
      </w:r>
      <w:r w:rsidR="00E61E22" w:rsidRPr="005209B9">
        <w:rPr>
          <w:rFonts w:asciiTheme="minorHAnsi" w:hAnsiTheme="minorHAnsi" w:cstheme="minorHAnsi"/>
        </w:rPr>
        <w:t xml:space="preserve"> </w:t>
      </w:r>
      <w:r w:rsidR="00E86A9D" w:rsidRPr="005209B9">
        <w:rPr>
          <w:rFonts w:asciiTheme="minorHAnsi" w:hAnsiTheme="minorHAnsi" w:cstheme="minorHAnsi"/>
        </w:rPr>
        <w:t xml:space="preserve">as a result of </w:t>
      </w:r>
      <w:r w:rsidR="00EF4773" w:rsidRPr="005209B9">
        <w:rPr>
          <w:rFonts w:asciiTheme="minorHAnsi" w:hAnsiTheme="minorHAnsi" w:cstheme="minorHAnsi"/>
        </w:rPr>
        <w:t xml:space="preserve"> some design changes</w:t>
      </w:r>
      <w:r w:rsidR="001370CC" w:rsidRPr="005209B9">
        <w:rPr>
          <w:rFonts w:asciiTheme="minorHAnsi" w:hAnsiTheme="minorHAnsi" w:cstheme="minorHAnsi"/>
        </w:rPr>
        <w:t xml:space="preserve">. The Council was invited to consider and approve the report and the proposed direct and indirect project costs and to </w:t>
      </w:r>
      <w:r w:rsidR="001370CC" w:rsidRPr="005209B9">
        <w:rPr>
          <w:rFonts w:asciiTheme="minorHAnsi" w:hAnsiTheme="minorHAnsi" w:cstheme="minorHAnsi"/>
        </w:rPr>
        <w:lastRenderedPageBreak/>
        <w:t>authorize the Secretary-General to proceed with the request for the second part of the loan.</w:t>
      </w:r>
      <w:r w:rsidR="007275FA" w:rsidRPr="005209B9">
        <w:rPr>
          <w:rFonts w:asciiTheme="minorHAnsi" w:hAnsiTheme="minorHAnsi" w:cstheme="minorHAnsi"/>
        </w:rPr>
        <w:t xml:space="preserve"> .</w:t>
      </w:r>
    </w:p>
    <w:p w14:paraId="02733FF2" w14:textId="0C99429C" w:rsidR="001370CC" w:rsidRPr="005209B9" w:rsidRDefault="00E53C05" w:rsidP="008D6FC3">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2.2</w:t>
      </w:r>
      <w:r w:rsidRPr="005209B9">
        <w:rPr>
          <w:rFonts w:asciiTheme="minorHAnsi" w:hAnsiTheme="minorHAnsi" w:cstheme="minorHAnsi"/>
        </w:rPr>
        <w:tab/>
      </w:r>
      <w:r w:rsidR="001370CC" w:rsidRPr="005209B9">
        <w:rPr>
          <w:rFonts w:asciiTheme="minorHAnsi" w:hAnsiTheme="minorHAnsi" w:cstheme="minorHAnsi"/>
        </w:rPr>
        <w:t>The President of the Staff Council delivered a statement available at:</w:t>
      </w:r>
      <w:r w:rsidR="001A1209" w:rsidRPr="005209B9">
        <w:rPr>
          <w:rFonts w:asciiTheme="minorHAnsi" w:hAnsiTheme="minorHAnsi" w:cstheme="minorHAnsi"/>
        </w:rPr>
        <w:br/>
      </w:r>
      <w:hyperlink r:id="rId15" w:history="1">
        <w:r w:rsidR="008D6FC3" w:rsidRPr="003F6497">
          <w:rPr>
            <w:rStyle w:val="Hyperlink"/>
            <w:rFonts w:asciiTheme="minorHAnsi" w:hAnsiTheme="minorHAnsi" w:cstheme="minorHAnsi"/>
          </w:rPr>
          <w:t>https://www.itu.int/en/council/ties/Documents/2019/StaffCouncil-e.pdf</w:t>
        </w:r>
      </w:hyperlink>
    </w:p>
    <w:p w14:paraId="1A68CCE8" w14:textId="5F2437B2" w:rsidR="001370CC" w:rsidRPr="005209B9" w:rsidRDefault="00E53C05" w:rsidP="003008CD">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2.3</w:t>
      </w:r>
      <w:r w:rsidRPr="005209B9">
        <w:rPr>
          <w:rFonts w:asciiTheme="minorHAnsi" w:hAnsiTheme="minorHAnsi" w:cstheme="minorHAnsi"/>
        </w:rPr>
        <w:tab/>
      </w:r>
      <w:r w:rsidR="003008CD" w:rsidRPr="005209B9">
        <w:rPr>
          <w:rFonts w:asciiTheme="minorHAnsi" w:hAnsiTheme="minorHAnsi" w:cstheme="minorHAnsi"/>
        </w:rPr>
        <w:t xml:space="preserve">Mr István Manno, Ministerial Commissioner from the Ministry of Foreign Affairs and Trade of Hungary, made a statement in which he highlighted Hungary’s commitment to the promotion of ICT in central and </w:t>
      </w:r>
      <w:proofErr w:type="gramStart"/>
      <w:r w:rsidR="003008CD" w:rsidRPr="005209B9">
        <w:rPr>
          <w:rFonts w:asciiTheme="minorHAnsi" w:hAnsiTheme="minorHAnsi" w:cstheme="minorHAnsi"/>
        </w:rPr>
        <w:t>eastern</w:t>
      </w:r>
      <w:proofErr w:type="gramEnd"/>
      <w:r w:rsidR="003008CD" w:rsidRPr="005209B9">
        <w:rPr>
          <w:rFonts w:asciiTheme="minorHAnsi" w:hAnsiTheme="minorHAnsi" w:cstheme="minorHAnsi"/>
        </w:rPr>
        <w:t xml:space="preserve"> Europe and to collaboration with ITU, as borne out by its recent hosting of ITU TELECOM World 2019. He reiterated an offer made previously by Hungary to enter into negotiations with ITU with a view to the temporary hosting of some ITU conferences and meetings during the implementation phase of ITU’s new headquarters premises project (2023-2026).</w:t>
      </w:r>
    </w:p>
    <w:p w14:paraId="41899748" w14:textId="5575718C" w:rsidR="001370CC" w:rsidRPr="005209B9" w:rsidRDefault="00E53C05"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2.4</w:t>
      </w:r>
      <w:r w:rsidRPr="005209B9">
        <w:rPr>
          <w:rFonts w:asciiTheme="minorHAnsi" w:hAnsiTheme="minorHAnsi" w:cstheme="minorHAnsi"/>
        </w:rPr>
        <w:tab/>
      </w:r>
      <w:r w:rsidR="001A1209" w:rsidRPr="005209B9">
        <w:rPr>
          <w:rFonts w:asciiTheme="minorHAnsi" w:hAnsiTheme="minorHAnsi" w:cstheme="minorHAnsi"/>
        </w:rPr>
        <w:t xml:space="preserve">H.E. </w:t>
      </w:r>
      <w:r w:rsidR="004E45AF" w:rsidRPr="005209B9">
        <w:rPr>
          <w:rFonts w:asciiTheme="minorHAnsi" w:hAnsiTheme="minorHAnsi" w:cstheme="minorHAnsi"/>
        </w:rPr>
        <w:t xml:space="preserve">Mr Valentin Zellweger, </w:t>
      </w:r>
      <w:r w:rsidR="001370CC" w:rsidRPr="005209B9">
        <w:rPr>
          <w:rFonts w:asciiTheme="minorHAnsi" w:hAnsiTheme="minorHAnsi" w:cstheme="minorHAnsi"/>
        </w:rPr>
        <w:t>Ambassador</w:t>
      </w:r>
      <w:r w:rsidR="004E45AF" w:rsidRPr="005209B9">
        <w:rPr>
          <w:rFonts w:asciiTheme="minorHAnsi" w:hAnsiTheme="minorHAnsi" w:cstheme="minorHAnsi"/>
        </w:rPr>
        <w:t>, Permanent Mission</w:t>
      </w:r>
      <w:r w:rsidR="001370CC" w:rsidRPr="005209B9">
        <w:rPr>
          <w:rFonts w:asciiTheme="minorHAnsi" w:hAnsiTheme="minorHAnsi" w:cstheme="minorHAnsi"/>
        </w:rPr>
        <w:t xml:space="preserve"> of Switzerland</w:t>
      </w:r>
      <w:r w:rsidR="004E45AF" w:rsidRPr="005209B9">
        <w:rPr>
          <w:rFonts w:asciiTheme="minorHAnsi" w:hAnsiTheme="minorHAnsi" w:cstheme="minorHAnsi"/>
        </w:rPr>
        <w:t xml:space="preserve"> to the United Nations </w:t>
      </w:r>
      <w:r w:rsidR="006206FD" w:rsidRPr="005209B9">
        <w:rPr>
          <w:rFonts w:asciiTheme="minorHAnsi" w:hAnsiTheme="minorHAnsi" w:cstheme="minorHAnsi"/>
        </w:rPr>
        <w:t>O</w:t>
      </w:r>
      <w:r w:rsidR="004E45AF" w:rsidRPr="005209B9">
        <w:rPr>
          <w:rFonts w:asciiTheme="minorHAnsi" w:hAnsiTheme="minorHAnsi" w:cstheme="minorHAnsi"/>
        </w:rPr>
        <w:t>ffice and to the other international organizations in Geneva,</w:t>
      </w:r>
      <w:r w:rsidR="001370CC" w:rsidRPr="005209B9">
        <w:rPr>
          <w:rFonts w:asciiTheme="minorHAnsi" w:hAnsiTheme="minorHAnsi" w:cstheme="minorHAnsi"/>
        </w:rPr>
        <w:t xml:space="preserve"> delivered a statement available </w:t>
      </w:r>
      <w:proofErr w:type="gramStart"/>
      <w:r w:rsidR="001370CC" w:rsidRPr="005209B9">
        <w:rPr>
          <w:rFonts w:asciiTheme="minorHAnsi" w:hAnsiTheme="minorHAnsi" w:cstheme="minorHAnsi"/>
        </w:rPr>
        <w:t>at:</w:t>
      </w:r>
      <w:proofErr w:type="gramEnd"/>
      <w:r w:rsidR="001A1209" w:rsidRPr="005209B9">
        <w:rPr>
          <w:rFonts w:asciiTheme="minorHAnsi" w:hAnsiTheme="minorHAnsi" w:cstheme="minorHAnsi"/>
        </w:rPr>
        <w:t xml:space="preserve"> </w:t>
      </w:r>
      <w:hyperlink r:id="rId16" w:history="1">
        <w:r w:rsidR="001A1209" w:rsidRPr="005209B9">
          <w:rPr>
            <w:rStyle w:val="Hyperlink"/>
            <w:rFonts w:asciiTheme="minorHAnsi" w:hAnsiTheme="minorHAnsi" w:cstheme="minorHAnsi"/>
          </w:rPr>
          <w:t>https://www.itu.int/en/council/ties/Documents/2019/Switzerland.pdf</w:t>
        </w:r>
      </w:hyperlink>
      <w:r w:rsidR="00DE4DCB" w:rsidRPr="005209B9">
        <w:rPr>
          <w:rStyle w:val="Hyperlink"/>
          <w:rFonts w:asciiTheme="minorHAnsi" w:hAnsiTheme="minorHAnsi" w:cstheme="minorHAnsi"/>
          <w:color w:val="auto"/>
          <w:u w:val="none"/>
        </w:rPr>
        <w:t>.</w:t>
      </w:r>
      <w:r w:rsidR="00A85521">
        <w:rPr>
          <w:rStyle w:val="Hyperlink"/>
          <w:rFonts w:asciiTheme="minorHAnsi" w:hAnsiTheme="minorHAnsi" w:cstheme="minorHAnsi"/>
          <w:color w:val="auto"/>
          <w:u w:val="none"/>
        </w:rPr>
        <w:t xml:space="preserve"> </w:t>
      </w:r>
      <w:r w:rsidR="00A85521" w:rsidRPr="00E11D5E">
        <w:rPr>
          <w:rStyle w:val="Hyperlink"/>
          <w:rFonts w:asciiTheme="minorHAnsi" w:hAnsiTheme="minorHAnsi" w:cstheme="minorHAnsi"/>
          <w:color w:val="auto"/>
          <w:u w:val="none"/>
        </w:rPr>
        <w:t xml:space="preserve">Notably, </w:t>
      </w:r>
      <w:r w:rsidR="00A85521">
        <w:rPr>
          <w:rStyle w:val="Hyperlink"/>
          <w:rFonts w:asciiTheme="minorHAnsi" w:hAnsiTheme="minorHAnsi" w:cstheme="minorHAnsi"/>
          <w:color w:val="auto"/>
          <w:u w:val="none"/>
        </w:rPr>
        <w:t>the Ambassador stated that the h</w:t>
      </w:r>
      <w:r w:rsidR="00A85521" w:rsidRPr="00E11D5E">
        <w:rPr>
          <w:rStyle w:val="Hyperlink"/>
          <w:rFonts w:asciiTheme="minorHAnsi" w:hAnsiTheme="minorHAnsi" w:cstheme="minorHAnsi"/>
          <w:color w:val="auto"/>
          <w:u w:val="none"/>
        </w:rPr>
        <w:t xml:space="preserve">ost </w:t>
      </w:r>
      <w:r w:rsidR="00A85521">
        <w:rPr>
          <w:rStyle w:val="Hyperlink"/>
          <w:rFonts w:asciiTheme="minorHAnsi" w:hAnsiTheme="minorHAnsi" w:cstheme="minorHAnsi"/>
          <w:color w:val="auto"/>
          <w:u w:val="none"/>
        </w:rPr>
        <w:t>country</w:t>
      </w:r>
      <w:r w:rsidR="00A85521" w:rsidRPr="00E11D5E">
        <w:rPr>
          <w:rStyle w:val="Hyperlink"/>
          <w:rFonts w:asciiTheme="minorHAnsi" w:hAnsiTheme="minorHAnsi" w:cstheme="minorHAnsi"/>
          <w:color w:val="auto"/>
          <w:u w:val="none"/>
        </w:rPr>
        <w:t xml:space="preserve"> continues to be at the ITU’s disposal to assist in finding the best solutions for all the organization, staff and member states, to hold ITU conferences and meetings during the project’s implementation phase in Geneva. Geneva has enough space to accom</w:t>
      </w:r>
      <w:r w:rsidR="00A85521">
        <w:rPr>
          <w:rStyle w:val="Hyperlink"/>
          <w:rFonts w:asciiTheme="minorHAnsi" w:hAnsiTheme="minorHAnsi" w:cstheme="minorHAnsi"/>
          <w:color w:val="auto"/>
          <w:u w:val="none"/>
        </w:rPr>
        <w:t>modate conferences and meetings. He stressed that the h</w:t>
      </w:r>
      <w:r w:rsidR="00A85521" w:rsidRPr="00E11D5E">
        <w:rPr>
          <w:rStyle w:val="Hyperlink"/>
          <w:rFonts w:asciiTheme="minorHAnsi" w:hAnsiTheme="minorHAnsi" w:cstheme="minorHAnsi"/>
          <w:color w:val="auto"/>
          <w:u w:val="none"/>
        </w:rPr>
        <w:t xml:space="preserve">ost </w:t>
      </w:r>
      <w:r w:rsidR="00A85521">
        <w:rPr>
          <w:rStyle w:val="Hyperlink"/>
          <w:rFonts w:asciiTheme="minorHAnsi" w:hAnsiTheme="minorHAnsi" w:cstheme="minorHAnsi"/>
          <w:color w:val="auto"/>
          <w:u w:val="none"/>
        </w:rPr>
        <w:t>country</w:t>
      </w:r>
      <w:r w:rsidR="00A85521" w:rsidRPr="00E11D5E">
        <w:rPr>
          <w:rStyle w:val="Hyperlink"/>
          <w:rFonts w:asciiTheme="minorHAnsi" w:hAnsiTheme="minorHAnsi" w:cstheme="minorHAnsi"/>
          <w:color w:val="auto"/>
          <w:u w:val="none"/>
        </w:rPr>
        <w:t xml:space="preserve"> is concerned that it would be detrimental to the quality of the output of the meetings of the ITU if many of them, and for a longer period, would not be benefitting from the unique ecosystem of specialized agencies, NGOs and permanent missions of member states located in Geneva.</w:t>
      </w:r>
    </w:p>
    <w:p w14:paraId="3E83B278" w14:textId="06B5327A" w:rsidR="00B84478" w:rsidRPr="005209B9" w:rsidRDefault="00113F42" w:rsidP="00BC2AA9">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E53C05" w:rsidRPr="005209B9">
        <w:rPr>
          <w:rFonts w:asciiTheme="minorHAnsi" w:hAnsiTheme="minorHAnsi" w:cstheme="minorHAnsi"/>
        </w:rPr>
        <w:t>5</w:t>
      </w:r>
      <w:r w:rsidRPr="005209B9">
        <w:rPr>
          <w:rFonts w:asciiTheme="minorHAnsi" w:hAnsiTheme="minorHAnsi" w:cstheme="minorHAnsi"/>
        </w:rPr>
        <w:tab/>
      </w:r>
      <w:r w:rsidR="00B84478" w:rsidRPr="005209B9">
        <w:rPr>
          <w:rFonts w:asciiTheme="minorHAnsi" w:hAnsiTheme="minorHAnsi" w:cstheme="minorHAnsi"/>
        </w:rPr>
        <w:t>The councillor from the United States</w:t>
      </w:r>
      <w:r w:rsidR="001F69B1" w:rsidRPr="005209B9">
        <w:rPr>
          <w:rFonts w:asciiTheme="minorHAnsi" w:hAnsiTheme="minorHAnsi" w:cstheme="minorHAnsi"/>
        </w:rPr>
        <w:t xml:space="preserve">, introducing Document C19-ADD/3, said that </w:t>
      </w:r>
      <w:r w:rsidR="00AB0987" w:rsidRPr="005209B9">
        <w:rPr>
          <w:rFonts w:asciiTheme="minorHAnsi" w:hAnsiTheme="minorHAnsi" w:cstheme="minorHAnsi"/>
        </w:rPr>
        <w:t xml:space="preserve">many of the concerns expressed </w:t>
      </w:r>
      <w:r w:rsidR="004B7160" w:rsidRPr="005209B9">
        <w:rPr>
          <w:rFonts w:asciiTheme="minorHAnsi" w:hAnsiTheme="minorHAnsi" w:cstheme="minorHAnsi"/>
        </w:rPr>
        <w:t xml:space="preserve">therein </w:t>
      </w:r>
      <w:r w:rsidR="00AB0987" w:rsidRPr="005209B9">
        <w:rPr>
          <w:rFonts w:asciiTheme="minorHAnsi" w:hAnsiTheme="minorHAnsi" w:cstheme="minorHAnsi"/>
        </w:rPr>
        <w:t>with regard to the need for</w:t>
      </w:r>
      <w:r w:rsidR="001F69B1" w:rsidRPr="005209B9">
        <w:rPr>
          <w:rFonts w:asciiTheme="minorHAnsi" w:hAnsiTheme="minorHAnsi" w:cstheme="minorHAnsi"/>
        </w:rPr>
        <w:t xml:space="preserve"> clarity, transparency and sound financial pl</w:t>
      </w:r>
      <w:r w:rsidR="00AB0987" w:rsidRPr="005209B9">
        <w:rPr>
          <w:rFonts w:asciiTheme="minorHAnsi" w:hAnsiTheme="minorHAnsi" w:cstheme="minorHAnsi"/>
        </w:rPr>
        <w:t xml:space="preserve">anning </w:t>
      </w:r>
      <w:proofErr w:type="gramStart"/>
      <w:r w:rsidR="00AB0987" w:rsidRPr="005209B9">
        <w:rPr>
          <w:rFonts w:asciiTheme="minorHAnsi" w:hAnsiTheme="minorHAnsi" w:cstheme="minorHAnsi"/>
        </w:rPr>
        <w:t>had been addressed</w:t>
      </w:r>
      <w:proofErr w:type="gramEnd"/>
      <w:r w:rsidR="00AB0987" w:rsidRPr="005209B9">
        <w:rPr>
          <w:rFonts w:asciiTheme="minorHAnsi" w:hAnsiTheme="minorHAnsi" w:cstheme="minorHAnsi"/>
        </w:rPr>
        <w:t xml:space="preserve"> in the Secretary-General's</w:t>
      </w:r>
      <w:r w:rsidR="00DE4DCB" w:rsidRPr="005209B9">
        <w:rPr>
          <w:rFonts w:asciiTheme="minorHAnsi" w:hAnsiTheme="minorHAnsi" w:cstheme="minorHAnsi"/>
        </w:rPr>
        <w:t xml:space="preserve"> opening address</w:t>
      </w:r>
      <w:r w:rsidR="00BC2AA9" w:rsidRPr="005209B9">
        <w:rPr>
          <w:rFonts w:asciiTheme="minorHAnsi" w:hAnsiTheme="minorHAnsi" w:cstheme="minorHAnsi"/>
        </w:rPr>
        <w:t>es</w:t>
      </w:r>
      <w:r w:rsidR="00DE4DCB" w:rsidRPr="005209B9">
        <w:rPr>
          <w:rFonts w:asciiTheme="minorHAnsi" w:hAnsiTheme="minorHAnsi" w:cstheme="minorHAnsi"/>
        </w:rPr>
        <w:t xml:space="preserve"> and in his</w:t>
      </w:r>
      <w:r w:rsidR="00AB0987" w:rsidRPr="005209B9">
        <w:rPr>
          <w:rFonts w:asciiTheme="minorHAnsi" w:hAnsiTheme="minorHAnsi" w:cstheme="minorHAnsi"/>
        </w:rPr>
        <w:t xml:space="preserve"> report</w:t>
      </w:r>
      <w:r w:rsidR="004E45AF" w:rsidRPr="005209B9">
        <w:rPr>
          <w:rFonts w:asciiTheme="minorHAnsi" w:hAnsiTheme="minorHAnsi" w:cstheme="minorHAnsi"/>
        </w:rPr>
        <w:t xml:space="preserve"> in Document C19-ADD/2(Rev.1)</w:t>
      </w:r>
      <w:r w:rsidR="00AB0987" w:rsidRPr="005209B9">
        <w:rPr>
          <w:rFonts w:asciiTheme="minorHAnsi" w:hAnsiTheme="minorHAnsi" w:cstheme="minorHAnsi"/>
        </w:rPr>
        <w:t>.</w:t>
      </w:r>
      <w:r w:rsidR="00E53C05" w:rsidRPr="005209B9">
        <w:rPr>
          <w:rFonts w:asciiTheme="minorHAnsi" w:hAnsiTheme="minorHAnsi" w:cstheme="minorHAnsi"/>
        </w:rPr>
        <w:t xml:space="preserve"> </w:t>
      </w:r>
      <w:r w:rsidR="004E45AF" w:rsidRPr="005209B9">
        <w:rPr>
          <w:rFonts w:asciiTheme="minorHAnsi" w:hAnsiTheme="minorHAnsi" w:cstheme="minorHAnsi"/>
        </w:rPr>
        <w:t>Thus</w:t>
      </w:r>
      <w:r w:rsidR="00E53C05" w:rsidRPr="005209B9">
        <w:rPr>
          <w:rFonts w:asciiTheme="minorHAnsi" w:hAnsiTheme="minorHAnsi" w:cstheme="minorHAnsi"/>
        </w:rPr>
        <w:t xml:space="preserve">, her country was </w:t>
      </w:r>
      <w:r w:rsidR="00E53C05" w:rsidRPr="005209B9">
        <w:rPr>
          <w:rFonts w:asciiTheme="minorHAnsi" w:hAnsiTheme="minorHAnsi" w:cstheme="minorHAnsi"/>
        </w:rPr>
        <w:lastRenderedPageBreak/>
        <w:t>one of those putting forward the draft decision in Document C19-ADD/4.</w:t>
      </w:r>
    </w:p>
    <w:p w14:paraId="0B5999FA" w14:textId="1879CB56" w:rsidR="00AB0987" w:rsidRPr="005209B9" w:rsidRDefault="00113F42" w:rsidP="001A1209">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E53C05" w:rsidRPr="005209B9">
        <w:rPr>
          <w:rFonts w:asciiTheme="minorHAnsi" w:hAnsiTheme="minorHAnsi" w:cstheme="minorHAnsi"/>
        </w:rPr>
        <w:t>6</w:t>
      </w:r>
      <w:r w:rsidRPr="005209B9">
        <w:rPr>
          <w:rFonts w:asciiTheme="minorHAnsi" w:hAnsiTheme="minorHAnsi" w:cstheme="minorHAnsi"/>
        </w:rPr>
        <w:tab/>
      </w:r>
      <w:r w:rsidR="00AB0987" w:rsidRPr="005209B9">
        <w:rPr>
          <w:rFonts w:asciiTheme="minorHAnsi" w:hAnsiTheme="minorHAnsi" w:cstheme="minorHAnsi"/>
        </w:rPr>
        <w:t xml:space="preserve">The Chairman </w:t>
      </w:r>
      <w:r w:rsidR="00527F75" w:rsidRPr="005209B9">
        <w:rPr>
          <w:rFonts w:asciiTheme="minorHAnsi" w:hAnsiTheme="minorHAnsi" w:cstheme="minorHAnsi"/>
        </w:rPr>
        <w:t xml:space="preserve">of MSAG </w:t>
      </w:r>
      <w:r w:rsidR="00141B5A" w:rsidRPr="005209B9">
        <w:rPr>
          <w:rFonts w:asciiTheme="minorHAnsi" w:hAnsiTheme="minorHAnsi" w:cstheme="minorHAnsi"/>
        </w:rPr>
        <w:t>reported</w:t>
      </w:r>
      <w:r w:rsidR="00132324" w:rsidRPr="005209B9">
        <w:rPr>
          <w:rFonts w:asciiTheme="minorHAnsi" w:hAnsiTheme="minorHAnsi" w:cstheme="minorHAnsi"/>
        </w:rPr>
        <w:t xml:space="preserve"> that</w:t>
      </w:r>
      <w:r w:rsidR="00E13F93" w:rsidRPr="005209B9">
        <w:rPr>
          <w:rFonts w:asciiTheme="minorHAnsi" w:hAnsiTheme="minorHAnsi" w:cstheme="minorHAnsi"/>
        </w:rPr>
        <w:t xml:space="preserve"> the Group had met on </w:t>
      </w:r>
      <w:r w:rsidR="00141B5A" w:rsidRPr="005209B9">
        <w:rPr>
          <w:rFonts w:asciiTheme="minorHAnsi" w:hAnsiTheme="minorHAnsi" w:cstheme="minorHAnsi"/>
        </w:rPr>
        <w:t>19 September 2019</w:t>
      </w:r>
      <w:r w:rsidR="00E13F93" w:rsidRPr="005209B9">
        <w:rPr>
          <w:rFonts w:asciiTheme="minorHAnsi" w:hAnsiTheme="minorHAnsi" w:cstheme="minorHAnsi"/>
        </w:rPr>
        <w:t xml:space="preserve"> to consider Document C19-ADD/2(Rev.1). It </w:t>
      </w:r>
      <w:r w:rsidR="00132324" w:rsidRPr="005209B9">
        <w:rPr>
          <w:rFonts w:asciiTheme="minorHAnsi" w:hAnsiTheme="minorHAnsi" w:cstheme="minorHAnsi"/>
        </w:rPr>
        <w:t xml:space="preserve">had concluded that the </w:t>
      </w:r>
      <w:r w:rsidR="00D75723" w:rsidRPr="005209B9">
        <w:rPr>
          <w:rFonts w:asciiTheme="minorHAnsi" w:hAnsiTheme="minorHAnsi" w:cstheme="minorHAnsi"/>
        </w:rPr>
        <w:t>future</w:t>
      </w:r>
      <w:r w:rsidR="00132324" w:rsidRPr="005209B9">
        <w:rPr>
          <w:rFonts w:asciiTheme="minorHAnsi" w:hAnsiTheme="minorHAnsi" w:cstheme="minorHAnsi"/>
        </w:rPr>
        <w:t xml:space="preserve"> of the Popov </w:t>
      </w:r>
      <w:r w:rsidR="003F4BFC" w:rsidRPr="005209B9">
        <w:rPr>
          <w:rFonts w:asciiTheme="minorHAnsi" w:hAnsiTheme="minorHAnsi" w:cstheme="minorHAnsi"/>
        </w:rPr>
        <w:t>r</w:t>
      </w:r>
      <w:r w:rsidR="00132324" w:rsidRPr="005209B9">
        <w:rPr>
          <w:rFonts w:asciiTheme="minorHAnsi" w:hAnsiTheme="minorHAnsi" w:cstheme="minorHAnsi"/>
        </w:rPr>
        <w:t xml:space="preserve">oom </w:t>
      </w:r>
      <w:r w:rsidR="00E13F93" w:rsidRPr="005209B9">
        <w:rPr>
          <w:rFonts w:asciiTheme="minorHAnsi" w:hAnsiTheme="minorHAnsi" w:cstheme="minorHAnsi"/>
        </w:rPr>
        <w:t xml:space="preserve">was </w:t>
      </w:r>
      <w:r w:rsidR="00132324" w:rsidRPr="005209B9">
        <w:rPr>
          <w:rFonts w:asciiTheme="minorHAnsi" w:hAnsiTheme="minorHAnsi" w:cstheme="minorHAnsi"/>
        </w:rPr>
        <w:t>a political issue to be resolved b</w:t>
      </w:r>
      <w:r w:rsidR="00D75723" w:rsidRPr="005209B9">
        <w:rPr>
          <w:rFonts w:asciiTheme="minorHAnsi" w:hAnsiTheme="minorHAnsi" w:cstheme="minorHAnsi"/>
        </w:rPr>
        <w:t>y</w:t>
      </w:r>
      <w:r w:rsidR="00132324" w:rsidRPr="005209B9">
        <w:rPr>
          <w:rFonts w:asciiTheme="minorHAnsi" w:hAnsiTheme="minorHAnsi" w:cstheme="minorHAnsi"/>
        </w:rPr>
        <w:t xml:space="preserve"> the Russian Federation</w:t>
      </w:r>
      <w:r w:rsidR="00141B5A" w:rsidRPr="005209B9">
        <w:rPr>
          <w:rFonts w:asciiTheme="minorHAnsi" w:hAnsiTheme="minorHAnsi" w:cstheme="minorHAnsi"/>
        </w:rPr>
        <w:t xml:space="preserve"> and the secretariat</w:t>
      </w:r>
      <w:r w:rsidR="005852C1" w:rsidRPr="005209B9">
        <w:rPr>
          <w:rFonts w:asciiTheme="minorHAnsi" w:hAnsiTheme="minorHAnsi" w:cstheme="minorHAnsi"/>
        </w:rPr>
        <w:t xml:space="preserve"> (t</w:t>
      </w:r>
      <w:r w:rsidR="00D75723" w:rsidRPr="005209B9">
        <w:rPr>
          <w:rFonts w:asciiTheme="minorHAnsi" w:hAnsiTheme="minorHAnsi" w:cstheme="minorHAnsi"/>
        </w:rPr>
        <w:t xml:space="preserve">he sale of the Tower building </w:t>
      </w:r>
      <w:r w:rsidR="00E13F93" w:rsidRPr="005209B9">
        <w:rPr>
          <w:rFonts w:asciiTheme="minorHAnsi" w:hAnsiTheme="minorHAnsi" w:cstheme="minorHAnsi"/>
        </w:rPr>
        <w:t>had</w:t>
      </w:r>
      <w:r w:rsidR="00D75723" w:rsidRPr="005209B9">
        <w:rPr>
          <w:rFonts w:asciiTheme="minorHAnsi" w:hAnsiTheme="minorHAnsi" w:cstheme="minorHAnsi"/>
        </w:rPr>
        <w:t xml:space="preserve"> not </w:t>
      </w:r>
      <w:r w:rsidR="00E13F93" w:rsidRPr="005209B9">
        <w:rPr>
          <w:rFonts w:asciiTheme="minorHAnsi" w:hAnsiTheme="minorHAnsi" w:cstheme="minorHAnsi"/>
        </w:rPr>
        <w:t>been factored into</w:t>
      </w:r>
      <w:r w:rsidR="00D75723" w:rsidRPr="005209B9">
        <w:rPr>
          <w:rFonts w:asciiTheme="minorHAnsi" w:hAnsiTheme="minorHAnsi" w:cstheme="minorHAnsi"/>
        </w:rPr>
        <w:t xml:space="preserve"> the project's financing a</w:t>
      </w:r>
      <w:r w:rsidR="00E13F93" w:rsidRPr="005209B9">
        <w:rPr>
          <w:rFonts w:asciiTheme="minorHAnsi" w:hAnsiTheme="minorHAnsi" w:cstheme="minorHAnsi"/>
        </w:rPr>
        <w:t>s</w:t>
      </w:r>
      <w:r w:rsidR="00B51B03" w:rsidRPr="005209B9">
        <w:rPr>
          <w:rFonts w:asciiTheme="minorHAnsi" w:hAnsiTheme="minorHAnsi" w:cstheme="minorHAnsi"/>
        </w:rPr>
        <w:t>, under Resolution 212 (Dubai, 2018),</w:t>
      </w:r>
      <w:r w:rsidR="00D75723" w:rsidRPr="005209B9">
        <w:rPr>
          <w:rFonts w:asciiTheme="minorHAnsi" w:hAnsiTheme="minorHAnsi" w:cstheme="minorHAnsi"/>
        </w:rPr>
        <w:t xml:space="preserve"> any proceeds it generated </w:t>
      </w:r>
      <w:r w:rsidR="00E13F93" w:rsidRPr="005209B9">
        <w:rPr>
          <w:rFonts w:asciiTheme="minorHAnsi" w:hAnsiTheme="minorHAnsi" w:cstheme="minorHAnsi"/>
        </w:rPr>
        <w:t>w</w:t>
      </w:r>
      <w:r w:rsidR="00D75723" w:rsidRPr="005209B9">
        <w:rPr>
          <w:rFonts w:asciiTheme="minorHAnsi" w:hAnsiTheme="minorHAnsi" w:cstheme="minorHAnsi"/>
        </w:rPr>
        <w:t>ould be used to pay back the loan</w:t>
      </w:r>
      <w:r w:rsidR="005B1B2E" w:rsidRPr="005209B9">
        <w:rPr>
          <w:rFonts w:asciiTheme="minorHAnsi" w:hAnsiTheme="minorHAnsi" w:cstheme="minorHAnsi"/>
        </w:rPr>
        <w:t>s</w:t>
      </w:r>
      <w:r w:rsidR="00D75723" w:rsidRPr="005209B9">
        <w:rPr>
          <w:rFonts w:asciiTheme="minorHAnsi" w:hAnsiTheme="minorHAnsi" w:cstheme="minorHAnsi"/>
        </w:rPr>
        <w:t xml:space="preserve"> from the Swiss Government as </w:t>
      </w:r>
      <w:r w:rsidR="00E13F93" w:rsidRPr="005209B9">
        <w:rPr>
          <w:rFonts w:asciiTheme="minorHAnsi" w:hAnsiTheme="minorHAnsi" w:cstheme="minorHAnsi"/>
        </w:rPr>
        <w:t>soon</w:t>
      </w:r>
      <w:r w:rsidR="00D75723" w:rsidRPr="005209B9">
        <w:rPr>
          <w:rFonts w:asciiTheme="minorHAnsi" w:hAnsiTheme="minorHAnsi" w:cstheme="minorHAnsi"/>
        </w:rPr>
        <w:t xml:space="preserve"> as possible</w:t>
      </w:r>
      <w:r w:rsidR="005852C1" w:rsidRPr="005209B9">
        <w:rPr>
          <w:rFonts w:asciiTheme="minorHAnsi" w:hAnsiTheme="minorHAnsi" w:cstheme="minorHAnsi"/>
        </w:rPr>
        <w:t>)</w:t>
      </w:r>
      <w:r w:rsidR="00D75723" w:rsidRPr="005209B9">
        <w:rPr>
          <w:rFonts w:asciiTheme="minorHAnsi" w:hAnsiTheme="minorHAnsi" w:cstheme="minorHAnsi"/>
        </w:rPr>
        <w:t xml:space="preserve">. The </w:t>
      </w:r>
      <w:r w:rsidR="004B7160" w:rsidRPr="005209B9">
        <w:rPr>
          <w:rFonts w:asciiTheme="minorHAnsi" w:hAnsiTheme="minorHAnsi" w:cstheme="minorHAnsi"/>
        </w:rPr>
        <w:t xml:space="preserve">Advisory </w:t>
      </w:r>
      <w:r w:rsidR="00D75723" w:rsidRPr="005209B9">
        <w:rPr>
          <w:rFonts w:asciiTheme="minorHAnsi" w:hAnsiTheme="minorHAnsi" w:cstheme="minorHAnsi"/>
        </w:rPr>
        <w:t xml:space="preserve">Group had also concluded that the headquarters premises project was stable at </w:t>
      </w:r>
      <w:r w:rsidR="004B7160" w:rsidRPr="005209B9">
        <w:rPr>
          <w:rFonts w:asciiTheme="minorHAnsi" w:hAnsiTheme="minorHAnsi" w:cstheme="minorHAnsi"/>
        </w:rPr>
        <w:t xml:space="preserve">an estimated cost of </w:t>
      </w:r>
      <w:r w:rsidR="00D75723" w:rsidRPr="005209B9">
        <w:rPr>
          <w:rFonts w:asciiTheme="minorHAnsi" w:hAnsiTheme="minorHAnsi" w:cstheme="minorHAnsi"/>
        </w:rPr>
        <w:t>CHF</w:t>
      </w:r>
      <w:r w:rsidR="001A1209" w:rsidRPr="005209B9">
        <w:rPr>
          <w:rFonts w:asciiTheme="minorHAnsi" w:hAnsiTheme="minorHAnsi" w:cstheme="minorHAnsi"/>
        </w:rPr>
        <w:t> </w:t>
      </w:r>
      <w:r w:rsidR="00D75723" w:rsidRPr="005209B9">
        <w:rPr>
          <w:rFonts w:asciiTheme="minorHAnsi" w:hAnsiTheme="minorHAnsi" w:cstheme="minorHAnsi"/>
        </w:rPr>
        <w:t>170</w:t>
      </w:r>
      <w:r w:rsidR="001A1209" w:rsidRPr="005209B9">
        <w:rPr>
          <w:rFonts w:asciiTheme="minorHAnsi" w:hAnsiTheme="minorHAnsi" w:cstheme="minorHAnsi"/>
        </w:rPr>
        <w:t> </w:t>
      </w:r>
      <w:r w:rsidR="00D75723" w:rsidRPr="005209B9">
        <w:rPr>
          <w:rFonts w:asciiTheme="minorHAnsi" w:hAnsiTheme="minorHAnsi" w:cstheme="minorHAnsi"/>
        </w:rPr>
        <w:t>million. It had noted that</w:t>
      </w:r>
      <w:r w:rsidR="007F1A5F" w:rsidRPr="005209B9">
        <w:rPr>
          <w:rFonts w:asciiTheme="minorHAnsi" w:hAnsiTheme="minorHAnsi" w:cstheme="minorHAnsi"/>
        </w:rPr>
        <w:t xml:space="preserve"> the R</w:t>
      </w:r>
      <w:r w:rsidR="00E13F93" w:rsidRPr="005209B9">
        <w:rPr>
          <w:rFonts w:asciiTheme="minorHAnsi" w:hAnsiTheme="minorHAnsi" w:cstheme="minorHAnsi"/>
        </w:rPr>
        <w:t xml:space="preserve">isk </w:t>
      </w:r>
      <w:r w:rsidR="007F1A5F" w:rsidRPr="005209B9">
        <w:rPr>
          <w:rFonts w:asciiTheme="minorHAnsi" w:hAnsiTheme="minorHAnsi" w:cstheme="minorHAnsi"/>
        </w:rPr>
        <w:t>R</w:t>
      </w:r>
      <w:r w:rsidR="00E13F93" w:rsidRPr="005209B9">
        <w:rPr>
          <w:rFonts w:asciiTheme="minorHAnsi" w:hAnsiTheme="minorHAnsi" w:cstheme="minorHAnsi"/>
        </w:rPr>
        <w:t>egister did not contain</w:t>
      </w:r>
      <w:r w:rsidR="00D75723" w:rsidRPr="005209B9">
        <w:rPr>
          <w:rFonts w:asciiTheme="minorHAnsi" w:hAnsiTheme="minorHAnsi" w:cstheme="minorHAnsi"/>
        </w:rPr>
        <w:t xml:space="preserve"> a worst-case </w:t>
      </w:r>
      <w:r w:rsidR="00E13F93" w:rsidRPr="005209B9">
        <w:rPr>
          <w:rFonts w:asciiTheme="minorHAnsi" w:hAnsiTheme="minorHAnsi" w:cstheme="minorHAnsi"/>
        </w:rPr>
        <w:t xml:space="preserve">financing </w:t>
      </w:r>
      <w:r w:rsidR="00D75723" w:rsidRPr="005209B9">
        <w:rPr>
          <w:rFonts w:asciiTheme="minorHAnsi" w:hAnsiTheme="minorHAnsi" w:cstheme="minorHAnsi"/>
        </w:rPr>
        <w:t>scenario</w:t>
      </w:r>
      <w:r w:rsidR="007F1A5F" w:rsidRPr="005209B9">
        <w:rPr>
          <w:rFonts w:asciiTheme="minorHAnsi" w:hAnsiTheme="minorHAnsi" w:cstheme="minorHAnsi"/>
        </w:rPr>
        <w:t>, which, following consultations, had been estimated at</w:t>
      </w:r>
      <w:r w:rsidR="00383652" w:rsidRPr="005209B9">
        <w:rPr>
          <w:rFonts w:asciiTheme="minorHAnsi" w:hAnsiTheme="minorHAnsi" w:cstheme="minorHAnsi"/>
        </w:rPr>
        <w:t xml:space="preserve"> CHF</w:t>
      </w:r>
      <w:r w:rsidR="001A1209" w:rsidRPr="005209B9">
        <w:rPr>
          <w:rFonts w:asciiTheme="minorHAnsi" w:hAnsiTheme="minorHAnsi" w:cstheme="minorHAnsi"/>
        </w:rPr>
        <w:t> </w:t>
      </w:r>
      <w:r w:rsidR="00383652" w:rsidRPr="005209B9">
        <w:rPr>
          <w:rFonts w:asciiTheme="minorHAnsi" w:hAnsiTheme="minorHAnsi" w:cstheme="minorHAnsi"/>
        </w:rPr>
        <w:t>12.6</w:t>
      </w:r>
      <w:r w:rsidR="001A1209" w:rsidRPr="005209B9">
        <w:rPr>
          <w:rFonts w:asciiTheme="minorHAnsi" w:hAnsiTheme="minorHAnsi" w:cstheme="minorHAnsi"/>
        </w:rPr>
        <w:t> </w:t>
      </w:r>
      <w:r w:rsidR="00383652" w:rsidRPr="005209B9">
        <w:rPr>
          <w:rFonts w:asciiTheme="minorHAnsi" w:hAnsiTheme="minorHAnsi" w:cstheme="minorHAnsi"/>
        </w:rPr>
        <w:t xml:space="preserve">million. </w:t>
      </w:r>
      <w:r w:rsidR="007F1A5F" w:rsidRPr="005209B9">
        <w:rPr>
          <w:rFonts w:asciiTheme="minorHAnsi" w:hAnsiTheme="minorHAnsi" w:cstheme="minorHAnsi"/>
        </w:rPr>
        <w:t>That amount could be raised</w:t>
      </w:r>
      <w:r w:rsidR="005852C1" w:rsidRPr="005209B9">
        <w:rPr>
          <w:rFonts w:asciiTheme="minorHAnsi" w:hAnsiTheme="minorHAnsi" w:cstheme="minorHAnsi"/>
        </w:rPr>
        <w:t xml:space="preserve">, in keeping with the Financial Rules and </w:t>
      </w:r>
      <w:r w:rsidR="00176ED4" w:rsidRPr="005209B9">
        <w:rPr>
          <w:rFonts w:asciiTheme="minorHAnsi" w:hAnsiTheme="minorHAnsi" w:cstheme="minorHAnsi"/>
        </w:rPr>
        <w:t xml:space="preserve">Financial </w:t>
      </w:r>
      <w:r w:rsidR="005852C1" w:rsidRPr="005209B9">
        <w:rPr>
          <w:rFonts w:asciiTheme="minorHAnsi" w:hAnsiTheme="minorHAnsi" w:cstheme="minorHAnsi"/>
        </w:rPr>
        <w:t>Regulations,</w:t>
      </w:r>
      <w:r w:rsidR="00383652" w:rsidRPr="005209B9">
        <w:rPr>
          <w:rFonts w:asciiTheme="minorHAnsi" w:hAnsiTheme="minorHAnsi" w:cstheme="minorHAnsi"/>
        </w:rPr>
        <w:t xml:space="preserve"> either </w:t>
      </w:r>
      <w:r w:rsidR="007F1A5F" w:rsidRPr="005209B9">
        <w:rPr>
          <w:rFonts w:asciiTheme="minorHAnsi" w:hAnsiTheme="minorHAnsi" w:cstheme="minorHAnsi"/>
        </w:rPr>
        <w:t>through</w:t>
      </w:r>
      <w:r w:rsidR="00383652" w:rsidRPr="005209B9">
        <w:rPr>
          <w:rFonts w:asciiTheme="minorHAnsi" w:hAnsiTheme="minorHAnsi" w:cstheme="minorHAnsi"/>
        </w:rPr>
        <w:t xml:space="preserve"> savings or by making a withdrawal from the Reserve Account</w:t>
      </w:r>
      <w:r w:rsidR="007F1A5F" w:rsidRPr="005209B9">
        <w:rPr>
          <w:rFonts w:asciiTheme="minorHAnsi" w:hAnsiTheme="minorHAnsi" w:cstheme="minorHAnsi"/>
        </w:rPr>
        <w:t>, or a combination of the two</w:t>
      </w:r>
      <w:r w:rsidR="00383652" w:rsidRPr="005209B9">
        <w:rPr>
          <w:rFonts w:asciiTheme="minorHAnsi" w:hAnsiTheme="minorHAnsi" w:cstheme="minorHAnsi"/>
        </w:rPr>
        <w:t xml:space="preserve">; </w:t>
      </w:r>
      <w:r w:rsidR="00E53C05" w:rsidRPr="005209B9">
        <w:rPr>
          <w:rFonts w:asciiTheme="minorHAnsi" w:hAnsiTheme="minorHAnsi" w:cstheme="minorHAnsi"/>
        </w:rPr>
        <w:t>MSAG</w:t>
      </w:r>
      <w:r w:rsidR="00383652" w:rsidRPr="005209B9">
        <w:rPr>
          <w:rFonts w:asciiTheme="minorHAnsi" w:hAnsiTheme="minorHAnsi" w:cstheme="minorHAnsi"/>
        </w:rPr>
        <w:t xml:space="preserve"> had not considered it feasible to </w:t>
      </w:r>
      <w:r w:rsidR="00E53C05" w:rsidRPr="005209B9">
        <w:rPr>
          <w:rFonts w:asciiTheme="minorHAnsi" w:hAnsiTheme="minorHAnsi" w:cstheme="minorHAnsi"/>
        </w:rPr>
        <w:t xml:space="preserve">seek to </w:t>
      </w:r>
      <w:r w:rsidR="00383652" w:rsidRPr="005209B9">
        <w:rPr>
          <w:rFonts w:asciiTheme="minorHAnsi" w:hAnsiTheme="minorHAnsi" w:cstheme="minorHAnsi"/>
        </w:rPr>
        <w:t xml:space="preserve">increase Member State contributions to </w:t>
      </w:r>
      <w:r w:rsidR="00BE43C8" w:rsidRPr="005209B9">
        <w:rPr>
          <w:rFonts w:asciiTheme="minorHAnsi" w:hAnsiTheme="minorHAnsi" w:cstheme="minorHAnsi"/>
        </w:rPr>
        <w:t>cover the amount</w:t>
      </w:r>
      <w:r w:rsidR="00383652" w:rsidRPr="005209B9">
        <w:rPr>
          <w:rFonts w:asciiTheme="minorHAnsi" w:hAnsiTheme="minorHAnsi" w:cstheme="minorHAnsi"/>
        </w:rPr>
        <w:t>.</w:t>
      </w:r>
      <w:r w:rsidR="007820A0" w:rsidRPr="005209B9">
        <w:rPr>
          <w:rFonts w:asciiTheme="minorHAnsi" w:hAnsiTheme="minorHAnsi" w:cstheme="minorHAnsi"/>
        </w:rPr>
        <w:t xml:space="preserve"> Some members of </w:t>
      </w:r>
      <w:r w:rsidR="00BE43C8" w:rsidRPr="005209B9">
        <w:rPr>
          <w:rFonts w:asciiTheme="minorHAnsi" w:hAnsiTheme="minorHAnsi" w:cstheme="minorHAnsi"/>
        </w:rPr>
        <w:t>MSAG</w:t>
      </w:r>
      <w:r w:rsidR="007820A0" w:rsidRPr="005209B9">
        <w:rPr>
          <w:rFonts w:asciiTheme="minorHAnsi" w:hAnsiTheme="minorHAnsi" w:cstheme="minorHAnsi"/>
        </w:rPr>
        <w:t>, noting that the project's indirect costs included CHF</w:t>
      </w:r>
      <w:r w:rsidR="001A1209" w:rsidRPr="005209B9">
        <w:rPr>
          <w:rFonts w:asciiTheme="minorHAnsi" w:hAnsiTheme="minorHAnsi" w:cstheme="minorHAnsi"/>
        </w:rPr>
        <w:t> </w:t>
      </w:r>
      <w:r w:rsidR="007820A0" w:rsidRPr="005209B9">
        <w:rPr>
          <w:rFonts w:asciiTheme="minorHAnsi" w:hAnsiTheme="minorHAnsi" w:cstheme="minorHAnsi"/>
        </w:rPr>
        <w:t>1.07</w:t>
      </w:r>
      <w:r w:rsidR="001A1209" w:rsidRPr="005209B9">
        <w:rPr>
          <w:rFonts w:asciiTheme="minorHAnsi" w:hAnsiTheme="minorHAnsi" w:cstheme="minorHAnsi"/>
        </w:rPr>
        <w:t> </w:t>
      </w:r>
      <w:r w:rsidR="007820A0" w:rsidRPr="005209B9">
        <w:rPr>
          <w:rFonts w:asciiTheme="minorHAnsi" w:hAnsiTheme="minorHAnsi" w:cstheme="minorHAnsi"/>
        </w:rPr>
        <w:t xml:space="preserve">million for the introduction of a paperless working environment, had considered that task as independent </w:t>
      </w:r>
      <w:r w:rsidR="007820A0" w:rsidRPr="005209B9">
        <w:rPr>
          <w:rFonts w:asciiTheme="minorHAnsi" w:hAnsiTheme="minorHAnsi" w:cstheme="minorHAnsi"/>
          <w:spacing w:val="-2"/>
        </w:rPr>
        <w:t xml:space="preserve">of the project. </w:t>
      </w:r>
      <w:r w:rsidR="00527F75" w:rsidRPr="005209B9">
        <w:rPr>
          <w:rFonts w:asciiTheme="minorHAnsi" w:hAnsiTheme="minorHAnsi" w:cstheme="minorHAnsi"/>
          <w:spacing w:val="-2"/>
        </w:rPr>
        <w:t>MSAG</w:t>
      </w:r>
      <w:r w:rsidR="00291C78" w:rsidRPr="005209B9">
        <w:rPr>
          <w:rFonts w:asciiTheme="minorHAnsi" w:hAnsiTheme="minorHAnsi" w:cstheme="minorHAnsi"/>
          <w:spacing w:val="-2"/>
        </w:rPr>
        <w:t xml:space="preserve"> had nevertheless decided to maintain that amount as part of the project proposal, given that n</w:t>
      </w:r>
      <w:r w:rsidR="007820A0" w:rsidRPr="005209B9">
        <w:rPr>
          <w:rFonts w:asciiTheme="minorHAnsi" w:hAnsiTheme="minorHAnsi" w:cstheme="minorHAnsi"/>
          <w:spacing w:val="-2"/>
        </w:rPr>
        <w:t xml:space="preserve">o corresponding amount had been allocated in the </w:t>
      </w:r>
      <w:r w:rsidR="00527F75" w:rsidRPr="005209B9">
        <w:rPr>
          <w:rFonts w:asciiTheme="minorHAnsi" w:hAnsiTheme="minorHAnsi" w:cstheme="minorHAnsi"/>
          <w:spacing w:val="-2"/>
        </w:rPr>
        <w:t>f</w:t>
      </w:r>
      <w:r w:rsidR="007820A0" w:rsidRPr="005209B9">
        <w:rPr>
          <w:rFonts w:asciiTheme="minorHAnsi" w:hAnsiTheme="minorHAnsi" w:cstheme="minorHAnsi"/>
          <w:spacing w:val="-2"/>
        </w:rPr>
        <w:t xml:space="preserve">inancial </w:t>
      </w:r>
      <w:r w:rsidR="00527F75" w:rsidRPr="005209B9">
        <w:rPr>
          <w:rFonts w:asciiTheme="minorHAnsi" w:hAnsiTheme="minorHAnsi" w:cstheme="minorHAnsi"/>
          <w:spacing w:val="-2"/>
        </w:rPr>
        <w:t>p</w:t>
      </w:r>
      <w:r w:rsidR="007820A0" w:rsidRPr="005209B9">
        <w:rPr>
          <w:rFonts w:asciiTheme="minorHAnsi" w:hAnsiTheme="minorHAnsi" w:cstheme="minorHAnsi"/>
          <w:spacing w:val="-2"/>
        </w:rPr>
        <w:t>lan</w:t>
      </w:r>
      <w:r w:rsidR="00DE15A8" w:rsidRPr="005209B9">
        <w:rPr>
          <w:rFonts w:asciiTheme="minorHAnsi" w:hAnsiTheme="minorHAnsi" w:cstheme="minorHAnsi"/>
          <w:spacing w:val="-2"/>
        </w:rPr>
        <w:t xml:space="preserve"> for 2020–2023</w:t>
      </w:r>
      <w:r w:rsidR="00291C78" w:rsidRPr="005209B9">
        <w:rPr>
          <w:rFonts w:asciiTheme="minorHAnsi" w:hAnsiTheme="minorHAnsi" w:cstheme="minorHAnsi"/>
        </w:rPr>
        <w:t xml:space="preserve"> and that</w:t>
      </w:r>
      <w:r w:rsidR="007820A0" w:rsidRPr="005209B9">
        <w:rPr>
          <w:rFonts w:asciiTheme="minorHAnsi" w:hAnsiTheme="minorHAnsi" w:cstheme="minorHAnsi"/>
        </w:rPr>
        <w:t xml:space="preserve"> </w:t>
      </w:r>
      <w:r w:rsidR="00527F75" w:rsidRPr="005209B9">
        <w:rPr>
          <w:rFonts w:asciiTheme="minorHAnsi" w:hAnsiTheme="minorHAnsi" w:cstheme="minorHAnsi"/>
        </w:rPr>
        <w:t xml:space="preserve">the scanning of </w:t>
      </w:r>
      <w:r w:rsidR="007820A0" w:rsidRPr="005209B9">
        <w:rPr>
          <w:rFonts w:asciiTheme="minorHAnsi" w:hAnsiTheme="minorHAnsi" w:cstheme="minorHAnsi"/>
        </w:rPr>
        <w:t xml:space="preserve">all paper files </w:t>
      </w:r>
      <w:r w:rsidR="00E76F41" w:rsidRPr="005209B9">
        <w:rPr>
          <w:rFonts w:asciiTheme="minorHAnsi" w:hAnsiTheme="minorHAnsi" w:cstheme="minorHAnsi"/>
        </w:rPr>
        <w:t>w</w:t>
      </w:r>
      <w:r w:rsidR="007820A0" w:rsidRPr="005209B9">
        <w:rPr>
          <w:rFonts w:asciiTheme="minorHAnsi" w:hAnsiTheme="minorHAnsi" w:cstheme="minorHAnsi"/>
        </w:rPr>
        <w:t xml:space="preserve">ould have </w:t>
      </w:r>
      <w:r w:rsidR="00E76F41" w:rsidRPr="005209B9">
        <w:rPr>
          <w:rFonts w:asciiTheme="minorHAnsi" w:hAnsiTheme="minorHAnsi" w:cstheme="minorHAnsi"/>
        </w:rPr>
        <w:t xml:space="preserve">to </w:t>
      </w:r>
      <w:r w:rsidR="00527F75" w:rsidRPr="005209B9">
        <w:rPr>
          <w:rFonts w:asciiTheme="minorHAnsi" w:hAnsiTheme="minorHAnsi" w:cstheme="minorHAnsi"/>
        </w:rPr>
        <w:t>be completed</w:t>
      </w:r>
      <w:r w:rsidR="007820A0" w:rsidRPr="005209B9">
        <w:rPr>
          <w:rFonts w:asciiTheme="minorHAnsi" w:hAnsiTheme="minorHAnsi" w:cstheme="minorHAnsi"/>
        </w:rPr>
        <w:t xml:space="preserve"> by 202</w:t>
      </w:r>
      <w:r w:rsidR="00E76F41" w:rsidRPr="005209B9">
        <w:rPr>
          <w:rFonts w:asciiTheme="minorHAnsi" w:hAnsiTheme="minorHAnsi" w:cstheme="minorHAnsi"/>
        </w:rPr>
        <w:t>2</w:t>
      </w:r>
      <w:r w:rsidR="007820A0" w:rsidRPr="005209B9">
        <w:rPr>
          <w:rFonts w:asciiTheme="minorHAnsi" w:hAnsiTheme="minorHAnsi" w:cstheme="minorHAnsi"/>
        </w:rPr>
        <w:t xml:space="preserve">, when the </w:t>
      </w:r>
      <w:proofErr w:type="spellStart"/>
      <w:r w:rsidR="007820A0" w:rsidRPr="005209B9">
        <w:rPr>
          <w:rFonts w:asciiTheme="minorHAnsi" w:hAnsiTheme="minorHAnsi" w:cstheme="minorHAnsi"/>
        </w:rPr>
        <w:t>Varembé</w:t>
      </w:r>
      <w:proofErr w:type="spellEnd"/>
      <w:r w:rsidR="007820A0" w:rsidRPr="005209B9">
        <w:rPr>
          <w:rFonts w:asciiTheme="minorHAnsi" w:hAnsiTheme="minorHAnsi" w:cstheme="minorHAnsi"/>
        </w:rPr>
        <w:t xml:space="preserve"> building was demolished.</w:t>
      </w:r>
    </w:p>
    <w:p w14:paraId="093499C4" w14:textId="5CA77A9B" w:rsidR="00DA4B77" w:rsidRPr="005209B9" w:rsidRDefault="00DA4B77"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BE43C8" w:rsidRPr="005209B9">
        <w:rPr>
          <w:rFonts w:asciiTheme="minorHAnsi" w:hAnsiTheme="minorHAnsi" w:cstheme="minorHAnsi"/>
        </w:rPr>
        <w:t>.7</w:t>
      </w:r>
      <w:r w:rsidRPr="005209B9">
        <w:rPr>
          <w:rFonts w:asciiTheme="minorHAnsi" w:hAnsiTheme="minorHAnsi" w:cstheme="minorHAnsi"/>
        </w:rPr>
        <w:tab/>
        <w:t xml:space="preserve">Several councillors </w:t>
      </w:r>
      <w:r w:rsidR="00070435" w:rsidRPr="005209B9">
        <w:rPr>
          <w:rFonts w:asciiTheme="minorHAnsi" w:hAnsiTheme="minorHAnsi" w:cstheme="minorHAnsi"/>
        </w:rPr>
        <w:t xml:space="preserve">expressed general support for the secretariat's proposal and </w:t>
      </w:r>
      <w:r w:rsidRPr="005209B9">
        <w:rPr>
          <w:rFonts w:asciiTheme="minorHAnsi" w:hAnsiTheme="minorHAnsi" w:cstheme="minorHAnsi"/>
        </w:rPr>
        <w:t xml:space="preserve">thanked the secretariat and </w:t>
      </w:r>
      <w:r w:rsidR="00BE43C8" w:rsidRPr="005209B9">
        <w:rPr>
          <w:rFonts w:asciiTheme="minorHAnsi" w:hAnsiTheme="minorHAnsi" w:cstheme="minorHAnsi"/>
        </w:rPr>
        <w:t xml:space="preserve">MSAG </w:t>
      </w:r>
      <w:r w:rsidR="00950455" w:rsidRPr="005209B9">
        <w:rPr>
          <w:rFonts w:asciiTheme="minorHAnsi" w:hAnsiTheme="minorHAnsi" w:cstheme="minorHAnsi"/>
        </w:rPr>
        <w:t>for the</w:t>
      </w:r>
      <w:r w:rsidRPr="005209B9">
        <w:rPr>
          <w:rFonts w:asciiTheme="minorHAnsi" w:hAnsiTheme="minorHAnsi" w:cstheme="minorHAnsi"/>
        </w:rPr>
        <w:t xml:space="preserve"> work </w:t>
      </w:r>
      <w:r w:rsidR="00950455" w:rsidRPr="005209B9">
        <w:rPr>
          <w:rFonts w:asciiTheme="minorHAnsi" w:hAnsiTheme="minorHAnsi" w:cstheme="minorHAnsi"/>
        </w:rPr>
        <w:t xml:space="preserve">carried out </w:t>
      </w:r>
      <w:r w:rsidRPr="005209B9">
        <w:rPr>
          <w:rFonts w:asciiTheme="minorHAnsi" w:hAnsiTheme="minorHAnsi" w:cstheme="minorHAnsi"/>
        </w:rPr>
        <w:t xml:space="preserve">since the June session of </w:t>
      </w:r>
      <w:r w:rsidR="00527F75" w:rsidRPr="005209B9">
        <w:rPr>
          <w:rFonts w:asciiTheme="minorHAnsi" w:hAnsiTheme="minorHAnsi" w:cstheme="minorHAnsi"/>
        </w:rPr>
        <w:t xml:space="preserve">the </w:t>
      </w:r>
      <w:r w:rsidR="00950455" w:rsidRPr="005209B9">
        <w:rPr>
          <w:rFonts w:asciiTheme="minorHAnsi" w:hAnsiTheme="minorHAnsi" w:cstheme="minorHAnsi"/>
        </w:rPr>
        <w:t>C</w:t>
      </w:r>
      <w:r w:rsidRPr="005209B9">
        <w:rPr>
          <w:rFonts w:asciiTheme="minorHAnsi" w:hAnsiTheme="minorHAnsi" w:cstheme="minorHAnsi"/>
        </w:rPr>
        <w:t>ouncil</w:t>
      </w:r>
      <w:r w:rsidR="00950455" w:rsidRPr="005209B9">
        <w:rPr>
          <w:rFonts w:asciiTheme="minorHAnsi" w:hAnsiTheme="minorHAnsi" w:cstheme="minorHAnsi"/>
        </w:rPr>
        <w:t xml:space="preserve">, notably to </w:t>
      </w:r>
      <w:r w:rsidR="00074C29" w:rsidRPr="005209B9">
        <w:rPr>
          <w:rFonts w:asciiTheme="minorHAnsi" w:hAnsiTheme="minorHAnsi" w:cstheme="minorHAnsi"/>
        </w:rPr>
        <w:t xml:space="preserve">produce </w:t>
      </w:r>
      <w:r w:rsidR="00BE43C8" w:rsidRPr="005209B9">
        <w:rPr>
          <w:rFonts w:asciiTheme="minorHAnsi" w:hAnsiTheme="minorHAnsi" w:cstheme="minorHAnsi"/>
        </w:rPr>
        <w:t>D</w:t>
      </w:r>
      <w:r w:rsidR="00950455" w:rsidRPr="005209B9">
        <w:rPr>
          <w:rFonts w:asciiTheme="minorHAnsi" w:hAnsiTheme="minorHAnsi" w:cstheme="minorHAnsi"/>
        </w:rPr>
        <w:t>ocument C19-ADD/2(Rev.1)</w:t>
      </w:r>
      <w:r w:rsidRPr="005209B9">
        <w:rPr>
          <w:rFonts w:asciiTheme="minorHAnsi" w:hAnsiTheme="minorHAnsi" w:cstheme="minorHAnsi"/>
        </w:rPr>
        <w:t>.</w:t>
      </w:r>
    </w:p>
    <w:p w14:paraId="00E71602" w14:textId="5957022F" w:rsidR="00DA4B77" w:rsidRPr="005209B9" w:rsidRDefault="00DA4B77"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BE43C8" w:rsidRPr="005209B9">
        <w:rPr>
          <w:rFonts w:asciiTheme="minorHAnsi" w:hAnsiTheme="minorHAnsi" w:cstheme="minorHAnsi"/>
        </w:rPr>
        <w:t>8</w:t>
      </w:r>
      <w:r w:rsidRPr="005209B9">
        <w:rPr>
          <w:rFonts w:asciiTheme="minorHAnsi" w:hAnsiTheme="minorHAnsi" w:cstheme="minorHAnsi"/>
        </w:rPr>
        <w:tab/>
        <w:t xml:space="preserve">One councillor suggested that there </w:t>
      </w:r>
      <w:r w:rsidR="00291C78" w:rsidRPr="005209B9">
        <w:rPr>
          <w:rFonts w:asciiTheme="minorHAnsi" w:hAnsiTheme="minorHAnsi" w:cstheme="minorHAnsi"/>
        </w:rPr>
        <w:t>might be</w:t>
      </w:r>
      <w:r w:rsidRPr="005209B9">
        <w:rPr>
          <w:rFonts w:asciiTheme="minorHAnsi" w:hAnsiTheme="minorHAnsi" w:cstheme="minorHAnsi"/>
        </w:rPr>
        <w:t xml:space="preserve"> better ways to </w:t>
      </w:r>
      <w:r w:rsidR="00BE43C8" w:rsidRPr="005209B9">
        <w:rPr>
          <w:rFonts w:asciiTheme="minorHAnsi" w:hAnsiTheme="minorHAnsi" w:cstheme="minorHAnsi"/>
        </w:rPr>
        <w:t xml:space="preserve">achieve </w:t>
      </w:r>
      <w:r w:rsidRPr="005209B9">
        <w:rPr>
          <w:rFonts w:asciiTheme="minorHAnsi" w:hAnsiTheme="minorHAnsi" w:cstheme="minorHAnsi"/>
        </w:rPr>
        <w:t xml:space="preserve">savings than to eliminate </w:t>
      </w:r>
      <w:r w:rsidR="00950455" w:rsidRPr="005209B9">
        <w:rPr>
          <w:rFonts w:asciiTheme="minorHAnsi" w:hAnsiTheme="minorHAnsi" w:cstheme="minorHAnsi"/>
        </w:rPr>
        <w:t>green</w:t>
      </w:r>
      <w:r w:rsidRPr="005209B9">
        <w:rPr>
          <w:rFonts w:asciiTheme="minorHAnsi" w:hAnsiTheme="minorHAnsi" w:cstheme="minorHAnsi"/>
        </w:rPr>
        <w:t xml:space="preserve"> </w:t>
      </w:r>
      <w:r w:rsidR="00950455" w:rsidRPr="005209B9">
        <w:rPr>
          <w:rFonts w:asciiTheme="minorHAnsi" w:hAnsiTheme="minorHAnsi" w:cstheme="minorHAnsi"/>
        </w:rPr>
        <w:t>aspects of the project such</w:t>
      </w:r>
      <w:r w:rsidRPr="005209B9">
        <w:rPr>
          <w:rFonts w:asciiTheme="minorHAnsi" w:hAnsiTheme="minorHAnsi" w:cstheme="minorHAnsi"/>
        </w:rPr>
        <w:t xml:space="preserve"> as grey water recovery.</w:t>
      </w:r>
      <w:r w:rsidR="00950455" w:rsidRPr="005209B9">
        <w:rPr>
          <w:rFonts w:asciiTheme="minorHAnsi" w:hAnsiTheme="minorHAnsi" w:cstheme="minorHAnsi"/>
        </w:rPr>
        <w:t xml:space="preserve"> </w:t>
      </w:r>
      <w:r w:rsidRPr="005209B9">
        <w:rPr>
          <w:rFonts w:asciiTheme="minorHAnsi" w:hAnsiTheme="minorHAnsi" w:cstheme="minorHAnsi"/>
        </w:rPr>
        <w:t xml:space="preserve">Another councillor underscored the need for a </w:t>
      </w:r>
      <w:r w:rsidR="00950455" w:rsidRPr="005209B9">
        <w:rPr>
          <w:rFonts w:asciiTheme="minorHAnsi" w:hAnsiTheme="minorHAnsi" w:cstheme="minorHAnsi"/>
        </w:rPr>
        <w:t xml:space="preserve">project </w:t>
      </w:r>
      <w:r w:rsidRPr="005209B9">
        <w:rPr>
          <w:rFonts w:asciiTheme="minorHAnsi" w:hAnsiTheme="minorHAnsi" w:cstheme="minorHAnsi"/>
        </w:rPr>
        <w:t>monitoring mechanism.</w:t>
      </w:r>
      <w:r w:rsidR="00BE43C8" w:rsidRPr="005209B9">
        <w:rPr>
          <w:rFonts w:asciiTheme="minorHAnsi" w:hAnsiTheme="minorHAnsi" w:cstheme="minorHAnsi"/>
        </w:rPr>
        <w:t xml:space="preserve"> </w:t>
      </w:r>
      <w:r w:rsidRPr="005209B9">
        <w:rPr>
          <w:rFonts w:asciiTheme="minorHAnsi" w:hAnsiTheme="minorHAnsi" w:cstheme="minorHAnsi"/>
        </w:rPr>
        <w:t>A third voiced concern</w:t>
      </w:r>
      <w:r w:rsidR="00291C78" w:rsidRPr="005209B9">
        <w:rPr>
          <w:rFonts w:asciiTheme="minorHAnsi" w:hAnsiTheme="minorHAnsi" w:cstheme="minorHAnsi"/>
        </w:rPr>
        <w:t xml:space="preserve"> about</w:t>
      </w:r>
      <w:r w:rsidRPr="005209B9">
        <w:rPr>
          <w:rFonts w:asciiTheme="minorHAnsi" w:hAnsiTheme="minorHAnsi" w:cstheme="minorHAnsi"/>
        </w:rPr>
        <w:t xml:space="preserve"> the working conditions of ITU staff during the construction of the new </w:t>
      </w:r>
      <w:r w:rsidRPr="005209B9">
        <w:rPr>
          <w:rFonts w:asciiTheme="minorHAnsi" w:hAnsiTheme="minorHAnsi" w:cstheme="minorHAnsi"/>
        </w:rPr>
        <w:lastRenderedPageBreak/>
        <w:t>building.</w:t>
      </w:r>
      <w:r w:rsidR="00E50C18" w:rsidRPr="005209B9">
        <w:rPr>
          <w:rFonts w:asciiTheme="minorHAnsi" w:hAnsiTheme="minorHAnsi" w:cstheme="minorHAnsi"/>
        </w:rPr>
        <w:t xml:space="preserve"> </w:t>
      </w:r>
      <w:r w:rsidR="00BE43C8" w:rsidRPr="005209B9">
        <w:rPr>
          <w:rFonts w:asciiTheme="minorHAnsi" w:hAnsiTheme="minorHAnsi" w:cstheme="minorHAnsi"/>
        </w:rPr>
        <w:t xml:space="preserve">Would </w:t>
      </w:r>
      <w:r w:rsidR="00E50C18" w:rsidRPr="005209B9">
        <w:rPr>
          <w:rFonts w:asciiTheme="minorHAnsi" w:hAnsiTheme="minorHAnsi" w:cstheme="minorHAnsi"/>
        </w:rPr>
        <w:t xml:space="preserve">health and safety conditions be met </w:t>
      </w:r>
      <w:r w:rsidR="00950455" w:rsidRPr="005209B9">
        <w:rPr>
          <w:rFonts w:asciiTheme="minorHAnsi" w:hAnsiTheme="minorHAnsi" w:cstheme="minorHAnsi"/>
        </w:rPr>
        <w:t>if</w:t>
      </w:r>
      <w:r w:rsidR="00E50C18" w:rsidRPr="005209B9">
        <w:rPr>
          <w:rFonts w:asciiTheme="minorHAnsi" w:hAnsiTheme="minorHAnsi" w:cstheme="minorHAnsi"/>
        </w:rPr>
        <w:t xml:space="preserve"> </w:t>
      </w:r>
      <w:r w:rsidR="00950455" w:rsidRPr="005209B9">
        <w:rPr>
          <w:rFonts w:asciiTheme="minorHAnsi" w:hAnsiTheme="minorHAnsi" w:cstheme="minorHAnsi"/>
        </w:rPr>
        <w:t xml:space="preserve">staff were temporarily </w:t>
      </w:r>
      <w:r w:rsidR="00E50C18" w:rsidRPr="005209B9">
        <w:rPr>
          <w:rFonts w:asciiTheme="minorHAnsi" w:hAnsiTheme="minorHAnsi" w:cstheme="minorHAnsi"/>
        </w:rPr>
        <w:t>ho</w:t>
      </w:r>
      <w:r w:rsidR="00950455" w:rsidRPr="005209B9">
        <w:rPr>
          <w:rFonts w:asciiTheme="minorHAnsi" w:hAnsiTheme="minorHAnsi" w:cstheme="minorHAnsi"/>
        </w:rPr>
        <w:t>used</w:t>
      </w:r>
      <w:r w:rsidR="00E50C18" w:rsidRPr="005209B9">
        <w:rPr>
          <w:rFonts w:asciiTheme="minorHAnsi" w:hAnsiTheme="minorHAnsi" w:cstheme="minorHAnsi"/>
        </w:rPr>
        <w:t xml:space="preserve"> in the Montbrillant and Tower buildings </w:t>
      </w:r>
      <w:r w:rsidR="00950455" w:rsidRPr="005209B9">
        <w:rPr>
          <w:rFonts w:asciiTheme="minorHAnsi" w:hAnsiTheme="minorHAnsi" w:cstheme="minorHAnsi"/>
        </w:rPr>
        <w:t>in the numbers indicated, and w</w:t>
      </w:r>
      <w:r w:rsidR="00BE43C8" w:rsidRPr="005209B9">
        <w:rPr>
          <w:rFonts w:asciiTheme="minorHAnsi" w:hAnsiTheme="minorHAnsi" w:cstheme="minorHAnsi"/>
        </w:rPr>
        <w:t xml:space="preserve">ere </w:t>
      </w:r>
      <w:r w:rsidR="00950455" w:rsidRPr="005209B9">
        <w:rPr>
          <w:rFonts w:asciiTheme="minorHAnsi" w:hAnsiTheme="minorHAnsi" w:cstheme="minorHAnsi"/>
        </w:rPr>
        <w:t>open-plan arrangements being considered for the Montbrillant building</w:t>
      </w:r>
      <w:r w:rsidR="00BE43C8" w:rsidRPr="005209B9">
        <w:rPr>
          <w:rFonts w:asciiTheme="minorHAnsi" w:hAnsiTheme="minorHAnsi" w:cstheme="minorHAnsi"/>
        </w:rPr>
        <w:t>?</w:t>
      </w:r>
      <w:r w:rsidR="00E50C18" w:rsidRPr="005209B9">
        <w:rPr>
          <w:rFonts w:asciiTheme="minorHAnsi" w:hAnsiTheme="minorHAnsi" w:cstheme="minorHAnsi"/>
        </w:rPr>
        <w:t xml:space="preserve"> </w:t>
      </w:r>
      <w:r w:rsidR="00291C78" w:rsidRPr="005209B9">
        <w:rPr>
          <w:rFonts w:asciiTheme="minorHAnsi" w:hAnsiTheme="minorHAnsi" w:cstheme="minorHAnsi"/>
        </w:rPr>
        <w:t>A</w:t>
      </w:r>
      <w:r w:rsidR="00BE43C8" w:rsidRPr="005209B9">
        <w:rPr>
          <w:rFonts w:asciiTheme="minorHAnsi" w:hAnsiTheme="minorHAnsi" w:cstheme="minorHAnsi"/>
        </w:rPr>
        <w:t xml:space="preserve"> further </w:t>
      </w:r>
      <w:r w:rsidR="00291C78" w:rsidRPr="005209B9">
        <w:rPr>
          <w:rFonts w:asciiTheme="minorHAnsi" w:hAnsiTheme="minorHAnsi" w:cstheme="minorHAnsi"/>
        </w:rPr>
        <w:t>concern</w:t>
      </w:r>
      <w:r w:rsidR="00E50C18" w:rsidRPr="005209B9">
        <w:rPr>
          <w:rFonts w:asciiTheme="minorHAnsi" w:hAnsiTheme="minorHAnsi" w:cstheme="minorHAnsi"/>
        </w:rPr>
        <w:t xml:space="preserve"> related to the indirect costs indicated in </w:t>
      </w:r>
      <w:r w:rsidR="00CE73BF" w:rsidRPr="005209B9">
        <w:rPr>
          <w:rFonts w:asciiTheme="minorHAnsi" w:hAnsiTheme="minorHAnsi" w:cstheme="minorHAnsi"/>
        </w:rPr>
        <w:t>§4.4 of Document C19-ADD/2(Rev.1), notably for security staff and consultants. It was to be hoped that ITU would not hire consultants w</w:t>
      </w:r>
      <w:r w:rsidR="00950455" w:rsidRPr="005209B9">
        <w:rPr>
          <w:rFonts w:asciiTheme="minorHAnsi" w:hAnsiTheme="minorHAnsi" w:cstheme="minorHAnsi"/>
        </w:rPr>
        <w:t>h</w:t>
      </w:r>
      <w:r w:rsidR="00CE73BF" w:rsidRPr="005209B9">
        <w:rPr>
          <w:rFonts w:asciiTheme="minorHAnsi" w:hAnsiTheme="minorHAnsi" w:cstheme="minorHAnsi"/>
        </w:rPr>
        <w:t>ere qualified staff were available. He also expressed doubt about the amounts set aside for scanning of documents.</w:t>
      </w:r>
    </w:p>
    <w:p w14:paraId="058E75C5" w14:textId="072BF40B" w:rsidR="00CE73BF" w:rsidRPr="005209B9" w:rsidRDefault="00CE73BF" w:rsidP="005209B9">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BE43C8" w:rsidRPr="005209B9">
        <w:rPr>
          <w:rFonts w:asciiTheme="minorHAnsi" w:hAnsiTheme="minorHAnsi" w:cstheme="minorHAnsi"/>
        </w:rPr>
        <w:t>9</w:t>
      </w:r>
      <w:r w:rsidRPr="005209B9">
        <w:rPr>
          <w:rFonts w:asciiTheme="minorHAnsi" w:hAnsiTheme="minorHAnsi" w:cstheme="minorHAnsi"/>
        </w:rPr>
        <w:tab/>
        <w:t xml:space="preserve">The Secretary-General </w:t>
      </w:r>
      <w:r w:rsidR="00DE4DCB" w:rsidRPr="005209B9">
        <w:rPr>
          <w:rFonts w:asciiTheme="minorHAnsi" w:hAnsiTheme="minorHAnsi" w:cstheme="minorHAnsi"/>
        </w:rPr>
        <w:t xml:space="preserve">informed the meeting that due to the budget constraints, new technologies for building, including grey water recovery, could not be accommodated in this project, and he </w:t>
      </w:r>
      <w:r w:rsidRPr="005209B9">
        <w:rPr>
          <w:rFonts w:asciiTheme="minorHAnsi" w:hAnsiTheme="minorHAnsi" w:cstheme="minorHAnsi"/>
        </w:rPr>
        <w:t>assured councillors that no consultants would be engaged to perform tasks for which ITU had qualified staff</w:t>
      </w:r>
      <w:r w:rsidR="00DE4DCB" w:rsidRPr="005209B9">
        <w:rPr>
          <w:rFonts w:asciiTheme="minorHAnsi" w:hAnsiTheme="minorHAnsi" w:cstheme="minorHAnsi"/>
        </w:rPr>
        <w:t xml:space="preserve">, and the staff </w:t>
      </w:r>
      <w:r w:rsidR="005209B9" w:rsidRPr="005209B9">
        <w:rPr>
          <w:rFonts w:asciiTheme="minorHAnsi" w:hAnsiTheme="minorHAnsi" w:cstheme="minorHAnsi"/>
        </w:rPr>
        <w:t>concerned</w:t>
      </w:r>
      <w:r w:rsidR="00DE4DCB" w:rsidRPr="005209B9">
        <w:rPr>
          <w:rFonts w:asciiTheme="minorHAnsi" w:hAnsiTheme="minorHAnsi" w:cstheme="minorHAnsi"/>
        </w:rPr>
        <w:t xml:space="preserve"> can take care of the task in addition to his/her main duty</w:t>
      </w:r>
      <w:r w:rsidRPr="005209B9">
        <w:rPr>
          <w:rFonts w:asciiTheme="minorHAnsi" w:hAnsiTheme="minorHAnsi" w:cstheme="minorHAnsi"/>
        </w:rPr>
        <w:t xml:space="preserve">. </w:t>
      </w:r>
      <w:r w:rsidR="006F24DA" w:rsidRPr="005209B9">
        <w:rPr>
          <w:rFonts w:asciiTheme="minorHAnsi" w:hAnsiTheme="minorHAnsi" w:cstheme="minorHAnsi"/>
        </w:rPr>
        <w:t xml:space="preserve">Regarding </w:t>
      </w:r>
      <w:r w:rsidRPr="005209B9">
        <w:rPr>
          <w:rFonts w:asciiTheme="minorHAnsi" w:hAnsiTheme="minorHAnsi" w:cstheme="minorHAnsi"/>
        </w:rPr>
        <w:t xml:space="preserve">open-plan </w:t>
      </w:r>
      <w:r w:rsidR="006F24DA" w:rsidRPr="005209B9">
        <w:rPr>
          <w:rFonts w:asciiTheme="minorHAnsi" w:hAnsiTheme="minorHAnsi" w:cstheme="minorHAnsi"/>
        </w:rPr>
        <w:t xml:space="preserve">working spaces, although in principle they were to be introduced for everyone, the design of the </w:t>
      </w:r>
      <w:proofErr w:type="spellStart"/>
      <w:r w:rsidR="006F24DA" w:rsidRPr="005209B9">
        <w:rPr>
          <w:rFonts w:asciiTheme="minorHAnsi" w:hAnsiTheme="minorHAnsi" w:cstheme="minorHAnsi"/>
        </w:rPr>
        <w:t>Montbrillant</w:t>
      </w:r>
      <w:proofErr w:type="spellEnd"/>
      <w:r w:rsidR="006F24DA" w:rsidRPr="005209B9">
        <w:rPr>
          <w:rFonts w:asciiTheme="minorHAnsi" w:hAnsiTheme="minorHAnsi" w:cstheme="minorHAnsi"/>
        </w:rPr>
        <w:t xml:space="preserve"> building </w:t>
      </w:r>
      <w:r w:rsidR="001E474C" w:rsidRPr="005209B9">
        <w:rPr>
          <w:rFonts w:asciiTheme="minorHAnsi" w:hAnsiTheme="minorHAnsi" w:cstheme="minorHAnsi"/>
        </w:rPr>
        <w:t>might limit</w:t>
      </w:r>
      <w:r w:rsidR="006F24DA" w:rsidRPr="005209B9">
        <w:rPr>
          <w:rFonts w:asciiTheme="minorHAnsi" w:hAnsiTheme="minorHAnsi" w:cstheme="minorHAnsi"/>
        </w:rPr>
        <w:t xml:space="preserve"> their introduction there.</w:t>
      </w:r>
      <w:r w:rsidRPr="005209B9">
        <w:rPr>
          <w:rFonts w:asciiTheme="minorHAnsi" w:hAnsiTheme="minorHAnsi" w:cstheme="minorHAnsi"/>
        </w:rPr>
        <w:t xml:space="preserve"> </w:t>
      </w:r>
      <w:r w:rsidR="00046541" w:rsidRPr="005209B9">
        <w:rPr>
          <w:rFonts w:asciiTheme="minorHAnsi" w:hAnsiTheme="minorHAnsi" w:cstheme="minorHAnsi"/>
        </w:rPr>
        <w:t>The intention is to</w:t>
      </w:r>
      <w:r w:rsidR="006A586D" w:rsidRPr="005209B9">
        <w:rPr>
          <w:rFonts w:asciiTheme="minorHAnsi" w:hAnsiTheme="minorHAnsi" w:cstheme="minorHAnsi"/>
        </w:rPr>
        <w:t xml:space="preserve"> </w:t>
      </w:r>
      <w:r w:rsidRPr="005209B9">
        <w:rPr>
          <w:rFonts w:asciiTheme="minorHAnsi" w:hAnsiTheme="minorHAnsi" w:cstheme="minorHAnsi"/>
        </w:rPr>
        <w:t>ensure that staff</w:t>
      </w:r>
      <w:r w:rsidR="00BE43C8" w:rsidRPr="005209B9">
        <w:rPr>
          <w:rFonts w:asciiTheme="minorHAnsi" w:hAnsiTheme="minorHAnsi" w:cstheme="minorHAnsi"/>
        </w:rPr>
        <w:t xml:space="preserve"> enjoyed at least </w:t>
      </w:r>
      <w:r w:rsidRPr="005209B9">
        <w:rPr>
          <w:rFonts w:asciiTheme="minorHAnsi" w:hAnsiTheme="minorHAnsi" w:cstheme="minorHAnsi"/>
        </w:rPr>
        <w:t xml:space="preserve">the minimum working conditions </w:t>
      </w:r>
      <w:r w:rsidR="006F24DA" w:rsidRPr="005209B9">
        <w:rPr>
          <w:rFonts w:asciiTheme="minorHAnsi" w:hAnsiTheme="minorHAnsi" w:cstheme="minorHAnsi"/>
        </w:rPr>
        <w:t xml:space="preserve">required </w:t>
      </w:r>
      <w:r w:rsidRPr="005209B9">
        <w:rPr>
          <w:rFonts w:asciiTheme="minorHAnsi" w:hAnsiTheme="minorHAnsi" w:cstheme="minorHAnsi"/>
        </w:rPr>
        <w:t>in a</w:t>
      </w:r>
      <w:r w:rsidR="006F24DA" w:rsidRPr="005209B9">
        <w:rPr>
          <w:rFonts w:asciiTheme="minorHAnsi" w:hAnsiTheme="minorHAnsi" w:cstheme="minorHAnsi"/>
        </w:rPr>
        <w:t>ny</w:t>
      </w:r>
      <w:r w:rsidRPr="005209B9">
        <w:rPr>
          <w:rFonts w:asciiTheme="minorHAnsi" w:hAnsiTheme="minorHAnsi" w:cstheme="minorHAnsi"/>
        </w:rPr>
        <w:t xml:space="preserve"> United Nations agency, and the secretariat would continue to engage with the Staff to that end. The idea was to have a state-of-the-art building in terms of environmental technology, but </w:t>
      </w:r>
      <w:r w:rsidR="00CE5F57" w:rsidRPr="005209B9">
        <w:rPr>
          <w:rFonts w:asciiTheme="minorHAnsi" w:hAnsiTheme="minorHAnsi" w:cstheme="minorHAnsi"/>
        </w:rPr>
        <w:t>the project had to be finalized at some point and could not be constantly adapted to technological developments</w:t>
      </w:r>
      <w:r w:rsidRPr="005209B9">
        <w:rPr>
          <w:rFonts w:asciiTheme="minorHAnsi" w:hAnsiTheme="minorHAnsi" w:cstheme="minorHAnsi"/>
        </w:rPr>
        <w:t>.</w:t>
      </w:r>
      <w:r w:rsidR="002F6963" w:rsidRPr="005209B9">
        <w:rPr>
          <w:rFonts w:asciiTheme="minorHAnsi" w:hAnsiTheme="minorHAnsi" w:cstheme="minorHAnsi"/>
        </w:rPr>
        <w:t xml:space="preserve"> </w:t>
      </w:r>
    </w:p>
    <w:p w14:paraId="230BFD42" w14:textId="2443590E" w:rsidR="00BE43C8" w:rsidRPr="005209B9" w:rsidRDefault="00BE43C8"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2.10</w:t>
      </w:r>
      <w:r w:rsidRPr="005209B9">
        <w:rPr>
          <w:rFonts w:asciiTheme="minorHAnsi" w:hAnsiTheme="minorHAnsi" w:cstheme="minorHAnsi"/>
        </w:rPr>
        <w:tab/>
        <w:t xml:space="preserve">Numerous councillors expressed their appreciation </w:t>
      </w:r>
      <w:r w:rsidR="007050F2" w:rsidRPr="005209B9">
        <w:rPr>
          <w:rFonts w:asciiTheme="minorHAnsi" w:hAnsiTheme="minorHAnsi" w:cstheme="minorHAnsi"/>
        </w:rPr>
        <w:t>for the detailed information contained in Document C19-ADD/2(Rev.1)</w:t>
      </w:r>
      <w:r w:rsidR="00294FAD" w:rsidRPr="005209B9">
        <w:rPr>
          <w:rFonts w:asciiTheme="minorHAnsi" w:hAnsiTheme="minorHAnsi" w:cstheme="minorHAnsi"/>
        </w:rPr>
        <w:t>,</w:t>
      </w:r>
      <w:r w:rsidR="007050F2" w:rsidRPr="005209B9">
        <w:rPr>
          <w:rFonts w:asciiTheme="minorHAnsi" w:hAnsiTheme="minorHAnsi" w:cstheme="minorHAnsi"/>
        </w:rPr>
        <w:t xml:space="preserve"> which went a long way towards addressing all their concerns.</w:t>
      </w:r>
    </w:p>
    <w:p w14:paraId="7BDD047F" w14:textId="4136B26A" w:rsidR="005852C1" w:rsidRPr="005209B9" w:rsidRDefault="005852C1"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BE43C8" w:rsidRPr="005209B9">
        <w:rPr>
          <w:rFonts w:asciiTheme="minorHAnsi" w:hAnsiTheme="minorHAnsi" w:cstheme="minorHAnsi"/>
        </w:rPr>
        <w:t>1</w:t>
      </w:r>
      <w:r w:rsidR="007050F2" w:rsidRPr="005209B9">
        <w:rPr>
          <w:rFonts w:asciiTheme="minorHAnsi" w:hAnsiTheme="minorHAnsi" w:cstheme="minorHAnsi"/>
        </w:rPr>
        <w:t>1</w:t>
      </w:r>
      <w:r w:rsidRPr="005209B9">
        <w:rPr>
          <w:rFonts w:asciiTheme="minorHAnsi" w:hAnsiTheme="minorHAnsi" w:cstheme="minorHAnsi"/>
        </w:rPr>
        <w:tab/>
        <w:t xml:space="preserve">Document C19-ADD/2(Rev.1) was </w:t>
      </w:r>
      <w:r w:rsidRPr="005209B9">
        <w:rPr>
          <w:rFonts w:asciiTheme="minorHAnsi" w:hAnsiTheme="minorHAnsi" w:cstheme="minorHAnsi"/>
          <w:b/>
          <w:bCs/>
        </w:rPr>
        <w:t>noted</w:t>
      </w:r>
      <w:r w:rsidRPr="005209B9">
        <w:rPr>
          <w:rFonts w:asciiTheme="minorHAnsi" w:hAnsiTheme="minorHAnsi" w:cstheme="minorHAnsi"/>
        </w:rPr>
        <w:t>.</w:t>
      </w:r>
    </w:p>
    <w:p w14:paraId="1BBB4F47" w14:textId="1B77C014" w:rsidR="005852C1" w:rsidRPr="005209B9" w:rsidRDefault="005852C1" w:rsidP="001A1209">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7050F2" w:rsidRPr="005209B9">
        <w:rPr>
          <w:rFonts w:asciiTheme="minorHAnsi" w:hAnsiTheme="minorHAnsi" w:cstheme="minorHAnsi"/>
        </w:rPr>
        <w:t>12</w:t>
      </w:r>
      <w:r w:rsidRPr="005209B9">
        <w:rPr>
          <w:rFonts w:asciiTheme="minorHAnsi" w:hAnsiTheme="minorHAnsi" w:cstheme="minorHAnsi"/>
        </w:rPr>
        <w:tab/>
        <w:t xml:space="preserve">The councillor from Germany introduced the draft decision submitted by several Member States in Document C19-ADD/4, which expanded on the </w:t>
      </w:r>
      <w:r w:rsidRPr="005209B9">
        <w:rPr>
          <w:rFonts w:asciiTheme="minorHAnsi" w:hAnsiTheme="minorHAnsi" w:cstheme="minorHAnsi"/>
          <w:i/>
          <w:iCs/>
        </w:rPr>
        <w:t xml:space="preserve">decides </w:t>
      </w:r>
      <w:r w:rsidRPr="005209B9">
        <w:rPr>
          <w:rFonts w:asciiTheme="minorHAnsi" w:hAnsiTheme="minorHAnsi" w:cstheme="minorHAnsi"/>
        </w:rPr>
        <w:t xml:space="preserve">and </w:t>
      </w:r>
      <w:r w:rsidRPr="005209B9">
        <w:rPr>
          <w:rFonts w:asciiTheme="minorHAnsi" w:hAnsiTheme="minorHAnsi" w:cstheme="minorHAnsi"/>
          <w:i/>
          <w:iCs/>
        </w:rPr>
        <w:t xml:space="preserve">instructs the Secretary-General </w:t>
      </w:r>
      <w:r w:rsidRPr="005209B9">
        <w:rPr>
          <w:rFonts w:asciiTheme="minorHAnsi" w:hAnsiTheme="minorHAnsi" w:cstheme="minorHAnsi"/>
        </w:rPr>
        <w:t xml:space="preserve">sections of the draft decision contained in Document C19-ADD/2(Rev.1) in order to clearly define limits. </w:t>
      </w:r>
      <w:proofErr w:type="gramStart"/>
      <w:r w:rsidRPr="005209B9">
        <w:rPr>
          <w:rFonts w:asciiTheme="minorHAnsi" w:hAnsiTheme="minorHAnsi" w:cstheme="minorHAnsi"/>
        </w:rPr>
        <w:t>I</w:t>
      </w:r>
      <w:r w:rsidR="00B51B03" w:rsidRPr="005209B9">
        <w:rPr>
          <w:rFonts w:asciiTheme="minorHAnsi" w:hAnsiTheme="minorHAnsi" w:cstheme="minorHAnsi"/>
        </w:rPr>
        <w:t>n particular, i</w:t>
      </w:r>
      <w:r w:rsidRPr="005209B9">
        <w:rPr>
          <w:rFonts w:asciiTheme="minorHAnsi" w:hAnsiTheme="minorHAnsi" w:cstheme="minorHAnsi"/>
        </w:rPr>
        <w:t xml:space="preserve">t fixed the final project cost </w:t>
      </w:r>
      <w:r w:rsidR="00B51B03" w:rsidRPr="005209B9">
        <w:rPr>
          <w:rFonts w:asciiTheme="minorHAnsi" w:hAnsiTheme="minorHAnsi" w:cstheme="minorHAnsi"/>
        </w:rPr>
        <w:t>and</w:t>
      </w:r>
      <w:r w:rsidRPr="005209B9">
        <w:rPr>
          <w:rFonts w:asciiTheme="minorHAnsi" w:hAnsiTheme="minorHAnsi" w:cstheme="minorHAnsi"/>
        </w:rPr>
        <w:t xml:space="preserve"> addressed the issue of non-mitigated risks of up to CHF</w:t>
      </w:r>
      <w:r w:rsidR="001A1209" w:rsidRPr="005209B9">
        <w:rPr>
          <w:rFonts w:asciiTheme="minorHAnsi" w:hAnsiTheme="minorHAnsi" w:cstheme="minorHAnsi"/>
        </w:rPr>
        <w:t> </w:t>
      </w:r>
      <w:r w:rsidRPr="005209B9">
        <w:rPr>
          <w:rFonts w:asciiTheme="minorHAnsi" w:hAnsiTheme="minorHAnsi" w:cstheme="minorHAnsi"/>
        </w:rPr>
        <w:t>12.6</w:t>
      </w:r>
      <w:r w:rsidR="001A1209" w:rsidRPr="005209B9">
        <w:rPr>
          <w:rFonts w:asciiTheme="minorHAnsi" w:hAnsiTheme="minorHAnsi" w:cstheme="minorHAnsi"/>
        </w:rPr>
        <w:t> </w:t>
      </w:r>
      <w:r w:rsidRPr="005209B9">
        <w:rPr>
          <w:rFonts w:asciiTheme="minorHAnsi" w:hAnsiTheme="minorHAnsi" w:cstheme="minorHAnsi"/>
        </w:rPr>
        <w:t>million</w:t>
      </w:r>
      <w:r w:rsidR="00064B09" w:rsidRPr="005209B9">
        <w:rPr>
          <w:rFonts w:asciiTheme="minorHAnsi" w:hAnsiTheme="minorHAnsi" w:cstheme="minorHAnsi"/>
        </w:rPr>
        <w:t xml:space="preserve"> and indirect project costs</w:t>
      </w:r>
      <w:r w:rsidR="00B51B03" w:rsidRPr="005209B9">
        <w:rPr>
          <w:rFonts w:asciiTheme="minorHAnsi" w:hAnsiTheme="minorHAnsi" w:cstheme="minorHAnsi"/>
        </w:rPr>
        <w:t xml:space="preserve">; it also instructed the Secretary-General to </w:t>
      </w:r>
      <w:r w:rsidR="00E11D5E" w:rsidRPr="00E11D5E">
        <w:rPr>
          <w:rFonts w:asciiTheme="minorHAnsi" w:hAnsiTheme="minorHAnsi" w:cstheme="minorHAnsi"/>
        </w:rPr>
        <w:lastRenderedPageBreak/>
        <w:t xml:space="preserve">work with the host country to address the implementation </w:t>
      </w:r>
      <w:r w:rsidR="00B51B03" w:rsidRPr="005209B9">
        <w:rPr>
          <w:rFonts w:asciiTheme="minorHAnsi" w:hAnsiTheme="minorHAnsi" w:cstheme="minorHAnsi"/>
        </w:rPr>
        <w:t>of UNDSS requirements for UN MOSS compliance, to draw up a staff working conditions strategy and implementation plan, and to abide by the highest standards in terms of ethics and procurement</w:t>
      </w:r>
      <w:r w:rsidRPr="005209B9">
        <w:rPr>
          <w:rFonts w:asciiTheme="minorHAnsi" w:hAnsiTheme="minorHAnsi" w:cstheme="minorHAnsi"/>
        </w:rPr>
        <w:t>.</w:t>
      </w:r>
      <w:proofErr w:type="gramEnd"/>
    </w:p>
    <w:p w14:paraId="4E23E9D8" w14:textId="4017B544" w:rsidR="008D3F74" w:rsidRPr="005209B9" w:rsidRDefault="008D3F74"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w:t>
      </w:r>
      <w:r w:rsidR="007050F2" w:rsidRPr="005209B9">
        <w:rPr>
          <w:rFonts w:asciiTheme="minorHAnsi" w:hAnsiTheme="minorHAnsi" w:cstheme="minorHAnsi"/>
        </w:rPr>
        <w:t>13</w:t>
      </w:r>
      <w:r w:rsidRPr="005209B9">
        <w:rPr>
          <w:rFonts w:asciiTheme="minorHAnsi" w:hAnsiTheme="minorHAnsi" w:cstheme="minorHAnsi"/>
        </w:rPr>
        <w:tab/>
        <w:t>The Secretary-General assured councillors that ITU applied United Nations best practices in terms of procurement.</w:t>
      </w:r>
    </w:p>
    <w:p w14:paraId="4FC1CECB" w14:textId="5F910E59" w:rsidR="001370CC" w:rsidRPr="005209B9" w:rsidRDefault="007050F2" w:rsidP="007275FA">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2.14</w:t>
      </w:r>
      <w:r w:rsidRPr="005209B9">
        <w:rPr>
          <w:rFonts w:asciiTheme="minorHAnsi" w:hAnsiTheme="minorHAnsi" w:cstheme="minorHAnsi"/>
        </w:rPr>
        <w:tab/>
      </w:r>
      <w:r w:rsidR="007275FA" w:rsidRPr="005209B9">
        <w:rPr>
          <w:rFonts w:asciiTheme="minorHAnsi" w:hAnsiTheme="minorHAnsi" w:cstheme="minorHAnsi"/>
        </w:rPr>
        <w:t xml:space="preserve">Councillors agreed to base the discussion on the text of the draft decision submitted by several Member States in Document C19-ADD/4. </w:t>
      </w:r>
      <w:r w:rsidRPr="005209B9">
        <w:rPr>
          <w:rFonts w:asciiTheme="minorHAnsi" w:hAnsiTheme="minorHAnsi" w:cstheme="minorHAnsi"/>
        </w:rPr>
        <w:t>In the ensuing discussion</w:t>
      </w:r>
      <w:r w:rsidR="007275FA" w:rsidRPr="005209B9">
        <w:rPr>
          <w:rFonts w:asciiTheme="minorHAnsi" w:hAnsiTheme="minorHAnsi" w:cstheme="minorHAnsi"/>
        </w:rPr>
        <w:t>,</w:t>
      </w:r>
      <w:r w:rsidRPr="005209B9">
        <w:rPr>
          <w:rFonts w:asciiTheme="minorHAnsi" w:hAnsiTheme="minorHAnsi" w:cstheme="minorHAnsi"/>
        </w:rPr>
        <w:t xml:space="preserve"> o</w:t>
      </w:r>
      <w:r w:rsidR="001370CC" w:rsidRPr="005209B9">
        <w:rPr>
          <w:rFonts w:asciiTheme="minorHAnsi" w:hAnsiTheme="minorHAnsi" w:cstheme="minorHAnsi"/>
        </w:rPr>
        <w:t xml:space="preserve">ne councillor proposed deleting </w:t>
      </w:r>
      <w:r w:rsidR="001370CC" w:rsidRPr="005209B9">
        <w:rPr>
          <w:rFonts w:asciiTheme="minorHAnsi" w:hAnsiTheme="minorHAnsi" w:cstheme="minorHAnsi"/>
          <w:i/>
          <w:iCs/>
        </w:rPr>
        <w:t xml:space="preserve">instructs the Secretary-General </w:t>
      </w:r>
      <w:r w:rsidR="001370CC" w:rsidRPr="005209B9">
        <w:rPr>
          <w:rFonts w:asciiTheme="minorHAnsi" w:hAnsiTheme="minorHAnsi" w:cstheme="minorHAnsi"/>
        </w:rPr>
        <w:t>9 as it implied that ITU did not comply with the highest standards in terms of ethics and procurement.</w:t>
      </w:r>
      <w:r w:rsidRPr="005209B9">
        <w:rPr>
          <w:rFonts w:asciiTheme="minorHAnsi" w:hAnsiTheme="minorHAnsi" w:cstheme="minorHAnsi"/>
        </w:rPr>
        <w:t xml:space="preserve"> Other </w:t>
      </w:r>
      <w:r w:rsidR="001370CC" w:rsidRPr="005209B9">
        <w:rPr>
          <w:rFonts w:asciiTheme="minorHAnsi" w:hAnsiTheme="minorHAnsi" w:cstheme="minorHAnsi"/>
        </w:rPr>
        <w:t>councillors stressed the importance of the reference to ethics and standards in the light of the recent case of fraud</w:t>
      </w:r>
      <w:r w:rsidRPr="005209B9">
        <w:rPr>
          <w:rFonts w:asciiTheme="minorHAnsi" w:hAnsiTheme="minorHAnsi" w:cstheme="minorHAnsi"/>
        </w:rPr>
        <w:t xml:space="preserve">. </w:t>
      </w:r>
      <w:r w:rsidR="001370CC" w:rsidRPr="005209B9">
        <w:rPr>
          <w:rFonts w:asciiTheme="minorHAnsi" w:hAnsiTheme="minorHAnsi" w:cstheme="minorHAnsi"/>
        </w:rPr>
        <w:t>One councillor argued that the case of fraud had been dealt with adequately and mechanisms were being put in place. Nevertheless, she suggested amending the text of the paragraph to begin “to continue to abide”, thereby retaining the reference while recognizing general compliance with the highest standards.</w:t>
      </w:r>
    </w:p>
    <w:p w14:paraId="59271DAF" w14:textId="202C3BA4" w:rsidR="001370CC" w:rsidRPr="005209B9" w:rsidRDefault="007050F2"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2.15</w:t>
      </w:r>
      <w:r w:rsidRPr="005209B9">
        <w:rPr>
          <w:rFonts w:asciiTheme="minorHAnsi" w:hAnsiTheme="minorHAnsi" w:cstheme="minorHAnsi"/>
        </w:rPr>
        <w:tab/>
      </w:r>
      <w:r w:rsidR="001370CC" w:rsidRPr="005209B9">
        <w:rPr>
          <w:rFonts w:asciiTheme="minorHAnsi" w:hAnsiTheme="minorHAnsi" w:cstheme="minorHAnsi"/>
        </w:rPr>
        <w:t xml:space="preserve">It was so </w:t>
      </w:r>
      <w:r w:rsidR="001370CC" w:rsidRPr="005209B9">
        <w:rPr>
          <w:rFonts w:asciiTheme="minorHAnsi" w:hAnsiTheme="minorHAnsi" w:cstheme="minorHAnsi"/>
          <w:b/>
          <w:bCs/>
        </w:rPr>
        <w:t>agreed</w:t>
      </w:r>
      <w:r w:rsidR="001370CC" w:rsidRPr="005209B9">
        <w:rPr>
          <w:rFonts w:asciiTheme="minorHAnsi" w:hAnsiTheme="minorHAnsi" w:cstheme="minorHAnsi"/>
        </w:rPr>
        <w:t>.</w:t>
      </w:r>
    </w:p>
    <w:p w14:paraId="47848896" w14:textId="46BC2C20" w:rsidR="001370CC" w:rsidRPr="005209B9" w:rsidRDefault="007050F2"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2.16</w:t>
      </w:r>
      <w:r w:rsidRPr="005209B9">
        <w:rPr>
          <w:rFonts w:asciiTheme="minorHAnsi" w:hAnsiTheme="minorHAnsi" w:cstheme="minorHAnsi"/>
        </w:rPr>
        <w:tab/>
      </w:r>
      <w:r w:rsidR="001370CC" w:rsidRPr="005209B9">
        <w:rPr>
          <w:rFonts w:asciiTheme="minorHAnsi" w:hAnsiTheme="minorHAnsi" w:cstheme="minorHAnsi"/>
        </w:rPr>
        <w:t xml:space="preserve">One councillor proposed deleting </w:t>
      </w:r>
      <w:r w:rsidR="001370CC" w:rsidRPr="005209B9">
        <w:rPr>
          <w:rFonts w:asciiTheme="minorHAnsi" w:hAnsiTheme="minorHAnsi" w:cstheme="minorHAnsi"/>
          <w:i/>
          <w:iCs/>
        </w:rPr>
        <w:t xml:space="preserve">decides </w:t>
      </w:r>
      <w:r w:rsidR="001370CC" w:rsidRPr="005209B9">
        <w:rPr>
          <w:rFonts w:asciiTheme="minorHAnsi" w:hAnsiTheme="minorHAnsi" w:cstheme="minorHAnsi"/>
        </w:rPr>
        <w:t xml:space="preserve">6 as it was not for the Council to interpret decisions of the </w:t>
      </w:r>
      <w:r w:rsidRPr="005209B9">
        <w:rPr>
          <w:rFonts w:asciiTheme="minorHAnsi" w:hAnsiTheme="minorHAnsi" w:cstheme="minorHAnsi"/>
        </w:rPr>
        <w:t>p</w:t>
      </w:r>
      <w:r w:rsidR="001370CC" w:rsidRPr="005209B9">
        <w:rPr>
          <w:rFonts w:asciiTheme="minorHAnsi" w:hAnsiTheme="minorHAnsi" w:cstheme="minorHAnsi"/>
        </w:rPr>
        <w:t xml:space="preserve">lenipotentiary </w:t>
      </w:r>
      <w:r w:rsidRPr="005209B9">
        <w:rPr>
          <w:rFonts w:asciiTheme="minorHAnsi" w:hAnsiTheme="minorHAnsi" w:cstheme="minorHAnsi"/>
        </w:rPr>
        <w:t>c</w:t>
      </w:r>
      <w:r w:rsidR="001370CC" w:rsidRPr="005209B9">
        <w:rPr>
          <w:rFonts w:asciiTheme="minorHAnsi" w:hAnsiTheme="minorHAnsi" w:cstheme="minorHAnsi"/>
        </w:rPr>
        <w:t>onference and such references were better placed in preambular paragraphs</w:t>
      </w:r>
      <w:r w:rsidR="00294FAD" w:rsidRPr="005209B9">
        <w:rPr>
          <w:rFonts w:asciiTheme="minorHAnsi" w:hAnsiTheme="minorHAnsi" w:cstheme="minorHAnsi"/>
        </w:rPr>
        <w:t>.</w:t>
      </w:r>
      <w:r w:rsidR="001370CC" w:rsidRPr="005209B9">
        <w:rPr>
          <w:rFonts w:asciiTheme="minorHAnsi" w:hAnsiTheme="minorHAnsi" w:cstheme="minorHAnsi"/>
        </w:rPr>
        <w:t xml:space="preserve"> Two </w:t>
      </w:r>
      <w:r w:rsidRPr="005209B9">
        <w:rPr>
          <w:rFonts w:asciiTheme="minorHAnsi" w:hAnsiTheme="minorHAnsi" w:cstheme="minorHAnsi"/>
        </w:rPr>
        <w:t xml:space="preserve">other </w:t>
      </w:r>
      <w:r w:rsidR="001370CC" w:rsidRPr="005209B9">
        <w:rPr>
          <w:rFonts w:asciiTheme="minorHAnsi" w:hAnsiTheme="minorHAnsi" w:cstheme="minorHAnsi"/>
        </w:rPr>
        <w:t xml:space="preserve">councillors </w:t>
      </w:r>
      <w:r w:rsidRPr="005209B9">
        <w:rPr>
          <w:rFonts w:asciiTheme="minorHAnsi" w:hAnsiTheme="minorHAnsi" w:cstheme="minorHAnsi"/>
        </w:rPr>
        <w:t xml:space="preserve">preferred </w:t>
      </w:r>
      <w:r w:rsidR="001370CC" w:rsidRPr="005209B9">
        <w:rPr>
          <w:rFonts w:asciiTheme="minorHAnsi" w:hAnsiTheme="minorHAnsi" w:cstheme="minorHAnsi"/>
        </w:rPr>
        <w:t xml:space="preserve">to </w:t>
      </w:r>
      <w:r w:rsidRPr="005209B9">
        <w:rPr>
          <w:rFonts w:asciiTheme="minorHAnsi" w:hAnsiTheme="minorHAnsi" w:cstheme="minorHAnsi"/>
        </w:rPr>
        <w:t xml:space="preserve">retain </w:t>
      </w:r>
      <w:r w:rsidR="001370CC" w:rsidRPr="005209B9">
        <w:rPr>
          <w:rFonts w:asciiTheme="minorHAnsi" w:hAnsiTheme="minorHAnsi" w:cstheme="minorHAnsi"/>
          <w:i/>
          <w:iCs/>
        </w:rPr>
        <w:t>decides</w:t>
      </w:r>
      <w:r w:rsidR="001370CC" w:rsidRPr="005209B9">
        <w:rPr>
          <w:rFonts w:asciiTheme="minorHAnsi" w:hAnsiTheme="minorHAnsi" w:cstheme="minorHAnsi"/>
        </w:rPr>
        <w:t xml:space="preserve"> 6, considering it logical for a preambular paragraph of a resolution of the </w:t>
      </w:r>
      <w:r w:rsidRPr="005209B9">
        <w:rPr>
          <w:rFonts w:asciiTheme="minorHAnsi" w:hAnsiTheme="minorHAnsi" w:cstheme="minorHAnsi"/>
        </w:rPr>
        <w:t>p</w:t>
      </w:r>
      <w:r w:rsidR="001370CC" w:rsidRPr="005209B9">
        <w:rPr>
          <w:rFonts w:asciiTheme="minorHAnsi" w:hAnsiTheme="minorHAnsi" w:cstheme="minorHAnsi"/>
        </w:rPr>
        <w:t xml:space="preserve">lenipotentiary </w:t>
      </w:r>
      <w:r w:rsidRPr="005209B9">
        <w:rPr>
          <w:rFonts w:asciiTheme="minorHAnsi" w:hAnsiTheme="minorHAnsi" w:cstheme="minorHAnsi"/>
        </w:rPr>
        <w:t>c</w:t>
      </w:r>
      <w:r w:rsidR="001370CC" w:rsidRPr="005209B9">
        <w:rPr>
          <w:rFonts w:asciiTheme="minorHAnsi" w:hAnsiTheme="minorHAnsi" w:cstheme="minorHAnsi"/>
        </w:rPr>
        <w:t>onference to be reflected in the operative part of a Council decision.</w:t>
      </w:r>
    </w:p>
    <w:p w14:paraId="4278BB35" w14:textId="74B892FC" w:rsidR="001370CC" w:rsidRPr="005209B9" w:rsidRDefault="007050F2"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2.17</w:t>
      </w:r>
      <w:r w:rsidRPr="005209B9">
        <w:rPr>
          <w:rFonts w:asciiTheme="minorHAnsi" w:hAnsiTheme="minorHAnsi" w:cstheme="minorHAnsi"/>
        </w:rPr>
        <w:tab/>
      </w:r>
      <w:r w:rsidR="001370CC" w:rsidRPr="005209B9">
        <w:rPr>
          <w:rFonts w:asciiTheme="minorHAnsi" w:hAnsiTheme="minorHAnsi" w:cstheme="minorHAnsi"/>
        </w:rPr>
        <w:t xml:space="preserve">It was so </w:t>
      </w:r>
      <w:r w:rsidR="001370CC" w:rsidRPr="005209B9">
        <w:rPr>
          <w:rFonts w:asciiTheme="minorHAnsi" w:hAnsiTheme="minorHAnsi" w:cstheme="minorHAnsi"/>
          <w:b/>
          <w:bCs/>
        </w:rPr>
        <w:t>agreed</w:t>
      </w:r>
      <w:r w:rsidR="001370CC" w:rsidRPr="005209B9">
        <w:rPr>
          <w:rFonts w:asciiTheme="minorHAnsi" w:hAnsiTheme="minorHAnsi" w:cstheme="minorHAnsi"/>
        </w:rPr>
        <w:t>.</w:t>
      </w:r>
    </w:p>
    <w:p w14:paraId="7A419E37" w14:textId="4CA35F00" w:rsidR="001370CC" w:rsidRPr="005209B9" w:rsidRDefault="007050F2"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2.18</w:t>
      </w:r>
      <w:r w:rsidRPr="005209B9">
        <w:rPr>
          <w:rFonts w:asciiTheme="minorHAnsi" w:hAnsiTheme="minorHAnsi" w:cstheme="minorHAnsi"/>
        </w:rPr>
        <w:tab/>
        <w:t xml:space="preserve">Following various comments regarding </w:t>
      </w:r>
      <w:r w:rsidR="001370CC" w:rsidRPr="005209B9">
        <w:rPr>
          <w:rFonts w:asciiTheme="minorHAnsi" w:hAnsiTheme="minorHAnsi" w:cstheme="minorHAnsi"/>
          <w:i/>
          <w:iCs/>
        </w:rPr>
        <w:t xml:space="preserve">decides </w:t>
      </w:r>
      <w:r w:rsidR="001370CC" w:rsidRPr="005209B9">
        <w:rPr>
          <w:rFonts w:asciiTheme="minorHAnsi" w:hAnsiTheme="minorHAnsi" w:cstheme="minorHAnsi"/>
        </w:rPr>
        <w:t>5</w:t>
      </w:r>
      <w:r w:rsidRPr="005209B9">
        <w:rPr>
          <w:rFonts w:asciiTheme="minorHAnsi" w:hAnsiTheme="minorHAnsi" w:cstheme="minorHAnsi"/>
        </w:rPr>
        <w:t xml:space="preserve">, </w:t>
      </w:r>
      <w:r w:rsidR="0012573A" w:rsidRPr="005209B9">
        <w:rPr>
          <w:rFonts w:asciiTheme="minorHAnsi" w:hAnsiTheme="minorHAnsi" w:cstheme="minorHAnsi"/>
        </w:rPr>
        <w:t xml:space="preserve">it was </w:t>
      </w:r>
      <w:r w:rsidR="005C5370" w:rsidRPr="005209B9">
        <w:rPr>
          <w:rFonts w:asciiTheme="minorHAnsi" w:hAnsiTheme="minorHAnsi" w:cstheme="minorHAnsi"/>
          <w:b/>
          <w:bCs/>
        </w:rPr>
        <w:t>agreed</w:t>
      </w:r>
      <w:r w:rsidR="0012573A" w:rsidRPr="005209B9">
        <w:rPr>
          <w:rFonts w:asciiTheme="minorHAnsi" w:hAnsiTheme="minorHAnsi" w:cstheme="minorHAnsi"/>
        </w:rPr>
        <w:t xml:space="preserve"> to</w:t>
      </w:r>
      <w:r w:rsidR="001370CC" w:rsidRPr="005209B9">
        <w:rPr>
          <w:rFonts w:asciiTheme="minorHAnsi" w:hAnsiTheme="minorHAnsi" w:cstheme="minorHAnsi"/>
        </w:rPr>
        <w:t xml:space="preserve"> add</w:t>
      </w:r>
      <w:r w:rsidR="0012573A" w:rsidRPr="005209B9">
        <w:rPr>
          <w:rFonts w:asciiTheme="minorHAnsi" w:hAnsiTheme="minorHAnsi" w:cstheme="minorHAnsi"/>
        </w:rPr>
        <w:t xml:space="preserve"> the words </w:t>
      </w:r>
      <w:r w:rsidR="001370CC" w:rsidRPr="005209B9">
        <w:rPr>
          <w:rFonts w:asciiTheme="minorHAnsi" w:hAnsiTheme="minorHAnsi" w:cstheme="minorHAnsi"/>
        </w:rPr>
        <w:t xml:space="preserve">“up to” after “indirect project costs of” to address the concerns </w:t>
      </w:r>
      <w:r w:rsidR="0012573A" w:rsidRPr="005209B9">
        <w:rPr>
          <w:rFonts w:asciiTheme="minorHAnsi" w:hAnsiTheme="minorHAnsi" w:cstheme="minorHAnsi"/>
        </w:rPr>
        <w:t xml:space="preserve">raised </w:t>
      </w:r>
      <w:r w:rsidR="001370CC" w:rsidRPr="005209B9">
        <w:rPr>
          <w:rFonts w:asciiTheme="minorHAnsi" w:hAnsiTheme="minorHAnsi" w:cstheme="minorHAnsi"/>
        </w:rPr>
        <w:t>and provide clarity.</w:t>
      </w:r>
    </w:p>
    <w:p w14:paraId="6A38D019" w14:textId="6D3A8CE2" w:rsidR="001370CC" w:rsidRPr="005209B9" w:rsidRDefault="0012573A" w:rsidP="001A1209">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2.19</w:t>
      </w:r>
      <w:r w:rsidRPr="005209B9">
        <w:rPr>
          <w:rFonts w:asciiTheme="minorHAnsi" w:hAnsiTheme="minorHAnsi" w:cstheme="minorHAnsi"/>
        </w:rPr>
        <w:tab/>
      </w:r>
      <w:r w:rsidR="001370CC" w:rsidRPr="005209B9">
        <w:rPr>
          <w:rFonts w:asciiTheme="minorHAnsi" w:hAnsiTheme="minorHAnsi" w:cstheme="minorHAnsi"/>
        </w:rPr>
        <w:t xml:space="preserve">The councillor </w:t>
      </w:r>
      <w:r w:rsidRPr="005209B9">
        <w:rPr>
          <w:rFonts w:asciiTheme="minorHAnsi" w:hAnsiTheme="minorHAnsi" w:cstheme="minorHAnsi"/>
        </w:rPr>
        <w:t xml:space="preserve">from the </w:t>
      </w:r>
      <w:r w:rsidR="001370CC" w:rsidRPr="005209B9">
        <w:rPr>
          <w:rFonts w:asciiTheme="minorHAnsi" w:hAnsiTheme="minorHAnsi" w:cstheme="minorHAnsi"/>
        </w:rPr>
        <w:t xml:space="preserve">Russian Federation </w:t>
      </w:r>
      <w:r w:rsidRPr="005209B9">
        <w:rPr>
          <w:rFonts w:asciiTheme="minorHAnsi" w:hAnsiTheme="minorHAnsi" w:cstheme="minorHAnsi"/>
        </w:rPr>
        <w:t xml:space="preserve">stressed that the recommendation on the Popov room approved by the Council in June should be applied as it stood. He </w:t>
      </w:r>
      <w:r w:rsidR="00294FAD" w:rsidRPr="005209B9">
        <w:rPr>
          <w:rFonts w:asciiTheme="minorHAnsi" w:hAnsiTheme="minorHAnsi" w:cstheme="minorHAnsi"/>
        </w:rPr>
        <w:t xml:space="preserve">therefore </w:t>
      </w:r>
      <w:r w:rsidR="001370CC" w:rsidRPr="005209B9">
        <w:rPr>
          <w:rFonts w:asciiTheme="minorHAnsi" w:hAnsiTheme="minorHAnsi" w:cstheme="minorHAnsi"/>
        </w:rPr>
        <w:t xml:space="preserve">proposed </w:t>
      </w:r>
      <w:r w:rsidRPr="005209B9">
        <w:rPr>
          <w:rFonts w:asciiTheme="minorHAnsi" w:hAnsiTheme="minorHAnsi" w:cstheme="minorHAnsi"/>
        </w:rPr>
        <w:t xml:space="preserve">that a new </w:t>
      </w:r>
      <w:r w:rsidR="001A1209" w:rsidRPr="005209B9">
        <w:rPr>
          <w:rFonts w:asciiTheme="minorHAnsi" w:hAnsiTheme="minorHAnsi" w:cstheme="minorHAnsi"/>
          <w:i/>
          <w:iCs/>
        </w:rPr>
        <w:t>instructs the Secretary-</w:t>
      </w:r>
      <w:r w:rsidR="001370CC" w:rsidRPr="005209B9">
        <w:rPr>
          <w:rFonts w:asciiTheme="minorHAnsi" w:hAnsiTheme="minorHAnsi" w:cstheme="minorHAnsi"/>
          <w:i/>
          <w:iCs/>
        </w:rPr>
        <w:t>General</w:t>
      </w:r>
      <w:r w:rsidR="001370CC" w:rsidRPr="005209B9">
        <w:rPr>
          <w:rFonts w:asciiTheme="minorHAnsi" w:hAnsiTheme="minorHAnsi" w:cstheme="minorHAnsi"/>
        </w:rPr>
        <w:t xml:space="preserve"> </w:t>
      </w:r>
      <w:r w:rsidR="004E45AF" w:rsidRPr="005209B9">
        <w:rPr>
          <w:rFonts w:asciiTheme="minorHAnsi" w:hAnsiTheme="minorHAnsi" w:cstheme="minorHAnsi"/>
        </w:rPr>
        <w:t>3</w:t>
      </w:r>
      <w:r w:rsidR="001370CC" w:rsidRPr="005209B9">
        <w:rPr>
          <w:rFonts w:asciiTheme="minorHAnsi" w:hAnsiTheme="minorHAnsi" w:cstheme="minorHAnsi"/>
          <w:i/>
          <w:iCs/>
        </w:rPr>
        <w:t>bis</w:t>
      </w:r>
      <w:r w:rsidRPr="005209B9">
        <w:rPr>
          <w:rFonts w:asciiTheme="minorHAnsi" w:hAnsiTheme="minorHAnsi" w:cstheme="minorHAnsi"/>
        </w:rPr>
        <w:t xml:space="preserve"> be added</w:t>
      </w:r>
      <w:r w:rsidR="00294FAD" w:rsidRPr="005209B9">
        <w:rPr>
          <w:rFonts w:asciiTheme="minorHAnsi" w:hAnsiTheme="minorHAnsi" w:cstheme="minorHAnsi"/>
        </w:rPr>
        <w:t xml:space="preserve"> to the draft decision</w:t>
      </w:r>
      <w:r w:rsidR="001370CC" w:rsidRPr="005209B9">
        <w:rPr>
          <w:rFonts w:asciiTheme="minorHAnsi" w:hAnsiTheme="minorHAnsi" w:cstheme="minorHAnsi"/>
        </w:rPr>
        <w:t xml:space="preserve">, </w:t>
      </w:r>
      <w:r w:rsidRPr="005209B9">
        <w:rPr>
          <w:rFonts w:asciiTheme="minorHAnsi" w:hAnsiTheme="minorHAnsi" w:cstheme="minorHAnsi"/>
        </w:rPr>
        <w:t>reading</w:t>
      </w:r>
      <w:r w:rsidR="001370CC" w:rsidRPr="005209B9">
        <w:rPr>
          <w:rFonts w:asciiTheme="minorHAnsi" w:hAnsiTheme="minorHAnsi" w:cstheme="minorHAnsi"/>
        </w:rPr>
        <w:t>:</w:t>
      </w:r>
    </w:p>
    <w:p w14:paraId="20943A3B" w14:textId="53C3E2D0" w:rsidR="0012573A" w:rsidRPr="005209B9" w:rsidRDefault="0012573A"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lastRenderedPageBreak/>
        <w:t>“</w:t>
      </w:r>
      <w:proofErr w:type="gramStart"/>
      <w:r w:rsidR="001370CC" w:rsidRPr="005209B9">
        <w:rPr>
          <w:rFonts w:asciiTheme="minorHAnsi" w:hAnsiTheme="minorHAnsi" w:cstheme="minorHAnsi"/>
        </w:rPr>
        <w:t>to</w:t>
      </w:r>
      <w:proofErr w:type="gramEnd"/>
      <w:r w:rsidR="001370CC" w:rsidRPr="005209B9">
        <w:rPr>
          <w:rFonts w:asciiTheme="minorHAnsi" w:hAnsiTheme="minorHAnsi" w:cstheme="minorHAnsi"/>
        </w:rPr>
        <w:t xml:space="preserve"> continue implementation of Council Decisions regarding preservation of the Popov Room, including § 2.2.18.13 of the ninth and last </w:t>
      </w:r>
      <w:r w:rsidRPr="005209B9">
        <w:rPr>
          <w:rFonts w:asciiTheme="minorHAnsi" w:hAnsiTheme="minorHAnsi" w:cstheme="minorHAnsi"/>
        </w:rPr>
        <w:t>p</w:t>
      </w:r>
      <w:r w:rsidR="001370CC" w:rsidRPr="005209B9">
        <w:rPr>
          <w:rFonts w:asciiTheme="minorHAnsi" w:hAnsiTheme="minorHAnsi" w:cstheme="minorHAnsi"/>
        </w:rPr>
        <w:t xml:space="preserve">lenary </w:t>
      </w:r>
      <w:r w:rsidRPr="005209B9">
        <w:rPr>
          <w:rFonts w:asciiTheme="minorHAnsi" w:hAnsiTheme="minorHAnsi" w:cstheme="minorHAnsi"/>
        </w:rPr>
        <w:t>m</w:t>
      </w:r>
      <w:r w:rsidR="001370CC" w:rsidRPr="005209B9">
        <w:rPr>
          <w:rFonts w:asciiTheme="minorHAnsi" w:hAnsiTheme="minorHAnsi" w:cstheme="minorHAnsi"/>
        </w:rPr>
        <w:t>eeting of the 2019 ordinary session of the Council (Document C19/120)</w:t>
      </w:r>
      <w:r w:rsidRPr="005209B9">
        <w:rPr>
          <w:rFonts w:asciiTheme="minorHAnsi" w:hAnsiTheme="minorHAnsi" w:cstheme="minorHAnsi"/>
        </w:rPr>
        <w:t>”.</w:t>
      </w:r>
      <w:r w:rsidR="001370CC" w:rsidRPr="005209B9">
        <w:rPr>
          <w:rFonts w:asciiTheme="minorHAnsi" w:hAnsiTheme="minorHAnsi" w:cstheme="minorHAnsi"/>
        </w:rPr>
        <w:t xml:space="preserve"> </w:t>
      </w:r>
    </w:p>
    <w:p w14:paraId="71FC76E9" w14:textId="017752C7" w:rsidR="001370CC" w:rsidRPr="005209B9" w:rsidRDefault="0012573A"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2.20</w:t>
      </w:r>
      <w:r w:rsidRPr="005209B9">
        <w:rPr>
          <w:rFonts w:asciiTheme="minorHAnsi" w:hAnsiTheme="minorHAnsi" w:cstheme="minorHAnsi"/>
        </w:rPr>
        <w:tab/>
      </w:r>
      <w:r w:rsidR="001370CC" w:rsidRPr="005209B9">
        <w:rPr>
          <w:rFonts w:asciiTheme="minorHAnsi" w:hAnsiTheme="minorHAnsi" w:cstheme="minorHAnsi"/>
        </w:rPr>
        <w:t xml:space="preserve">Several councillors </w:t>
      </w:r>
      <w:r w:rsidRPr="005209B9">
        <w:rPr>
          <w:rFonts w:asciiTheme="minorHAnsi" w:hAnsiTheme="minorHAnsi" w:cstheme="minorHAnsi"/>
        </w:rPr>
        <w:t xml:space="preserve">opposed inclusion of </w:t>
      </w:r>
      <w:r w:rsidR="001370CC" w:rsidRPr="005209B9">
        <w:rPr>
          <w:rFonts w:asciiTheme="minorHAnsi" w:hAnsiTheme="minorHAnsi" w:cstheme="minorHAnsi"/>
        </w:rPr>
        <w:t xml:space="preserve">the proposed new paragraph as it was already reflected in a Council recommendation under §2.2.18.13 of Document </w:t>
      </w:r>
      <w:hyperlink r:id="rId17" w:history="1">
        <w:r w:rsidR="001370CC" w:rsidRPr="005209B9">
          <w:rPr>
            <w:rStyle w:val="Hyperlink"/>
            <w:rFonts w:asciiTheme="minorHAnsi" w:hAnsiTheme="minorHAnsi" w:cstheme="minorHAnsi"/>
          </w:rPr>
          <w:t>C19/120</w:t>
        </w:r>
      </w:hyperlink>
      <w:r w:rsidRPr="005209B9">
        <w:rPr>
          <w:rFonts w:asciiTheme="minorHAnsi" w:hAnsiTheme="minorHAnsi" w:cstheme="minorHAnsi"/>
        </w:rPr>
        <w:t xml:space="preserve"> (summary record of the ninth plenary meeting of Council-19)</w:t>
      </w:r>
      <w:r w:rsidR="001370CC" w:rsidRPr="005209B9">
        <w:rPr>
          <w:rFonts w:asciiTheme="minorHAnsi" w:hAnsiTheme="minorHAnsi" w:cstheme="minorHAnsi"/>
        </w:rPr>
        <w:t xml:space="preserve">. It should remain a recommendation. </w:t>
      </w:r>
      <w:r w:rsidR="00294FAD" w:rsidRPr="005209B9">
        <w:rPr>
          <w:rFonts w:asciiTheme="minorHAnsi" w:hAnsiTheme="minorHAnsi" w:cstheme="minorHAnsi"/>
        </w:rPr>
        <w:t>C</w:t>
      </w:r>
      <w:r w:rsidR="001370CC" w:rsidRPr="005209B9">
        <w:rPr>
          <w:rFonts w:asciiTheme="minorHAnsi" w:hAnsiTheme="minorHAnsi" w:cstheme="minorHAnsi"/>
        </w:rPr>
        <w:t xml:space="preserve">ouncillors </w:t>
      </w:r>
      <w:proofErr w:type="gramStart"/>
      <w:r w:rsidR="001370CC" w:rsidRPr="005209B9">
        <w:rPr>
          <w:rFonts w:asciiTheme="minorHAnsi" w:hAnsiTheme="minorHAnsi" w:cstheme="minorHAnsi"/>
        </w:rPr>
        <w:t>were attached</w:t>
      </w:r>
      <w:proofErr w:type="gramEnd"/>
      <w:r w:rsidR="001370CC" w:rsidRPr="005209B9">
        <w:rPr>
          <w:rFonts w:asciiTheme="minorHAnsi" w:hAnsiTheme="minorHAnsi" w:cstheme="minorHAnsi"/>
        </w:rPr>
        <w:t xml:space="preserve"> to the idea of having a Popov room, but maintaining the </w:t>
      </w:r>
      <w:r w:rsidRPr="005209B9">
        <w:rPr>
          <w:rFonts w:asciiTheme="minorHAnsi" w:hAnsiTheme="minorHAnsi" w:cstheme="minorHAnsi"/>
        </w:rPr>
        <w:t xml:space="preserve">existing </w:t>
      </w:r>
      <w:r w:rsidR="001370CC" w:rsidRPr="005209B9">
        <w:rPr>
          <w:rFonts w:asciiTheme="minorHAnsi" w:hAnsiTheme="minorHAnsi" w:cstheme="minorHAnsi"/>
        </w:rPr>
        <w:t xml:space="preserve">Popov room, and therefore </w:t>
      </w:r>
      <w:r w:rsidR="00294FAD" w:rsidRPr="005209B9">
        <w:rPr>
          <w:rFonts w:asciiTheme="minorHAnsi" w:hAnsiTheme="minorHAnsi" w:cstheme="minorHAnsi"/>
        </w:rPr>
        <w:t xml:space="preserve">having </w:t>
      </w:r>
      <w:r w:rsidR="001370CC" w:rsidRPr="005209B9">
        <w:rPr>
          <w:rFonts w:asciiTheme="minorHAnsi" w:hAnsiTheme="minorHAnsi" w:cstheme="minorHAnsi"/>
        </w:rPr>
        <w:t>two large meeting rooms in the future headquarters</w:t>
      </w:r>
      <w:r w:rsidR="00294FAD" w:rsidRPr="005209B9">
        <w:rPr>
          <w:rFonts w:asciiTheme="minorHAnsi" w:hAnsiTheme="minorHAnsi" w:cstheme="minorHAnsi"/>
        </w:rPr>
        <w:t>,</w:t>
      </w:r>
      <w:r w:rsidR="001370CC" w:rsidRPr="005209B9">
        <w:rPr>
          <w:rFonts w:asciiTheme="minorHAnsi" w:hAnsiTheme="minorHAnsi" w:cstheme="minorHAnsi"/>
        </w:rPr>
        <w:t xml:space="preserve"> would be difficult.</w:t>
      </w:r>
    </w:p>
    <w:p w14:paraId="7D6AC70C" w14:textId="29C9C77C" w:rsidR="001370CC" w:rsidRPr="005209B9" w:rsidRDefault="0012573A"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2.21</w:t>
      </w:r>
      <w:r w:rsidRPr="005209B9">
        <w:rPr>
          <w:rFonts w:asciiTheme="minorHAnsi" w:hAnsiTheme="minorHAnsi" w:cstheme="minorHAnsi"/>
        </w:rPr>
        <w:tab/>
      </w:r>
      <w:r w:rsidR="001370CC" w:rsidRPr="005209B9">
        <w:rPr>
          <w:rFonts w:asciiTheme="minorHAnsi" w:hAnsiTheme="minorHAnsi" w:cstheme="minorHAnsi"/>
        </w:rPr>
        <w:t xml:space="preserve">Following </w:t>
      </w:r>
      <w:r w:rsidRPr="005209B9">
        <w:rPr>
          <w:rFonts w:asciiTheme="minorHAnsi" w:hAnsiTheme="minorHAnsi" w:cstheme="minorHAnsi"/>
        </w:rPr>
        <w:t xml:space="preserve">informal </w:t>
      </w:r>
      <w:r w:rsidR="001370CC" w:rsidRPr="005209B9">
        <w:rPr>
          <w:rFonts w:asciiTheme="minorHAnsi" w:hAnsiTheme="minorHAnsi" w:cstheme="minorHAnsi"/>
        </w:rPr>
        <w:t xml:space="preserve">consultations, the councillor </w:t>
      </w:r>
      <w:r w:rsidRPr="005209B9">
        <w:rPr>
          <w:rFonts w:asciiTheme="minorHAnsi" w:hAnsiTheme="minorHAnsi" w:cstheme="minorHAnsi"/>
        </w:rPr>
        <w:t xml:space="preserve">from </w:t>
      </w:r>
      <w:r w:rsidR="001370CC" w:rsidRPr="005209B9">
        <w:rPr>
          <w:rFonts w:asciiTheme="minorHAnsi" w:hAnsiTheme="minorHAnsi" w:cstheme="minorHAnsi"/>
        </w:rPr>
        <w:t xml:space="preserve">the Russian Federation proposed an amended version of </w:t>
      </w:r>
      <w:r w:rsidR="001A1209" w:rsidRPr="005209B9">
        <w:rPr>
          <w:rFonts w:asciiTheme="minorHAnsi" w:hAnsiTheme="minorHAnsi" w:cstheme="minorHAnsi"/>
          <w:i/>
          <w:iCs/>
        </w:rPr>
        <w:t>instructs the Secretary-</w:t>
      </w:r>
      <w:r w:rsidR="001370CC" w:rsidRPr="005209B9">
        <w:rPr>
          <w:rFonts w:asciiTheme="minorHAnsi" w:hAnsiTheme="minorHAnsi" w:cstheme="minorHAnsi"/>
          <w:i/>
          <w:iCs/>
        </w:rPr>
        <w:t xml:space="preserve">General </w:t>
      </w:r>
      <w:r w:rsidR="001370CC" w:rsidRPr="005209B9">
        <w:rPr>
          <w:rFonts w:asciiTheme="minorHAnsi" w:hAnsiTheme="minorHAnsi" w:cstheme="minorHAnsi"/>
        </w:rPr>
        <w:t>3</w:t>
      </w:r>
      <w:r w:rsidR="001370CC" w:rsidRPr="005209B9">
        <w:rPr>
          <w:rFonts w:asciiTheme="minorHAnsi" w:hAnsiTheme="minorHAnsi" w:cstheme="minorHAnsi"/>
          <w:i/>
          <w:iCs/>
        </w:rPr>
        <w:t>bis</w:t>
      </w:r>
      <w:r w:rsidR="001370CC" w:rsidRPr="005209B9">
        <w:rPr>
          <w:rFonts w:asciiTheme="minorHAnsi" w:hAnsiTheme="minorHAnsi" w:cstheme="minorHAnsi"/>
        </w:rPr>
        <w:t>, which read:</w:t>
      </w:r>
    </w:p>
    <w:p w14:paraId="046301B0" w14:textId="4CC1B53F" w:rsidR="001370CC" w:rsidRPr="005209B9" w:rsidRDefault="00285C87"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w:t>
      </w:r>
      <w:r w:rsidR="001370CC" w:rsidRPr="005209B9">
        <w:rPr>
          <w:rFonts w:asciiTheme="minorHAnsi" w:hAnsiTheme="minorHAnsi" w:cstheme="minorHAnsi"/>
        </w:rPr>
        <w:t xml:space="preserve">To continue implementation of Council decisions regarding the preservation of a Popov room, including providing financial and legal analysis of the options presented in §2.2.18.13 of the ninth and last </w:t>
      </w:r>
      <w:r w:rsidRPr="005209B9">
        <w:rPr>
          <w:rFonts w:asciiTheme="minorHAnsi" w:hAnsiTheme="minorHAnsi" w:cstheme="minorHAnsi"/>
        </w:rPr>
        <w:t>p</w:t>
      </w:r>
      <w:r w:rsidR="001370CC" w:rsidRPr="005209B9">
        <w:rPr>
          <w:rFonts w:asciiTheme="minorHAnsi" w:hAnsiTheme="minorHAnsi" w:cstheme="minorHAnsi"/>
        </w:rPr>
        <w:t xml:space="preserve">lenary </w:t>
      </w:r>
      <w:r w:rsidRPr="005209B9">
        <w:rPr>
          <w:rFonts w:asciiTheme="minorHAnsi" w:hAnsiTheme="minorHAnsi" w:cstheme="minorHAnsi"/>
        </w:rPr>
        <w:t>m</w:t>
      </w:r>
      <w:r w:rsidR="001370CC" w:rsidRPr="005209B9">
        <w:rPr>
          <w:rFonts w:asciiTheme="minorHAnsi" w:hAnsiTheme="minorHAnsi" w:cstheme="minorHAnsi"/>
        </w:rPr>
        <w:t xml:space="preserve">eeting of the 2019 ordinary session of the Council (Document </w:t>
      </w:r>
      <w:hyperlink r:id="rId18" w:history="1">
        <w:r w:rsidR="001370CC" w:rsidRPr="005209B9">
          <w:rPr>
            <w:rStyle w:val="Hyperlink"/>
            <w:rFonts w:asciiTheme="minorHAnsi" w:hAnsiTheme="minorHAnsi" w:cstheme="minorHAnsi"/>
          </w:rPr>
          <w:t>C19/120</w:t>
        </w:r>
      </w:hyperlink>
      <w:r w:rsidR="001370CC" w:rsidRPr="005209B9">
        <w:rPr>
          <w:rFonts w:asciiTheme="minorHAnsi" w:hAnsiTheme="minorHAnsi" w:cstheme="minorHAnsi"/>
        </w:rPr>
        <w:t>)</w:t>
      </w:r>
      <w:r w:rsidRPr="005209B9">
        <w:rPr>
          <w:rFonts w:asciiTheme="minorHAnsi" w:hAnsiTheme="minorHAnsi" w:cstheme="minorHAnsi"/>
        </w:rPr>
        <w:t>”.</w:t>
      </w:r>
    </w:p>
    <w:p w14:paraId="654466D2" w14:textId="647BAAC2" w:rsidR="001370CC" w:rsidRPr="005209B9" w:rsidRDefault="00285C87"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2.22</w:t>
      </w:r>
      <w:r w:rsidRPr="005209B9">
        <w:rPr>
          <w:rFonts w:asciiTheme="minorHAnsi" w:hAnsiTheme="minorHAnsi" w:cstheme="minorHAnsi"/>
        </w:rPr>
        <w:tab/>
      </w:r>
      <w:r w:rsidR="001370CC" w:rsidRPr="005209B9">
        <w:rPr>
          <w:rFonts w:asciiTheme="minorHAnsi" w:hAnsiTheme="minorHAnsi" w:cstheme="minorHAnsi"/>
        </w:rPr>
        <w:t xml:space="preserve">It was so </w:t>
      </w:r>
      <w:r w:rsidR="001370CC" w:rsidRPr="005209B9">
        <w:rPr>
          <w:rFonts w:asciiTheme="minorHAnsi" w:hAnsiTheme="minorHAnsi" w:cstheme="minorHAnsi"/>
          <w:b/>
          <w:bCs/>
        </w:rPr>
        <w:t>agreed</w:t>
      </w:r>
      <w:r w:rsidR="001370CC" w:rsidRPr="005209B9">
        <w:rPr>
          <w:rFonts w:asciiTheme="minorHAnsi" w:hAnsiTheme="minorHAnsi" w:cstheme="minorHAnsi"/>
        </w:rPr>
        <w:t>.</w:t>
      </w:r>
    </w:p>
    <w:p w14:paraId="0C2974BD" w14:textId="06B25EFF" w:rsidR="001370CC" w:rsidRPr="005209B9" w:rsidRDefault="00285C87"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2.23</w:t>
      </w:r>
      <w:r w:rsidRPr="005209B9">
        <w:rPr>
          <w:rFonts w:asciiTheme="minorHAnsi" w:hAnsiTheme="minorHAnsi" w:cstheme="minorHAnsi"/>
        </w:rPr>
        <w:tab/>
        <w:t>T</w:t>
      </w:r>
      <w:r w:rsidR="001370CC" w:rsidRPr="005209B9">
        <w:rPr>
          <w:rFonts w:asciiTheme="minorHAnsi" w:hAnsiTheme="minorHAnsi" w:cstheme="minorHAnsi"/>
        </w:rPr>
        <w:t xml:space="preserve">he Council </w:t>
      </w:r>
      <w:r w:rsidRPr="005209B9">
        <w:rPr>
          <w:rFonts w:asciiTheme="minorHAnsi" w:hAnsiTheme="minorHAnsi" w:cstheme="minorHAnsi"/>
          <w:b/>
          <w:bCs/>
        </w:rPr>
        <w:t xml:space="preserve">adopted </w:t>
      </w:r>
      <w:r w:rsidR="001370CC" w:rsidRPr="005209B9">
        <w:rPr>
          <w:rFonts w:asciiTheme="minorHAnsi" w:hAnsiTheme="minorHAnsi" w:cstheme="minorHAnsi"/>
        </w:rPr>
        <w:t>the draft decision as amended.</w:t>
      </w:r>
    </w:p>
    <w:p w14:paraId="1C739498" w14:textId="19183AF3" w:rsidR="00371489" w:rsidRPr="005209B9" w:rsidRDefault="00371489" w:rsidP="00A82887">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inorHAnsi"/>
        </w:rPr>
      </w:pPr>
      <w:r w:rsidRPr="005209B9">
        <w:rPr>
          <w:rFonts w:asciiTheme="minorHAnsi" w:hAnsiTheme="minorHAnsi" w:cstheme="minorHAnsi"/>
        </w:rPr>
        <w:t>2.24</w:t>
      </w:r>
      <w:r w:rsidRPr="005209B9">
        <w:rPr>
          <w:rFonts w:asciiTheme="minorHAnsi" w:hAnsiTheme="minorHAnsi" w:cstheme="minorHAnsi"/>
        </w:rPr>
        <w:tab/>
        <w:t xml:space="preserve">Two councillors stressed that the demolition of the </w:t>
      </w:r>
      <w:proofErr w:type="spellStart"/>
      <w:r w:rsidRPr="005209B9">
        <w:rPr>
          <w:rFonts w:asciiTheme="minorHAnsi" w:hAnsiTheme="minorHAnsi" w:cstheme="minorHAnsi"/>
        </w:rPr>
        <w:t>Varembé</w:t>
      </w:r>
      <w:proofErr w:type="spellEnd"/>
      <w:r w:rsidRPr="005209B9">
        <w:rPr>
          <w:rFonts w:asciiTheme="minorHAnsi" w:hAnsiTheme="minorHAnsi" w:cstheme="minorHAnsi"/>
        </w:rPr>
        <w:t xml:space="preserve"> building should not be allowed to affect meeting efficiency. In that respect, it was particularly important to ensure that participants did not encounter visa difficulties if meetings were held outside Switzerland.</w:t>
      </w:r>
    </w:p>
    <w:p w14:paraId="049DF38D" w14:textId="77777777" w:rsidR="00285C87" w:rsidRPr="005209B9" w:rsidRDefault="00285C87" w:rsidP="001A1209">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bCs/>
          <w:sz w:val="26"/>
          <w:szCs w:val="26"/>
        </w:rPr>
      </w:pPr>
      <w:r w:rsidRPr="005209B9">
        <w:rPr>
          <w:rFonts w:asciiTheme="minorHAnsi" w:hAnsiTheme="minorHAnsi" w:cstheme="minorHAnsi"/>
          <w:b/>
          <w:bCs/>
          <w:sz w:val="26"/>
          <w:szCs w:val="26"/>
        </w:rPr>
        <w:t>3</w:t>
      </w:r>
      <w:r w:rsidRPr="005209B9">
        <w:rPr>
          <w:rFonts w:asciiTheme="minorHAnsi" w:hAnsiTheme="minorHAnsi" w:cstheme="minorHAnsi"/>
          <w:b/>
          <w:bCs/>
          <w:sz w:val="26"/>
          <w:szCs w:val="26"/>
        </w:rPr>
        <w:tab/>
        <w:t>Statement by the councillor from the Bahamas</w:t>
      </w:r>
    </w:p>
    <w:p w14:paraId="3A9522D1" w14:textId="77777777" w:rsidR="00285C87" w:rsidRPr="005209B9" w:rsidRDefault="00285C87" w:rsidP="001A1209">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3.1</w:t>
      </w:r>
      <w:r w:rsidRPr="005209B9">
        <w:rPr>
          <w:rFonts w:asciiTheme="minorHAnsi" w:hAnsiTheme="minorHAnsi" w:cstheme="minorHAnsi"/>
        </w:rPr>
        <w:tab/>
        <w:t>The councillor from the Bahamas expressed gratitude for the assistance provided by ITU to his country in the wake of Hurricane Dorian.</w:t>
      </w:r>
    </w:p>
    <w:p w14:paraId="0008BF09" w14:textId="77777777" w:rsidR="00285C87" w:rsidRPr="005209B9" w:rsidRDefault="00285C87" w:rsidP="00B03A7B">
      <w:pPr>
        <w:pStyle w:val="ListParagraph"/>
        <w:snapToGrid w:val="0"/>
        <w:spacing w:before="360" w:after="120"/>
        <w:ind w:left="0"/>
        <w:contextualSpacing w:val="0"/>
        <w:jc w:val="both"/>
        <w:rPr>
          <w:rFonts w:cstheme="minorHAnsi"/>
          <w:b/>
          <w:bCs/>
          <w:sz w:val="26"/>
          <w:szCs w:val="26"/>
        </w:rPr>
      </w:pPr>
      <w:r w:rsidRPr="005209B9">
        <w:rPr>
          <w:rFonts w:cstheme="minorHAnsi"/>
          <w:b/>
          <w:bCs/>
          <w:sz w:val="26"/>
          <w:szCs w:val="26"/>
        </w:rPr>
        <w:t>4</w:t>
      </w:r>
      <w:r w:rsidRPr="005209B9">
        <w:rPr>
          <w:rFonts w:cstheme="minorHAnsi"/>
          <w:b/>
          <w:bCs/>
          <w:sz w:val="26"/>
          <w:szCs w:val="26"/>
        </w:rPr>
        <w:tab/>
        <w:t>Matters pertaining to Council working groups</w:t>
      </w:r>
    </w:p>
    <w:p w14:paraId="6A95615B" w14:textId="77777777" w:rsidR="00285C87" w:rsidRPr="005209B9" w:rsidRDefault="00285C87" w:rsidP="00A82887">
      <w:pPr>
        <w:pStyle w:val="ListParagraph"/>
        <w:snapToGrid w:val="0"/>
        <w:spacing w:before="120" w:after="120"/>
        <w:ind w:left="0"/>
        <w:contextualSpacing w:val="0"/>
        <w:jc w:val="both"/>
        <w:rPr>
          <w:rFonts w:cstheme="minorHAnsi"/>
        </w:rPr>
      </w:pPr>
      <w:r w:rsidRPr="005209B9">
        <w:rPr>
          <w:rFonts w:cstheme="minorHAnsi"/>
        </w:rPr>
        <w:t>4.1</w:t>
      </w:r>
      <w:r w:rsidRPr="005209B9">
        <w:rPr>
          <w:rFonts w:cstheme="minorHAnsi"/>
        </w:rPr>
        <w:tab/>
        <w:t xml:space="preserve">The Council </w:t>
      </w:r>
      <w:r w:rsidRPr="005209B9">
        <w:rPr>
          <w:rFonts w:cstheme="minorHAnsi"/>
          <w:b/>
          <w:bCs/>
        </w:rPr>
        <w:t xml:space="preserve">agreed </w:t>
      </w:r>
      <w:r w:rsidRPr="005209B9">
        <w:rPr>
          <w:rFonts w:cstheme="minorHAnsi"/>
        </w:rPr>
        <w:t xml:space="preserve">to appoint Mr W. Berezowski (Poland) as Vice-Chairman for the European region of the Council Working Group </w:t>
      </w:r>
      <w:r w:rsidRPr="005209B9">
        <w:rPr>
          <w:rFonts w:cstheme="minorHAnsi"/>
        </w:rPr>
        <w:lastRenderedPageBreak/>
        <w:t>on WSIS &amp; SDGs, the current vice-chairman for the region being unable to continue in that position.</w:t>
      </w:r>
    </w:p>
    <w:p w14:paraId="7FC4DCE3" w14:textId="651D5ECF" w:rsidR="00285C87" w:rsidRPr="005209B9" w:rsidRDefault="00285C87" w:rsidP="00A82887">
      <w:pPr>
        <w:pStyle w:val="ListParagraph"/>
        <w:snapToGrid w:val="0"/>
        <w:spacing w:before="120" w:after="120"/>
        <w:ind w:left="0"/>
        <w:contextualSpacing w:val="0"/>
        <w:jc w:val="both"/>
        <w:rPr>
          <w:rFonts w:cstheme="minorHAnsi"/>
        </w:rPr>
      </w:pPr>
      <w:r w:rsidRPr="005209B9">
        <w:rPr>
          <w:rFonts w:cstheme="minorHAnsi"/>
        </w:rPr>
        <w:t>4.2</w:t>
      </w:r>
      <w:r w:rsidRPr="005209B9">
        <w:rPr>
          <w:rFonts w:cstheme="minorHAnsi"/>
        </w:rPr>
        <w:tab/>
        <w:t xml:space="preserve">One councillor asked the secretariat not to schedule Council working group clusters at the same time as </w:t>
      </w:r>
      <w:r w:rsidR="00294FAD" w:rsidRPr="005209B9">
        <w:rPr>
          <w:rFonts w:cstheme="minorHAnsi"/>
        </w:rPr>
        <w:t>a</w:t>
      </w:r>
      <w:r w:rsidRPr="005209B9">
        <w:rPr>
          <w:rFonts w:cstheme="minorHAnsi"/>
        </w:rPr>
        <w:t xml:space="preserve">dvisory </w:t>
      </w:r>
      <w:r w:rsidR="00294FAD" w:rsidRPr="005209B9">
        <w:rPr>
          <w:rFonts w:cstheme="minorHAnsi"/>
        </w:rPr>
        <w:t>g</w:t>
      </w:r>
      <w:r w:rsidRPr="005209B9">
        <w:rPr>
          <w:rFonts w:cstheme="minorHAnsi"/>
        </w:rPr>
        <w:t>roup meetings, as often the same experts participated in both.</w:t>
      </w:r>
    </w:p>
    <w:p w14:paraId="3E5AEF78" w14:textId="088CE5EE" w:rsidR="00285C87" w:rsidRPr="005209B9" w:rsidRDefault="00285C87" w:rsidP="00A82887">
      <w:pPr>
        <w:pStyle w:val="ListParagraph"/>
        <w:snapToGrid w:val="0"/>
        <w:spacing w:before="120" w:after="120"/>
        <w:ind w:left="0"/>
        <w:contextualSpacing w:val="0"/>
        <w:jc w:val="both"/>
        <w:rPr>
          <w:rFonts w:cstheme="minorHAnsi"/>
        </w:rPr>
      </w:pPr>
      <w:r w:rsidRPr="005209B9">
        <w:rPr>
          <w:rFonts w:cstheme="minorHAnsi"/>
        </w:rPr>
        <w:t>4.3</w:t>
      </w:r>
      <w:r w:rsidRPr="005209B9">
        <w:rPr>
          <w:rFonts w:cstheme="minorHAnsi"/>
        </w:rPr>
        <w:tab/>
        <w:t>The Acting Chairman announced the dates of the 2020 Co</w:t>
      </w:r>
      <w:r w:rsidR="00B03A7B" w:rsidRPr="005209B9">
        <w:rPr>
          <w:rFonts w:cstheme="minorHAnsi"/>
        </w:rPr>
        <w:t xml:space="preserve">uncil working group clusters: </w:t>
      </w:r>
      <w:r w:rsidR="00B03A7B" w:rsidRPr="005209B9">
        <w:rPr>
          <w:rFonts w:cstheme="minorHAnsi"/>
        </w:rPr>
        <w:br/>
        <w:t>3</w:t>
      </w:r>
      <w:r w:rsidRPr="005209B9">
        <w:rPr>
          <w:rFonts w:cstheme="minorHAnsi"/>
        </w:rPr>
        <w:noBreakHyphen/>
        <w:t>14 February and 7-18 September 2020.</w:t>
      </w:r>
    </w:p>
    <w:p w14:paraId="621C36FF" w14:textId="4F9FF0B5" w:rsidR="00AA61B8" w:rsidRPr="005209B9" w:rsidRDefault="00285C87" w:rsidP="00B03A7B">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hAnsiTheme="minorHAnsi" w:cstheme="minorHAnsi"/>
          <w:b/>
          <w:bCs/>
          <w:sz w:val="26"/>
          <w:szCs w:val="26"/>
        </w:rPr>
      </w:pPr>
      <w:r w:rsidRPr="005209B9">
        <w:rPr>
          <w:rFonts w:asciiTheme="minorHAnsi" w:hAnsiTheme="minorHAnsi" w:cstheme="minorHAnsi"/>
          <w:b/>
          <w:bCs/>
          <w:sz w:val="26"/>
          <w:szCs w:val="26"/>
        </w:rPr>
        <w:t>5</w:t>
      </w:r>
      <w:r w:rsidRPr="005209B9">
        <w:rPr>
          <w:rFonts w:asciiTheme="minorHAnsi" w:hAnsiTheme="minorHAnsi" w:cstheme="minorHAnsi"/>
          <w:b/>
          <w:bCs/>
          <w:sz w:val="26"/>
          <w:szCs w:val="26"/>
        </w:rPr>
        <w:tab/>
        <w:t>Closure of the additional session</w:t>
      </w:r>
    </w:p>
    <w:p w14:paraId="72583F67" w14:textId="6CB69AA4" w:rsidR="00E76F41" w:rsidRPr="005209B9" w:rsidRDefault="00285C87"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5.1</w:t>
      </w:r>
      <w:r w:rsidRPr="005209B9">
        <w:rPr>
          <w:rFonts w:asciiTheme="minorHAnsi" w:hAnsiTheme="minorHAnsi" w:cstheme="minorHAnsi"/>
        </w:rPr>
        <w:tab/>
      </w:r>
      <w:r w:rsidR="00E76F41" w:rsidRPr="005209B9">
        <w:rPr>
          <w:rFonts w:asciiTheme="minorHAnsi" w:hAnsiTheme="minorHAnsi" w:cstheme="minorHAnsi"/>
        </w:rPr>
        <w:t xml:space="preserve">The Secretary-General and </w:t>
      </w:r>
      <w:r w:rsidR="008D3F74" w:rsidRPr="005209B9">
        <w:rPr>
          <w:rFonts w:asciiTheme="minorHAnsi" w:hAnsiTheme="minorHAnsi" w:cstheme="minorHAnsi"/>
        </w:rPr>
        <w:t xml:space="preserve">the </w:t>
      </w:r>
      <w:r w:rsidR="00E76F41" w:rsidRPr="005209B9">
        <w:rPr>
          <w:rFonts w:asciiTheme="minorHAnsi" w:hAnsiTheme="minorHAnsi" w:cstheme="minorHAnsi"/>
        </w:rPr>
        <w:t xml:space="preserve">Deputy Secretary-General applauded the </w:t>
      </w:r>
      <w:r w:rsidRPr="005209B9">
        <w:rPr>
          <w:rFonts w:asciiTheme="minorHAnsi" w:hAnsiTheme="minorHAnsi" w:cstheme="minorHAnsi"/>
        </w:rPr>
        <w:t xml:space="preserve">Council’s </w:t>
      </w:r>
      <w:r w:rsidR="008D3F74" w:rsidRPr="005209B9">
        <w:rPr>
          <w:rFonts w:asciiTheme="minorHAnsi" w:hAnsiTheme="minorHAnsi" w:cstheme="minorHAnsi"/>
        </w:rPr>
        <w:t>adoption</w:t>
      </w:r>
      <w:r w:rsidRPr="005209B9">
        <w:rPr>
          <w:rFonts w:asciiTheme="minorHAnsi" w:hAnsiTheme="minorHAnsi" w:cstheme="minorHAnsi"/>
        </w:rPr>
        <w:t xml:space="preserve"> of the decision on the headquarters premises,</w:t>
      </w:r>
      <w:r w:rsidR="00E76F41" w:rsidRPr="005209B9">
        <w:rPr>
          <w:rFonts w:asciiTheme="minorHAnsi" w:hAnsiTheme="minorHAnsi" w:cstheme="minorHAnsi"/>
        </w:rPr>
        <w:t xml:space="preserve"> which</w:t>
      </w:r>
      <w:r w:rsidR="002E4652" w:rsidRPr="005209B9">
        <w:rPr>
          <w:rFonts w:asciiTheme="minorHAnsi" w:hAnsiTheme="minorHAnsi" w:cstheme="minorHAnsi"/>
        </w:rPr>
        <w:t xml:space="preserve"> reflected the good spirit of cooperation prevailing at ITU and</w:t>
      </w:r>
      <w:r w:rsidR="00E76F41" w:rsidRPr="005209B9">
        <w:rPr>
          <w:rFonts w:asciiTheme="minorHAnsi" w:hAnsiTheme="minorHAnsi" w:cstheme="minorHAnsi"/>
        </w:rPr>
        <w:t xml:space="preserve"> guaranteed that </w:t>
      </w:r>
      <w:r w:rsidR="002E4652" w:rsidRPr="005209B9">
        <w:rPr>
          <w:rFonts w:asciiTheme="minorHAnsi" w:hAnsiTheme="minorHAnsi" w:cstheme="minorHAnsi"/>
        </w:rPr>
        <w:t>the Union</w:t>
      </w:r>
      <w:r w:rsidR="00E76F41" w:rsidRPr="005209B9">
        <w:rPr>
          <w:rFonts w:asciiTheme="minorHAnsi" w:hAnsiTheme="minorHAnsi" w:cstheme="minorHAnsi"/>
        </w:rPr>
        <w:t xml:space="preserve"> would continue to occupy an important place in Geneva.</w:t>
      </w:r>
      <w:r w:rsidRPr="005209B9">
        <w:rPr>
          <w:rFonts w:asciiTheme="minorHAnsi" w:hAnsiTheme="minorHAnsi" w:cstheme="minorHAnsi"/>
        </w:rPr>
        <w:t xml:space="preserve"> The Acting Chairman was particularly to be thanked for his contribution to the 2019 ordinary and additional sessions.</w:t>
      </w:r>
    </w:p>
    <w:p w14:paraId="5AAEA2B7" w14:textId="0464A610" w:rsidR="00E76F41" w:rsidRPr="005209B9" w:rsidRDefault="00285C87" w:rsidP="00A82887">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5209B9">
        <w:rPr>
          <w:rFonts w:asciiTheme="minorHAnsi" w:hAnsiTheme="minorHAnsi" w:cstheme="minorHAnsi"/>
        </w:rPr>
        <w:t>5.2</w:t>
      </w:r>
      <w:r w:rsidR="00E76F41" w:rsidRPr="005209B9">
        <w:rPr>
          <w:rFonts w:asciiTheme="minorHAnsi" w:hAnsiTheme="minorHAnsi" w:cstheme="minorHAnsi"/>
        </w:rPr>
        <w:tab/>
        <w:t>A number of councillors</w:t>
      </w:r>
      <w:r w:rsidRPr="005209B9">
        <w:rPr>
          <w:rFonts w:asciiTheme="minorHAnsi" w:hAnsiTheme="minorHAnsi" w:cstheme="minorHAnsi"/>
        </w:rPr>
        <w:t xml:space="preserve">, echoing those remarks, </w:t>
      </w:r>
      <w:r w:rsidR="002E4652" w:rsidRPr="005209B9">
        <w:rPr>
          <w:rFonts w:asciiTheme="minorHAnsi" w:hAnsiTheme="minorHAnsi" w:cstheme="minorHAnsi"/>
        </w:rPr>
        <w:t xml:space="preserve">thanked the secretariat, </w:t>
      </w:r>
      <w:r w:rsidRPr="005209B9">
        <w:rPr>
          <w:rFonts w:asciiTheme="minorHAnsi" w:hAnsiTheme="minorHAnsi" w:cstheme="minorHAnsi"/>
        </w:rPr>
        <w:t xml:space="preserve">MSAG </w:t>
      </w:r>
      <w:r w:rsidR="002E4652" w:rsidRPr="005209B9">
        <w:rPr>
          <w:rFonts w:asciiTheme="minorHAnsi" w:hAnsiTheme="minorHAnsi" w:cstheme="minorHAnsi"/>
        </w:rPr>
        <w:t>and the Staff Council for their work to move the project forward.</w:t>
      </w:r>
      <w:r w:rsidR="00294FAD" w:rsidRPr="005209B9">
        <w:rPr>
          <w:rFonts w:asciiTheme="minorHAnsi" w:hAnsiTheme="minorHAnsi" w:cstheme="minorHAnsi"/>
        </w:rPr>
        <w:t xml:space="preserve"> The Acting Chairman thanked everyone who had contributed to the successful outcome of the additional session</w:t>
      </w:r>
    </w:p>
    <w:p w14:paraId="390437B5" w14:textId="77777777" w:rsidR="00BA1255" w:rsidRPr="005209B9" w:rsidRDefault="00BA1255" w:rsidP="00A82887">
      <w:pPr>
        <w:tabs>
          <w:tab w:val="clear" w:pos="567"/>
          <w:tab w:val="clear" w:pos="1134"/>
          <w:tab w:val="clear" w:pos="1701"/>
          <w:tab w:val="clear" w:pos="2268"/>
          <w:tab w:val="clear" w:pos="2835"/>
          <w:tab w:val="left" w:pos="6521"/>
        </w:tabs>
        <w:snapToGrid w:val="0"/>
        <w:spacing w:before="600"/>
        <w:jc w:val="both"/>
        <w:rPr>
          <w:rFonts w:asciiTheme="minorHAnsi" w:hAnsiTheme="minorHAnsi" w:cstheme="minorHAnsi"/>
          <w:szCs w:val="24"/>
        </w:rPr>
      </w:pPr>
      <w:r w:rsidRPr="005209B9">
        <w:rPr>
          <w:rFonts w:asciiTheme="minorHAnsi" w:hAnsiTheme="minorHAnsi" w:cstheme="minorHAnsi"/>
          <w:szCs w:val="24"/>
        </w:rPr>
        <w:t>The Secretary-General:</w:t>
      </w:r>
      <w:r w:rsidRPr="005209B9">
        <w:rPr>
          <w:rFonts w:asciiTheme="minorHAnsi" w:hAnsiTheme="minorHAnsi" w:cstheme="minorHAnsi"/>
          <w:szCs w:val="24"/>
        </w:rPr>
        <w:tab/>
        <w:t>The Acting Chairman:</w:t>
      </w:r>
    </w:p>
    <w:p w14:paraId="16543F11" w14:textId="0CCBFC86" w:rsidR="00BA1255" w:rsidRPr="005209B9" w:rsidRDefault="00BA1255" w:rsidP="00A82887">
      <w:pPr>
        <w:tabs>
          <w:tab w:val="clear" w:pos="567"/>
          <w:tab w:val="clear" w:pos="1134"/>
          <w:tab w:val="clear" w:pos="1701"/>
          <w:tab w:val="clear" w:pos="2268"/>
          <w:tab w:val="clear" w:pos="2835"/>
          <w:tab w:val="left" w:pos="6521"/>
        </w:tabs>
        <w:snapToGrid w:val="0"/>
        <w:spacing w:before="0" w:after="120"/>
        <w:jc w:val="both"/>
        <w:rPr>
          <w:rFonts w:asciiTheme="minorHAnsi" w:hAnsiTheme="minorHAnsi" w:cstheme="minorHAnsi"/>
          <w:szCs w:val="24"/>
        </w:rPr>
      </w:pPr>
      <w:r w:rsidRPr="005209B9">
        <w:rPr>
          <w:rFonts w:asciiTheme="minorHAnsi" w:hAnsiTheme="minorHAnsi" w:cstheme="minorHAnsi"/>
          <w:szCs w:val="24"/>
        </w:rPr>
        <w:t>H. ZHAO</w:t>
      </w:r>
      <w:r w:rsidRPr="005209B9">
        <w:rPr>
          <w:rFonts w:asciiTheme="minorHAnsi" w:hAnsiTheme="minorHAnsi" w:cstheme="minorHAnsi"/>
          <w:szCs w:val="24"/>
        </w:rPr>
        <w:tab/>
        <w:t>F. BIGI</w:t>
      </w:r>
    </w:p>
    <w:p w14:paraId="205DA09F" w14:textId="52EA2222" w:rsidR="00B03A7B" w:rsidRPr="00A82887" w:rsidRDefault="00B03A7B" w:rsidP="00B03A7B">
      <w:pPr>
        <w:tabs>
          <w:tab w:val="clear" w:pos="567"/>
          <w:tab w:val="clear" w:pos="1134"/>
          <w:tab w:val="clear" w:pos="1701"/>
          <w:tab w:val="clear" w:pos="2268"/>
          <w:tab w:val="clear" w:pos="2835"/>
          <w:tab w:val="left" w:pos="6521"/>
        </w:tabs>
        <w:snapToGrid w:val="0"/>
        <w:spacing w:before="840"/>
        <w:jc w:val="center"/>
        <w:rPr>
          <w:szCs w:val="24"/>
        </w:rPr>
      </w:pPr>
      <w:r w:rsidRPr="005209B9">
        <w:rPr>
          <w:szCs w:val="24"/>
        </w:rPr>
        <w:t>_________________</w:t>
      </w:r>
    </w:p>
    <w:sectPr w:rsidR="00B03A7B" w:rsidRPr="00A82887"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96D71" w14:textId="77777777" w:rsidR="00EC0986" w:rsidRDefault="00EC0986">
      <w:r>
        <w:separator/>
      </w:r>
    </w:p>
  </w:endnote>
  <w:endnote w:type="continuationSeparator" w:id="0">
    <w:p w14:paraId="1F2CF836" w14:textId="77777777" w:rsidR="00EC0986" w:rsidRDefault="00EC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4808"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1C3CB" w14:textId="77777777" w:rsidR="00EC0986" w:rsidRDefault="00EC0986">
      <w:r>
        <w:t>____________________</w:t>
      </w:r>
    </w:p>
  </w:footnote>
  <w:footnote w:type="continuationSeparator" w:id="0">
    <w:p w14:paraId="1667FDBF" w14:textId="77777777" w:rsidR="00EC0986" w:rsidRDefault="00EC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5EEA" w14:textId="61935E32" w:rsidR="00322D0D" w:rsidRDefault="006535F1" w:rsidP="00CE433C">
    <w:pPr>
      <w:pStyle w:val="Header"/>
    </w:pPr>
    <w:r>
      <w:fldChar w:fldCharType="begin"/>
    </w:r>
    <w:r>
      <w:instrText>PAGE</w:instrText>
    </w:r>
    <w:r>
      <w:fldChar w:fldCharType="separate"/>
    </w:r>
    <w:r w:rsidR="0060044A">
      <w:rPr>
        <w:noProof/>
      </w:rPr>
      <w:t>5</w:t>
    </w:r>
    <w:r>
      <w:rPr>
        <w:noProof/>
      </w:rPr>
      <w:fldChar w:fldCharType="end"/>
    </w:r>
  </w:p>
  <w:p w14:paraId="426DE683" w14:textId="28441266" w:rsidR="00322D0D" w:rsidRDefault="00E222DA" w:rsidP="00DE56AE">
    <w:pPr>
      <w:pStyle w:val="Header"/>
    </w:pPr>
    <w:r>
      <w:t>C1</w:t>
    </w:r>
    <w:r w:rsidR="007E5DA1">
      <w:t>9-A</w:t>
    </w:r>
    <w:r w:rsidR="00DE56AE">
      <w:t>DD</w:t>
    </w:r>
    <w:r>
      <w:t>/</w:t>
    </w:r>
    <w:r w:rsidR="00A82887">
      <w:t>6</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4B"/>
    <w:rsid w:val="0004488F"/>
    <w:rsid w:val="00046541"/>
    <w:rsid w:val="00063016"/>
    <w:rsid w:val="00064353"/>
    <w:rsid w:val="00064B09"/>
    <w:rsid w:val="00070435"/>
    <w:rsid w:val="0007264D"/>
    <w:rsid w:val="00074C29"/>
    <w:rsid w:val="00076AF6"/>
    <w:rsid w:val="00082232"/>
    <w:rsid w:val="00085CF2"/>
    <w:rsid w:val="000B1705"/>
    <w:rsid w:val="000D75B2"/>
    <w:rsid w:val="000E25F6"/>
    <w:rsid w:val="000E64A9"/>
    <w:rsid w:val="000E6E4D"/>
    <w:rsid w:val="001121F5"/>
    <w:rsid w:val="00113F42"/>
    <w:rsid w:val="0012573A"/>
    <w:rsid w:val="00132324"/>
    <w:rsid w:val="00135DE5"/>
    <w:rsid w:val="001370CC"/>
    <w:rsid w:val="00140CE1"/>
    <w:rsid w:val="00141B5A"/>
    <w:rsid w:val="00151CEE"/>
    <w:rsid w:val="00161DCD"/>
    <w:rsid w:val="001623D8"/>
    <w:rsid w:val="00163783"/>
    <w:rsid w:val="001667F3"/>
    <w:rsid w:val="00173B50"/>
    <w:rsid w:val="00174BFD"/>
    <w:rsid w:val="0017539C"/>
    <w:rsid w:val="00175AC2"/>
    <w:rsid w:val="0017609F"/>
    <w:rsid w:val="00176ED4"/>
    <w:rsid w:val="001A1209"/>
    <w:rsid w:val="001A135B"/>
    <w:rsid w:val="001A2295"/>
    <w:rsid w:val="001A6A40"/>
    <w:rsid w:val="001B56FA"/>
    <w:rsid w:val="001C628E"/>
    <w:rsid w:val="001D45EC"/>
    <w:rsid w:val="001E0F7B"/>
    <w:rsid w:val="001E2C05"/>
    <w:rsid w:val="001E474C"/>
    <w:rsid w:val="001E5C59"/>
    <w:rsid w:val="001F69B1"/>
    <w:rsid w:val="002119FD"/>
    <w:rsid w:val="002130E0"/>
    <w:rsid w:val="0021705E"/>
    <w:rsid w:val="00254D00"/>
    <w:rsid w:val="00265875"/>
    <w:rsid w:val="0027303B"/>
    <w:rsid w:val="00273472"/>
    <w:rsid w:val="0028109B"/>
    <w:rsid w:val="002839B6"/>
    <w:rsid w:val="00285C87"/>
    <w:rsid w:val="00291C78"/>
    <w:rsid w:val="00293355"/>
    <w:rsid w:val="00294FAD"/>
    <w:rsid w:val="0029782F"/>
    <w:rsid w:val="002A4541"/>
    <w:rsid w:val="002B1F58"/>
    <w:rsid w:val="002B22F1"/>
    <w:rsid w:val="002B678E"/>
    <w:rsid w:val="002C1C7A"/>
    <w:rsid w:val="002C79CB"/>
    <w:rsid w:val="002D06CA"/>
    <w:rsid w:val="002D1933"/>
    <w:rsid w:val="002E4652"/>
    <w:rsid w:val="002F1AE7"/>
    <w:rsid w:val="002F6963"/>
    <w:rsid w:val="003008CD"/>
    <w:rsid w:val="0030160F"/>
    <w:rsid w:val="0030593C"/>
    <w:rsid w:val="003059B2"/>
    <w:rsid w:val="00310A36"/>
    <w:rsid w:val="00312892"/>
    <w:rsid w:val="00322D0D"/>
    <w:rsid w:val="00371489"/>
    <w:rsid w:val="00383652"/>
    <w:rsid w:val="003942D4"/>
    <w:rsid w:val="003958A8"/>
    <w:rsid w:val="003963F1"/>
    <w:rsid w:val="003A543F"/>
    <w:rsid w:val="003C2533"/>
    <w:rsid w:val="003F4BFC"/>
    <w:rsid w:val="003F592D"/>
    <w:rsid w:val="0040435A"/>
    <w:rsid w:val="00415A20"/>
    <w:rsid w:val="00416A24"/>
    <w:rsid w:val="00431D9E"/>
    <w:rsid w:val="00433CE8"/>
    <w:rsid w:val="00434A5C"/>
    <w:rsid w:val="004544D9"/>
    <w:rsid w:val="0048397F"/>
    <w:rsid w:val="00490E72"/>
    <w:rsid w:val="004921C8"/>
    <w:rsid w:val="004935B8"/>
    <w:rsid w:val="004B4B5F"/>
    <w:rsid w:val="004B7160"/>
    <w:rsid w:val="004D1851"/>
    <w:rsid w:val="004D599D"/>
    <w:rsid w:val="004D6F10"/>
    <w:rsid w:val="004D75CD"/>
    <w:rsid w:val="004E2EA5"/>
    <w:rsid w:val="004E3AEB"/>
    <w:rsid w:val="004E45AF"/>
    <w:rsid w:val="0050223C"/>
    <w:rsid w:val="005209B9"/>
    <w:rsid w:val="005226EF"/>
    <w:rsid w:val="005243FF"/>
    <w:rsid w:val="00527F75"/>
    <w:rsid w:val="00535266"/>
    <w:rsid w:val="00564FBC"/>
    <w:rsid w:val="00580682"/>
    <w:rsid w:val="0058086D"/>
    <w:rsid w:val="00582442"/>
    <w:rsid w:val="005852C1"/>
    <w:rsid w:val="005A2DD0"/>
    <w:rsid w:val="005B1B2E"/>
    <w:rsid w:val="005C0295"/>
    <w:rsid w:val="005C211A"/>
    <w:rsid w:val="005C5370"/>
    <w:rsid w:val="005D1994"/>
    <w:rsid w:val="005D218B"/>
    <w:rsid w:val="0060044A"/>
    <w:rsid w:val="00611DBC"/>
    <w:rsid w:val="00614E22"/>
    <w:rsid w:val="006206FD"/>
    <w:rsid w:val="00633587"/>
    <w:rsid w:val="0064144F"/>
    <w:rsid w:val="006535F1"/>
    <w:rsid w:val="0065557D"/>
    <w:rsid w:val="00662984"/>
    <w:rsid w:val="006716BB"/>
    <w:rsid w:val="0069376A"/>
    <w:rsid w:val="0069728C"/>
    <w:rsid w:val="006A2C3D"/>
    <w:rsid w:val="006A586D"/>
    <w:rsid w:val="006B6DCC"/>
    <w:rsid w:val="006F24DA"/>
    <w:rsid w:val="006F7BB5"/>
    <w:rsid w:val="00700B58"/>
    <w:rsid w:val="00701317"/>
    <w:rsid w:val="007050F2"/>
    <w:rsid w:val="00720363"/>
    <w:rsid w:val="007275FA"/>
    <w:rsid w:val="00734E32"/>
    <w:rsid w:val="0075051B"/>
    <w:rsid w:val="00771540"/>
    <w:rsid w:val="00772970"/>
    <w:rsid w:val="007820A0"/>
    <w:rsid w:val="00782178"/>
    <w:rsid w:val="00783EA1"/>
    <w:rsid w:val="00790D3E"/>
    <w:rsid w:val="00794D34"/>
    <w:rsid w:val="007C455C"/>
    <w:rsid w:val="007D4088"/>
    <w:rsid w:val="007E5DA1"/>
    <w:rsid w:val="007F06C6"/>
    <w:rsid w:val="007F1A5F"/>
    <w:rsid w:val="00813E5E"/>
    <w:rsid w:val="008154FC"/>
    <w:rsid w:val="0083581B"/>
    <w:rsid w:val="00862DC5"/>
    <w:rsid w:val="00864AFF"/>
    <w:rsid w:val="00867EA1"/>
    <w:rsid w:val="00870117"/>
    <w:rsid w:val="00897EDA"/>
    <w:rsid w:val="008A7009"/>
    <w:rsid w:val="008B4A6A"/>
    <w:rsid w:val="008C7E27"/>
    <w:rsid w:val="008D382B"/>
    <w:rsid w:val="008D3F74"/>
    <w:rsid w:val="008D6882"/>
    <w:rsid w:val="008D6FC3"/>
    <w:rsid w:val="008E1011"/>
    <w:rsid w:val="008F13FB"/>
    <w:rsid w:val="00911970"/>
    <w:rsid w:val="009173EF"/>
    <w:rsid w:val="009214E7"/>
    <w:rsid w:val="009318D5"/>
    <w:rsid w:val="00932906"/>
    <w:rsid w:val="00950455"/>
    <w:rsid w:val="00956E4D"/>
    <w:rsid w:val="00961B0B"/>
    <w:rsid w:val="00966C5F"/>
    <w:rsid w:val="00973B03"/>
    <w:rsid w:val="0099424B"/>
    <w:rsid w:val="009B6E04"/>
    <w:rsid w:val="009C1EC2"/>
    <w:rsid w:val="009D55F7"/>
    <w:rsid w:val="009E17BD"/>
    <w:rsid w:val="009E6F2E"/>
    <w:rsid w:val="009F095D"/>
    <w:rsid w:val="009F185B"/>
    <w:rsid w:val="00A025ED"/>
    <w:rsid w:val="00A04CEC"/>
    <w:rsid w:val="00A068CA"/>
    <w:rsid w:val="00A1558A"/>
    <w:rsid w:val="00A21AFE"/>
    <w:rsid w:val="00A27F92"/>
    <w:rsid w:val="00A309E3"/>
    <w:rsid w:val="00A32257"/>
    <w:rsid w:val="00A50E58"/>
    <w:rsid w:val="00A55622"/>
    <w:rsid w:val="00A6355F"/>
    <w:rsid w:val="00A64D1B"/>
    <w:rsid w:val="00A82887"/>
    <w:rsid w:val="00A83502"/>
    <w:rsid w:val="00A85521"/>
    <w:rsid w:val="00AA49F2"/>
    <w:rsid w:val="00AA61B8"/>
    <w:rsid w:val="00AB0987"/>
    <w:rsid w:val="00AB2652"/>
    <w:rsid w:val="00AC0AE9"/>
    <w:rsid w:val="00AC530A"/>
    <w:rsid w:val="00AD041E"/>
    <w:rsid w:val="00AD3BA1"/>
    <w:rsid w:val="00AF6E49"/>
    <w:rsid w:val="00B012EB"/>
    <w:rsid w:val="00B03A7B"/>
    <w:rsid w:val="00B04A67"/>
    <w:rsid w:val="00B0583C"/>
    <w:rsid w:val="00B3282D"/>
    <w:rsid w:val="00B40A81"/>
    <w:rsid w:val="00B44910"/>
    <w:rsid w:val="00B51B03"/>
    <w:rsid w:val="00B63F7A"/>
    <w:rsid w:val="00B72267"/>
    <w:rsid w:val="00B76C66"/>
    <w:rsid w:val="00B76EB6"/>
    <w:rsid w:val="00B77300"/>
    <w:rsid w:val="00B80245"/>
    <w:rsid w:val="00B824C8"/>
    <w:rsid w:val="00B84478"/>
    <w:rsid w:val="00BA1255"/>
    <w:rsid w:val="00BB2213"/>
    <w:rsid w:val="00BC251A"/>
    <w:rsid w:val="00BC2AA9"/>
    <w:rsid w:val="00BD032B"/>
    <w:rsid w:val="00BD2421"/>
    <w:rsid w:val="00BE2640"/>
    <w:rsid w:val="00BE298B"/>
    <w:rsid w:val="00BE43C8"/>
    <w:rsid w:val="00BF670C"/>
    <w:rsid w:val="00C01189"/>
    <w:rsid w:val="00C374DE"/>
    <w:rsid w:val="00C434CA"/>
    <w:rsid w:val="00C441C7"/>
    <w:rsid w:val="00C47AD4"/>
    <w:rsid w:val="00C52D81"/>
    <w:rsid w:val="00C5470A"/>
    <w:rsid w:val="00C55198"/>
    <w:rsid w:val="00C602DA"/>
    <w:rsid w:val="00C66462"/>
    <w:rsid w:val="00C7343D"/>
    <w:rsid w:val="00C73874"/>
    <w:rsid w:val="00C97805"/>
    <w:rsid w:val="00CA332A"/>
    <w:rsid w:val="00CA6393"/>
    <w:rsid w:val="00CA7776"/>
    <w:rsid w:val="00CB18FF"/>
    <w:rsid w:val="00CC5AD9"/>
    <w:rsid w:val="00CD0C08"/>
    <w:rsid w:val="00CE433C"/>
    <w:rsid w:val="00CE5F57"/>
    <w:rsid w:val="00CE73BF"/>
    <w:rsid w:val="00CF33F3"/>
    <w:rsid w:val="00D022D4"/>
    <w:rsid w:val="00D06183"/>
    <w:rsid w:val="00D21819"/>
    <w:rsid w:val="00D22C42"/>
    <w:rsid w:val="00D550BC"/>
    <w:rsid w:val="00D65041"/>
    <w:rsid w:val="00D72DC6"/>
    <w:rsid w:val="00D75723"/>
    <w:rsid w:val="00D87C43"/>
    <w:rsid w:val="00D972AE"/>
    <w:rsid w:val="00DA3FF1"/>
    <w:rsid w:val="00DA4B77"/>
    <w:rsid w:val="00DD7C03"/>
    <w:rsid w:val="00DE00A1"/>
    <w:rsid w:val="00DE024A"/>
    <w:rsid w:val="00DE15A8"/>
    <w:rsid w:val="00DE443F"/>
    <w:rsid w:val="00DE47BD"/>
    <w:rsid w:val="00DE4DCB"/>
    <w:rsid w:val="00DE56AE"/>
    <w:rsid w:val="00DE734F"/>
    <w:rsid w:val="00DF0ADA"/>
    <w:rsid w:val="00E00EE0"/>
    <w:rsid w:val="00E025FE"/>
    <w:rsid w:val="00E10E80"/>
    <w:rsid w:val="00E11D5E"/>
    <w:rsid w:val="00E124F0"/>
    <w:rsid w:val="00E13F93"/>
    <w:rsid w:val="00E222DA"/>
    <w:rsid w:val="00E32254"/>
    <w:rsid w:val="00E46BAF"/>
    <w:rsid w:val="00E50C18"/>
    <w:rsid w:val="00E53C05"/>
    <w:rsid w:val="00E61E22"/>
    <w:rsid w:val="00E748EF"/>
    <w:rsid w:val="00E76F41"/>
    <w:rsid w:val="00E838C5"/>
    <w:rsid w:val="00E86A9D"/>
    <w:rsid w:val="00EA5AC4"/>
    <w:rsid w:val="00EB0D6F"/>
    <w:rsid w:val="00EB2232"/>
    <w:rsid w:val="00EC0986"/>
    <w:rsid w:val="00EC5337"/>
    <w:rsid w:val="00ED2F20"/>
    <w:rsid w:val="00EF4773"/>
    <w:rsid w:val="00F2150A"/>
    <w:rsid w:val="00F231D8"/>
    <w:rsid w:val="00F45EFC"/>
    <w:rsid w:val="00F46C5F"/>
    <w:rsid w:val="00F62B8B"/>
    <w:rsid w:val="00F94A63"/>
    <w:rsid w:val="00F96D6D"/>
    <w:rsid w:val="00F97C44"/>
    <w:rsid w:val="00FD56FC"/>
    <w:rsid w:val="00FE2455"/>
    <w:rsid w:val="00FE2FF1"/>
    <w:rsid w:val="00FE32BA"/>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611A31"/>
  <w15:docId w15:val="{E2974271-1CD0-44CF-A6A4-7D0B83AF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uiPriority w:val="99"/>
    <w:semiHidden/>
    <w:unhideWhenUsed/>
    <w:rsid w:val="007C455C"/>
    <w:rPr>
      <w:sz w:val="16"/>
      <w:szCs w:val="16"/>
    </w:rPr>
  </w:style>
  <w:style w:type="paragraph" w:styleId="CommentText">
    <w:name w:val="annotation text"/>
    <w:basedOn w:val="Normal"/>
    <w:link w:val="CommentTextChar"/>
    <w:uiPriority w:val="99"/>
    <w:semiHidden/>
    <w:unhideWhenUsed/>
    <w:rsid w:val="007C455C"/>
    <w:rPr>
      <w:sz w:val="20"/>
    </w:rPr>
  </w:style>
  <w:style w:type="character" w:customStyle="1" w:styleId="CommentTextChar">
    <w:name w:val="Comment Text Char"/>
    <w:basedOn w:val="DefaultParagraphFont"/>
    <w:link w:val="CommentText"/>
    <w:uiPriority w:val="99"/>
    <w:semiHidden/>
    <w:rsid w:val="007C455C"/>
    <w:rPr>
      <w:rFonts w:ascii="Calibri" w:hAnsi="Calibri"/>
      <w:lang w:val="en-GB" w:eastAsia="en-US"/>
    </w:rPr>
  </w:style>
  <w:style w:type="paragraph" w:styleId="CommentSubject">
    <w:name w:val="annotation subject"/>
    <w:basedOn w:val="CommentText"/>
    <w:next w:val="CommentText"/>
    <w:link w:val="CommentSubjectChar"/>
    <w:semiHidden/>
    <w:unhideWhenUsed/>
    <w:rsid w:val="007C455C"/>
    <w:rPr>
      <w:b/>
      <w:bCs/>
    </w:rPr>
  </w:style>
  <w:style w:type="character" w:customStyle="1" w:styleId="CommentSubjectChar">
    <w:name w:val="Comment Subject Char"/>
    <w:basedOn w:val="CommentTextChar"/>
    <w:link w:val="CommentSubject"/>
    <w:semiHidden/>
    <w:rsid w:val="007C455C"/>
    <w:rPr>
      <w:rFonts w:ascii="Calibri" w:hAnsi="Calibri"/>
      <w:b/>
      <w:bCs/>
      <w:lang w:val="en-GB" w:eastAsia="en-US"/>
    </w:rPr>
  </w:style>
  <w:style w:type="paragraph" w:styleId="BalloonText">
    <w:name w:val="Balloon Text"/>
    <w:basedOn w:val="Normal"/>
    <w:link w:val="BalloonTextChar"/>
    <w:semiHidden/>
    <w:unhideWhenUsed/>
    <w:rsid w:val="007C45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C455C"/>
    <w:rPr>
      <w:rFonts w:ascii="Segoe UI" w:hAnsi="Segoe UI" w:cs="Segoe UI"/>
      <w:sz w:val="18"/>
      <w:szCs w:val="18"/>
      <w:lang w:val="en-GB" w:eastAsia="en-US"/>
    </w:rPr>
  </w:style>
  <w:style w:type="paragraph" w:styleId="Revision">
    <w:name w:val="Revision"/>
    <w:hidden/>
    <w:uiPriority w:val="99"/>
    <w:semiHidden/>
    <w:rsid w:val="007C455C"/>
    <w:rPr>
      <w:rFonts w:ascii="Calibri" w:hAnsi="Calibri"/>
      <w:sz w:val="24"/>
      <w:lang w:val="en-GB" w:eastAsia="en-US"/>
    </w:rPr>
  </w:style>
  <w:style w:type="paragraph" w:styleId="ListParagraph">
    <w:name w:val="List Paragraph"/>
    <w:basedOn w:val="Normal"/>
    <w:uiPriority w:val="34"/>
    <w:qFormat/>
    <w:rsid w:val="0064144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ADD-C-0003/en" TargetMode="External"/><Relationship Id="rId18" Type="http://schemas.openxmlformats.org/officeDocument/2006/relationships/hyperlink" Target="https://www.itu.int/md/S19-CL-C-0120/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ADD-C-0002/en" TargetMode="External"/><Relationship Id="rId17" Type="http://schemas.openxmlformats.org/officeDocument/2006/relationships/hyperlink" Target="https://www.itu.int/md/S19-CL-C-0120/en" TargetMode="External"/><Relationship Id="rId2" Type="http://schemas.openxmlformats.org/officeDocument/2006/relationships/numbering" Target="numbering.xml"/><Relationship Id="rId16" Type="http://schemas.openxmlformats.org/officeDocument/2006/relationships/hyperlink" Target="https://www.itu.int/en/council/ties/Documents/2019/Switzerlan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ADD-C-0004/en" TargetMode="External"/><Relationship Id="rId5" Type="http://schemas.openxmlformats.org/officeDocument/2006/relationships/webSettings" Target="webSettings.xml"/><Relationship Id="rId15" Type="http://schemas.openxmlformats.org/officeDocument/2006/relationships/hyperlink" Target="https://www.itu.int/en/council/ties/Documents/2019/StaffCouncil-e.pdf" TargetMode="External"/><Relationship Id="rId10" Type="http://schemas.openxmlformats.org/officeDocument/2006/relationships/hyperlink" Target="https://www.itu.int/md/S19-CLADD-C-0003/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ADD-C-0002/en" TargetMode="External"/><Relationship Id="rId14" Type="http://schemas.openxmlformats.org/officeDocument/2006/relationships/hyperlink" Target="https://www.itu.int/md/S19-CLADD-C-0004/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85D0-9659-4D2B-AB27-A059B83E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2179</Words>
  <Characters>12685</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Summary record of the additional 2019 session of the Council</vt:lpstr>
      <vt:lpstr>Summary record of the additional 2019 session of the Council</vt:lpstr>
    </vt:vector>
  </TitlesOfParts>
  <Manager>General Secretariat - Pool</Manager>
  <Company>International Telecommunication Union (ITU)</Company>
  <LinksUpToDate>false</LinksUpToDate>
  <CharactersWithSpaces>14835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additional 2019 session of the Council</dc:title>
  <dc:subject>Council 2019</dc:subject>
  <dc:creator>User1</dc:creator>
  <cp:keywords>C19, C19-ADD</cp:keywords>
  <dc:description/>
  <cp:lastModifiedBy>Janin, Patricia</cp:lastModifiedBy>
  <cp:revision>3</cp:revision>
  <cp:lastPrinted>2019-10-02T14:45:00Z</cp:lastPrinted>
  <dcterms:created xsi:type="dcterms:W3CDTF">2019-11-14T12:52:00Z</dcterms:created>
  <dcterms:modified xsi:type="dcterms:W3CDTF">2019-11-14T12:53:00Z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